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3"/>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0"/>
      </w:tblGrid>
      <w:tr w14:paraId="4040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6" w:hRule="atLeast"/>
        </w:trPr>
        <w:tc>
          <w:tcPr>
            <w:tcW w:w="9030" w:type="dxa"/>
          </w:tcPr>
          <w:p w14:paraId="62332AE2">
            <w:pPr>
              <w:pStyle w:val="83"/>
              <w:rPr>
                <w:color w:val="auto"/>
                <w:highlight w:val="none"/>
              </w:rPr>
            </w:pPr>
          </w:p>
          <w:p w14:paraId="502B559F">
            <w:pPr>
              <w:autoSpaceDE w:val="0"/>
              <w:autoSpaceDN w:val="0"/>
              <w:adjustRightInd w:val="0"/>
              <w:snapToGrid w:val="0"/>
              <w:spacing w:line="500" w:lineRule="atLeast"/>
              <w:jc w:val="center"/>
              <w:rPr>
                <w:rFonts w:cs="新宋体" w:asciiTheme="majorEastAsia" w:hAnsiTheme="majorEastAsia" w:eastAsiaTheme="majorEastAsia"/>
                <w:color w:val="auto"/>
                <w:sz w:val="32"/>
                <w:szCs w:val="32"/>
                <w:highlight w:val="none"/>
                <w:lang w:val="zh-CN"/>
              </w:rPr>
            </w:pPr>
          </w:p>
          <w:p w14:paraId="06828AF1">
            <w:pPr>
              <w:spacing w:line="480" w:lineRule="auto"/>
              <w:jc w:val="center"/>
              <w:rPr>
                <w:rFonts w:asciiTheme="majorEastAsia" w:hAnsiTheme="majorEastAsia" w:eastAsiaTheme="majorEastAsia"/>
                <w:color w:val="auto"/>
                <w:sz w:val="84"/>
                <w:szCs w:val="84"/>
                <w:highlight w:val="none"/>
              </w:rPr>
            </w:pPr>
            <w:r>
              <w:rPr>
                <w:rFonts w:hint="eastAsia" w:asciiTheme="majorEastAsia" w:hAnsiTheme="majorEastAsia" w:eastAsiaTheme="majorEastAsia"/>
                <w:color w:val="auto"/>
                <w:sz w:val="84"/>
                <w:szCs w:val="84"/>
                <w:highlight w:val="none"/>
              </w:rPr>
              <w:t>永 嘉 县 政 府 采 购</w:t>
            </w:r>
          </w:p>
          <w:p w14:paraId="367A6FA8">
            <w:pPr>
              <w:spacing w:line="480" w:lineRule="auto"/>
              <w:jc w:val="center"/>
              <w:rPr>
                <w:rFonts w:asciiTheme="majorEastAsia" w:hAnsiTheme="majorEastAsia" w:eastAsiaTheme="majorEastAsia"/>
                <w:color w:val="auto"/>
                <w:sz w:val="84"/>
                <w:szCs w:val="84"/>
                <w:highlight w:val="none"/>
              </w:rPr>
            </w:pPr>
            <w:r>
              <w:rPr>
                <w:rFonts w:hint="eastAsia" w:asciiTheme="majorEastAsia" w:hAnsiTheme="majorEastAsia" w:eastAsiaTheme="majorEastAsia"/>
                <w:color w:val="auto"/>
                <w:sz w:val="84"/>
                <w:szCs w:val="84"/>
                <w:highlight w:val="none"/>
              </w:rPr>
              <w:t>招 标 文 件</w:t>
            </w:r>
          </w:p>
          <w:p w14:paraId="7C151DD8">
            <w:pPr>
              <w:spacing w:line="460" w:lineRule="atLeast"/>
              <w:ind w:left="2846" w:leftChars="710" w:hanging="1355" w:hangingChars="450"/>
              <w:rPr>
                <w:rFonts w:cs="新宋体" w:asciiTheme="majorEastAsia" w:hAnsiTheme="majorEastAsia" w:eastAsiaTheme="majorEastAsia"/>
                <w:b/>
                <w:color w:val="auto"/>
                <w:sz w:val="30"/>
                <w:szCs w:val="30"/>
                <w:highlight w:val="none"/>
              </w:rPr>
            </w:pPr>
          </w:p>
          <w:p w14:paraId="1C68CF5C">
            <w:pPr>
              <w:pStyle w:val="18"/>
              <w:ind w:firstLine="210"/>
              <w:rPr>
                <w:rFonts w:asciiTheme="majorEastAsia" w:hAnsiTheme="majorEastAsia" w:eastAsiaTheme="majorEastAsia"/>
                <w:color w:val="auto"/>
                <w:highlight w:val="none"/>
              </w:rPr>
            </w:pPr>
          </w:p>
          <w:p w14:paraId="4E904976">
            <w:pPr>
              <w:pStyle w:val="18"/>
              <w:ind w:firstLine="210"/>
              <w:rPr>
                <w:rFonts w:asciiTheme="majorEastAsia" w:hAnsiTheme="majorEastAsia" w:eastAsiaTheme="majorEastAsia"/>
                <w:color w:val="auto"/>
                <w:highlight w:val="none"/>
              </w:rPr>
            </w:pPr>
          </w:p>
          <w:p w14:paraId="5462F49D">
            <w:pPr>
              <w:pStyle w:val="18"/>
              <w:ind w:firstLine="210"/>
              <w:rPr>
                <w:rFonts w:asciiTheme="majorEastAsia" w:hAnsiTheme="majorEastAsia" w:eastAsiaTheme="majorEastAsia"/>
                <w:color w:val="auto"/>
                <w:highlight w:val="none"/>
              </w:rPr>
            </w:pPr>
          </w:p>
          <w:p w14:paraId="5538B40F">
            <w:pPr>
              <w:spacing w:line="460" w:lineRule="atLeast"/>
              <w:ind w:left="3565" w:leftChars="726" w:hanging="2040" w:hangingChars="680"/>
              <w:rPr>
                <w:rFonts w:hint="eastAsia" w:cs="新宋体" w:asciiTheme="majorEastAsia" w:hAnsiTheme="majorEastAsia" w:eastAsiaTheme="majorEastAsia"/>
                <w:color w:val="auto"/>
                <w:sz w:val="30"/>
                <w:szCs w:val="30"/>
                <w:highlight w:val="none"/>
                <w:lang w:eastAsia="zh-CN"/>
              </w:rPr>
            </w:pPr>
            <w:r>
              <w:rPr>
                <w:rFonts w:hint="eastAsia" w:cs="新宋体" w:asciiTheme="majorEastAsia" w:hAnsiTheme="majorEastAsia" w:eastAsiaTheme="majorEastAsia"/>
                <w:color w:val="auto"/>
                <w:sz w:val="30"/>
                <w:szCs w:val="30"/>
                <w:highlight w:val="none"/>
              </w:rPr>
              <w:t>项目编号：</w:t>
            </w:r>
            <w:r>
              <w:rPr>
                <w:rFonts w:hint="eastAsia" w:asciiTheme="majorEastAsia" w:hAnsiTheme="majorEastAsia" w:eastAsiaTheme="majorEastAsia"/>
                <w:color w:val="auto"/>
                <w:sz w:val="30"/>
                <w:szCs w:val="30"/>
                <w:highlight w:val="none"/>
                <w:lang w:eastAsia="zh-CN"/>
              </w:rPr>
              <w:t>ZGCG-20241028</w:t>
            </w:r>
          </w:p>
          <w:p w14:paraId="0215EC29">
            <w:pPr>
              <w:spacing w:line="460" w:lineRule="atLeast"/>
              <w:ind w:left="3565" w:leftChars="726" w:hanging="2040" w:hangingChars="680"/>
              <w:rPr>
                <w:rFonts w:hint="eastAsia" w:cs="新宋体" w:asciiTheme="majorEastAsia" w:hAnsiTheme="majorEastAsia" w:eastAsiaTheme="majorEastAsia"/>
                <w:color w:val="auto"/>
                <w:sz w:val="30"/>
                <w:szCs w:val="30"/>
                <w:highlight w:val="none"/>
                <w:lang w:eastAsia="zh-CN"/>
              </w:rPr>
            </w:pPr>
            <w:r>
              <w:rPr>
                <w:rFonts w:hint="eastAsia" w:cs="新宋体" w:asciiTheme="majorEastAsia" w:hAnsiTheme="majorEastAsia" w:eastAsiaTheme="majorEastAsia"/>
                <w:color w:val="auto"/>
                <w:sz w:val="30"/>
                <w:szCs w:val="30"/>
                <w:highlight w:val="none"/>
              </w:rPr>
              <w:t>项目名称：</w:t>
            </w:r>
            <w:r>
              <w:rPr>
                <w:rFonts w:hint="eastAsia" w:cs="新宋体" w:asciiTheme="majorEastAsia" w:hAnsiTheme="majorEastAsia" w:eastAsiaTheme="majorEastAsia"/>
                <w:color w:val="auto"/>
                <w:sz w:val="30"/>
                <w:szCs w:val="30"/>
                <w:highlight w:val="none"/>
                <w:lang w:eastAsia="zh-CN"/>
              </w:rPr>
              <w:t>永嘉县医共体急诊平台建设</w:t>
            </w:r>
          </w:p>
          <w:p w14:paraId="27CE7A32">
            <w:pPr>
              <w:spacing w:line="500" w:lineRule="atLeast"/>
              <w:ind w:left="3565" w:leftChars="726" w:hanging="2040" w:hangingChars="680"/>
              <w:rPr>
                <w:rFonts w:cs="新宋体" w:asciiTheme="majorEastAsia" w:hAnsiTheme="majorEastAsia" w:eastAsiaTheme="majorEastAsia"/>
                <w:color w:val="auto"/>
                <w:sz w:val="30"/>
                <w:szCs w:val="30"/>
                <w:highlight w:val="none"/>
              </w:rPr>
            </w:pPr>
            <w:r>
              <w:rPr>
                <w:rFonts w:hint="eastAsia" w:cs="新宋体" w:asciiTheme="majorEastAsia" w:hAnsiTheme="majorEastAsia" w:eastAsiaTheme="majorEastAsia"/>
                <w:color w:val="auto"/>
                <w:sz w:val="30"/>
                <w:szCs w:val="30"/>
                <w:highlight w:val="none"/>
              </w:rPr>
              <w:t>采购方式：公开招标</w:t>
            </w:r>
          </w:p>
          <w:p w14:paraId="534F5046">
            <w:pPr>
              <w:pStyle w:val="18"/>
              <w:ind w:firstLine="210"/>
              <w:rPr>
                <w:rFonts w:asciiTheme="majorEastAsia" w:hAnsiTheme="majorEastAsia" w:eastAsiaTheme="majorEastAsia"/>
                <w:color w:val="auto"/>
                <w:highlight w:val="none"/>
              </w:rPr>
            </w:pPr>
          </w:p>
          <w:p w14:paraId="2E28B09E">
            <w:pPr>
              <w:pStyle w:val="18"/>
              <w:ind w:firstLine="210"/>
              <w:rPr>
                <w:rFonts w:asciiTheme="majorEastAsia" w:hAnsiTheme="majorEastAsia" w:eastAsiaTheme="majorEastAsia"/>
                <w:color w:val="auto"/>
                <w:highlight w:val="none"/>
              </w:rPr>
            </w:pPr>
          </w:p>
          <w:p w14:paraId="5087CE84">
            <w:pPr>
              <w:pStyle w:val="18"/>
              <w:ind w:firstLine="210"/>
              <w:rPr>
                <w:rFonts w:asciiTheme="majorEastAsia" w:hAnsiTheme="majorEastAsia" w:eastAsiaTheme="majorEastAsia"/>
                <w:color w:val="auto"/>
                <w:highlight w:val="none"/>
              </w:rPr>
            </w:pPr>
          </w:p>
          <w:p w14:paraId="382F86F9">
            <w:pPr>
              <w:pStyle w:val="18"/>
              <w:ind w:firstLine="210"/>
              <w:rPr>
                <w:rFonts w:asciiTheme="majorEastAsia" w:hAnsiTheme="majorEastAsia" w:eastAsiaTheme="majorEastAsia"/>
                <w:color w:val="auto"/>
                <w:highlight w:val="none"/>
              </w:rPr>
            </w:pPr>
          </w:p>
          <w:p w14:paraId="7CB0D45B">
            <w:pPr>
              <w:pStyle w:val="18"/>
              <w:ind w:firstLine="210"/>
              <w:rPr>
                <w:rFonts w:asciiTheme="majorEastAsia" w:hAnsiTheme="majorEastAsia" w:eastAsiaTheme="majorEastAsia"/>
                <w:color w:val="auto"/>
                <w:highlight w:val="none"/>
              </w:rPr>
            </w:pPr>
          </w:p>
          <w:p w14:paraId="1B659B13">
            <w:pPr>
              <w:pStyle w:val="18"/>
              <w:ind w:firstLine="210"/>
              <w:rPr>
                <w:rFonts w:asciiTheme="majorEastAsia" w:hAnsiTheme="majorEastAsia" w:eastAsiaTheme="majorEastAsia"/>
                <w:color w:val="auto"/>
                <w:highlight w:val="none"/>
              </w:rPr>
            </w:pPr>
          </w:p>
          <w:p w14:paraId="0FFD2E3C">
            <w:pPr>
              <w:pStyle w:val="18"/>
              <w:ind w:firstLine="210"/>
              <w:rPr>
                <w:rFonts w:asciiTheme="majorEastAsia" w:hAnsiTheme="majorEastAsia" w:eastAsiaTheme="majorEastAsia"/>
                <w:color w:val="auto"/>
                <w:highlight w:val="none"/>
              </w:rPr>
            </w:pPr>
          </w:p>
          <w:p w14:paraId="2F3671A2">
            <w:pPr>
              <w:pStyle w:val="18"/>
              <w:ind w:firstLine="210"/>
              <w:rPr>
                <w:rFonts w:asciiTheme="majorEastAsia" w:hAnsiTheme="majorEastAsia" w:eastAsiaTheme="majorEastAsia"/>
                <w:color w:val="auto"/>
                <w:highlight w:val="none"/>
              </w:rPr>
            </w:pPr>
          </w:p>
          <w:tbl>
            <w:tblPr>
              <w:tblStyle w:val="43"/>
              <w:tblW w:w="0" w:type="auto"/>
              <w:jc w:val="center"/>
              <w:tblLayout w:type="fixed"/>
              <w:tblCellMar>
                <w:top w:w="0" w:type="dxa"/>
                <w:left w:w="108" w:type="dxa"/>
                <w:bottom w:w="0" w:type="dxa"/>
                <w:right w:w="108" w:type="dxa"/>
              </w:tblCellMar>
            </w:tblPr>
            <w:tblGrid>
              <w:gridCol w:w="1076"/>
              <w:gridCol w:w="236"/>
              <w:gridCol w:w="5509"/>
            </w:tblGrid>
            <w:tr w14:paraId="1499A35C">
              <w:tblPrEx>
                <w:tblCellMar>
                  <w:top w:w="0" w:type="dxa"/>
                  <w:left w:w="108" w:type="dxa"/>
                  <w:bottom w:w="0" w:type="dxa"/>
                  <w:right w:w="108" w:type="dxa"/>
                </w:tblCellMar>
              </w:tblPrEx>
              <w:trPr>
                <w:trHeight w:val="948" w:hRule="atLeast"/>
                <w:jc w:val="center"/>
              </w:trPr>
              <w:tc>
                <w:tcPr>
                  <w:tcW w:w="1076" w:type="dxa"/>
                  <w:vAlign w:val="center"/>
                </w:tcPr>
                <w:p w14:paraId="24C1E2DF">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采购人</w:t>
                  </w:r>
                </w:p>
              </w:tc>
              <w:tc>
                <w:tcPr>
                  <w:tcW w:w="236" w:type="dxa"/>
                  <w:vAlign w:val="center"/>
                </w:tcPr>
                <w:p w14:paraId="49B735E0">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w:t>
                  </w:r>
                </w:p>
              </w:tc>
              <w:tc>
                <w:tcPr>
                  <w:tcW w:w="5509" w:type="dxa"/>
                  <w:vAlign w:val="center"/>
                </w:tcPr>
                <w:p w14:paraId="1F880805">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永嘉县人民医院</w:t>
                  </w:r>
                  <w:r>
                    <w:rPr>
                      <w:rFonts w:hint="eastAsia" w:ascii="新宋体" w:hAnsi="新宋体" w:eastAsia="新宋体" w:cs="新宋体"/>
                      <w:b/>
                      <w:color w:val="auto"/>
                      <w:sz w:val="28"/>
                      <w:szCs w:val="28"/>
                      <w:highlight w:val="none"/>
                      <w:lang w:eastAsia="zh-CN"/>
                    </w:rPr>
                    <w:t>（医共体）</w:t>
                  </w:r>
                </w:p>
                <w:p w14:paraId="51113634">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永嘉县中医医院</w:t>
                  </w:r>
                  <w:r>
                    <w:rPr>
                      <w:rFonts w:hint="eastAsia" w:ascii="新宋体" w:hAnsi="新宋体" w:eastAsia="新宋体" w:cs="新宋体"/>
                      <w:b/>
                      <w:color w:val="auto"/>
                      <w:sz w:val="28"/>
                      <w:szCs w:val="28"/>
                      <w:highlight w:val="none"/>
                      <w:lang w:eastAsia="zh-CN"/>
                    </w:rPr>
                    <w:t>（医共体）</w:t>
                  </w:r>
                </w:p>
              </w:tc>
            </w:tr>
            <w:tr w14:paraId="5424E4FE">
              <w:tblPrEx>
                <w:tblCellMar>
                  <w:top w:w="0" w:type="dxa"/>
                  <w:left w:w="108" w:type="dxa"/>
                  <w:bottom w:w="0" w:type="dxa"/>
                  <w:right w:w="108" w:type="dxa"/>
                </w:tblCellMar>
              </w:tblPrEx>
              <w:trPr>
                <w:trHeight w:val="881" w:hRule="atLeast"/>
                <w:jc w:val="center"/>
              </w:trPr>
              <w:tc>
                <w:tcPr>
                  <w:tcW w:w="1076" w:type="dxa"/>
                  <w:vAlign w:val="center"/>
                </w:tcPr>
                <w:p w14:paraId="683A9693">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采购代理机构</w:t>
                  </w:r>
                </w:p>
              </w:tc>
              <w:tc>
                <w:tcPr>
                  <w:tcW w:w="236" w:type="dxa"/>
                  <w:vAlign w:val="center"/>
                </w:tcPr>
                <w:p w14:paraId="3DEDF288">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w:t>
                  </w:r>
                </w:p>
              </w:tc>
              <w:tc>
                <w:tcPr>
                  <w:tcW w:w="5509" w:type="dxa"/>
                  <w:vAlign w:val="center"/>
                </w:tcPr>
                <w:p w14:paraId="664072FB">
                  <w:pPr>
                    <w:jc w:val="distribute"/>
                    <w:rPr>
                      <w:rFonts w:ascii="新宋体" w:hAnsi="新宋体" w:eastAsia="新宋体" w:cs="新宋体"/>
                      <w:b/>
                      <w:color w:val="auto"/>
                      <w:sz w:val="28"/>
                      <w:szCs w:val="28"/>
                      <w:highlight w:val="none"/>
                    </w:rPr>
                  </w:pPr>
                  <w:r>
                    <w:rPr>
                      <w:rFonts w:hint="eastAsia" w:ascii="新宋体" w:hAnsi="新宋体" w:eastAsia="新宋体" w:cs="新宋体"/>
                      <w:b/>
                      <w:color w:val="auto"/>
                      <w:sz w:val="28"/>
                      <w:szCs w:val="28"/>
                      <w:highlight w:val="none"/>
                    </w:rPr>
                    <w:t>温州市中概工程管理咨询有限公司</w:t>
                  </w:r>
                </w:p>
              </w:tc>
            </w:tr>
          </w:tbl>
          <w:p w14:paraId="50CD16A6">
            <w:pPr>
              <w:pStyle w:val="18"/>
              <w:ind w:firstLine="210"/>
              <w:rPr>
                <w:rFonts w:asciiTheme="majorEastAsia" w:hAnsiTheme="majorEastAsia" w:eastAsiaTheme="majorEastAsia"/>
                <w:color w:val="auto"/>
                <w:highlight w:val="none"/>
              </w:rPr>
            </w:pPr>
          </w:p>
          <w:p w14:paraId="757EE20A">
            <w:pPr>
              <w:autoSpaceDE w:val="0"/>
              <w:autoSpaceDN w:val="0"/>
              <w:adjustRightInd w:val="0"/>
              <w:snapToGrid w:val="0"/>
              <w:spacing w:line="500" w:lineRule="atLeast"/>
              <w:jc w:val="center"/>
              <w:rPr>
                <w:rFonts w:cs="新宋体" w:asciiTheme="majorEastAsia" w:hAnsiTheme="majorEastAsia" w:eastAsiaTheme="majorEastAsia"/>
                <w:color w:val="auto"/>
                <w:sz w:val="32"/>
                <w:szCs w:val="32"/>
                <w:highlight w:val="none"/>
              </w:rPr>
            </w:pPr>
            <w:r>
              <w:rPr>
                <w:rFonts w:hint="eastAsia" w:cs="新宋体" w:asciiTheme="majorEastAsia" w:hAnsiTheme="majorEastAsia" w:eastAsiaTheme="majorEastAsia"/>
                <w:color w:val="auto"/>
                <w:sz w:val="30"/>
                <w:szCs w:val="30"/>
                <w:highlight w:val="none"/>
              </w:rPr>
              <w:t>二○二四年</w:t>
            </w:r>
            <w:r>
              <w:rPr>
                <w:rFonts w:hint="eastAsia" w:cs="新宋体" w:asciiTheme="majorEastAsia" w:hAnsiTheme="majorEastAsia" w:eastAsiaTheme="majorEastAsia"/>
                <w:color w:val="auto"/>
                <w:sz w:val="30"/>
                <w:szCs w:val="30"/>
                <w:highlight w:val="none"/>
                <w:lang w:val="en-US" w:eastAsia="zh-CN"/>
              </w:rPr>
              <w:t>十</w:t>
            </w:r>
            <w:r>
              <w:rPr>
                <w:rFonts w:hint="eastAsia" w:cs="新宋体" w:asciiTheme="majorEastAsia" w:hAnsiTheme="majorEastAsia" w:eastAsiaTheme="majorEastAsia"/>
                <w:color w:val="auto"/>
                <w:sz w:val="30"/>
                <w:szCs w:val="30"/>
                <w:highlight w:val="none"/>
              </w:rPr>
              <w:t>月</w:t>
            </w:r>
          </w:p>
        </w:tc>
      </w:tr>
    </w:tbl>
    <w:p w14:paraId="32F3623F">
      <w:pPr>
        <w:spacing w:line="500" w:lineRule="atLeast"/>
        <w:rPr>
          <w:rFonts w:cs="新宋体" w:asciiTheme="majorEastAsia" w:hAnsiTheme="majorEastAsia" w:eastAsiaTheme="majorEastAsia"/>
          <w:color w:val="auto"/>
          <w:sz w:val="24"/>
          <w:highlight w:val="none"/>
        </w:rPr>
        <w:sectPr>
          <w:headerReference r:id="rId4" w:type="first"/>
          <w:footerReference r:id="rId7" w:type="first"/>
          <w:headerReference r:id="rId3" w:type="default"/>
          <w:footerReference r:id="rId5" w:type="default"/>
          <w:footerReference r:id="rId6" w:type="even"/>
          <w:pgSz w:w="11906" w:h="16838"/>
          <w:pgMar w:top="1134" w:right="1134" w:bottom="1134" w:left="1134" w:header="851" w:footer="850" w:gutter="0"/>
          <w:pgBorders>
            <w:top w:val="none" w:sz="0" w:space="0"/>
            <w:left w:val="none" w:sz="0" w:space="0"/>
            <w:bottom w:val="none" w:sz="0" w:space="0"/>
            <w:right w:val="none" w:sz="0" w:space="0"/>
          </w:pgBorders>
          <w:pgNumType w:start="1"/>
          <w:cols w:space="720" w:num="1"/>
          <w:titlePg/>
          <w:docGrid w:type="lines" w:linePitch="312" w:charSpace="0"/>
        </w:sectPr>
      </w:pPr>
    </w:p>
    <w:p w14:paraId="6CBC097E">
      <w:pPr>
        <w:widowControl/>
        <w:spacing w:line="500" w:lineRule="atLeast"/>
        <w:jc w:val="center"/>
        <w:rPr>
          <w:rFonts w:cs="新宋体" w:asciiTheme="majorEastAsia" w:hAnsiTheme="majorEastAsia" w:eastAsiaTheme="majorEastAsia"/>
          <w:b/>
          <w:color w:val="auto"/>
          <w:sz w:val="32"/>
          <w:szCs w:val="32"/>
          <w:highlight w:val="none"/>
        </w:rPr>
      </w:pPr>
      <w:bookmarkStart w:id="0" w:name="_Toc496116237"/>
      <w:bookmarkStart w:id="1" w:name="_Toc293038713"/>
      <w:r>
        <w:rPr>
          <w:rFonts w:hint="eastAsia" w:cs="新宋体" w:asciiTheme="majorEastAsia" w:hAnsiTheme="majorEastAsia" w:eastAsiaTheme="majorEastAsia"/>
          <w:b/>
          <w:color w:val="auto"/>
          <w:sz w:val="32"/>
          <w:szCs w:val="32"/>
          <w:highlight w:val="none"/>
        </w:rPr>
        <w:t>招标文件目录</w:t>
      </w:r>
    </w:p>
    <w:p w14:paraId="089A1290">
      <w:pPr>
        <w:pStyle w:val="31"/>
        <w:tabs>
          <w:tab w:val="right" w:leader="dot" w:pos="9638"/>
          <w:tab w:val="clear" w:pos="8777"/>
        </w:tabs>
        <w:spacing w:line="480" w:lineRule="auto"/>
        <w:rPr>
          <w:color w:val="auto"/>
          <w:highlight w:val="none"/>
        </w:rPr>
      </w:pPr>
      <w:r>
        <w:rPr>
          <w:rFonts w:hint="eastAsia" w:cs="新宋体" w:asciiTheme="majorEastAsia" w:hAnsiTheme="majorEastAsia" w:eastAsiaTheme="majorEastAsia"/>
          <w:color w:val="auto"/>
          <w:highlight w:val="none"/>
        </w:rPr>
        <w:fldChar w:fldCharType="begin"/>
      </w:r>
      <w:r>
        <w:rPr>
          <w:rFonts w:hint="eastAsia" w:cs="新宋体" w:asciiTheme="majorEastAsia" w:hAnsiTheme="majorEastAsia" w:eastAsiaTheme="majorEastAsia"/>
          <w:color w:val="auto"/>
          <w:highlight w:val="none"/>
        </w:rPr>
        <w:instrText xml:space="preserve"> TOC \o "1-2" \h \z \u </w:instrText>
      </w:r>
      <w:r>
        <w:rPr>
          <w:rFonts w:hint="eastAsia" w:cs="新宋体" w:asciiTheme="majorEastAsia" w:hAnsiTheme="majorEastAsia" w:eastAsiaTheme="majorEastAsia"/>
          <w:color w:val="auto"/>
          <w:highlight w:val="none"/>
        </w:rPr>
        <w:fldChar w:fldCharType="separate"/>
      </w:r>
      <w:r>
        <w:rPr>
          <w:color w:val="auto"/>
          <w:highlight w:val="none"/>
        </w:rPr>
        <w:fldChar w:fldCharType="begin"/>
      </w:r>
      <w:r>
        <w:rPr>
          <w:color w:val="auto"/>
          <w:highlight w:val="none"/>
        </w:rPr>
        <w:instrText xml:space="preserve"> HYPERLINK \l "_Toc11853" </w:instrText>
      </w:r>
      <w:r>
        <w:rPr>
          <w:color w:val="auto"/>
          <w:highlight w:val="none"/>
        </w:rPr>
        <w:fldChar w:fldCharType="separate"/>
      </w:r>
      <w:r>
        <w:rPr>
          <w:rFonts w:hint="eastAsia" w:ascii="宋体" w:hAnsi="宋体" w:cs="宋体"/>
          <w:color w:val="auto"/>
          <w:szCs w:val="32"/>
          <w:highlight w:val="none"/>
        </w:rPr>
        <w:t>温州市中概工程管理咨询有限公司关于</w:t>
      </w:r>
      <w:r>
        <w:rPr>
          <w:rFonts w:hint="eastAsia" w:ascii="宋体" w:hAnsi="宋体" w:cs="宋体"/>
          <w:color w:val="auto"/>
          <w:szCs w:val="32"/>
          <w:highlight w:val="none"/>
          <w:lang w:eastAsia="zh-CN"/>
        </w:rPr>
        <w:t>永嘉县医共体急诊平台建设</w:t>
      </w:r>
      <w:r>
        <w:rPr>
          <w:rFonts w:hint="eastAsia" w:ascii="宋体" w:hAnsi="宋体" w:cs="宋体"/>
          <w:color w:val="auto"/>
          <w:szCs w:val="32"/>
          <w:highlight w:val="none"/>
        </w:rPr>
        <w:t>的公开招标公告</w:t>
      </w:r>
      <w:r>
        <w:rPr>
          <w:color w:val="auto"/>
          <w:highlight w:val="none"/>
        </w:rPr>
        <w:tab/>
      </w:r>
      <w:r>
        <w:rPr>
          <w:color w:val="auto"/>
          <w:highlight w:val="none"/>
        </w:rPr>
        <w:fldChar w:fldCharType="begin"/>
      </w:r>
      <w:r>
        <w:rPr>
          <w:color w:val="auto"/>
          <w:highlight w:val="none"/>
        </w:rPr>
        <w:instrText xml:space="preserve"> PAGEREF _Toc11853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7854BD5D">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"_Toc17480" </w:instrText>
      </w:r>
      <w:r>
        <w:rPr>
          <w:color w:val="auto"/>
          <w:highlight w:val="none"/>
        </w:rPr>
        <w:fldChar w:fldCharType="separate"/>
      </w:r>
      <w:r>
        <w:rPr>
          <w:rFonts w:hint="eastAsia" w:cs="新宋体" w:asciiTheme="majorEastAsia" w:hAnsiTheme="majorEastAsia" w:eastAsiaTheme="majorEastAsia"/>
          <w:color w:val="auto"/>
          <w:szCs w:val="30"/>
          <w:highlight w:val="none"/>
        </w:rPr>
        <w:t>第一部分  投标通知(邀请)书</w:t>
      </w:r>
      <w:r>
        <w:rPr>
          <w:color w:val="auto"/>
          <w:highlight w:val="none"/>
        </w:rPr>
        <w:tab/>
      </w:r>
      <w:r>
        <w:rPr>
          <w:color w:val="auto"/>
          <w:highlight w:val="none"/>
        </w:rPr>
        <w:fldChar w:fldCharType="begin"/>
      </w:r>
      <w:r>
        <w:rPr>
          <w:color w:val="auto"/>
          <w:highlight w:val="none"/>
        </w:rPr>
        <w:instrText xml:space="preserve"> PAGEREF _Toc17480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569D180">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"_Toc13266" </w:instrText>
      </w:r>
      <w:r>
        <w:rPr>
          <w:color w:val="auto"/>
          <w:highlight w:val="none"/>
        </w:rPr>
        <w:fldChar w:fldCharType="separate"/>
      </w:r>
      <w:r>
        <w:rPr>
          <w:rFonts w:hint="eastAsia" w:cs="新宋体" w:asciiTheme="majorEastAsia" w:hAnsiTheme="majorEastAsia" w:eastAsiaTheme="majorEastAsia"/>
          <w:color w:val="auto"/>
          <w:szCs w:val="30"/>
          <w:highlight w:val="none"/>
        </w:rPr>
        <w:t>第二部分 招标内容及要求</w:t>
      </w:r>
      <w:r>
        <w:rPr>
          <w:color w:val="auto"/>
          <w:highlight w:val="none"/>
        </w:rPr>
        <w:tab/>
      </w:r>
      <w:r>
        <w:rPr>
          <w:color w:val="auto"/>
          <w:highlight w:val="none"/>
        </w:rPr>
        <w:fldChar w:fldCharType="begin"/>
      </w:r>
      <w:r>
        <w:rPr>
          <w:color w:val="auto"/>
          <w:highlight w:val="none"/>
        </w:rPr>
        <w:instrText xml:space="preserve"> PAGEREF _Toc13266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60C32BF0">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"_Toc15919" </w:instrText>
      </w:r>
      <w:r>
        <w:rPr>
          <w:color w:val="auto"/>
          <w:highlight w:val="none"/>
        </w:rPr>
        <w:fldChar w:fldCharType="separate"/>
      </w:r>
      <w:r>
        <w:rPr>
          <w:rFonts w:hint="eastAsia" w:cs="新宋体" w:asciiTheme="majorEastAsia" w:hAnsiTheme="majorEastAsia" w:eastAsiaTheme="majorEastAsia"/>
          <w:color w:val="auto"/>
          <w:szCs w:val="30"/>
          <w:highlight w:val="none"/>
        </w:rPr>
        <w:t>第三部分 供应商须知</w:t>
      </w:r>
      <w:r>
        <w:rPr>
          <w:color w:val="auto"/>
          <w:highlight w:val="none"/>
        </w:rPr>
        <w:tab/>
      </w:r>
      <w:r>
        <w:rPr>
          <w:color w:val="auto"/>
          <w:highlight w:val="none"/>
        </w:rPr>
        <w:fldChar w:fldCharType="begin"/>
      </w:r>
      <w:r>
        <w:rPr>
          <w:color w:val="auto"/>
          <w:highlight w:val="none"/>
        </w:rPr>
        <w:instrText xml:space="preserve"> PAGEREF _Toc15919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401BD6C">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"_Toc3034" </w:instrText>
      </w:r>
      <w:r>
        <w:rPr>
          <w:color w:val="auto"/>
          <w:highlight w:val="none"/>
        </w:rPr>
        <w:fldChar w:fldCharType="separate"/>
      </w:r>
      <w:r>
        <w:rPr>
          <w:rFonts w:hint="eastAsia" w:cs="Arial" w:asciiTheme="majorEastAsia" w:hAnsiTheme="majorEastAsia" w:eastAsiaTheme="majorEastAsia"/>
          <w:bCs/>
          <w:color w:val="auto"/>
          <w:szCs w:val="22"/>
          <w:highlight w:val="none"/>
        </w:rPr>
        <w:t>一、说明</w:t>
      </w:r>
      <w:r>
        <w:rPr>
          <w:color w:val="auto"/>
          <w:highlight w:val="none"/>
        </w:rPr>
        <w:tab/>
      </w:r>
      <w:r>
        <w:rPr>
          <w:color w:val="auto"/>
          <w:highlight w:val="none"/>
        </w:rPr>
        <w:fldChar w:fldCharType="begin"/>
      </w:r>
      <w:r>
        <w:rPr>
          <w:color w:val="auto"/>
          <w:highlight w:val="none"/>
        </w:rPr>
        <w:instrText xml:space="preserve"> PAGEREF _Toc3034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60831B4C">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"_Toc13701" </w:instrText>
      </w:r>
      <w:r>
        <w:rPr>
          <w:color w:val="auto"/>
          <w:highlight w:val="none"/>
        </w:rPr>
        <w:fldChar w:fldCharType="separate"/>
      </w:r>
      <w:r>
        <w:rPr>
          <w:rFonts w:hint="eastAsia" w:cs="Arial" w:asciiTheme="majorEastAsia" w:hAnsiTheme="majorEastAsia" w:eastAsiaTheme="majorEastAsia"/>
          <w:bCs/>
          <w:color w:val="auto"/>
          <w:szCs w:val="22"/>
          <w:highlight w:val="none"/>
        </w:rPr>
        <w:t>二、供应商资格条件</w:t>
      </w:r>
      <w:r>
        <w:rPr>
          <w:color w:val="auto"/>
          <w:highlight w:val="none"/>
        </w:rPr>
        <w:tab/>
      </w:r>
      <w:r>
        <w:rPr>
          <w:color w:val="auto"/>
          <w:highlight w:val="none"/>
        </w:rPr>
        <w:fldChar w:fldCharType="begin"/>
      </w:r>
      <w:r>
        <w:rPr>
          <w:color w:val="auto"/>
          <w:highlight w:val="none"/>
        </w:rPr>
        <w:instrText xml:space="preserve"> PAGEREF _Toc13701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5C6EDD14">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"_Toc13744" </w:instrText>
      </w:r>
      <w:r>
        <w:rPr>
          <w:color w:val="auto"/>
          <w:highlight w:val="none"/>
        </w:rPr>
        <w:fldChar w:fldCharType="separate"/>
      </w:r>
      <w:r>
        <w:rPr>
          <w:rFonts w:hint="eastAsia" w:cs="Arial" w:asciiTheme="majorEastAsia" w:hAnsiTheme="majorEastAsia" w:eastAsiaTheme="majorEastAsia"/>
          <w:bCs/>
          <w:color w:val="auto"/>
          <w:szCs w:val="22"/>
          <w:highlight w:val="none"/>
        </w:rPr>
        <w:t>三、招标文件</w:t>
      </w:r>
      <w:r>
        <w:rPr>
          <w:color w:val="auto"/>
          <w:highlight w:val="none"/>
        </w:rPr>
        <w:tab/>
      </w:r>
      <w:r>
        <w:rPr>
          <w:color w:val="auto"/>
          <w:highlight w:val="none"/>
        </w:rPr>
        <w:fldChar w:fldCharType="begin"/>
      </w:r>
      <w:r>
        <w:rPr>
          <w:color w:val="auto"/>
          <w:highlight w:val="none"/>
        </w:rPr>
        <w:instrText xml:space="preserve"> PAGEREF _Toc13744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24F31DEA">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"_Toc24086" </w:instrText>
      </w:r>
      <w:r>
        <w:rPr>
          <w:color w:val="auto"/>
          <w:highlight w:val="none"/>
        </w:rPr>
        <w:fldChar w:fldCharType="separate"/>
      </w:r>
      <w:r>
        <w:rPr>
          <w:rFonts w:hint="eastAsia" w:cs="Arial" w:asciiTheme="majorEastAsia" w:hAnsiTheme="majorEastAsia" w:eastAsiaTheme="majorEastAsia"/>
          <w:bCs/>
          <w:color w:val="auto"/>
          <w:szCs w:val="22"/>
          <w:highlight w:val="none"/>
        </w:rPr>
        <w:t>四、投标文件</w:t>
      </w:r>
      <w:r>
        <w:rPr>
          <w:color w:val="auto"/>
          <w:highlight w:val="none"/>
        </w:rPr>
        <w:tab/>
      </w:r>
      <w:r>
        <w:rPr>
          <w:color w:val="auto"/>
          <w:highlight w:val="none"/>
        </w:rPr>
        <w:fldChar w:fldCharType="begin"/>
      </w:r>
      <w:r>
        <w:rPr>
          <w:color w:val="auto"/>
          <w:highlight w:val="none"/>
        </w:rPr>
        <w:instrText xml:space="preserve"> PAGEREF _Toc24086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14:paraId="016B0C13">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"_Toc18653" </w:instrText>
      </w:r>
      <w:r>
        <w:rPr>
          <w:color w:val="auto"/>
          <w:highlight w:val="none"/>
        </w:rPr>
        <w:fldChar w:fldCharType="separate"/>
      </w:r>
      <w:r>
        <w:rPr>
          <w:rFonts w:hint="eastAsia" w:cs="Arial" w:asciiTheme="majorEastAsia" w:hAnsiTheme="majorEastAsia" w:eastAsiaTheme="majorEastAsia"/>
          <w:bCs/>
          <w:color w:val="auto"/>
          <w:szCs w:val="22"/>
          <w:highlight w:val="none"/>
        </w:rPr>
        <w:t>五、投标文件的密封</w:t>
      </w:r>
      <w:r>
        <w:rPr>
          <w:color w:val="auto"/>
          <w:highlight w:val="none"/>
        </w:rPr>
        <w:tab/>
      </w:r>
      <w:r>
        <w:rPr>
          <w:color w:val="auto"/>
          <w:highlight w:val="none"/>
        </w:rPr>
        <w:fldChar w:fldCharType="begin"/>
      </w:r>
      <w:r>
        <w:rPr>
          <w:color w:val="auto"/>
          <w:highlight w:val="none"/>
        </w:rPr>
        <w:instrText xml:space="preserve"> PAGEREF _Toc18653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7D2E5F07">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"_Toc144" </w:instrText>
      </w:r>
      <w:r>
        <w:rPr>
          <w:color w:val="auto"/>
          <w:highlight w:val="none"/>
        </w:rPr>
        <w:fldChar w:fldCharType="separate"/>
      </w:r>
      <w:r>
        <w:rPr>
          <w:rFonts w:hint="eastAsia" w:cs="Arial" w:asciiTheme="majorEastAsia" w:hAnsiTheme="majorEastAsia" w:eastAsiaTheme="majorEastAsia"/>
          <w:bCs/>
          <w:color w:val="auto"/>
          <w:szCs w:val="22"/>
          <w:highlight w:val="none"/>
        </w:rPr>
        <w:t>六、开标和评标</w:t>
      </w:r>
      <w:r>
        <w:rPr>
          <w:color w:val="auto"/>
          <w:highlight w:val="none"/>
        </w:rPr>
        <w:tab/>
      </w:r>
      <w:r>
        <w:rPr>
          <w:color w:val="auto"/>
          <w:highlight w:val="none"/>
        </w:rPr>
        <w:fldChar w:fldCharType="begin"/>
      </w:r>
      <w:r>
        <w:rPr>
          <w:color w:val="auto"/>
          <w:highlight w:val="none"/>
        </w:rPr>
        <w:instrText xml:space="preserve"> PAGEREF _Toc144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76107639">
      <w:pPr>
        <w:pStyle w:val="36"/>
        <w:tabs>
          <w:tab w:val="right" w:leader="dot" w:pos="9638"/>
          <w:tab w:val="clear" w:pos="8777"/>
        </w:tabs>
        <w:spacing w:line="480" w:lineRule="auto"/>
        <w:ind w:firstLine="105"/>
        <w:rPr>
          <w:color w:val="auto"/>
          <w:highlight w:val="none"/>
        </w:rPr>
      </w:pPr>
      <w:r>
        <w:rPr>
          <w:color w:val="auto"/>
          <w:highlight w:val="none"/>
        </w:rPr>
        <w:fldChar w:fldCharType="begin"/>
      </w:r>
      <w:r>
        <w:rPr>
          <w:color w:val="auto"/>
          <w:highlight w:val="none"/>
        </w:rPr>
        <w:instrText xml:space="preserve"> HYPERLINK \l "_Toc17810" </w:instrText>
      </w:r>
      <w:r>
        <w:rPr>
          <w:color w:val="auto"/>
          <w:highlight w:val="none"/>
        </w:rPr>
        <w:fldChar w:fldCharType="separate"/>
      </w:r>
      <w:r>
        <w:rPr>
          <w:rFonts w:hint="eastAsia" w:cs="Arial" w:asciiTheme="majorEastAsia" w:hAnsiTheme="majorEastAsia" w:eastAsiaTheme="majorEastAsia"/>
          <w:bCs/>
          <w:color w:val="auto"/>
          <w:szCs w:val="22"/>
          <w:highlight w:val="none"/>
        </w:rPr>
        <w:t>七、授予合同</w:t>
      </w:r>
      <w:r>
        <w:rPr>
          <w:color w:val="auto"/>
          <w:highlight w:val="none"/>
        </w:rPr>
        <w:tab/>
      </w:r>
      <w:r>
        <w:rPr>
          <w:color w:val="auto"/>
          <w:highlight w:val="none"/>
        </w:rPr>
        <w:fldChar w:fldCharType="begin"/>
      </w:r>
      <w:r>
        <w:rPr>
          <w:color w:val="auto"/>
          <w:highlight w:val="none"/>
        </w:rPr>
        <w:instrText xml:space="preserve"> PAGEREF _Toc17810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69DA738F">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"_Toc30125" </w:instrText>
      </w:r>
      <w:r>
        <w:rPr>
          <w:color w:val="auto"/>
          <w:highlight w:val="none"/>
        </w:rPr>
        <w:fldChar w:fldCharType="separate"/>
      </w:r>
      <w:r>
        <w:rPr>
          <w:rFonts w:hint="eastAsia" w:cs="新宋体" w:asciiTheme="majorEastAsia" w:hAnsiTheme="majorEastAsia" w:eastAsiaTheme="majorEastAsia"/>
          <w:color w:val="auto"/>
          <w:szCs w:val="30"/>
          <w:highlight w:val="none"/>
        </w:rPr>
        <w:t>第四部分</w:t>
      </w:r>
      <w:r>
        <w:rPr>
          <w:rFonts w:hint="eastAsia" w:cs="宋体" w:asciiTheme="majorEastAsia" w:hAnsiTheme="majorEastAsia" w:eastAsiaTheme="majorEastAsia"/>
          <w:color w:val="auto"/>
          <w:szCs w:val="30"/>
          <w:highlight w:val="none"/>
        </w:rPr>
        <w:t xml:space="preserve">  政府采购政策功能相关说明</w:t>
      </w:r>
      <w:r>
        <w:rPr>
          <w:color w:val="auto"/>
          <w:highlight w:val="none"/>
        </w:rPr>
        <w:tab/>
      </w:r>
      <w:r>
        <w:rPr>
          <w:color w:val="auto"/>
          <w:highlight w:val="none"/>
        </w:rPr>
        <w:fldChar w:fldCharType="begin"/>
      </w:r>
      <w:r>
        <w:rPr>
          <w:color w:val="auto"/>
          <w:highlight w:val="none"/>
        </w:rPr>
        <w:instrText xml:space="preserve"> PAGEREF _Toc30125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06F88108">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"_Toc23974" </w:instrText>
      </w:r>
      <w:r>
        <w:rPr>
          <w:color w:val="auto"/>
          <w:highlight w:val="none"/>
        </w:rPr>
        <w:fldChar w:fldCharType="separate"/>
      </w:r>
      <w:r>
        <w:rPr>
          <w:rFonts w:hint="eastAsia" w:cs="新宋体" w:asciiTheme="majorEastAsia" w:hAnsiTheme="majorEastAsia" w:eastAsiaTheme="majorEastAsia"/>
          <w:color w:val="auto"/>
          <w:szCs w:val="30"/>
          <w:highlight w:val="none"/>
        </w:rPr>
        <w:t>第五部分  合同主要条款（参考格式）</w:t>
      </w:r>
      <w:r>
        <w:rPr>
          <w:color w:val="auto"/>
          <w:highlight w:val="none"/>
        </w:rPr>
        <w:tab/>
      </w:r>
      <w:r>
        <w:rPr>
          <w:color w:val="auto"/>
          <w:highlight w:val="none"/>
        </w:rPr>
        <w:fldChar w:fldCharType="begin"/>
      </w:r>
      <w:r>
        <w:rPr>
          <w:color w:val="auto"/>
          <w:highlight w:val="none"/>
        </w:rPr>
        <w:instrText xml:space="preserve"> PAGEREF _Toc23974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7DB8AACF">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"_Toc21992" </w:instrText>
      </w:r>
      <w:r>
        <w:rPr>
          <w:color w:val="auto"/>
          <w:highlight w:val="none"/>
        </w:rPr>
        <w:fldChar w:fldCharType="separate"/>
      </w:r>
      <w:r>
        <w:rPr>
          <w:rFonts w:hint="eastAsia" w:cs="新宋体" w:asciiTheme="majorEastAsia" w:hAnsiTheme="majorEastAsia" w:eastAsiaTheme="majorEastAsia"/>
          <w:color w:val="auto"/>
          <w:szCs w:val="30"/>
          <w:highlight w:val="none"/>
        </w:rPr>
        <w:t>第六部分 投标文件格式</w:t>
      </w:r>
      <w:r>
        <w:rPr>
          <w:color w:val="auto"/>
          <w:highlight w:val="none"/>
        </w:rPr>
        <w:tab/>
      </w:r>
      <w:r>
        <w:rPr>
          <w:color w:val="auto"/>
          <w:highlight w:val="none"/>
        </w:rPr>
        <w:fldChar w:fldCharType="begin"/>
      </w:r>
      <w:r>
        <w:rPr>
          <w:color w:val="auto"/>
          <w:highlight w:val="none"/>
        </w:rPr>
        <w:instrText xml:space="preserve"> PAGEREF _Toc21992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6190876B">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"_Toc3026" </w:instrText>
      </w:r>
      <w:r>
        <w:rPr>
          <w:color w:val="auto"/>
          <w:highlight w:val="none"/>
        </w:rPr>
        <w:fldChar w:fldCharType="separate"/>
      </w:r>
      <w:r>
        <w:rPr>
          <w:rFonts w:hint="eastAsia" w:asciiTheme="majorEastAsia" w:hAnsiTheme="majorEastAsia" w:eastAsiaTheme="majorEastAsia"/>
          <w:color w:val="auto"/>
          <w:highlight w:val="none"/>
        </w:rPr>
        <w:t>一、资格文件部分格式</w:t>
      </w:r>
      <w:r>
        <w:rPr>
          <w:color w:val="auto"/>
          <w:highlight w:val="none"/>
        </w:rPr>
        <w:tab/>
      </w:r>
      <w:r>
        <w:rPr>
          <w:color w:val="auto"/>
          <w:highlight w:val="none"/>
        </w:rPr>
        <w:fldChar w:fldCharType="begin"/>
      </w:r>
      <w:r>
        <w:rPr>
          <w:color w:val="auto"/>
          <w:highlight w:val="none"/>
        </w:rPr>
        <w:instrText xml:space="preserve"> PAGEREF _Toc3026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0B5AD698">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"_Toc3526" </w:instrText>
      </w:r>
      <w:r>
        <w:rPr>
          <w:color w:val="auto"/>
          <w:highlight w:val="none"/>
        </w:rPr>
        <w:fldChar w:fldCharType="separate"/>
      </w:r>
      <w:r>
        <w:rPr>
          <w:rFonts w:hint="eastAsia" w:asciiTheme="majorEastAsia" w:hAnsiTheme="majorEastAsia" w:eastAsiaTheme="majorEastAsia"/>
          <w:color w:val="auto"/>
          <w:highlight w:val="none"/>
        </w:rPr>
        <w:t>二、报价文件部分格式</w:t>
      </w:r>
      <w:r>
        <w:rPr>
          <w:color w:val="auto"/>
          <w:highlight w:val="none"/>
        </w:rPr>
        <w:tab/>
      </w:r>
      <w:r>
        <w:rPr>
          <w:color w:val="auto"/>
          <w:highlight w:val="none"/>
        </w:rPr>
        <w:fldChar w:fldCharType="begin"/>
      </w:r>
      <w:r>
        <w:rPr>
          <w:color w:val="auto"/>
          <w:highlight w:val="none"/>
        </w:rPr>
        <w:instrText xml:space="preserve"> PAGEREF _Toc3526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3AE4AAA4">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"_Toc6383" </w:instrText>
      </w:r>
      <w:r>
        <w:rPr>
          <w:color w:val="auto"/>
          <w:highlight w:val="none"/>
        </w:rPr>
        <w:fldChar w:fldCharType="separate"/>
      </w:r>
      <w:r>
        <w:rPr>
          <w:rFonts w:hint="eastAsia" w:asciiTheme="majorEastAsia" w:hAnsiTheme="majorEastAsia" w:eastAsiaTheme="majorEastAsia"/>
          <w:color w:val="auto"/>
          <w:highlight w:val="none"/>
        </w:rPr>
        <w:t>三、商务技术文件部分格式</w:t>
      </w:r>
      <w:r>
        <w:rPr>
          <w:color w:val="auto"/>
          <w:highlight w:val="none"/>
        </w:rPr>
        <w:tab/>
      </w:r>
      <w:r>
        <w:rPr>
          <w:color w:val="auto"/>
          <w:highlight w:val="none"/>
        </w:rPr>
        <w:fldChar w:fldCharType="begin"/>
      </w:r>
      <w:r>
        <w:rPr>
          <w:color w:val="auto"/>
          <w:highlight w:val="none"/>
        </w:rPr>
        <w:instrText xml:space="preserve"> PAGEREF _Toc6383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8491AFC">
      <w:pPr>
        <w:pStyle w:val="31"/>
        <w:tabs>
          <w:tab w:val="right" w:leader="dot" w:pos="9638"/>
          <w:tab w:val="clear" w:pos="8777"/>
        </w:tabs>
        <w:spacing w:line="480" w:lineRule="auto"/>
        <w:rPr>
          <w:color w:val="auto"/>
          <w:highlight w:val="none"/>
        </w:rPr>
      </w:pPr>
      <w:r>
        <w:rPr>
          <w:color w:val="auto"/>
          <w:highlight w:val="none"/>
        </w:rPr>
        <w:fldChar w:fldCharType="begin"/>
      </w:r>
      <w:r>
        <w:rPr>
          <w:color w:val="auto"/>
          <w:highlight w:val="none"/>
        </w:rPr>
        <w:instrText xml:space="preserve"> HYPERLINK \l "_Toc5132" </w:instrText>
      </w:r>
      <w:r>
        <w:rPr>
          <w:color w:val="auto"/>
          <w:highlight w:val="none"/>
        </w:rPr>
        <w:fldChar w:fldCharType="separate"/>
      </w:r>
      <w:r>
        <w:rPr>
          <w:rFonts w:hint="eastAsia" w:cs="新宋体" w:asciiTheme="majorEastAsia" w:hAnsiTheme="majorEastAsia" w:eastAsiaTheme="majorEastAsia"/>
          <w:color w:val="auto"/>
          <w:szCs w:val="30"/>
          <w:highlight w:val="none"/>
        </w:rPr>
        <w:t>第七部分 评标定标办法</w:t>
      </w:r>
      <w:r>
        <w:rPr>
          <w:color w:val="auto"/>
          <w:highlight w:val="none"/>
        </w:rPr>
        <w:tab/>
      </w:r>
      <w:r>
        <w:rPr>
          <w:color w:val="auto"/>
          <w:highlight w:val="none"/>
        </w:rPr>
        <w:fldChar w:fldCharType="begin"/>
      </w:r>
      <w:r>
        <w:rPr>
          <w:color w:val="auto"/>
          <w:highlight w:val="none"/>
        </w:rPr>
        <w:instrText xml:space="preserve"> PAGEREF _Toc5132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2047891E">
      <w:pPr>
        <w:spacing w:line="480" w:lineRule="auto"/>
        <w:rPr>
          <w:rFonts w:cs="新宋体" w:asciiTheme="majorEastAsia" w:hAnsiTheme="majorEastAsia" w:eastAsiaTheme="majorEastAsia"/>
          <w:color w:val="auto"/>
          <w:highlight w:val="none"/>
        </w:rPr>
      </w:pPr>
      <w:r>
        <w:rPr>
          <w:rFonts w:hint="eastAsia" w:cs="新宋体" w:asciiTheme="majorEastAsia" w:hAnsiTheme="majorEastAsia" w:eastAsiaTheme="majorEastAsia"/>
          <w:color w:val="auto"/>
          <w:highlight w:val="none"/>
        </w:rPr>
        <w:fldChar w:fldCharType="end"/>
      </w:r>
      <w:bookmarkStart w:id="2" w:name="_Toc498343162"/>
      <w:r>
        <w:rPr>
          <w:rFonts w:hint="eastAsia" w:ascii="宋体" w:hAnsi="宋体" w:cs="宋体"/>
          <w:b/>
          <w:bCs/>
          <w:color w:val="auto"/>
          <w:sz w:val="22"/>
          <w:szCs w:val="22"/>
          <w:highlight w:val="none"/>
        </w:rPr>
        <w:t>注：招标文件中部分加“▲”的条款，为招标的实质性要求和条件，着重提醒各</w:t>
      </w:r>
      <w:r>
        <w:rPr>
          <w:rFonts w:hint="eastAsia" w:ascii="宋体" w:hAnsi="宋体" w:cs="宋体"/>
          <w:b/>
          <w:bCs/>
          <w:color w:val="auto"/>
          <w:sz w:val="22"/>
          <w:szCs w:val="22"/>
          <w:highlight w:val="none"/>
          <w:lang w:eastAsia="zh-CN"/>
        </w:rPr>
        <w:t>投标人</w:t>
      </w:r>
      <w:r>
        <w:rPr>
          <w:rFonts w:hint="eastAsia" w:ascii="宋体" w:hAnsi="宋体" w:cs="宋体"/>
          <w:b/>
          <w:bCs/>
          <w:color w:val="auto"/>
          <w:sz w:val="22"/>
          <w:szCs w:val="22"/>
          <w:highlight w:val="none"/>
        </w:rPr>
        <w:t>注意，并认真查看招标文件中的每一个条款及要求，因误读招标文件而造成的后果，招标人概不负责。</w:t>
      </w:r>
    </w:p>
    <w:p w14:paraId="7598DF33">
      <w:pPr>
        <w:spacing w:line="480" w:lineRule="auto"/>
        <w:rPr>
          <w:rFonts w:cs="新宋体" w:asciiTheme="majorEastAsia" w:hAnsiTheme="majorEastAsia" w:eastAsiaTheme="majorEastAsia"/>
          <w:color w:val="auto"/>
          <w:sz w:val="30"/>
          <w:szCs w:val="30"/>
          <w:highlight w:val="none"/>
        </w:rPr>
      </w:pPr>
    </w:p>
    <w:bookmarkEnd w:id="0"/>
    <w:bookmarkEnd w:id="2"/>
    <w:p w14:paraId="583AA059">
      <w:pPr>
        <w:spacing w:line="360" w:lineRule="auto"/>
        <w:jc w:val="center"/>
        <w:rPr>
          <w:rFonts w:ascii="宋体" w:hAnsi="宋体" w:cs="宋体"/>
          <w:b/>
          <w:color w:val="auto"/>
          <w:sz w:val="32"/>
          <w:szCs w:val="32"/>
          <w:highlight w:val="none"/>
        </w:rPr>
      </w:pPr>
      <w:bookmarkStart w:id="3" w:name="_Toc496116239"/>
      <w:bookmarkStart w:id="4" w:name="_Toc498343164"/>
      <w:r>
        <w:rPr>
          <w:rFonts w:hint="eastAsia" w:cs="新宋体" w:asciiTheme="majorEastAsia" w:hAnsiTheme="majorEastAsia" w:eastAsiaTheme="majorEastAsia"/>
          <w:color w:val="auto"/>
          <w:sz w:val="30"/>
          <w:szCs w:val="30"/>
          <w:highlight w:val="none"/>
        </w:rPr>
        <w:br w:type="page"/>
      </w:r>
      <w:bookmarkStart w:id="5" w:name="_Toc11853"/>
      <w:r>
        <w:rPr>
          <w:rFonts w:hint="eastAsia" w:ascii="宋体" w:hAnsi="宋体" w:cs="宋体"/>
          <w:b/>
          <w:color w:val="auto"/>
          <w:sz w:val="32"/>
          <w:szCs w:val="32"/>
          <w:highlight w:val="none"/>
        </w:rPr>
        <w:t>温州市中概工程管理咨询有限公司关于</w:t>
      </w:r>
      <w:r>
        <w:rPr>
          <w:rFonts w:hint="eastAsia" w:ascii="宋体" w:hAnsi="宋体" w:cs="宋体"/>
          <w:b/>
          <w:color w:val="auto"/>
          <w:sz w:val="32"/>
          <w:szCs w:val="32"/>
          <w:highlight w:val="none"/>
          <w:lang w:eastAsia="zh-CN"/>
        </w:rPr>
        <w:t>永嘉县医共体急诊平台建设</w:t>
      </w:r>
      <w:r>
        <w:rPr>
          <w:rFonts w:hint="eastAsia" w:ascii="宋体" w:hAnsi="宋体" w:cs="宋体"/>
          <w:b/>
          <w:color w:val="auto"/>
          <w:sz w:val="32"/>
          <w:szCs w:val="32"/>
          <w:highlight w:val="none"/>
        </w:rPr>
        <w:t>的公开招标公告</w:t>
      </w:r>
      <w:bookmarkEnd w:id="5"/>
    </w:p>
    <w:p w14:paraId="0F0D8139">
      <w:pPr>
        <w:pStyle w:val="39"/>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项目概况  </w:t>
      </w:r>
    </w:p>
    <w:p w14:paraId="337E16FC">
      <w:pPr>
        <w:pStyle w:val="39"/>
        <w:spacing w:line="360" w:lineRule="auto"/>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lang w:eastAsia="zh-CN"/>
        </w:rPr>
        <w:t>永嘉县医共体急诊平台建设</w:t>
      </w:r>
      <w:r>
        <w:rPr>
          <w:rFonts w:hint="eastAsia" w:asciiTheme="majorEastAsia" w:hAnsiTheme="majorEastAsia" w:eastAsiaTheme="majorEastAsia"/>
          <w:color w:val="auto"/>
          <w:sz w:val="22"/>
          <w:szCs w:val="22"/>
          <w:highlight w:val="none"/>
        </w:rPr>
        <w:t>招标项目的潜在</w:t>
      </w:r>
      <w:r>
        <w:rPr>
          <w:rFonts w:hint="eastAsia" w:asciiTheme="majorEastAsia" w:hAnsiTheme="majorEastAsia" w:eastAsiaTheme="majorEastAsia"/>
          <w:color w:val="auto"/>
          <w:sz w:val="22"/>
          <w:szCs w:val="22"/>
          <w:highlight w:val="none"/>
          <w:lang w:eastAsia="zh-CN"/>
        </w:rPr>
        <w:t>投标人</w:t>
      </w:r>
      <w:r>
        <w:rPr>
          <w:rFonts w:hint="eastAsia" w:asciiTheme="majorEastAsia" w:hAnsiTheme="majorEastAsia" w:eastAsiaTheme="majorEastAsia"/>
          <w:color w:val="auto"/>
          <w:sz w:val="22"/>
          <w:szCs w:val="22"/>
          <w:highlight w:val="none"/>
        </w:rPr>
        <w:t>应在政采云平台线上获取（下载）招标文件，并于 2024年</w:t>
      </w:r>
      <w:r>
        <w:rPr>
          <w:rFonts w:hint="eastAsia" w:asciiTheme="majorEastAsia" w:hAnsiTheme="majorEastAsia" w:eastAsiaTheme="majorEastAsia"/>
          <w:color w:val="auto"/>
          <w:sz w:val="22"/>
          <w:szCs w:val="22"/>
          <w:highlight w:val="none"/>
          <w:lang w:val="en-US" w:eastAsia="zh-CN"/>
        </w:rPr>
        <w:t>11</w:t>
      </w:r>
      <w:r>
        <w:rPr>
          <w:rFonts w:hint="eastAsia" w:asciiTheme="majorEastAsia" w:hAnsiTheme="majorEastAsia" w:eastAsiaTheme="majorEastAsia"/>
          <w:color w:val="auto"/>
          <w:sz w:val="22"/>
          <w:szCs w:val="22"/>
          <w:highlight w:val="none"/>
        </w:rPr>
        <w:t>月</w:t>
      </w:r>
      <w:r>
        <w:rPr>
          <w:rFonts w:hint="eastAsia" w:asciiTheme="majorEastAsia" w:hAnsiTheme="majorEastAsia" w:eastAsiaTheme="majorEastAsia"/>
          <w:color w:val="auto"/>
          <w:sz w:val="22"/>
          <w:szCs w:val="22"/>
          <w:highlight w:val="none"/>
          <w:lang w:val="en-US" w:eastAsia="zh-CN"/>
        </w:rPr>
        <w:t>18</w:t>
      </w:r>
      <w:r>
        <w:rPr>
          <w:rFonts w:hint="eastAsia" w:asciiTheme="majorEastAsia" w:hAnsiTheme="majorEastAsia" w:eastAsiaTheme="majorEastAsia"/>
          <w:color w:val="auto"/>
          <w:sz w:val="22"/>
          <w:szCs w:val="22"/>
          <w:highlight w:val="none"/>
        </w:rPr>
        <w:t>日09:30（北京时间）前递交（上传）投标文件。</w:t>
      </w:r>
    </w:p>
    <w:p w14:paraId="4C1CD2AE">
      <w:pPr>
        <w:widowControl/>
        <w:spacing w:before="225" w:after="225" w:line="360" w:lineRule="auto"/>
        <w:jc w:val="left"/>
        <w:rPr>
          <w:rFonts w:asciiTheme="majorEastAsia" w:hAnsiTheme="majorEastAsia" w:eastAsiaTheme="majorEastAsia"/>
          <w:color w:val="auto"/>
          <w:sz w:val="22"/>
          <w:szCs w:val="22"/>
          <w:highlight w:val="none"/>
        </w:rPr>
      </w:pPr>
      <w:r>
        <w:rPr>
          <w:rStyle w:val="46"/>
          <w:rFonts w:hint="eastAsia" w:asciiTheme="majorEastAsia" w:hAnsiTheme="majorEastAsia" w:eastAsiaTheme="majorEastAsia"/>
          <w:color w:val="auto"/>
          <w:sz w:val="22"/>
          <w:szCs w:val="22"/>
          <w:highlight w:val="none"/>
        </w:rPr>
        <w:t>一、项目</w:t>
      </w:r>
      <w:r>
        <w:rPr>
          <w:rFonts w:hint="eastAsia" w:cs="Arial"/>
          <w:b/>
          <w:color w:val="auto"/>
          <w:kern w:val="0"/>
          <w:highlight w:val="none"/>
        </w:rPr>
        <w:t>基本</w:t>
      </w:r>
      <w:r>
        <w:rPr>
          <w:rStyle w:val="46"/>
          <w:rFonts w:hint="eastAsia" w:asciiTheme="majorEastAsia" w:hAnsiTheme="majorEastAsia" w:eastAsiaTheme="majorEastAsia"/>
          <w:color w:val="auto"/>
          <w:sz w:val="22"/>
          <w:szCs w:val="22"/>
          <w:highlight w:val="none"/>
        </w:rPr>
        <w:t>情况</w:t>
      </w:r>
      <w:r>
        <w:rPr>
          <w:rFonts w:hint="eastAsia" w:asciiTheme="majorEastAsia" w:hAnsiTheme="majorEastAsia" w:eastAsiaTheme="majorEastAsia"/>
          <w:color w:val="auto"/>
          <w:sz w:val="22"/>
          <w:szCs w:val="22"/>
          <w:highlight w:val="none"/>
        </w:rPr>
        <w:t>                                            </w:t>
      </w:r>
    </w:p>
    <w:p w14:paraId="1AB91E60">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hint="eastAsia" w:asciiTheme="majorEastAsia" w:hAnsiTheme="majorEastAsia" w:eastAsiaTheme="majorEastAsia"/>
          <w:color w:val="auto"/>
          <w:sz w:val="22"/>
          <w:szCs w:val="22"/>
          <w:highlight w:val="none"/>
        </w:rPr>
        <w:t>   </w:t>
      </w:r>
      <w:r>
        <w:rPr>
          <w:rFonts w:ascii="仿宋" w:hAnsi="仿宋" w:cs="Arial"/>
          <w:color w:val="auto"/>
          <w:sz w:val="27"/>
          <w:szCs w:val="27"/>
          <w:highlight w:val="none"/>
        </w:rPr>
        <w:t> </w:t>
      </w:r>
      <w:r>
        <w:rPr>
          <w:rFonts w:cs="Arial" w:asciiTheme="majorEastAsia" w:hAnsiTheme="majorEastAsia" w:eastAsiaTheme="majorEastAsia"/>
          <w:color w:val="auto"/>
          <w:kern w:val="0"/>
          <w:sz w:val="22"/>
          <w:szCs w:val="22"/>
          <w:highlight w:val="none"/>
        </w:rPr>
        <w:t>项目编号：</w:t>
      </w:r>
      <w:r>
        <w:rPr>
          <w:rFonts w:hint="eastAsia" w:cs="Arial" w:asciiTheme="majorEastAsia" w:hAnsiTheme="majorEastAsia" w:eastAsiaTheme="majorEastAsia"/>
          <w:color w:val="auto"/>
          <w:kern w:val="0"/>
          <w:sz w:val="22"/>
          <w:szCs w:val="22"/>
          <w:highlight w:val="none"/>
          <w:lang w:eastAsia="zh-CN"/>
        </w:rPr>
        <w:t>ZGCG-20241028</w:t>
      </w:r>
      <w:r>
        <w:rPr>
          <w:rFonts w:cs="Arial" w:asciiTheme="majorEastAsia" w:hAnsiTheme="majorEastAsia" w:eastAsiaTheme="majorEastAsia"/>
          <w:color w:val="auto"/>
          <w:kern w:val="0"/>
          <w:sz w:val="22"/>
          <w:szCs w:val="22"/>
          <w:highlight w:val="none"/>
        </w:rPr>
        <w:t> </w:t>
      </w:r>
    </w:p>
    <w:p w14:paraId="79D861F6">
      <w:pPr>
        <w:widowControl/>
        <w:spacing w:before="75" w:after="75" w:line="360" w:lineRule="auto"/>
        <w:jc w:val="left"/>
        <w:rPr>
          <w:rFonts w:hint="eastAsia" w:cs="Arial" w:asciiTheme="majorEastAsia" w:hAnsiTheme="majorEastAsia" w:eastAsiaTheme="majorEastAsia"/>
          <w:color w:val="auto"/>
          <w:kern w:val="0"/>
          <w:sz w:val="22"/>
          <w:szCs w:val="22"/>
          <w:highlight w:val="none"/>
          <w:lang w:eastAsia="zh-CN"/>
        </w:rPr>
      </w:pPr>
      <w:r>
        <w:rPr>
          <w:rFonts w:cs="Arial" w:asciiTheme="majorEastAsia" w:hAnsiTheme="majorEastAsia" w:eastAsiaTheme="majorEastAsia"/>
          <w:color w:val="auto"/>
          <w:kern w:val="0"/>
          <w:sz w:val="22"/>
          <w:szCs w:val="22"/>
          <w:highlight w:val="none"/>
        </w:rPr>
        <w:t>    项目名称：</w:t>
      </w:r>
      <w:r>
        <w:rPr>
          <w:rFonts w:hint="eastAsia" w:cs="Arial" w:asciiTheme="majorEastAsia" w:hAnsiTheme="majorEastAsia" w:eastAsiaTheme="majorEastAsia"/>
          <w:color w:val="auto"/>
          <w:kern w:val="0"/>
          <w:sz w:val="22"/>
          <w:szCs w:val="22"/>
          <w:highlight w:val="none"/>
          <w:lang w:eastAsia="zh-CN"/>
        </w:rPr>
        <w:t>永嘉县医共体急诊平台建设</w:t>
      </w:r>
    </w:p>
    <w:p w14:paraId="1EA66458">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预算金额（元）：</w:t>
      </w:r>
      <w:r>
        <w:rPr>
          <w:rFonts w:hint="eastAsia" w:cs="Arial" w:asciiTheme="majorEastAsia" w:hAnsiTheme="majorEastAsia" w:eastAsiaTheme="majorEastAsia"/>
          <w:color w:val="auto"/>
          <w:kern w:val="0"/>
          <w:sz w:val="22"/>
          <w:szCs w:val="22"/>
          <w:highlight w:val="none"/>
        </w:rPr>
        <w:t>3379280 </w:t>
      </w:r>
      <w:r>
        <w:rPr>
          <w:rFonts w:cs="Arial" w:asciiTheme="majorEastAsia" w:hAnsiTheme="majorEastAsia" w:eastAsiaTheme="majorEastAsia"/>
          <w:color w:val="auto"/>
          <w:kern w:val="0"/>
          <w:sz w:val="22"/>
          <w:szCs w:val="22"/>
          <w:highlight w:val="none"/>
        </w:rPr>
        <w:t> </w:t>
      </w:r>
    </w:p>
    <w:p w14:paraId="37C6639A">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最高限价（元）：</w:t>
      </w:r>
      <w:r>
        <w:rPr>
          <w:rFonts w:hint="eastAsia" w:cs="Arial" w:asciiTheme="majorEastAsia" w:hAnsiTheme="majorEastAsia" w:eastAsiaTheme="majorEastAsia"/>
          <w:color w:val="auto"/>
          <w:kern w:val="0"/>
          <w:sz w:val="22"/>
          <w:szCs w:val="22"/>
          <w:highlight w:val="none"/>
        </w:rPr>
        <w:t>327178</w:t>
      </w:r>
      <w:r>
        <w:rPr>
          <w:rFonts w:hint="eastAsia" w:cs="Arial" w:asciiTheme="majorEastAsia" w:hAnsiTheme="majorEastAsia" w:eastAsiaTheme="majorEastAsia"/>
          <w:color w:val="auto"/>
          <w:kern w:val="0"/>
          <w:sz w:val="22"/>
          <w:szCs w:val="22"/>
          <w:highlight w:val="none"/>
          <w:lang w:val="en-US" w:eastAsia="zh-CN"/>
        </w:rPr>
        <w:t>0</w:t>
      </w:r>
      <w:r>
        <w:rPr>
          <w:rFonts w:hint="eastAsia" w:cs="Arial" w:asciiTheme="majorEastAsia" w:hAnsiTheme="majorEastAsia" w:eastAsiaTheme="majorEastAsia"/>
          <w:color w:val="auto"/>
          <w:kern w:val="0"/>
          <w:sz w:val="22"/>
          <w:szCs w:val="22"/>
          <w:highlight w:val="none"/>
        </w:rPr>
        <w:t> </w:t>
      </w:r>
      <w:r>
        <w:rPr>
          <w:rFonts w:cs="Arial" w:asciiTheme="majorEastAsia" w:hAnsiTheme="majorEastAsia" w:eastAsiaTheme="majorEastAsia"/>
          <w:color w:val="auto"/>
          <w:kern w:val="0"/>
          <w:sz w:val="22"/>
          <w:szCs w:val="22"/>
          <w:highlight w:val="none"/>
        </w:rPr>
        <w:t> </w:t>
      </w:r>
    </w:p>
    <w:p w14:paraId="73396DCB">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采购需求：</w:t>
      </w:r>
    </w:p>
    <w:p w14:paraId="5D22851B">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p>
    <w:p w14:paraId="04CBFAC0">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标项名称: </w:t>
      </w:r>
      <w:r>
        <w:rPr>
          <w:rFonts w:hint="eastAsia" w:cs="Arial" w:asciiTheme="majorEastAsia" w:hAnsiTheme="majorEastAsia" w:eastAsiaTheme="majorEastAsia"/>
          <w:color w:val="auto"/>
          <w:kern w:val="0"/>
          <w:sz w:val="22"/>
          <w:szCs w:val="22"/>
          <w:highlight w:val="none"/>
          <w:lang w:eastAsia="zh-CN"/>
        </w:rPr>
        <w:t>永嘉县医共体急诊平台建设</w:t>
      </w:r>
      <w:r>
        <w:rPr>
          <w:rFonts w:cs="Arial" w:asciiTheme="majorEastAsia" w:hAnsiTheme="majorEastAsia" w:eastAsiaTheme="majorEastAsia"/>
          <w:color w:val="auto"/>
          <w:kern w:val="0"/>
          <w:sz w:val="22"/>
          <w:szCs w:val="22"/>
          <w:highlight w:val="none"/>
        </w:rPr>
        <w:t> </w:t>
      </w:r>
    </w:p>
    <w:p w14:paraId="7E694389">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数量: </w:t>
      </w:r>
      <w:r>
        <w:rPr>
          <w:rFonts w:hint="eastAsia" w:cs="Arial" w:asciiTheme="majorEastAsia" w:hAnsiTheme="majorEastAsia" w:eastAsiaTheme="majorEastAsia"/>
          <w:color w:val="auto"/>
          <w:kern w:val="0"/>
          <w:sz w:val="22"/>
          <w:szCs w:val="22"/>
          <w:highlight w:val="none"/>
          <w:lang w:val="en-US" w:eastAsia="zh-CN"/>
        </w:rPr>
        <w:t>1</w:t>
      </w:r>
      <w:r>
        <w:rPr>
          <w:rFonts w:cs="Arial" w:asciiTheme="majorEastAsia" w:hAnsiTheme="majorEastAsia" w:eastAsiaTheme="majorEastAsia"/>
          <w:color w:val="auto"/>
          <w:kern w:val="0"/>
          <w:sz w:val="22"/>
          <w:szCs w:val="22"/>
          <w:highlight w:val="none"/>
        </w:rPr>
        <w:t>  </w:t>
      </w:r>
    </w:p>
    <w:p w14:paraId="77959BA1">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预算金额（元）:</w:t>
      </w:r>
      <w:r>
        <w:rPr>
          <w:rFonts w:hint="eastAsia" w:cs="Arial" w:asciiTheme="majorEastAsia" w:hAnsiTheme="majorEastAsia" w:eastAsiaTheme="majorEastAsia"/>
          <w:color w:val="auto"/>
          <w:kern w:val="0"/>
          <w:sz w:val="22"/>
          <w:szCs w:val="22"/>
          <w:highlight w:val="none"/>
        </w:rPr>
        <w:t>3379280</w:t>
      </w:r>
    </w:p>
    <w:p w14:paraId="2FFADE0C">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简要规格描述或项目基本概况介绍、用途：</w:t>
      </w:r>
      <w:r>
        <w:rPr>
          <w:rFonts w:hint="eastAsia" w:cs="Arial" w:asciiTheme="majorEastAsia" w:hAnsiTheme="majorEastAsia" w:eastAsiaTheme="majorEastAsia"/>
          <w:color w:val="auto"/>
          <w:kern w:val="0"/>
          <w:sz w:val="22"/>
          <w:szCs w:val="22"/>
          <w:highlight w:val="none"/>
          <w:lang w:eastAsia="zh-CN"/>
        </w:rPr>
        <w:t>永嘉县医共体急诊平台建设</w:t>
      </w:r>
      <w:r>
        <w:rPr>
          <w:rFonts w:cs="Arial" w:asciiTheme="majorEastAsia" w:hAnsiTheme="majorEastAsia" w:eastAsiaTheme="majorEastAsia"/>
          <w:color w:val="auto"/>
          <w:kern w:val="0"/>
          <w:sz w:val="22"/>
          <w:szCs w:val="22"/>
          <w:highlight w:val="none"/>
        </w:rPr>
        <w:t>，详见招标文件； </w:t>
      </w:r>
    </w:p>
    <w:p w14:paraId="5207C2E3">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备注： </w:t>
      </w:r>
    </w:p>
    <w:p w14:paraId="4009C35C">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合同履约期限：标项 1，详见招标文件</w:t>
      </w:r>
    </w:p>
    <w:p w14:paraId="4924AF38">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本项目（否）接受联合体投标。</w:t>
      </w:r>
    </w:p>
    <w:p w14:paraId="749C9375">
      <w:pPr>
        <w:widowControl/>
        <w:spacing w:before="225" w:after="225" w:line="360" w:lineRule="auto"/>
        <w:jc w:val="left"/>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b/>
          <w:bCs/>
          <w:color w:val="auto"/>
          <w:kern w:val="0"/>
          <w:sz w:val="22"/>
          <w:szCs w:val="22"/>
          <w:highlight w:val="none"/>
        </w:rPr>
        <w:t>二、申请人的资格要求：</w:t>
      </w:r>
    </w:p>
    <w:p w14:paraId="7FCCED67">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1.满足《中华人民共和国政府采购法》第二十二条规定；未被“信用中国”</w:t>
      </w:r>
      <w:r>
        <w:rPr>
          <w:rFonts w:hint="eastAsia" w:cs="Arial" w:asciiTheme="majorEastAsia" w:hAnsiTheme="majorEastAsia" w:eastAsiaTheme="majorEastAsia"/>
          <w:color w:val="auto"/>
          <w:kern w:val="0"/>
          <w:sz w:val="22"/>
          <w:szCs w:val="22"/>
          <w:highlight w:val="none"/>
          <w:lang w:eastAsia="zh-CN"/>
        </w:rPr>
        <w:t>（</w:t>
      </w:r>
      <w:r>
        <w:rPr>
          <w:rFonts w:cs="Arial" w:asciiTheme="majorEastAsia" w:hAnsiTheme="majorEastAsia" w:eastAsiaTheme="majorEastAsia"/>
          <w:color w:val="auto"/>
          <w:kern w:val="0"/>
          <w:sz w:val="22"/>
          <w:szCs w:val="22"/>
          <w:highlight w:val="none"/>
        </w:rPr>
        <w:t>www.creditchina.gov.cn)、中国政府采购网（www.ccgp.gov.cn）列入失信被执行人、重大税收违法案件当事人名单、政府采购严重违法失信行为记录名单。</w:t>
      </w:r>
    </w:p>
    <w:p w14:paraId="422ABD2F">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2.落实政府采购政策需满足的资格要求：标项1：无 </w:t>
      </w:r>
    </w:p>
    <w:p w14:paraId="1A0DAF3A">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3.本项目的特定资格要求：无 </w:t>
      </w:r>
    </w:p>
    <w:p w14:paraId="7700E24C">
      <w:pPr>
        <w:widowControl/>
        <w:spacing w:before="255" w:after="255" w:line="360" w:lineRule="auto"/>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b/>
          <w:bCs/>
          <w:color w:val="auto"/>
          <w:kern w:val="0"/>
          <w:sz w:val="22"/>
          <w:szCs w:val="22"/>
          <w:highlight w:val="none"/>
        </w:rPr>
        <w:t>三、获取招标文件</w:t>
      </w:r>
      <w:r>
        <w:rPr>
          <w:rFonts w:hint="eastAsia" w:cs="宋体" w:asciiTheme="majorEastAsia" w:hAnsiTheme="majorEastAsia" w:eastAsiaTheme="majorEastAsia"/>
          <w:color w:val="auto"/>
          <w:kern w:val="0"/>
          <w:sz w:val="22"/>
          <w:szCs w:val="22"/>
          <w:highlight w:val="none"/>
        </w:rPr>
        <w:t> </w:t>
      </w:r>
    </w:p>
    <w:p w14:paraId="7903EC0F">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时间：/至</w:t>
      </w:r>
      <w:r>
        <w:rPr>
          <w:rFonts w:hint="eastAsia" w:asciiTheme="majorEastAsia" w:hAnsiTheme="majorEastAsia" w:eastAsiaTheme="majorEastAsia"/>
          <w:color w:val="auto"/>
          <w:sz w:val="22"/>
          <w:szCs w:val="22"/>
          <w:highlight w:val="none"/>
        </w:rPr>
        <w:t>2024年</w:t>
      </w:r>
      <w:r>
        <w:rPr>
          <w:rFonts w:hint="eastAsia" w:asciiTheme="majorEastAsia" w:hAnsiTheme="majorEastAsia" w:eastAsiaTheme="majorEastAsia"/>
          <w:color w:val="auto"/>
          <w:sz w:val="22"/>
          <w:szCs w:val="22"/>
          <w:highlight w:val="none"/>
          <w:lang w:val="en-US" w:eastAsia="zh-CN"/>
        </w:rPr>
        <w:t>11</w:t>
      </w:r>
      <w:r>
        <w:rPr>
          <w:rFonts w:hint="eastAsia" w:asciiTheme="majorEastAsia" w:hAnsiTheme="majorEastAsia" w:eastAsiaTheme="majorEastAsia"/>
          <w:color w:val="auto"/>
          <w:sz w:val="22"/>
          <w:szCs w:val="22"/>
          <w:highlight w:val="none"/>
        </w:rPr>
        <w:t>月</w:t>
      </w:r>
      <w:r>
        <w:rPr>
          <w:rFonts w:hint="eastAsia" w:asciiTheme="majorEastAsia" w:hAnsiTheme="majorEastAsia" w:eastAsiaTheme="majorEastAsia"/>
          <w:color w:val="auto"/>
          <w:sz w:val="22"/>
          <w:szCs w:val="22"/>
          <w:highlight w:val="none"/>
          <w:lang w:val="en-US" w:eastAsia="zh-CN"/>
        </w:rPr>
        <w:t>18</w:t>
      </w:r>
      <w:r>
        <w:rPr>
          <w:rFonts w:hint="eastAsia" w:asciiTheme="majorEastAsia" w:hAnsiTheme="majorEastAsia" w:eastAsiaTheme="majorEastAsia"/>
          <w:color w:val="auto"/>
          <w:sz w:val="22"/>
          <w:szCs w:val="22"/>
          <w:highlight w:val="none"/>
        </w:rPr>
        <w:t>日</w:t>
      </w:r>
      <w:r>
        <w:rPr>
          <w:rFonts w:cs="Arial" w:asciiTheme="majorEastAsia" w:hAnsiTheme="majorEastAsia" w:eastAsiaTheme="majorEastAsia"/>
          <w:color w:val="auto"/>
          <w:kern w:val="0"/>
          <w:sz w:val="22"/>
          <w:szCs w:val="22"/>
          <w:highlight w:val="none"/>
        </w:rPr>
        <w:t> ，每天上午00:00至12:00 ，下午12:00至23:59（北京时间，线上获取法定节假日均可，线下获取文件法定节假日除外）</w:t>
      </w:r>
    </w:p>
    <w:p w14:paraId="5314FDEB">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地点（网址）：政采云平台线上获取 </w:t>
      </w:r>
    </w:p>
    <w:p w14:paraId="0580AD65">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方式：供应商登录政采云平台https://www.zcygov.cn/在线申请获取采购文件（进入“项目采购”应用，在获取采购文件菜单中选择项目，申请获取采购文件） </w:t>
      </w:r>
    </w:p>
    <w:p w14:paraId="01E3A4AC">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售价（元）：0 </w:t>
      </w:r>
    </w:p>
    <w:p w14:paraId="6D54ED83">
      <w:pPr>
        <w:widowControl/>
        <w:spacing w:before="255" w:after="255" w:line="360" w:lineRule="auto"/>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b/>
          <w:bCs/>
          <w:color w:val="auto"/>
          <w:kern w:val="0"/>
          <w:sz w:val="22"/>
          <w:szCs w:val="22"/>
          <w:highlight w:val="none"/>
        </w:rPr>
        <w:t>四、提交投标文件截止时间、开标时间和地点</w:t>
      </w:r>
    </w:p>
    <w:p w14:paraId="30698197">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r>
        <w:rPr>
          <w:rFonts w:hint="eastAsia" w:cs="Arial" w:asciiTheme="majorEastAsia" w:hAnsiTheme="majorEastAsia" w:eastAsiaTheme="majorEastAsia"/>
          <w:color w:val="auto"/>
          <w:kern w:val="0"/>
          <w:sz w:val="22"/>
          <w:szCs w:val="22"/>
          <w:highlight w:val="none"/>
        </w:rPr>
        <w:t xml:space="preserve"> </w:t>
      </w:r>
      <w:r>
        <w:rPr>
          <w:rFonts w:cs="Arial" w:asciiTheme="majorEastAsia" w:hAnsiTheme="majorEastAsia" w:eastAsiaTheme="majorEastAsia"/>
          <w:color w:val="auto"/>
          <w:kern w:val="0"/>
          <w:sz w:val="22"/>
          <w:szCs w:val="22"/>
          <w:highlight w:val="none"/>
        </w:rPr>
        <w:t>提交投标文件截止时间：</w:t>
      </w:r>
      <w:r>
        <w:rPr>
          <w:rFonts w:hint="eastAsia" w:asciiTheme="majorEastAsia" w:hAnsiTheme="majorEastAsia" w:eastAsiaTheme="majorEastAsia"/>
          <w:color w:val="auto"/>
          <w:sz w:val="22"/>
          <w:szCs w:val="22"/>
          <w:highlight w:val="none"/>
        </w:rPr>
        <w:t xml:space="preserve"> 2024年</w:t>
      </w:r>
      <w:r>
        <w:rPr>
          <w:rFonts w:hint="eastAsia" w:asciiTheme="majorEastAsia" w:hAnsiTheme="majorEastAsia" w:eastAsiaTheme="majorEastAsia"/>
          <w:color w:val="auto"/>
          <w:sz w:val="22"/>
          <w:szCs w:val="22"/>
          <w:highlight w:val="none"/>
          <w:lang w:val="en-US" w:eastAsia="zh-CN"/>
        </w:rPr>
        <w:t>11</w:t>
      </w:r>
      <w:r>
        <w:rPr>
          <w:rFonts w:hint="eastAsia" w:asciiTheme="majorEastAsia" w:hAnsiTheme="majorEastAsia" w:eastAsiaTheme="majorEastAsia"/>
          <w:color w:val="auto"/>
          <w:sz w:val="22"/>
          <w:szCs w:val="22"/>
          <w:highlight w:val="none"/>
        </w:rPr>
        <w:t>月</w:t>
      </w:r>
      <w:r>
        <w:rPr>
          <w:rFonts w:hint="eastAsia" w:asciiTheme="majorEastAsia" w:hAnsiTheme="majorEastAsia" w:eastAsiaTheme="majorEastAsia"/>
          <w:color w:val="auto"/>
          <w:sz w:val="22"/>
          <w:szCs w:val="22"/>
          <w:highlight w:val="none"/>
          <w:lang w:val="en-US" w:eastAsia="zh-CN"/>
        </w:rPr>
        <w:t>18</w:t>
      </w:r>
      <w:r>
        <w:rPr>
          <w:rFonts w:hint="eastAsia" w:asciiTheme="majorEastAsia" w:hAnsiTheme="majorEastAsia" w:eastAsiaTheme="majorEastAsia"/>
          <w:color w:val="auto"/>
          <w:sz w:val="22"/>
          <w:szCs w:val="22"/>
          <w:highlight w:val="none"/>
        </w:rPr>
        <w:t>日09:30</w:t>
      </w:r>
      <w:r>
        <w:rPr>
          <w:rFonts w:cs="Arial" w:asciiTheme="majorEastAsia" w:hAnsiTheme="majorEastAsia" w:eastAsiaTheme="majorEastAsia"/>
          <w:color w:val="auto"/>
          <w:kern w:val="0"/>
          <w:sz w:val="22"/>
          <w:szCs w:val="22"/>
          <w:highlight w:val="none"/>
        </w:rPr>
        <w:t>（北京时间）</w:t>
      </w:r>
    </w:p>
    <w:p w14:paraId="4972E24C">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r>
        <w:rPr>
          <w:rFonts w:hint="eastAsia" w:cs="Arial" w:asciiTheme="majorEastAsia" w:hAnsiTheme="majorEastAsia" w:eastAsiaTheme="majorEastAsia"/>
          <w:color w:val="auto"/>
          <w:kern w:val="0"/>
          <w:sz w:val="22"/>
          <w:szCs w:val="22"/>
          <w:highlight w:val="none"/>
        </w:rPr>
        <w:t xml:space="preserve"> </w:t>
      </w:r>
      <w:r>
        <w:rPr>
          <w:rFonts w:cs="Arial" w:asciiTheme="majorEastAsia" w:hAnsiTheme="majorEastAsia" w:eastAsiaTheme="majorEastAsia"/>
          <w:color w:val="auto"/>
          <w:kern w:val="0"/>
          <w:sz w:val="22"/>
          <w:szCs w:val="22"/>
          <w:highlight w:val="none"/>
        </w:rPr>
        <w:t>投标地点（网址）：请登录政采云投标客户端投标 </w:t>
      </w:r>
    </w:p>
    <w:p w14:paraId="6F9C0FF8">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开标时间：</w:t>
      </w:r>
      <w:r>
        <w:rPr>
          <w:rFonts w:hint="eastAsia" w:asciiTheme="majorEastAsia" w:hAnsiTheme="majorEastAsia" w:eastAsiaTheme="majorEastAsia"/>
          <w:color w:val="auto"/>
          <w:sz w:val="22"/>
          <w:szCs w:val="22"/>
          <w:highlight w:val="none"/>
        </w:rPr>
        <w:t xml:space="preserve"> 2024年</w:t>
      </w:r>
      <w:r>
        <w:rPr>
          <w:rFonts w:hint="eastAsia" w:asciiTheme="majorEastAsia" w:hAnsiTheme="majorEastAsia" w:eastAsiaTheme="majorEastAsia"/>
          <w:color w:val="auto"/>
          <w:sz w:val="22"/>
          <w:szCs w:val="22"/>
          <w:highlight w:val="none"/>
          <w:lang w:val="en-US" w:eastAsia="zh-CN"/>
        </w:rPr>
        <w:t>11</w:t>
      </w:r>
      <w:r>
        <w:rPr>
          <w:rFonts w:hint="eastAsia" w:asciiTheme="majorEastAsia" w:hAnsiTheme="majorEastAsia" w:eastAsiaTheme="majorEastAsia"/>
          <w:color w:val="auto"/>
          <w:sz w:val="22"/>
          <w:szCs w:val="22"/>
          <w:highlight w:val="none"/>
        </w:rPr>
        <w:t>月</w:t>
      </w:r>
      <w:r>
        <w:rPr>
          <w:rFonts w:hint="eastAsia" w:asciiTheme="majorEastAsia" w:hAnsiTheme="majorEastAsia" w:eastAsiaTheme="majorEastAsia"/>
          <w:color w:val="auto"/>
          <w:sz w:val="22"/>
          <w:szCs w:val="22"/>
          <w:highlight w:val="none"/>
          <w:lang w:val="en-US" w:eastAsia="zh-CN"/>
        </w:rPr>
        <w:t>18</w:t>
      </w:r>
      <w:r>
        <w:rPr>
          <w:rFonts w:hint="eastAsia" w:asciiTheme="majorEastAsia" w:hAnsiTheme="majorEastAsia" w:eastAsiaTheme="majorEastAsia"/>
          <w:color w:val="auto"/>
          <w:sz w:val="22"/>
          <w:szCs w:val="22"/>
          <w:highlight w:val="none"/>
        </w:rPr>
        <w:t>日</w:t>
      </w:r>
      <w:r>
        <w:rPr>
          <w:rFonts w:hint="eastAsia" w:cs="Arial" w:asciiTheme="majorEastAsia" w:hAnsiTheme="majorEastAsia" w:eastAsiaTheme="majorEastAsia"/>
          <w:color w:val="auto"/>
          <w:kern w:val="0"/>
          <w:sz w:val="22"/>
          <w:szCs w:val="22"/>
          <w:highlight w:val="none"/>
        </w:rPr>
        <w:t>09:30</w:t>
      </w:r>
      <w:r>
        <w:rPr>
          <w:rFonts w:cs="Arial" w:asciiTheme="majorEastAsia" w:hAnsiTheme="majorEastAsia" w:eastAsiaTheme="majorEastAsia"/>
          <w:color w:val="auto"/>
          <w:kern w:val="0"/>
          <w:sz w:val="22"/>
          <w:szCs w:val="22"/>
          <w:highlight w:val="none"/>
        </w:rPr>
        <w:t> </w:t>
      </w:r>
    </w:p>
    <w:p w14:paraId="6050C99E">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开标地点（网址）：</w:t>
      </w:r>
      <w:r>
        <w:rPr>
          <w:rFonts w:hint="eastAsia" w:cs="Arial" w:asciiTheme="majorEastAsia" w:hAnsiTheme="majorEastAsia" w:eastAsiaTheme="majorEastAsia"/>
          <w:color w:val="auto"/>
          <w:kern w:val="0"/>
          <w:sz w:val="22"/>
          <w:szCs w:val="22"/>
          <w:highlight w:val="none"/>
        </w:rPr>
        <w:t>政采云平台（https://www.zcygov.cn/）</w:t>
      </w:r>
      <w:r>
        <w:rPr>
          <w:rFonts w:cs="Arial" w:asciiTheme="majorEastAsia" w:hAnsiTheme="majorEastAsia" w:eastAsiaTheme="majorEastAsia"/>
          <w:color w:val="auto"/>
          <w:kern w:val="0"/>
          <w:sz w:val="22"/>
          <w:szCs w:val="22"/>
          <w:highlight w:val="none"/>
        </w:rPr>
        <w:t> </w:t>
      </w:r>
    </w:p>
    <w:p w14:paraId="633225CA">
      <w:pPr>
        <w:widowControl/>
        <w:spacing w:before="255" w:after="255" w:line="360" w:lineRule="auto"/>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b/>
          <w:bCs/>
          <w:color w:val="auto"/>
          <w:kern w:val="0"/>
          <w:sz w:val="22"/>
          <w:szCs w:val="22"/>
          <w:highlight w:val="none"/>
        </w:rPr>
        <w:t>五、公告期限</w:t>
      </w:r>
      <w:r>
        <w:rPr>
          <w:rFonts w:hint="eastAsia" w:cs="宋体" w:asciiTheme="majorEastAsia" w:hAnsiTheme="majorEastAsia" w:eastAsiaTheme="majorEastAsia"/>
          <w:color w:val="auto"/>
          <w:kern w:val="0"/>
          <w:sz w:val="22"/>
          <w:szCs w:val="22"/>
          <w:highlight w:val="none"/>
        </w:rPr>
        <w:t> </w:t>
      </w:r>
    </w:p>
    <w:p w14:paraId="2216B025">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自本公告发布之日起5个工作日。</w:t>
      </w:r>
    </w:p>
    <w:p w14:paraId="3D88A641">
      <w:pPr>
        <w:widowControl/>
        <w:spacing w:before="255" w:after="255" w:line="360" w:lineRule="auto"/>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b/>
          <w:bCs/>
          <w:color w:val="auto"/>
          <w:kern w:val="0"/>
          <w:sz w:val="22"/>
          <w:szCs w:val="22"/>
          <w:highlight w:val="none"/>
        </w:rPr>
        <w:t>六、其他补充事宜</w:t>
      </w:r>
    </w:p>
    <w:p w14:paraId="41826028">
      <w:pPr>
        <w:widowControl/>
        <w:spacing w:before="255" w:after="255" w:line="360" w:lineRule="auto"/>
        <w:ind w:firstLine="480"/>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6BAB5C6">
      <w:pPr>
        <w:widowControl/>
        <w:spacing w:before="255" w:after="255" w:line="360" w:lineRule="auto"/>
        <w:ind w:firstLine="480"/>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690C71C6">
      <w:pPr>
        <w:widowControl/>
        <w:spacing w:before="75" w:after="75" w:line="360" w:lineRule="auto"/>
        <w:ind w:firstLine="480"/>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3.其他事项：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 “政采云电子交易客户端”请自行前往“浙江政府采购网-下载专区-电子交易客户端”进行下载；通过“政府采购云平台”参与在线投标时如遇平台技术问题详询95763。 2、为确保网上操作合法、有效和安全，</w:t>
      </w:r>
      <w:r>
        <w:rPr>
          <w:rFonts w:hint="eastAsia" w:cs="Arial" w:asciiTheme="majorEastAsia" w:hAnsiTheme="majorEastAsia" w:eastAsiaTheme="majorEastAsia"/>
          <w:color w:val="auto"/>
          <w:kern w:val="0"/>
          <w:sz w:val="22"/>
          <w:szCs w:val="22"/>
          <w:highlight w:val="none"/>
          <w:lang w:eastAsia="zh-CN"/>
        </w:rPr>
        <w:t>投标人</w:t>
      </w:r>
      <w:r>
        <w:rPr>
          <w:rFonts w:cs="Arial" w:asciiTheme="majorEastAsia" w:hAnsiTheme="majorEastAsia" w:eastAsiaTheme="majorEastAsia"/>
          <w:color w:val="auto"/>
          <w:kern w:val="0"/>
          <w:sz w:val="22"/>
          <w:szCs w:val="22"/>
          <w:highlight w:val="none"/>
        </w:rPr>
        <w:t>应当在投标截止时间前完成在“政府采购云平台”的身份认证，确保在电子投标过程中能够对相关数据电文进行加密和使用CA电子签章。使用“政采云电子交易客户端”需要提前申领CA数字证书，申领流程请自行前往“浙江政府采购网-下载专区-电子交易客户端-CA驱动和申领流程”进行查阅。 3、采购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 注：请供应商按上述要求获取采购文件，如未在“政采云”系统内完成相关流程，引起的投标无效责任自负。  </w:t>
      </w:r>
    </w:p>
    <w:p w14:paraId="0BE56B1C">
      <w:pPr>
        <w:widowControl/>
        <w:spacing w:before="255" w:after="255" w:line="360" w:lineRule="auto"/>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b/>
          <w:bCs/>
          <w:color w:val="auto"/>
          <w:kern w:val="0"/>
          <w:sz w:val="22"/>
          <w:szCs w:val="22"/>
          <w:highlight w:val="none"/>
        </w:rPr>
        <w:t>七、对本次采购提出询问、质疑、投诉，请按以下方式联系</w:t>
      </w:r>
    </w:p>
    <w:p w14:paraId="2A177990">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1.采购人信息</w:t>
      </w:r>
    </w:p>
    <w:p w14:paraId="1A7F6CE0">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名    称：</w:t>
      </w:r>
      <w:r>
        <w:rPr>
          <w:rFonts w:hint="eastAsia" w:cs="Arial" w:asciiTheme="majorEastAsia" w:hAnsiTheme="majorEastAsia" w:eastAsiaTheme="majorEastAsia"/>
          <w:color w:val="auto"/>
          <w:kern w:val="0"/>
          <w:sz w:val="22"/>
          <w:szCs w:val="22"/>
          <w:highlight w:val="none"/>
        </w:rPr>
        <w:t>永嘉县人民医院</w:t>
      </w:r>
      <w:r>
        <w:rPr>
          <w:rFonts w:hint="eastAsia" w:cs="Arial" w:asciiTheme="majorEastAsia" w:hAnsiTheme="majorEastAsia" w:eastAsiaTheme="majorEastAsia"/>
          <w:color w:val="auto"/>
          <w:kern w:val="0"/>
          <w:sz w:val="22"/>
          <w:szCs w:val="22"/>
          <w:highlight w:val="none"/>
          <w:lang w:eastAsia="zh-CN"/>
        </w:rPr>
        <w:t>（医共体）</w:t>
      </w:r>
      <w:r>
        <w:rPr>
          <w:rFonts w:hint="eastAsia" w:cs="Arial" w:asciiTheme="majorEastAsia" w:hAnsiTheme="majorEastAsia" w:eastAsiaTheme="majorEastAsia"/>
          <w:color w:val="auto"/>
          <w:kern w:val="0"/>
          <w:sz w:val="22"/>
          <w:szCs w:val="22"/>
          <w:highlight w:val="none"/>
        </w:rPr>
        <w:t>（1），永嘉县中医医院</w:t>
      </w:r>
      <w:r>
        <w:rPr>
          <w:rFonts w:hint="eastAsia" w:cs="Arial" w:asciiTheme="majorEastAsia" w:hAnsiTheme="majorEastAsia" w:eastAsiaTheme="majorEastAsia"/>
          <w:color w:val="auto"/>
          <w:kern w:val="0"/>
          <w:sz w:val="22"/>
          <w:szCs w:val="22"/>
          <w:highlight w:val="none"/>
          <w:lang w:eastAsia="zh-CN"/>
        </w:rPr>
        <w:t>（医共体）</w:t>
      </w:r>
      <w:r>
        <w:rPr>
          <w:rFonts w:hint="eastAsia" w:cs="Arial" w:asciiTheme="majorEastAsia" w:hAnsiTheme="majorEastAsia" w:eastAsiaTheme="majorEastAsia"/>
          <w:color w:val="auto"/>
          <w:kern w:val="0"/>
          <w:sz w:val="22"/>
          <w:szCs w:val="22"/>
          <w:highlight w:val="none"/>
        </w:rPr>
        <w:t>（2）</w:t>
      </w:r>
    </w:p>
    <w:p w14:paraId="01748D01">
      <w:pPr>
        <w:widowControl/>
        <w:spacing w:before="75" w:after="75" w:line="360" w:lineRule="auto"/>
        <w:ind w:firstLine="660" w:firstLineChars="300"/>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地    址：</w:t>
      </w:r>
      <w:r>
        <w:rPr>
          <w:rFonts w:hint="eastAsia" w:cs="Arial" w:asciiTheme="majorEastAsia" w:hAnsiTheme="majorEastAsia" w:eastAsiaTheme="majorEastAsia"/>
          <w:color w:val="auto"/>
          <w:kern w:val="0"/>
          <w:sz w:val="22"/>
          <w:szCs w:val="22"/>
          <w:highlight w:val="none"/>
          <w:lang w:eastAsia="zh-CN"/>
        </w:rPr>
        <w:t xml:space="preserve">温州市永嘉县环城北路永中路37号 </w:t>
      </w:r>
      <w:r>
        <w:rPr>
          <w:rFonts w:hint="eastAsia" w:cs="Arial" w:asciiTheme="majorEastAsia" w:hAnsiTheme="majorEastAsia" w:eastAsiaTheme="majorEastAsia"/>
          <w:color w:val="auto"/>
          <w:kern w:val="0"/>
          <w:sz w:val="22"/>
          <w:szCs w:val="22"/>
          <w:highlight w:val="none"/>
        </w:rPr>
        <w:t>（1），永嘉县瓯北城市新区江北街道公园路6号（2）</w:t>
      </w:r>
      <w:r>
        <w:rPr>
          <w:rFonts w:cs="Arial" w:asciiTheme="majorEastAsia" w:hAnsiTheme="majorEastAsia" w:eastAsiaTheme="majorEastAsia"/>
          <w:color w:val="auto"/>
          <w:kern w:val="0"/>
          <w:sz w:val="22"/>
          <w:szCs w:val="22"/>
          <w:highlight w:val="none"/>
        </w:rPr>
        <w:t> </w:t>
      </w:r>
    </w:p>
    <w:p w14:paraId="10B3C482">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传    真：  </w:t>
      </w:r>
    </w:p>
    <w:p w14:paraId="740DB66F">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项目联系人（询问）：</w:t>
      </w:r>
      <w:r>
        <w:rPr>
          <w:rFonts w:hint="eastAsia" w:cs="Arial" w:asciiTheme="majorEastAsia" w:hAnsiTheme="majorEastAsia" w:eastAsiaTheme="majorEastAsia"/>
          <w:color w:val="auto"/>
          <w:kern w:val="0"/>
          <w:sz w:val="22"/>
          <w:szCs w:val="22"/>
          <w:highlight w:val="none"/>
        </w:rPr>
        <w:t>周女士、陈</w:t>
      </w:r>
      <w:r>
        <w:rPr>
          <w:rFonts w:cs="Arial" w:asciiTheme="majorEastAsia" w:hAnsiTheme="majorEastAsia" w:eastAsiaTheme="majorEastAsia"/>
          <w:color w:val="auto"/>
          <w:kern w:val="0"/>
          <w:sz w:val="22"/>
          <w:szCs w:val="22"/>
          <w:highlight w:val="none"/>
        </w:rPr>
        <w:t>先生  </w:t>
      </w:r>
    </w:p>
    <w:p w14:paraId="066C00A1">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项目联系方式（询问）：0577-5776</w:t>
      </w:r>
      <w:r>
        <w:rPr>
          <w:rFonts w:hint="eastAsia" w:cs="Arial" w:asciiTheme="majorEastAsia" w:hAnsiTheme="majorEastAsia" w:eastAsiaTheme="majorEastAsia"/>
          <w:color w:val="auto"/>
          <w:kern w:val="0"/>
          <w:sz w:val="22"/>
          <w:szCs w:val="22"/>
          <w:highlight w:val="none"/>
          <w:lang w:val="en-US" w:eastAsia="zh-CN"/>
        </w:rPr>
        <w:t>2511</w:t>
      </w:r>
      <w:r>
        <w:rPr>
          <w:rFonts w:hint="eastAsia" w:cs="Arial" w:asciiTheme="majorEastAsia" w:hAnsiTheme="majorEastAsia" w:eastAsiaTheme="majorEastAsia"/>
          <w:color w:val="auto"/>
          <w:kern w:val="0"/>
          <w:sz w:val="22"/>
          <w:szCs w:val="22"/>
          <w:highlight w:val="none"/>
        </w:rPr>
        <w:t>、</w:t>
      </w:r>
      <w:r>
        <w:rPr>
          <w:rFonts w:hint="eastAsia" w:cs="新宋体" w:asciiTheme="majorEastAsia" w:hAnsiTheme="majorEastAsia" w:eastAsiaTheme="majorEastAsia"/>
          <w:bCs/>
          <w:color w:val="auto"/>
          <w:kern w:val="0"/>
          <w:sz w:val="22"/>
          <w:szCs w:val="22"/>
          <w:highlight w:val="none"/>
        </w:rPr>
        <w:t>0577-</w:t>
      </w:r>
      <w:r>
        <w:rPr>
          <w:rFonts w:cs="新宋体" w:asciiTheme="majorEastAsia" w:hAnsiTheme="majorEastAsia" w:eastAsiaTheme="majorEastAsia"/>
          <w:bCs/>
          <w:color w:val="auto"/>
          <w:kern w:val="0"/>
          <w:sz w:val="22"/>
          <w:szCs w:val="22"/>
          <w:highlight w:val="none"/>
        </w:rPr>
        <w:t>57886068</w:t>
      </w:r>
    </w:p>
    <w:p w14:paraId="531C50BA">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质疑联系人：</w:t>
      </w:r>
      <w:r>
        <w:rPr>
          <w:rFonts w:hint="eastAsia" w:cs="Arial" w:asciiTheme="majorEastAsia" w:hAnsiTheme="majorEastAsia" w:eastAsiaTheme="majorEastAsia"/>
          <w:color w:val="auto"/>
          <w:kern w:val="0"/>
          <w:sz w:val="22"/>
          <w:szCs w:val="22"/>
          <w:highlight w:val="none"/>
        </w:rPr>
        <w:t>周女士、陈</w:t>
      </w:r>
      <w:r>
        <w:rPr>
          <w:rFonts w:cs="Arial" w:asciiTheme="majorEastAsia" w:hAnsiTheme="majorEastAsia" w:eastAsiaTheme="majorEastAsia"/>
          <w:color w:val="auto"/>
          <w:kern w:val="0"/>
          <w:sz w:val="22"/>
          <w:szCs w:val="22"/>
          <w:highlight w:val="none"/>
        </w:rPr>
        <w:t>先生    </w:t>
      </w:r>
    </w:p>
    <w:p w14:paraId="0B3B9F65">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质疑联系方式：0577-5776</w:t>
      </w:r>
      <w:r>
        <w:rPr>
          <w:rFonts w:hint="eastAsia" w:cs="Arial" w:asciiTheme="majorEastAsia" w:hAnsiTheme="majorEastAsia" w:eastAsiaTheme="majorEastAsia"/>
          <w:color w:val="auto"/>
          <w:kern w:val="0"/>
          <w:sz w:val="22"/>
          <w:szCs w:val="22"/>
          <w:highlight w:val="none"/>
          <w:lang w:val="en-US" w:eastAsia="zh-CN"/>
        </w:rPr>
        <w:t>2511</w:t>
      </w:r>
      <w:r>
        <w:rPr>
          <w:rFonts w:hint="eastAsia" w:cs="Arial" w:asciiTheme="majorEastAsia" w:hAnsiTheme="majorEastAsia" w:eastAsiaTheme="majorEastAsia"/>
          <w:color w:val="auto"/>
          <w:kern w:val="0"/>
          <w:sz w:val="22"/>
          <w:szCs w:val="22"/>
          <w:highlight w:val="none"/>
        </w:rPr>
        <w:t>、</w:t>
      </w:r>
      <w:r>
        <w:rPr>
          <w:rFonts w:hint="eastAsia" w:cs="新宋体" w:asciiTheme="majorEastAsia" w:hAnsiTheme="majorEastAsia" w:eastAsiaTheme="majorEastAsia"/>
          <w:bCs/>
          <w:color w:val="auto"/>
          <w:kern w:val="0"/>
          <w:sz w:val="22"/>
          <w:szCs w:val="22"/>
          <w:highlight w:val="none"/>
        </w:rPr>
        <w:t>0577-</w:t>
      </w:r>
      <w:r>
        <w:rPr>
          <w:rFonts w:cs="新宋体" w:asciiTheme="majorEastAsia" w:hAnsiTheme="majorEastAsia" w:eastAsiaTheme="majorEastAsia"/>
          <w:bCs/>
          <w:color w:val="auto"/>
          <w:kern w:val="0"/>
          <w:sz w:val="22"/>
          <w:szCs w:val="22"/>
          <w:highlight w:val="none"/>
        </w:rPr>
        <w:t>57886068</w:t>
      </w:r>
      <w:r>
        <w:rPr>
          <w:rFonts w:cs="Arial" w:asciiTheme="majorEastAsia" w:hAnsiTheme="majorEastAsia" w:eastAsiaTheme="majorEastAsia"/>
          <w:color w:val="auto"/>
          <w:kern w:val="0"/>
          <w:sz w:val="22"/>
          <w:szCs w:val="22"/>
          <w:highlight w:val="none"/>
        </w:rPr>
        <w:t> </w:t>
      </w:r>
    </w:p>
    <w:p w14:paraId="19B69FBB">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p>
    <w:p w14:paraId="6A3AD776">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2.采购代理机构信息            </w:t>
      </w:r>
    </w:p>
    <w:p w14:paraId="4B7453DC">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名    称：温州市中概工程管理咨询有限公司             </w:t>
      </w:r>
    </w:p>
    <w:p w14:paraId="1F18EB4A">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地    址：温州市永嘉县南城街道环城北路云碓大厦503室             </w:t>
      </w:r>
    </w:p>
    <w:p w14:paraId="0FB101D4">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传    真：             </w:t>
      </w:r>
    </w:p>
    <w:p w14:paraId="39AC4C3D">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项目联系人（询问）：胡可可              </w:t>
      </w:r>
    </w:p>
    <w:p w14:paraId="524C8A7A">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项目联系方式（询问）：15258683545 </w:t>
      </w:r>
    </w:p>
    <w:p w14:paraId="59FD1E2B">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质疑联系人：余茜茜             </w:t>
      </w:r>
    </w:p>
    <w:p w14:paraId="72CC4B45">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质疑联系方式：13567723502 　　　　　　     </w:t>
      </w:r>
    </w:p>
    <w:p w14:paraId="11EC8CD9">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p>
    <w:p w14:paraId="751C4155">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3.</w:t>
      </w:r>
      <w:r>
        <w:rPr>
          <w:rFonts w:cs="宋体" w:asciiTheme="majorEastAsia" w:hAnsiTheme="majorEastAsia" w:eastAsiaTheme="majorEastAsia"/>
          <w:color w:val="auto"/>
          <w:kern w:val="0"/>
          <w:sz w:val="22"/>
          <w:szCs w:val="22"/>
          <w:highlight w:val="none"/>
        </w:rPr>
        <w:t>同级政府采购监督管理部门</w:t>
      </w:r>
    </w:p>
    <w:p w14:paraId="7D742C08">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名    称：永嘉县财政局</w:t>
      </w:r>
    </w:p>
    <w:p w14:paraId="7CBCDFDB">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地    址：</w:t>
      </w:r>
    </w:p>
    <w:p w14:paraId="3A89D7E6">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传    真：</w:t>
      </w:r>
    </w:p>
    <w:p w14:paraId="08DBC49E">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联 系 人：沈女士</w:t>
      </w:r>
    </w:p>
    <w:p w14:paraId="1375202D">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监督投诉电话：0577-67230257</w:t>
      </w:r>
    </w:p>
    <w:p w14:paraId="5E713184">
      <w:pPr>
        <w:widowControl/>
        <w:spacing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p>
    <w:p w14:paraId="692CFB9E">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         </w:t>
      </w:r>
    </w:p>
    <w:p w14:paraId="11A79981">
      <w:pPr>
        <w:widowControl/>
        <w:spacing w:before="75" w:after="75" w:line="360" w:lineRule="auto"/>
        <w:jc w:val="left"/>
        <w:rPr>
          <w:rFonts w:cs="Arial" w:asciiTheme="majorEastAsia" w:hAnsiTheme="majorEastAsia" w:eastAsiaTheme="majorEastAsia"/>
          <w:color w:val="auto"/>
          <w:kern w:val="0"/>
          <w:sz w:val="22"/>
          <w:szCs w:val="22"/>
          <w:highlight w:val="none"/>
        </w:rPr>
      </w:pPr>
    </w:p>
    <w:p w14:paraId="58E0CB74">
      <w:pPr>
        <w:widowControl/>
        <w:spacing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若对项目采购电子交易系统操作有疑问，可登录政采云（https://www.zcygov.cn/），点击右侧咨询小采，获取采小蜜智能服务管家帮助，或拨打政采云服务热线95763获取热线服务帮助。       </w:t>
      </w:r>
    </w:p>
    <w:p w14:paraId="6BCA6E30">
      <w:pPr>
        <w:widowControl/>
        <w:spacing w:line="360" w:lineRule="auto"/>
        <w:jc w:val="left"/>
        <w:rPr>
          <w:rFonts w:cs="宋体" w:asciiTheme="majorEastAsia" w:hAnsiTheme="majorEastAsia" w:eastAsiaTheme="majorEastAsia"/>
          <w:color w:val="auto"/>
          <w:kern w:val="0"/>
          <w:sz w:val="22"/>
          <w:szCs w:val="22"/>
          <w:highlight w:val="none"/>
        </w:rPr>
      </w:pPr>
      <w:r>
        <w:rPr>
          <w:rFonts w:cs="宋体" w:asciiTheme="majorEastAsia" w:hAnsiTheme="majorEastAsia" w:eastAsiaTheme="majorEastAsia"/>
          <w:color w:val="auto"/>
          <w:kern w:val="0"/>
          <w:sz w:val="22"/>
          <w:szCs w:val="22"/>
          <w:highlight w:val="none"/>
        </w:rPr>
        <w:t>CA问题联系电话（人工）：汇信CA 400-888-4636；天谷CA 400-087-8198。</w:t>
      </w:r>
    </w:p>
    <w:p w14:paraId="23BD7575">
      <w:pPr>
        <w:pStyle w:val="39"/>
        <w:rPr>
          <w:color w:val="auto"/>
          <w:highlight w:val="none"/>
        </w:rPr>
      </w:pPr>
    </w:p>
    <w:p w14:paraId="726711E7">
      <w:pPr>
        <w:pStyle w:val="40"/>
        <w:rPr>
          <w:rFonts w:cs="新宋体" w:asciiTheme="majorEastAsia" w:hAnsiTheme="majorEastAsia" w:eastAsiaTheme="majorEastAsia"/>
          <w:color w:val="auto"/>
          <w:sz w:val="30"/>
          <w:szCs w:val="30"/>
          <w:highlight w:val="none"/>
        </w:rPr>
      </w:pPr>
    </w:p>
    <w:p w14:paraId="68EF6D06">
      <w:pPr>
        <w:rPr>
          <w:rFonts w:cs="新宋体" w:asciiTheme="majorEastAsia" w:hAnsiTheme="majorEastAsia" w:eastAsiaTheme="majorEastAsia"/>
          <w:color w:val="auto"/>
          <w:sz w:val="30"/>
          <w:szCs w:val="30"/>
          <w:highlight w:val="none"/>
        </w:rPr>
      </w:pPr>
      <w:r>
        <w:rPr>
          <w:rFonts w:hint="eastAsia" w:cs="新宋体" w:asciiTheme="majorEastAsia" w:hAnsiTheme="majorEastAsia" w:eastAsiaTheme="majorEastAsia"/>
          <w:color w:val="auto"/>
          <w:sz w:val="30"/>
          <w:szCs w:val="30"/>
          <w:highlight w:val="none"/>
        </w:rPr>
        <w:br w:type="page"/>
      </w:r>
    </w:p>
    <w:p w14:paraId="6FA6B4F2">
      <w:pPr>
        <w:pStyle w:val="40"/>
        <w:rPr>
          <w:rFonts w:cs="新宋体" w:asciiTheme="majorEastAsia" w:hAnsiTheme="majorEastAsia" w:eastAsiaTheme="majorEastAsia"/>
          <w:color w:val="auto"/>
          <w:sz w:val="30"/>
          <w:szCs w:val="30"/>
          <w:highlight w:val="none"/>
        </w:rPr>
      </w:pPr>
      <w:bookmarkStart w:id="6" w:name="_Toc17480"/>
      <w:r>
        <w:rPr>
          <w:rFonts w:hint="eastAsia" w:cs="新宋体" w:asciiTheme="majorEastAsia" w:hAnsiTheme="majorEastAsia" w:eastAsiaTheme="majorEastAsia"/>
          <w:color w:val="auto"/>
          <w:sz w:val="30"/>
          <w:szCs w:val="30"/>
          <w:highlight w:val="none"/>
        </w:rPr>
        <w:t>第一部分  投标通知(邀请)书</w:t>
      </w:r>
      <w:bookmarkEnd w:id="3"/>
      <w:bookmarkEnd w:id="4"/>
      <w:bookmarkEnd w:id="6"/>
    </w:p>
    <w:tbl>
      <w:tblPr>
        <w:tblStyle w:val="43"/>
        <w:tblW w:w="102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694"/>
        <w:gridCol w:w="1715"/>
        <w:gridCol w:w="7821"/>
      </w:tblGrid>
      <w:tr w14:paraId="225BF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2BD4969F">
            <w:pPr>
              <w:spacing w:line="400" w:lineRule="atLeast"/>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序号</w:t>
            </w:r>
          </w:p>
        </w:tc>
        <w:tc>
          <w:tcPr>
            <w:tcW w:w="1715" w:type="dxa"/>
            <w:vAlign w:val="center"/>
          </w:tcPr>
          <w:p w14:paraId="00B3DC01">
            <w:pPr>
              <w:spacing w:line="400" w:lineRule="atLeast"/>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内容</w:t>
            </w:r>
          </w:p>
        </w:tc>
        <w:tc>
          <w:tcPr>
            <w:tcW w:w="7821" w:type="dxa"/>
            <w:vAlign w:val="center"/>
          </w:tcPr>
          <w:p w14:paraId="59D32F24">
            <w:pPr>
              <w:spacing w:line="400" w:lineRule="atLeast"/>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说明与要求</w:t>
            </w:r>
          </w:p>
        </w:tc>
      </w:tr>
      <w:tr w14:paraId="4E6ED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94" w:type="dxa"/>
            <w:vAlign w:val="center"/>
          </w:tcPr>
          <w:p w14:paraId="30FD36AD">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w:t>
            </w:r>
          </w:p>
        </w:tc>
        <w:tc>
          <w:tcPr>
            <w:tcW w:w="1715" w:type="dxa"/>
            <w:vAlign w:val="center"/>
          </w:tcPr>
          <w:p w14:paraId="4EB4C3E5">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采购人</w:t>
            </w:r>
          </w:p>
        </w:tc>
        <w:tc>
          <w:tcPr>
            <w:tcW w:w="7821" w:type="dxa"/>
            <w:vAlign w:val="center"/>
          </w:tcPr>
          <w:p w14:paraId="5494871D">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采购人1信息</w:t>
            </w:r>
          </w:p>
          <w:p w14:paraId="135A41F4">
            <w:pPr>
              <w:widowControl/>
              <w:spacing w:before="75" w:after="75" w:line="360" w:lineRule="auto"/>
              <w:jc w:val="left"/>
              <w:rPr>
                <w:rFonts w:hint="eastAsia" w:cs="Arial" w:asciiTheme="majorEastAsia" w:hAnsiTheme="majorEastAsia" w:eastAsiaTheme="majorEastAsia"/>
                <w:color w:val="auto"/>
                <w:kern w:val="0"/>
                <w:sz w:val="22"/>
                <w:szCs w:val="22"/>
                <w:highlight w:val="none"/>
                <w:lang w:eastAsia="zh-CN"/>
              </w:rPr>
            </w:pPr>
            <w:r>
              <w:rPr>
                <w:rFonts w:hint="eastAsia" w:cs="Arial" w:asciiTheme="majorEastAsia" w:hAnsiTheme="majorEastAsia" w:eastAsiaTheme="majorEastAsia"/>
                <w:color w:val="auto"/>
                <w:kern w:val="0"/>
                <w:sz w:val="22"/>
                <w:szCs w:val="22"/>
                <w:highlight w:val="none"/>
              </w:rPr>
              <w:t>名称：永嘉县人民医院</w:t>
            </w:r>
            <w:r>
              <w:rPr>
                <w:rFonts w:hint="eastAsia" w:cs="Arial" w:asciiTheme="majorEastAsia" w:hAnsiTheme="majorEastAsia" w:eastAsiaTheme="majorEastAsia"/>
                <w:color w:val="auto"/>
                <w:kern w:val="0"/>
                <w:sz w:val="22"/>
                <w:szCs w:val="22"/>
                <w:highlight w:val="none"/>
                <w:lang w:eastAsia="zh-CN"/>
              </w:rPr>
              <w:t>（医共体）</w:t>
            </w:r>
          </w:p>
          <w:p w14:paraId="67754D6B">
            <w:pPr>
              <w:widowControl/>
              <w:spacing w:before="75" w:after="75" w:line="360" w:lineRule="auto"/>
              <w:jc w:val="left"/>
              <w:rPr>
                <w:rFonts w:hint="eastAsia" w:cs="Arial" w:asciiTheme="majorEastAsia" w:hAnsiTheme="majorEastAsia" w:eastAsiaTheme="majorEastAsia"/>
                <w:color w:val="auto"/>
                <w:kern w:val="0"/>
                <w:sz w:val="22"/>
                <w:szCs w:val="22"/>
                <w:highlight w:val="none"/>
                <w:lang w:eastAsia="zh-CN"/>
              </w:rPr>
            </w:pPr>
            <w:r>
              <w:rPr>
                <w:rFonts w:hint="eastAsia" w:cs="Arial" w:asciiTheme="majorEastAsia" w:hAnsiTheme="majorEastAsia" w:eastAsiaTheme="majorEastAsia"/>
                <w:color w:val="auto"/>
                <w:kern w:val="0"/>
                <w:sz w:val="22"/>
                <w:szCs w:val="22"/>
                <w:highlight w:val="none"/>
              </w:rPr>
              <w:t>地址：</w:t>
            </w:r>
            <w:r>
              <w:rPr>
                <w:rFonts w:hint="eastAsia" w:cs="Arial" w:asciiTheme="majorEastAsia" w:hAnsiTheme="majorEastAsia" w:eastAsiaTheme="majorEastAsia"/>
                <w:color w:val="auto"/>
                <w:kern w:val="0"/>
                <w:sz w:val="22"/>
                <w:szCs w:val="22"/>
                <w:highlight w:val="none"/>
                <w:lang w:eastAsia="zh-CN"/>
              </w:rPr>
              <w:t xml:space="preserve">温州市永嘉县环城北路永中路37号 </w:t>
            </w:r>
          </w:p>
          <w:p w14:paraId="585626BA">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采购人2信息</w:t>
            </w:r>
          </w:p>
          <w:p w14:paraId="79BA01A5">
            <w:pPr>
              <w:spacing w:line="360" w:lineRule="auto"/>
              <w:rPr>
                <w:rFonts w:hint="eastAsia" w:cs="Arial" w:asciiTheme="majorEastAsia" w:hAnsiTheme="majorEastAsia" w:eastAsiaTheme="majorEastAsia"/>
                <w:color w:val="auto"/>
                <w:kern w:val="0"/>
                <w:sz w:val="22"/>
                <w:szCs w:val="22"/>
                <w:highlight w:val="none"/>
                <w:lang w:eastAsia="zh-CN"/>
              </w:rPr>
            </w:pPr>
            <w:r>
              <w:rPr>
                <w:rFonts w:hint="eastAsia" w:cs="Arial" w:asciiTheme="majorEastAsia" w:hAnsiTheme="majorEastAsia" w:eastAsiaTheme="majorEastAsia"/>
                <w:color w:val="auto"/>
                <w:kern w:val="0"/>
                <w:sz w:val="22"/>
                <w:szCs w:val="22"/>
                <w:highlight w:val="none"/>
              </w:rPr>
              <w:t>名称：永嘉县中医医院</w:t>
            </w:r>
            <w:r>
              <w:rPr>
                <w:rFonts w:hint="eastAsia" w:cs="Arial" w:asciiTheme="majorEastAsia" w:hAnsiTheme="majorEastAsia" w:eastAsiaTheme="majorEastAsia"/>
                <w:color w:val="auto"/>
                <w:kern w:val="0"/>
                <w:sz w:val="22"/>
                <w:szCs w:val="22"/>
                <w:highlight w:val="none"/>
                <w:lang w:eastAsia="zh-CN"/>
              </w:rPr>
              <w:t>（医共体）</w:t>
            </w:r>
          </w:p>
          <w:p w14:paraId="5761DB25">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hint="eastAsia" w:cs="Arial" w:asciiTheme="majorEastAsia" w:hAnsiTheme="majorEastAsia" w:eastAsiaTheme="majorEastAsia"/>
                <w:color w:val="auto"/>
                <w:kern w:val="0"/>
                <w:sz w:val="22"/>
                <w:szCs w:val="22"/>
                <w:highlight w:val="none"/>
              </w:rPr>
              <w:t>地址：永嘉县瓯北城市新区江北街道公园路6号</w:t>
            </w:r>
          </w:p>
          <w:p w14:paraId="7D711C32">
            <w:pPr>
              <w:widowControl/>
              <w:spacing w:before="75" w:after="75" w:line="360" w:lineRule="auto"/>
              <w:jc w:val="left"/>
              <w:rPr>
                <w:rFonts w:cs="Arial" w:asciiTheme="majorEastAsia" w:hAnsiTheme="majorEastAsia" w:eastAsiaTheme="majorEastAsia"/>
                <w:color w:val="auto"/>
                <w:kern w:val="0"/>
                <w:sz w:val="22"/>
                <w:szCs w:val="22"/>
                <w:highlight w:val="none"/>
              </w:rPr>
            </w:pPr>
            <w:r>
              <w:rPr>
                <w:rFonts w:cs="Arial" w:asciiTheme="majorEastAsia" w:hAnsiTheme="majorEastAsia" w:eastAsiaTheme="majorEastAsia"/>
                <w:color w:val="auto"/>
                <w:kern w:val="0"/>
                <w:sz w:val="22"/>
                <w:szCs w:val="22"/>
                <w:highlight w:val="none"/>
              </w:rPr>
              <w:t>项目联系人（询问）：</w:t>
            </w:r>
            <w:r>
              <w:rPr>
                <w:rFonts w:hint="eastAsia" w:cs="Arial" w:asciiTheme="majorEastAsia" w:hAnsiTheme="majorEastAsia" w:eastAsiaTheme="majorEastAsia"/>
                <w:color w:val="auto"/>
                <w:kern w:val="0"/>
                <w:sz w:val="22"/>
                <w:szCs w:val="22"/>
                <w:highlight w:val="none"/>
              </w:rPr>
              <w:t>周女士、陈</w:t>
            </w:r>
            <w:r>
              <w:rPr>
                <w:rFonts w:cs="Arial" w:asciiTheme="majorEastAsia" w:hAnsiTheme="majorEastAsia" w:eastAsiaTheme="majorEastAsia"/>
                <w:color w:val="auto"/>
                <w:kern w:val="0"/>
                <w:sz w:val="22"/>
                <w:szCs w:val="22"/>
                <w:highlight w:val="none"/>
              </w:rPr>
              <w:t>先生  </w:t>
            </w:r>
          </w:p>
          <w:p w14:paraId="1B560E63">
            <w:pPr>
              <w:widowControl/>
              <w:spacing w:before="75" w:after="75" w:line="360" w:lineRule="auto"/>
              <w:jc w:val="left"/>
              <w:rPr>
                <w:rFonts w:cs="宋体" w:asciiTheme="majorEastAsia" w:hAnsiTheme="majorEastAsia" w:eastAsiaTheme="majorEastAsia"/>
                <w:color w:val="auto"/>
                <w:sz w:val="22"/>
                <w:szCs w:val="22"/>
                <w:highlight w:val="none"/>
              </w:rPr>
            </w:pPr>
            <w:r>
              <w:rPr>
                <w:rFonts w:cs="Arial" w:asciiTheme="majorEastAsia" w:hAnsiTheme="majorEastAsia" w:eastAsiaTheme="majorEastAsia"/>
                <w:color w:val="auto"/>
                <w:kern w:val="0"/>
                <w:sz w:val="22"/>
                <w:szCs w:val="22"/>
                <w:highlight w:val="none"/>
              </w:rPr>
              <w:t>项目联系方式（询问）：0577-5776</w:t>
            </w:r>
            <w:r>
              <w:rPr>
                <w:rFonts w:hint="eastAsia" w:cs="Arial" w:asciiTheme="majorEastAsia" w:hAnsiTheme="majorEastAsia" w:eastAsiaTheme="majorEastAsia"/>
                <w:color w:val="auto"/>
                <w:kern w:val="0"/>
                <w:sz w:val="22"/>
                <w:szCs w:val="22"/>
                <w:highlight w:val="none"/>
                <w:lang w:val="en-US" w:eastAsia="zh-CN"/>
              </w:rPr>
              <w:t>2511</w:t>
            </w:r>
            <w:r>
              <w:rPr>
                <w:rFonts w:hint="eastAsia" w:cs="Arial" w:asciiTheme="majorEastAsia" w:hAnsiTheme="majorEastAsia" w:eastAsiaTheme="majorEastAsia"/>
                <w:color w:val="auto"/>
                <w:kern w:val="0"/>
                <w:sz w:val="22"/>
                <w:szCs w:val="22"/>
                <w:highlight w:val="none"/>
              </w:rPr>
              <w:t>、</w:t>
            </w:r>
            <w:r>
              <w:rPr>
                <w:rFonts w:hint="eastAsia" w:cs="新宋体" w:asciiTheme="majorEastAsia" w:hAnsiTheme="majorEastAsia" w:eastAsiaTheme="majorEastAsia"/>
                <w:bCs/>
                <w:color w:val="auto"/>
                <w:kern w:val="0"/>
                <w:sz w:val="22"/>
                <w:szCs w:val="22"/>
                <w:highlight w:val="none"/>
              </w:rPr>
              <w:t>0577-</w:t>
            </w:r>
            <w:r>
              <w:rPr>
                <w:rFonts w:cs="新宋体" w:asciiTheme="majorEastAsia" w:hAnsiTheme="majorEastAsia" w:eastAsiaTheme="majorEastAsia"/>
                <w:bCs/>
                <w:color w:val="auto"/>
                <w:kern w:val="0"/>
                <w:sz w:val="22"/>
                <w:szCs w:val="22"/>
                <w:highlight w:val="none"/>
              </w:rPr>
              <w:t>57886068</w:t>
            </w:r>
            <w:r>
              <w:rPr>
                <w:rFonts w:cs="Arial" w:asciiTheme="majorEastAsia" w:hAnsiTheme="majorEastAsia" w:eastAsiaTheme="majorEastAsia"/>
                <w:color w:val="auto"/>
                <w:kern w:val="0"/>
                <w:sz w:val="22"/>
                <w:szCs w:val="22"/>
                <w:highlight w:val="none"/>
              </w:rPr>
              <w:t> </w:t>
            </w:r>
          </w:p>
        </w:tc>
      </w:tr>
      <w:tr w14:paraId="11D4A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76C9DD6C">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w:t>
            </w:r>
          </w:p>
        </w:tc>
        <w:tc>
          <w:tcPr>
            <w:tcW w:w="1715" w:type="dxa"/>
            <w:vAlign w:val="center"/>
          </w:tcPr>
          <w:p w14:paraId="289880CA">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采购代理机构</w:t>
            </w:r>
          </w:p>
        </w:tc>
        <w:tc>
          <w:tcPr>
            <w:tcW w:w="7821" w:type="dxa"/>
            <w:vAlign w:val="center"/>
          </w:tcPr>
          <w:p w14:paraId="1D637E7A">
            <w:pPr>
              <w:adjustRightInd w:val="0"/>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采购代理机构名称：温州市中概工程管理咨询有限公司</w:t>
            </w:r>
          </w:p>
          <w:p w14:paraId="7BC3D1FB">
            <w:pPr>
              <w:adjustRightInd w:val="0"/>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地点：温州市永嘉县南城街道环城北路云碓大厦503室</w:t>
            </w:r>
          </w:p>
          <w:p w14:paraId="5D07287D">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联 系 人：胡可可</w:t>
            </w:r>
          </w:p>
          <w:p w14:paraId="7D65A250">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联系电话：15258683545</w:t>
            </w:r>
          </w:p>
        </w:tc>
      </w:tr>
      <w:tr w14:paraId="42F8A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4DAAB165">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w:t>
            </w:r>
          </w:p>
        </w:tc>
        <w:tc>
          <w:tcPr>
            <w:tcW w:w="1715" w:type="dxa"/>
            <w:vAlign w:val="center"/>
          </w:tcPr>
          <w:p w14:paraId="63664F3D">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项目名称及项目编号</w:t>
            </w:r>
          </w:p>
        </w:tc>
        <w:tc>
          <w:tcPr>
            <w:tcW w:w="7821" w:type="dxa"/>
            <w:vAlign w:val="center"/>
          </w:tcPr>
          <w:p w14:paraId="19F61765">
            <w:pPr>
              <w:rPr>
                <w:rFonts w:hint="eastAsia" w:ascii="新宋体" w:hAnsi="新宋体" w:eastAsia="新宋体" w:cs="新宋体"/>
                <w:color w:val="auto"/>
                <w:kern w:val="0"/>
                <w:sz w:val="22"/>
                <w:szCs w:val="22"/>
                <w:highlight w:val="none"/>
                <w:lang w:eastAsia="zh-CN"/>
              </w:rPr>
            </w:pPr>
            <w:r>
              <w:rPr>
                <w:rFonts w:hint="eastAsia" w:ascii="新宋体" w:hAnsi="新宋体" w:eastAsia="新宋体" w:cs="新宋体"/>
                <w:color w:val="auto"/>
                <w:kern w:val="0"/>
                <w:sz w:val="22"/>
                <w:szCs w:val="22"/>
                <w:highlight w:val="none"/>
              </w:rPr>
              <w:t>项目名称：</w:t>
            </w:r>
            <w:r>
              <w:rPr>
                <w:rFonts w:hint="eastAsia" w:cs="宋体" w:asciiTheme="majorEastAsia" w:hAnsiTheme="majorEastAsia" w:eastAsiaTheme="majorEastAsia"/>
                <w:bCs/>
                <w:color w:val="auto"/>
                <w:sz w:val="22"/>
                <w:szCs w:val="22"/>
                <w:highlight w:val="none"/>
                <w:lang w:eastAsia="zh-CN"/>
              </w:rPr>
              <w:t>永嘉县医共体急诊平台建设</w:t>
            </w:r>
          </w:p>
          <w:p w14:paraId="08561C35">
            <w:pPr>
              <w:rPr>
                <w:rFonts w:hint="eastAsia" w:eastAsia="新宋体" w:cs="宋体" w:asciiTheme="majorEastAsia" w:hAnsiTheme="majorEastAsia"/>
                <w:color w:val="auto"/>
                <w:sz w:val="22"/>
                <w:szCs w:val="22"/>
                <w:highlight w:val="none"/>
                <w:lang w:eastAsia="zh-CN"/>
              </w:rPr>
            </w:pPr>
            <w:r>
              <w:rPr>
                <w:rFonts w:hint="eastAsia" w:ascii="新宋体" w:hAnsi="新宋体" w:eastAsia="新宋体" w:cs="新宋体"/>
                <w:color w:val="auto"/>
                <w:kern w:val="0"/>
                <w:sz w:val="22"/>
                <w:szCs w:val="22"/>
                <w:highlight w:val="none"/>
              </w:rPr>
              <w:t>项目编号：</w:t>
            </w:r>
            <w:r>
              <w:rPr>
                <w:rFonts w:hint="eastAsia" w:cs="宋体" w:asciiTheme="majorEastAsia" w:hAnsiTheme="majorEastAsia" w:eastAsiaTheme="majorEastAsia"/>
                <w:color w:val="auto"/>
                <w:sz w:val="22"/>
                <w:szCs w:val="22"/>
                <w:highlight w:val="none"/>
                <w:lang w:eastAsia="zh-CN"/>
              </w:rPr>
              <w:t>ZGCG-20241028</w:t>
            </w:r>
          </w:p>
        </w:tc>
      </w:tr>
      <w:tr w14:paraId="73C10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2D5F6E9F">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4</w:t>
            </w:r>
          </w:p>
        </w:tc>
        <w:tc>
          <w:tcPr>
            <w:tcW w:w="1715" w:type="dxa"/>
            <w:vAlign w:val="center"/>
          </w:tcPr>
          <w:p w14:paraId="7D96EECA">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采购预算</w:t>
            </w:r>
          </w:p>
        </w:tc>
        <w:tc>
          <w:tcPr>
            <w:tcW w:w="7821" w:type="dxa"/>
            <w:vAlign w:val="center"/>
          </w:tcPr>
          <w:p w14:paraId="16154C66">
            <w:pPr>
              <w:adjustRightInd w:val="0"/>
              <w:rPr>
                <w:rFonts w:cs="宋体" w:asciiTheme="majorEastAsia" w:hAnsiTheme="majorEastAsia" w:eastAsiaTheme="majorEastAsia"/>
                <w:color w:val="auto"/>
                <w:sz w:val="22"/>
                <w:szCs w:val="22"/>
                <w:highlight w:val="none"/>
              </w:rPr>
            </w:pPr>
            <w:r>
              <w:rPr>
                <w:rFonts w:cs="宋体" w:asciiTheme="majorEastAsia" w:hAnsiTheme="majorEastAsia" w:eastAsiaTheme="majorEastAsia"/>
                <w:color w:val="auto"/>
                <w:sz w:val="22"/>
                <w:szCs w:val="22"/>
                <w:highlight w:val="none"/>
              </w:rPr>
              <w:t>见</w:t>
            </w:r>
            <w:r>
              <w:rPr>
                <w:rFonts w:hint="eastAsia" w:cs="宋体" w:asciiTheme="majorEastAsia" w:hAnsiTheme="majorEastAsia" w:eastAsiaTheme="majorEastAsia"/>
                <w:color w:val="auto"/>
                <w:sz w:val="22"/>
                <w:szCs w:val="22"/>
                <w:highlight w:val="none"/>
              </w:rPr>
              <w:t>招标</w:t>
            </w:r>
            <w:r>
              <w:rPr>
                <w:rFonts w:cs="宋体" w:asciiTheme="majorEastAsia" w:hAnsiTheme="majorEastAsia" w:eastAsiaTheme="majorEastAsia"/>
                <w:color w:val="auto"/>
                <w:sz w:val="22"/>
                <w:szCs w:val="22"/>
                <w:highlight w:val="none"/>
              </w:rPr>
              <w:t>公告</w:t>
            </w:r>
          </w:p>
        </w:tc>
      </w:tr>
      <w:tr w14:paraId="29716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4ADCEFD2">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5</w:t>
            </w:r>
          </w:p>
        </w:tc>
        <w:tc>
          <w:tcPr>
            <w:tcW w:w="1715" w:type="dxa"/>
            <w:vAlign w:val="center"/>
          </w:tcPr>
          <w:p w14:paraId="03B292F2">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评标办法</w:t>
            </w:r>
          </w:p>
        </w:tc>
        <w:tc>
          <w:tcPr>
            <w:tcW w:w="7821" w:type="dxa"/>
            <w:vAlign w:val="center"/>
          </w:tcPr>
          <w:p w14:paraId="421BFA8B">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综合评分法</w:t>
            </w:r>
          </w:p>
        </w:tc>
      </w:tr>
      <w:tr w14:paraId="5DCAA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08E52231">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6</w:t>
            </w:r>
          </w:p>
        </w:tc>
        <w:tc>
          <w:tcPr>
            <w:tcW w:w="1715" w:type="dxa"/>
            <w:vAlign w:val="center"/>
          </w:tcPr>
          <w:p w14:paraId="4B6190A2">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采购内容</w:t>
            </w:r>
          </w:p>
        </w:tc>
        <w:tc>
          <w:tcPr>
            <w:tcW w:w="7821" w:type="dxa"/>
            <w:vAlign w:val="center"/>
          </w:tcPr>
          <w:p w14:paraId="00FE533C">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具体内容见招标文件。</w:t>
            </w:r>
          </w:p>
        </w:tc>
      </w:tr>
      <w:tr w14:paraId="4BF2D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4816E646">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7</w:t>
            </w:r>
          </w:p>
        </w:tc>
        <w:tc>
          <w:tcPr>
            <w:tcW w:w="1715" w:type="dxa"/>
            <w:vAlign w:val="center"/>
          </w:tcPr>
          <w:p w14:paraId="6561FB58">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供应商资格要求</w:t>
            </w:r>
          </w:p>
        </w:tc>
        <w:tc>
          <w:tcPr>
            <w:tcW w:w="7821" w:type="dxa"/>
            <w:vAlign w:val="center"/>
          </w:tcPr>
          <w:p w14:paraId="224E35E2">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见招标公告</w:t>
            </w:r>
          </w:p>
        </w:tc>
      </w:tr>
      <w:tr w14:paraId="0026E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3AAE782A">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8</w:t>
            </w:r>
          </w:p>
        </w:tc>
        <w:tc>
          <w:tcPr>
            <w:tcW w:w="1715" w:type="dxa"/>
            <w:vAlign w:val="center"/>
          </w:tcPr>
          <w:p w14:paraId="769C4A45">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是否接受联合体投标</w:t>
            </w:r>
          </w:p>
        </w:tc>
        <w:tc>
          <w:tcPr>
            <w:tcW w:w="7821" w:type="dxa"/>
            <w:vAlign w:val="center"/>
          </w:tcPr>
          <w:p w14:paraId="4B7AEF4B">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fldChar w:fldCharType="begin"/>
            </w:r>
            <w:r>
              <w:rPr>
                <w:rFonts w:hint="eastAsia" w:cs="宋体" w:asciiTheme="majorEastAsia" w:hAnsiTheme="majorEastAsia" w:eastAsiaTheme="majorEastAsia"/>
                <w:color w:val="auto"/>
                <w:sz w:val="22"/>
                <w:szCs w:val="22"/>
                <w:highlight w:val="none"/>
              </w:rPr>
              <w:instrText xml:space="preserve">eq \o\ac(□,√)</w:instrText>
            </w:r>
            <w:r>
              <w:rPr>
                <w:rFonts w:hint="eastAsia" w:cs="宋体" w:asciiTheme="majorEastAsia" w:hAnsiTheme="majorEastAsia" w:eastAsiaTheme="majorEastAsia"/>
                <w:color w:val="auto"/>
                <w:sz w:val="22"/>
                <w:szCs w:val="22"/>
                <w:highlight w:val="none"/>
              </w:rPr>
              <w:fldChar w:fldCharType="end"/>
            </w:r>
            <w:r>
              <w:rPr>
                <w:rFonts w:hint="eastAsia" w:cs="宋体" w:asciiTheme="majorEastAsia" w:hAnsiTheme="majorEastAsia" w:eastAsiaTheme="majorEastAsia"/>
                <w:color w:val="auto"/>
                <w:sz w:val="22"/>
                <w:szCs w:val="22"/>
                <w:highlight w:val="none"/>
              </w:rPr>
              <w:t>不接受</w:t>
            </w:r>
          </w:p>
          <w:p w14:paraId="48BFAFD1">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□接受，应满足下列要求：</w:t>
            </w:r>
          </w:p>
        </w:tc>
      </w:tr>
      <w:tr w14:paraId="440DD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694" w:type="dxa"/>
            <w:vAlign w:val="center"/>
          </w:tcPr>
          <w:p w14:paraId="00461FB0">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9</w:t>
            </w:r>
          </w:p>
        </w:tc>
        <w:tc>
          <w:tcPr>
            <w:tcW w:w="1715" w:type="dxa"/>
            <w:vAlign w:val="center"/>
          </w:tcPr>
          <w:p w14:paraId="196A3520">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踏勘现场</w:t>
            </w:r>
          </w:p>
        </w:tc>
        <w:tc>
          <w:tcPr>
            <w:tcW w:w="7821" w:type="dxa"/>
            <w:vAlign w:val="center"/>
          </w:tcPr>
          <w:p w14:paraId="74F7FE92">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fldChar w:fldCharType="begin"/>
            </w:r>
            <w:r>
              <w:rPr>
                <w:rFonts w:hint="eastAsia" w:cs="宋体" w:asciiTheme="majorEastAsia" w:hAnsiTheme="majorEastAsia" w:eastAsiaTheme="majorEastAsia"/>
                <w:color w:val="auto"/>
                <w:sz w:val="22"/>
                <w:szCs w:val="22"/>
                <w:highlight w:val="none"/>
              </w:rPr>
              <w:instrText xml:space="preserve">eq \o\ac(□,√)</w:instrText>
            </w:r>
            <w:r>
              <w:rPr>
                <w:rFonts w:hint="eastAsia" w:cs="宋体" w:asciiTheme="majorEastAsia" w:hAnsiTheme="majorEastAsia" w:eastAsiaTheme="majorEastAsia"/>
                <w:color w:val="auto"/>
                <w:sz w:val="22"/>
                <w:szCs w:val="22"/>
                <w:highlight w:val="none"/>
              </w:rPr>
              <w:fldChar w:fldCharType="end"/>
            </w:r>
            <w:r>
              <w:rPr>
                <w:rFonts w:hint="eastAsia" w:cs="宋体" w:asciiTheme="majorEastAsia" w:hAnsiTheme="majorEastAsia" w:eastAsiaTheme="majorEastAsia"/>
                <w:color w:val="auto"/>
                <w:sz w:val="22"/>
                <w:szCs w:val="22"/>
                <w:highlight w:val="none"/>
              </w:rPr>
              <w:t>不组织</w:t>
            </w:r>
          </w:p>
          <w:p w14:paraId="6F2C5A40">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 xml:space="preserve">□组织   </w:t>
            </w:r>
          </w:p>
        </w:tc>
      </w:tr>
      <w:tr w14:paraId="6DE0B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4353ADC7">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10</w:t>
            </w:r>
          </w:p>
        </w:tc>
        <w:tc>
          <w:tcPr>
            <w:tcW w:w="1715" w:type="dxa"/>
            <w:vAlign w:val="center"/>
          </w:tcPr>
          <w:p w14:paraId="3B459426">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是否允许递交备选投标方案</w:t>
            </w:r>
          </w:p>
        </w:tc>
        <w:tc>
          <w:tcPr>
            <w:tcW w:w="7821" w:type="dxa"/>
            <w:vAlign w:val="center"/>
          </w:tcPr>
          <w:p w14:paraId="3562A1E4">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fldChar w:fldCharType="begin"/>
            </w:r>
            <w:r>
              <w:rPr>
                <w:rFonts w:hint="eastAsia" w:cs="宋体" w:asciiTheme="majorEastAsia" w:hAnsiTheme="majorEastAsia" w:eastAsiaTheme="majorEastAsia"/>
                <w:color w:val="auto"/>
                <w:sz w:val="22"/>
                <w:szCs w:val="22"/>
                <w:highlight w:val="none"/>
              </w:rPr>
              <w:instrText xml:space="preserve">eq \o\ac(□,√)</w:instrText>
            </w:r>
            <w:r>
              <w:rPr>
                <w:rFonts w:hint="eastAsia" w:cs="宋体" w:asciiTheme="majorEastAsia" w:hAnsiTheme="majorEastAsia" w:eastAsiaTheme="majorEastAsia"/>
                <w:color w:val="auto"/>
                <w:sz w:val="22"/>
                <w:szCs w:val="22"/>
                <w:highlight w:val="none"/>
              </w:rPr>
              <w:fldChar w:fldCharType="end"/>
            </w:r>
            <w:r>
              <w:rPr>
                <w:rFonts w:hint="eastAsia" w:cs="宋体" w:asciiTheme="majorEastAsia" w:hAnsiTheme="majorEastAsia" w:eastAsiaTheme="majorEastAsia"/>
                <w:color w:val="auto"/>
                <w:sz w:val="22"/>
                <w:szCs w:val="22"/>
                <w:highlight w:val="none"/>
              </w:rPr>
              <w:t xml:space="preserve"> 不允许</w:t>
            </w:r>
          </w:p>
          <w:p w14:paraId="7E4141D0">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 允许</w:t>
            </w:r>
          </w:p>
        </w:tc>
      </w:tr>
      <w:tr w14:paraId="2DEC7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5A94C959">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11</w:t>
            </w:r>
          </w:p>
        </w:tc>
        <w:tc>
          <w:tcPr>
            <w:tcW w:w="1715" w:type="dxa"/>
            <w:vAlign w:val="center"/>
          </w:tcPr>
          <w:p w14:paraId="26918735">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分包</w:t>
            </w:r>
          </w:p>
        </w:tc>
        <w:tc>
          <w:tcPr>
            <w:tcW w:w="7821" w:type="dxa"/>
            <w:vAlign w:val="center"/>
          </w:tcPr>
          <w:p w14:paraId="099870AA">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 允许</w:t>
            </w:r>
          </w:p>
          <w:p w14:paraId="477A3A26">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sym w:font="Wingdings" w:char="00FE"/>
            </w:r>
            <w:r>
              <w:rPr>
                <w:rFonts w:hint="eastAsia" w:cs="宋体" w:asciiTheme="majorEastAsia" w:hAnsiTheme="majorEastAsia" w:eastAsiaTheme="majorEastAsia"/>
                <w:color w:val="auto"/>
                <w:sz w:val="22"/>
                <w:szCs w:val="22"/>
                <w:highlight w:val="none"/>
              </w:rPr>
              <w:t>不允许</w:t>
            </w:r>
          </w:p>
        </w:tc>
      </w:tr>
      <w:tr w14:paraId="6BA01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522C4B39">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12</w:t>
            </w:r>
          </w:p>
        </w:tc>
        <w:tc>
          <w:tcPr>
            <w:tcW w:w="1715" w:type="dxa"/>
            <w:vAlign w:val="center"/>
          </w:tcPr>
          <w:p w14:paraId="5905BFE4">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报价货币</w:t>
            </w:r>
          </w:p>
        </w:tc>
        <w:tc>
          <w:tcPr>
            <w:tcW w:w="7821" w:type="dxa"/>
            <w:vAlign w:val="center"/>
          </w:tcPr>
          <w:p w14:paraId="2D9D7334">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人民币</w:t>
            </w:r>
          </w:p>
        </w:tc>
      </w:tr>
      <w:tr w14:paraId="7F70E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10F7F6C6">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13</w:t>
            </w:r>
          </w:p>
        </w:tc>
        <w:tc>
          <w:tcPr>
            <w:tcW w:w="1715" w:type="dxa"/>
            <w:vAlign w:val="center"/>
          </w:tcPr>
          <w:p w14:paraId="735E76E1">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报价语言</w:t>
            </w:r>
          </w:p>
        </w:tc>
        <w:tc>
          <w:tcPr>
            <w:tcW w:w="7821" w:type="dxa"/>
            <w:vAlign w:val="center"/>
          </w:tcPr>
          <w:p w14:paraId="072FFA04">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中文</w:t>
            </w:r>
          </w:p>
        </w:tc>
      </w:tr>
      <w:tr w14:paraId="678FE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3E794CA3">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14</w:t>
            </w:r>
          </w:p>
        </w:tc>
        <w:tc>
          <w:tcPr>
            <w:tcW w:w="1715" w:type="dxa"/>
            <w:vAlign w:val="center"/>
          </w:tcPr>
          <w:p w14:paraId="59DD4C1D">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投标保证金</w:t>
            </w:r>
          </w:p>
        </w:tc>
        <w:tc>
          <w:tcPr>
            <w:tcW w:w="7821" w:type="dxa"/>
            <w:vAlign w:val="center"/>
          </w:tcPr>
          <w:p w14:paraId="1566C8BE">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fldChar w:fldCharType="begin"/>
            </w:r>
            <w:r>
              <w:rPr>
                <w:rFonts w:hint="eastAsia" w:cs="宋体" w:asciiTheme="majorEastAsia" w:hAnsiTheme="majorEastAsia" w:eastAsiaTheme="majorEastAsia"/>
                <w:color w:val="auto"/>
                <w:sz w:val="22"/>
                <w:szCs w:val="22"/>
                <w:highlight w:val="none"/>
              </w:rPr>
              <w:instrText xml:space="preserve">eq \o\ac(□,√)</w:instrText>
            </w:r>
            <w:r>
              <w:rPr>
                <w:rFonts w:hint="eastAsia" w:cs="宋体" w:asciiTheme="majorEastAsia" w:hAnsiTheme="majorEastAsia" w:eastAsiaTheme="majorEastAsia"/>
                <w:color w:val="auto"/>
                <w:sz w:val="22"/>
                <w:szCs w:val="22"/>
                <w:highlight w:val="none"/>
              </w:rPr>
              <w:fldChar w:fldCharType="end"/>
            </w:r>
            <w:r>
              <w:rPr>
                <w:rFonts w:hint="eastAsia" w:cs="宋体" w:asciiTheme="majorEastAsia" w:hAnsiTheme="majorEastAsia" w:eastAsiaTheme="majorEastAsia"/>
                <w:color w:val="auto"/>
                <w:sz w:val="22"/>
                <w:szCs w:val="22"/>
                <w:highlight w:val="none"/>
              </w:rPr>
              <w:t>不需要</w:t>
            </w:r>
          </w:p>
          <w:p w14:paraId="406497F0">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□需要</w:t>
            </w:r>
          </w:p>
        </w:tc>
      </w:tr>
      <w:tr w14:paraId="79872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0E8D31CC">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15</w:t>
            </w:r>
          </w:p>
        </w:tc>
        <w:tc>
          <w:tcPr>
            <w:tcW w:w="1715" w:type="dxa"/>
            <w:vAlign w:val="center"/>
          </w:tcPr>
          <w:p w14:paraId="632772F7">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履约担保</w:t>
            </w:r>
          </w:p>
        </w:tc>
        <w:tc>
          <w:tcPr>
            <w:tcW w:w="7821" w:type="dxa"/>
            <w:vAlign w:val="center"/>
          </w:tcPr>
          <w:p w14:paraId="21DB4C3D">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fldChar w:fldCharType="begin"/>
            </w:r>
            <w:r>
              <w:rPr>
                <w:rFonts w:hint="eastAsia" w:cs="宋体" w:asciiTheme="majorEastAsia" w:hAnsiTheme="majorEastAsia" w:eastAsiaTheme="majorEastAsia"/>
                <w:color w:val="auto"/>
                <w:sz w:val="22"/>
                <w:szCs w:val="22"/>
                <w:highlight w:val="none"/>
              </w:rPr>
              <w:instrText xml:space="preserve">eq \o\ac(□)</w:instrText>
            </w:r>
            <w:r>
              <w:rPr>
                <w:rFonts w:hint="eastAsia" w:cs="宋体" w:asciiTheme="majorEastAsia" w:hAnsiTheme="majorEastAsia" w:eastAsiaTheme="majorEastAsia"/>
                <w:color w:val="auto"/>
                <w:sz w:val="22"/>
                <w:szCs w:val="22"/>
                <w:highlight w:val="none"/>
              </w:rPr>
              <w:fldChar w:fldCharType="end"/>
            </w:r>
            <w:r>
              <w:rPr>
                <w:rFonts w:hint="eastAsia" w:cs="宋体" w:asciiTheme="majorEastAsia" w:hAnsiTheme="majorEastAsia" w:eastAsiaTheme="majorEastAsia"/>
                <w:color w:val="auto"/>
                <w:sz w:val="22"/>
                <w:szCs w:val="22"/>
                <w:highlight w:val="none"/>
              </w:rPr>
              <w:t>不需要</w:t>
            </w:r>
          </w:p>
          <w:p w14:paraId="599D5976">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sym w:font="Wingdings 2" w:char="0052"/>
            </w:r>
            <w:r>
              <w:rPr>
                <w:rFonts w:hint="eastAsia" w:cs="宋体" w:asciiTheme="majorEastAsia" w:hAnsiTheme="majorEastAsia" w:eastAsiaTheme="majorEastAsia"/>
                <w:color w:val="auto"/>
                <w:sz w:val="22"/>
                <w:szCs w:val="22"/>
                <w:highlight w:val="none"/>
              </w:rPr>
              <w:t xml:space="preserve">需要 </w:t>
            </w:r>
            <w:r>
              <w:rPr>
                <w:rFonts w:hint="eastAsia" w:cs="宋体" w:asciiTheme="majorEastAsia" w:hAnsiTheme="majorEastAsia" w:eastAsiaTheme="majorEastAsia"/>
                <w:bCs/>
                <w:color w:val="auto"/>
                <w:sz w:val="22"/>
                <w:szCs w:val="22"/>
                <w:highlight w:val="none"/>
              </w:rPr>
              <w:t xml:space="preserve"> 合同签订后成交供应商应提供合同总金额1%的履约保证金至采购人指定账户，履约保证金可以以银行或保险公司出具的保函作为履约保函。</w:t>
            </w:r>
          </w:p>
        </w:tc>
      </w:tr>
      <w:tr w14:paraId="2465D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41EA8F55">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16</w:t>
            </w:r>
          </w:p>
        </w:tc>
        <w:tc>
          <w:tcPr>
            <w:tcW w:w="1715" w:type="dxa"/>
            <w:vAlign w:val="center"/>
          </w:tcPr>
          <w:p w14:paraId="0E3F1458">
            <w:pPr>
              <w:jc w:val="center"/>
              <w:rPr>
                <w:rFonts w:cs="宋体" w:asciiTheme="majorEastAsia" w:hAnsiTheme="majorEastAsia" w:eastAsiaTheme="majorEastAsia"/>
                <w:b/>
                <w:color w:val="auto"/>
                <w:sz w:val="22"/>
                <w:szCs w:val="22"/>
                <w:highlight w:val="none"/>
              </w:rPr>
            </w:pPr>
            <w:r>
              <w:rPr>
                <w:rFonts w:hint="eastAsia" w:cs="宋体" w:asciiTheme="majorEastAsia" w:hAnsiTheme="majorEastAsia" w:eastAsiaTheme="majorEastAsia"/>
                <w:b/>
                <w:color w:val="auto"/>
                <w:sz w:val="22"/>
                <w:szCs w:val="22"/>
                <w:highlight w:val="none"/>
              </w:rPr>
              <w:t>投标文件递交截止时间及开标时间</w:t>
            </w:r>
          </w:p>
        </w:tc>
        <w:tc>
          <w:tcPr>
            <w:tcW w:w="7821" w:type="dxa"/>
            <w:vAlign w:val="center"/>
          </w:tcPr>
          <w:p w14:paraId="4C98CDE9">
            <w:pPr>
              <w:rPr>
                <w:rFonts w:cs="宋体" w:asciiTheme="majorEastAsia" w:hAnsiTheme="majorEastAsia" w:eastAsiaTheme="majorEastAsia"/>
                <w:b/>
                <w:color w:val="auto"/>
                <w:sz w:val="22"/>
                <w:szCs w:val="22"/>
                <w:highlight w:val="none"/>
              </w:rPr>
            </w:pPr>
            <w:r>
              <w:rPr>
                <w:rFonts w:hint="eastAsia" w:cs="宋体" w:asciiTheme="majorEastAsia" w:hAnsiTheme="majorEastAsia" w:eastAsiaTheme="majorEastAsia"/>
                <w:b/>
                <w:i/>
                <w:color w:val="auto"/>
                <w:sz w:val="22"/>
                <w:szCs w:val="22"/>
                <w:highlight w:val="none"/>
              </w:rPr>
              <w:t xml:space="preserve"> 2024年11月18日09:30 截</w:t>
            </w:r>
            <w:r>
              <w:rPr>
                <w:rFonts w:hint="eastAsia" w:cs="宋体" w:asciiTheme="majorEastAsia" w:hAnsiTheme="majorEastAsia" w:eastAsiaTheme="majorEastAsia"/>
                <w:b/>
                <w:color w:val="auto"/>
                <w:sz w:val="22"/>
                <w:szCs w:val="22"/>
                <w:highlight w:val="none"/>
              </w:rPr>
              <w:t>止(北京时间)。</w:t>
            </w:r>
          </w:p>
        </w:tc>
      </w:tr>
      <w:tr w14:paraId="613A9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3FE941FB">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17</w:t>
            </w:r>
          </w:p>
        </w:tc>
        <w:tc>
          <w:tcPr>
            <w:tcW w:w="1715" w:type="dxa"/>
            <w:vAlign w:val="center"/>
          </w:tcPr>
          <w:p w14:paraId="5E27A189">
            <w:pPr>
              <w:jc w:val="center"/>
              <w:rPr>
                <w:rFonts w:cs="宋体" w:asciiTheme="majorEastAsia" w:hAnsiTheme="majorEastAsia" w:eastAsiaTheme="majorEastAsia"/>
                <w:b/>
                <w:color w:val="auto"/>
                <w:sz w:val="22"/>
                <w:szCs w:val="22"/>
                <w:highlight w:val="none"/>
              </w:rPr>
            </w:pPr>
            <w:r>
              <w:rPr>
                <w:rFonts w:hint="eastAsia" w:cs="宋体" w:asciiTheme="majorEastAsia" w:hAnsiTheme="majorEastAsia" w:eastAsiaTheme="majorEastAsia"/>
                <w:b/>
                <w:color w:val="auto"/>
                <w:sz w:val="22"/>
                <w:szCs w:val="22"/>
                <w:highlight w:val="none"/>
                <w:lang w:bidi="ar"/>
              </w:rPr>
              <w:t>评标地址</w:t>
            </w:r>
          </w:p>
        </w:tc>
        <w:tc>
          <w:tcPr>
            <w:tcW w:w="7821" w:type="dxa"/>
            <w:vAlign w:val="center"/>
          </w:tcPr>
          <w:p w14:paraId="2AEAB481">
            <w:pPr>
              <w:rPr>
                <w:rStyle w:val="93"/>
                <w:rFonts w:cs="宋体" w:asciiTheme="majorEastAsia" w:hAnsiTheme="majorEastAsia" w:eastAsiaTheme="majorEastAsia"/>
                <w:b/>
                <w:color w:val="auto"/>
                <w:sz w:val="22"/>
                <w:szCs w:val="22"/>
                <w:highlight w:val="none"/>
              </w:rPr>
            </w:pPr>
            <w:r>
              <w:rPr>
                <w:rFonts w:hint="eastAsia" w:cs="宋体" w:asciiTheme="majorEastAsia" w:hAnsiTheme="majorEastAsia" w:eastAsiaTheme="majorEastAsia"/>
                <w:bCs/>
                <w:color w:val="auto"/>
                <w:sz w:val="22"/>
                <w:szCs w:val="22"/>
                <w:highlight w:val="none"/>
              </w:rPr>
              <w:t>温州市永嘉县南城街道环城北路云碓大厦50</w:t>
            </w:r>
            <w:r>
              <w:rPr>
                <w:rFonts w:hint="eastAsia" w:cs="宋体" w:asciiTheme="majorEastAsia" w:hAnsiTheme="majorEastAsia" w:eastAsiaTheme="majorEastAsia"/>
                <w:bCs/>
                <w:color w:val="auto"/>
                <w:sz w:val="22"/>
                <w:szCs w:val="22"/>
                <w:highlight w:val="none"/>
                <w:lang w:val="en-US" w:eastAsia="zh-CN"/>
              </w:rPr>
              <w:t>2</w:t>
            </w:r>
            <w:r>
              <w:rPr>
                <w:rFonts w:hint="eastAsia" w:cs="宋体" w:asciiTheme="majorEastAsia" w:hAnsiTheme="majorEastAsia" w:eastAsiaTheme="majorEastAsia"/>
                <w:bCs/>
                <w:color w:val="auto"/>
                <w:sz w:val="22"/>
                <w:szCs w:val="22"/>
                <w:highlight w:val="none"/>
              </w:rPr>
              <w:t>室</w:t>
            </w:r>
          </w:p>
        </w:tc>
      </w:tr>
      <w:tr w14:paraId="44D59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1" w:hRule="atLeast"/>
          <w:jc w:val="center"/>
        </w:trPr>
        <w:tc>
          <w:tcPr>
            <w:tcW w:w="694" w:type="dxa"/>
            <w:vAlign w:val="center"/>
          </w:tcPr>
          <w:p w14:paraId="39A9EEF1">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18</w:t>
            </w:r>
          </w:p>
        </w:tc>
        <w:tc>
          <w:tcPr>
            <w:tcW w:w="1715" w:type="dxa"/>
            <w:vAlign w:val="center"/>
          </w:tcPr>
          <w:p w14:paraId="749801F7">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投标文件的编制</w:t>
            </w:r>
          </w:p>
        </w:tc>
        <w:tc>
          <w:tcPr>
            <w:tcW w:w="7821" w:type="dxa"/>
            <w:vAlign w:val="center"/>
          </w:tcPr>
          <w:p w14:paraId="536FEDD3">
            <w:pPr>
              <w:adjustRightInd w:val="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供应商应先安装“政采云电子交易客户端”，并按照本招标文件和“政采云平台”的要求，通过“政采云电子交易客户端”编制并加密投标文件。</w:t>
            </w:r>
          </w:p>
        </w:tc>
      </w:tr>
      <w:tr w14:paraId="482E8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80" w:hRule="atLeast"/>
          <w:jc w:val="center"/>
        </w:trPr>
        <w:tc>
          <w:tcPr>
            <w:tcW w:w="694" w:type="dxa"/>
            <w:vAlign w:val="center"/>
          </w:tcPr>
          <w:p w14:paraId="00232219">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19</w:t>
            </w:r>
          </w:p>
        </w:tc>
        <w:tc>
          <w:tcPr>
            <w:tcW w:w="1715" w:type="dxa"/>
            <w:vAlign w:val="center"/>
          </w:tcPr>
          <w:p w14:paraId="71B45A7B">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报价有效期</w:t>
            </w:r>
          </w:p>
        </w:tc>
        <w:tc>
          <w:tcPr>
            <w:tcW w:w="7821" w:type="dxa"/>
            <w:vAlign w:val="center"/>
          </w:tcPr>
          <w:p w14:paraId="4AEA009C">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提交投标文件截止时间起90天内</w:t>
            </w:r>
          </w:p>
        </w:tc>
      </w:tr>
      <w:tr w14:paraId="060CA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0" w:hRule="atLeast"/>
          <w:jc w:val="center"/>
        </w:trPr>
        <w:tc>
          <w:tcPr>
            <w:tcW w:w="694" w:type="dxa"/>
            <w:vAlign w:val="center"/>
          </w:tcPr>
          <w:p w14:paraId="7425218E">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20</w:t>
            </w:r>
          </w:p>
        </w:tc>
        <w:tc>
          <w:tcPr>
            <w:tcW w:w="1715" w:type="dxa"/>
            <w:vAlign w:val="center"/>
          </w:tcPr>
          <w:p w14:paraId="24DAEAF4">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签字或盖章要求</w:t>
            </w:r>
          </w:p>
        </w:tc>
        <w:tc>
          <w:tcPr>
            <w:tcW w:w="7821" w:type="dxa"/>
            <w:vAlign w:val="center"/>
          </w:tcPr>
          <w:p w14:paraId="2D1B2722">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投标文件的相应位置应加盖：电子签章。</w:t>
            </w:r>
          </w:p>
          <w:p w14:paraId="3F3AF63B">
            <w:pPr>
              <w:pStyle w:val="18"/>
              <w:ind w:firstLine="0" w:firstLineChars="0"/>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注：本项目电子招投标活动中的签字与电子签章具有同等法律效应。</w:t>
            </w:r>
          </w:p>
        </w:tc>
      </w:tr>
      <w:tr w14:paraId="5E719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 w:hRule="atLeast"/>
          <w:jc w:val="center"/>
        </w:trPr>
        <w:tc>
          <w:tcPr>
            <w:tcW w:w="694" w:type="dxa"/>
            <w:vAlign w:val="center"/>
          </w:tcPr>
          <w:p w14:paraId="7B9974DA">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21</w:t>
            </w:r>
          </w:p>
        </w:tc>
        <w:tc>
          <w:tcPr>
            <w:tcW w:w="1715" w:type="dxa"/>
            <w:vAlign w:val="center"/>
          </w:tcPr>
          <w:p w14:paraId="4FE6A7EE">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投标文件的形式、制作及组成</w:t>
            </w:r>
          </w:p>
        </w:tc>
        <w:tc>
          <w:tcPr>
            <w:tcW w:w="7821" w:type="dxa"/>
            <w:vAlign w:val="center"/>
          </w:tcPr>
          <w:p w14:paraId="19BCE4DE">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本项目实行在线投标响应（电子投标）。</w:t>
            </w:r>
          </w:p>
          <w:p w14:paraId="3BD280E1">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准备电子投标文件（包括“电子加密投标文件”和“备份投标文件”两类，在投标文件编制完成后同时生成）。</w:t>
            </w:r>
          </w:p>
          <w:p w14:paraId="0B265FCF">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（1）“电子加密投标文件”是指通过“政采云电子交易客户端”完成投标文件编制后生成并加密的数据电文形式的投标文件。</w:t>
            </w:r>
          </w:p>
          <w:p w14:paraId="2079F6A2">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（2）“备份投标文件”是指与“电子加密投标文件”同时生成的数据电文形式的电子文件（备份标书），其他方式编制的备份投标文件视为无效备份投标文件。</w:t>
            </w:r>
          </w:p>
          <w:p w14:paraId="3BF9A437">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以上两类投标文件均由资格文件、报价文件、商务技术文件三部分组成。</w:t>
            </w:r>
          </w:p>
        </w:tc>
      </w:tr>
      <w:tr w14:paraId="1AD80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08" w:hRule="atLeast"/>
          <w:jc w:val="center"/>
        </w:trPr>
        <w:tc>
          <w:tcPr>
            <w:tcW w:w="694" w:type="dxa"/>
            <w:vAlign w:val="center"/>
          </w:tcPr>
          <w:p w14:paraId="68C1E654">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22</w:t>
            </w:r>
          </w:p>
        </w:tc>
        <w:tc>
          <w:tcPr>
            <w:tcW w:w="1715" w:type="dxa"/>
            <w:vAlign w:val="center"/>
          </w:tcPr>
          <w:p w14:paraId="17650693">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投标文件份数</w:t>
            </w:r>
          </w:p>
        </w:tc>
        <w:tc>
          <w:tcPr>
            <w:tcW w:w="7821" w:type="dxa"/>
            <w:vAlign w:val="center"/>
          </w:tcPr>
          <w:p w14:paraId="1C61C73B">
            <w:pPr>
              <w:adjustRightInd w:val="0"/>
              <w:jc w:val="lef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（1）“电子加密投标文件”：在线上传递交、一份。</w:t>
            </w:r>
          </w:p>
          <w:p w14:paraId="2167B12D">
            <w:pPr>
              <w:adjustRightInd w:val="0"/>
              <w:jc w:val="lef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2）“备份投标文件”：以U盘存储，密封包装后（顺丰快递形式）在投标文件递交截止时间及开标时间前递交，送达时间以签收人签收时间为准，一份，邮寄地址：温州市永嘉县南城街道环城北路云碓大厦503室，胡先生收，联系电话：15258683545。</w:t>
            </w:r>
          </w:p>
          <w:p w14:paraId="1032D173">
            <w:pPr>
              <w:pStyle w:val="18"/>
              <w:ind w:firstLine="221"/>
              <w:rPr>
                <w:rFonts w:asciiTheme="majorEastAsia" w:hAnsiTheme="majorEastAsia" w:eastAsiaTheme="majorEastAsia"/>
                <w:b/>
                <w:color w:val="auto"/>
                <w:sz w:val="22"/>
                <w:szCs w:val="22"/>
                <w:highlight w:val="none"/>
              </w:rPr>
            </w:pPr>
            <w:r>
              <w:rPr>
                <w:rFonts w:hint="eastAsia" w:cs="宋体" w:asciiTheme="majorEastAsia" w:hAnsiTheme="majorEastAsia" w:eastAsiaTheme="majorEastAsia"/>
                <w:b/>
                <w:color w:val="auto"/>
                <w:sz w:val="22"/>
                <w:szCs w:val="22"/>
                <w:highlight w:val="none"/>
              </w:rPr>
              <w:t>注：“备份投标文件”</w:t>
            </w:r>
            <w:r>
              <w:rPr>
                <w:rFonts w:hint="eastAsia" w:ascii="宋体"/>
                <w:b/>
                <w:color w:val="auto"/>
                <w:sz w:val="22"/>
                <w:szCs w:val="22"/>
                <w:highlight w:val="none"/>
              </w:rPr>
              <w:t>不强制要求提供，</w:t>
            </w:r>
            <w:r>
              <w:rPr>
                <w:rFonts w:hint="eastAsia" w:cs="宋体" w:asciiTheme="majorEastAsia" w:hAnsiTheme="majorEastAsia" w:eastAsiaTheme="majorEastAsia"/>
                <w:b/>
                <w:color w:val="auto"/>
                <w:sz w:val="22"/>
                <w:szCs w:val="22"/>
                <w:highlight w:val="none"/>
              </w:rPr>
              <w:t>由供应商自行选择是否提供。</w:t>
            </w:r>
          </w:p>
        </w:tc>
      </w:tr>
      <w:tr w14:paraId="6EE8D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32" w:hRule="atLeast"/>
          <w:jc w:val="center"/>
        </w:trPr>
        <w:tc>
          <w:tcPr>
            <w:tcW w:w="694" w:type="dxa"/>
            <w:vAlign w:val="center"/>
          </w:tcPr>
          <w:p w14:paraId="69530E08">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23</w:t>
            </w:r>
          </w:p>
        </w:tc>
        <w:tc>
          <w:tcPr>
            <w:tcW w:w="1715" w:type="dxa"/>
            <w:vAlign w:val="center"/>
          </w:tcPr>
          <w:p w14:paraId="3141775A">
            <w:pPr>
              <w:autoSpaceDE w:val="0"/>
              <w:autoSpaceDN w:val="0"/>
              <w:adjustRightInd w:val="0"/>
              <w:spacing w:line="300" w:lineRule="atLeast"/>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投标文件的上传和递交</w:t>
            </w:r>
          </w:p>
        </w:tc>
        <w:tc>
          <w:tcPr>
            <w:tcW w:w="7821" w:type="dxa"/>
            <w:vAlign w:val="center"/>
          </w:tcPr>
          <w:p w14:paraId="51F44D2E">
            <w:pPr>
              <w:pStyle w:val="83"/>
              <w:autoSpaceDE w:val="0"/>
              <w:autoSpaceDN w:val="0"/>
              <w:adjustRightInd w:val="0"/>
              <w:spacing w:line="300" w:lineRule="atLeast"/>
              <w:jc w:val="both"/>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highlight w:val="none"/>
              </w:rPr>
              <w:t>一、“电子加密投标文件”的上传、递交：</w:t>
            </w:r>
          </w:p>
          <w:p w14:paraId="1E6BA803">
            <w:pPr>
              <w:pStyle w:val="83"/>
              <w:autoSpaceDE w:val="0"/>
              <w:autoSpaceDN w:val="0"/>
              <w:adjustRightInd w:val="0"/>
              <w:spacing w:line="300" w:lineRule="atLeast"/>
              <w:ind w:firstLine="440" w:firstLineChars="200"/>
              <w:jc w:val="both"/>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highlight w:val="none"/>
              </w:rPr>
              <w:t>a.</w:t>
            </w:r>
            <w:r>
              <w:rPr>
                <w:rFonts w:hint="eastAsia" w:cs="宋体" w:asciiTheme="majorEastAsia" w:hAnsiTheme="majorEastAsia" w:eastAsiaTheme="majorEastAsia"/>
                <w:color w:val="auto"/>
                <w:sz w:val="22"/>
                <w:highlight w:val="none"/>
                <w:lang w:eastAsia="zh-CN"/>
              </w:rPr>
              <w:t>投标人</w:t>
            </w:r>
            <w:r>
              <w:rPr>
                <w:rFonts w:hint="eastAsia" w:cs="宋体" w:asciiTheme="majorEastAsia" w:hAnsiTheme="majorEastAsia" w:eastAsiaTheme="majorEastAsia"/>
                <w:color w:val="auto"/>
                <w:sz w:val="22"/>
                <w:highlight w:val="none"/>
              </w:rPr>
              <w:t>应在投标文件递交截止时间前将“电子加密投标文件”成功上传递交至“政采云平台”，否则投标无效。</w:t>
            </w:r>
          </w:p>
          <w:p w14:paraId="3D8ACB5C">
            <w:pPr>
              <w:pStyle w:val="83"/>
              <w:autoSpaceDE w:val="0"/>
              <w:autoSpaceDN w:val="0"/>
              <w:adjustRightInd w:val="0"/>
              <w:spacing w:line="300" w:lineRule="atLeast"/>
              <w:ind w:firstLine="440" w:firstLineChars="200"/>
              <w:jc w:val="both"/>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highlight w:val="none"/>
              </w:rPr>
              <w:t>b.“电子加密投标文件”成功上传递交后，供应商可自行打印投标文件接收回执。</w:t>
            </w:r>
          </w:p>
          <w:p w14:paraId="0732EE6B">
            <w:pPr>
              <w:pStyle w:val="83"/>
              <w:autoSpaceDE w:val="0"/>
              <w:autoSpaceDN w:val="0"/>
              <w:adjustRightInd w:val="0"/>
              <w:spacing w:line="300" w:lineRule="atLeast"/>
              <w:jc w:val="both"/>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highlight w:val="none"/>
              </w:rPr>
              <w:t>二、“备份投标文件”的密封包装、递交：</w:t>
            </w:r>
          </w:p>
          <w:p w14:paraId="4A23181D">
            <w:pPr>
              <w:pStyle w:val="83"/>
              <w:autoSpaceDE w:val="0"/>
              <w:autoSpaceDN w:val="0"/>
              <w:adjustRightInd w:val="0"/>
              <w:spacing w:line="300" w:lineRule="atLeast"/>
              <w:ind w:firstLine="440" w:firstLineChars="200"/>
              <w:jc w:val="both"/>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highlight w:val="none"/>
              </w:rPr>
              <w:t>a.</w:t>
            </w:r>
            <w:r>
              <w:rPr>
                <w:rFonts w:hint="eastAsia" w:cs="宋体" w:asciiTheme="majorEastAsia" w:hAnsiTheme="majorEastAsia" w:eastAsiaTheme="majorEastAsia"/>
                <w:color w:val="auto"/>
                <w:sz w:val="22"/>
                <w:highlight w:val="none"/>
                <w:lang w:eastAsia="zh-CN"/>
              </w:rPr>
              <w:t>投标人</w:t>
            </w:r>
            <w:r>
              <w:rPr>
                <w:rFonts w:hint="eastAsia" w:cs="宋体" w:asciiTheme="majorEastAsia" w:hAnsiTheme="majorEastAsia" w:eastAsiaTheme="majorEastAsia"/>
                <w:color w:val="auto"/>
                <w:sz w:val="22"/>
                <w:highlight w:val="none"/>
              </w:rPr>
              <w:t>在“政采云平台”完成“电子加密投标文件”的上传递交后，还可以（建议顺丰快递形式）递交以介质（U盘）存储的 “备份投标文件”（一份）；顺丰快递形式快递至采购代理机构地址（地址详见招标文件）；</w:t>
            </w:r>
            <w:r>
              <w:rPr>
                <w:rFonts w:hint="eastAsia" w:cs="宋体" w:asciiTheme="majorEastAsia" w:hAnsiTheme="majorEastAsia" w:eastAsiaTheme="majorEastAsia"/>
                <w:b/>
                <w:color w:val="auto"/>
                <w:sz w:val="22"/>
                <w:highlight w:val="none"/>
              </w:rPr>
              <w:t>解密CA必须是上传并制作电子投标文件CA锁</w:t>
            </w:r>
            <w:r>
              <w:rPr>
                <w:rFonts w:hint="eastAsia" w:cs="宋体" w:asciiTheme="majorEastAsia" w:hAnsiTheme="majorEastAsia" w:eastAsiaTheme="majorEastAsia"/>
                <w:color w:val="auto"/>
                <w:sz w:val="22"/>
                <w:highlight w:val="none"/>
              </w:rPr>
              <w:t>。</w:t>
            </w:r>
          </w:p>
          <w:p w14:paraId="215A1C55">
            <w:pPr>
              <w:autoSpaceDE w:val="0"/>
              <w:autoSpaceDN w:val="0"/>
              <w:adjustRightInd w:val="0"/>
              <w:spacing w:line="300" w:lineRule="atLeast"/>
              <w:ind w:firstLine="440" w:firstLineChars="200"/>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b.“备份投标文件”应当密封包装，并在包装上标注投标项目名称、投标单位名称并加盖公章。没有密封包装或者逾期邮寄送达至投标地点的“备份投标文件”将不予接收。</w:t>
            </w:r>
          </w:p>
          <w:p w14:paraId="158A27B7">
            <w:pPr>
              <w:autoSpaceDE w:val="0"/>
              <w:autoSpaceDN w:val="0"/>
              <w:adjustRightInd w:val="0"/>
              <w:spacing w:line="300" w:lineRule="atLeast"/>
              <w:ind w:firstLine="440" w:firstLineChars="200"/>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c.通过“政采云平台”成功上传递交的“电子加密投标文件”已按时解密的，“备份投标文件”自动失效。投标文件递交截止时间前，投标人仅递交了“备份投标文件”而未将“电子加密投标文件”成功上传至“政采云平台”的，投标无效。</w:t>
            </w:r>
          </w:p>
          <w:p w14:paraId="40EF2EFE">
            <w:pPr>
              <w:autoSpaceDE w:val="0"/>
              <w:autoSpaceDN w:val="0"/>
              <w:adjustRightInd w:val="0"/>
              <w:spacing w:line="300" w:lineRule="atLeast"/>
              <w:ind w:firstLine="440" w:firstLineChars="200"/>
              <w:rPr>
                <w:color w:val="auto"/>
                <w:highlight w:val="none"/>
                <w:lang w:val="zh-CN"/>
              </w:rPr>
            </w:pPr>
            <w:r>
              <w:rPr>
                <w:rFonts w:hint="eastAsia" w:cs="宋体" w:asciiTheme="majorEastAsia" w:hAnsiTheme="majorEastAsia" w:eastAsiaTheme="majorEastAsia"/>
                <w:color w:val="auto"/>
                <w:sz w:val="22"/>
                <w:szCs w:val="22"/>
                <w:highlight w:val="none"/>
                <w:lang w:val="zh-CN"/>
              </w:rPr>
              <w:t>d.供应商应加强U盘的包装与保护，因包装不当而造成“备份投标文件”损坏或不能在开评标现场设备上正确读取的责任由供应商自负。</w:t>
            </w:r>
          </w:p>
        </w:tc>
      </w:tr>
      <w:tr w14:paraId="3DFB8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32" w:hRule="atLeast"/>
          <w:jc w:val="center"/>
        </w:trPr>
        <w:tc>
          <w:tcPr>
            <w:tcW w:w="694" w:type="dxa"/>
            <w:vAlign w:val="center"/>
          </w:tcPr>
          <w:p w14:paraId="5988F0B1">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24</w:t>
            </w:r>
          </w:p>
        </w:tc>
        <w:tc>
          <w:tcPr>
            <w:tcW w:w="1715" w:type="dxa"/>
            <w:vAlign w:val="center"/>
          </w:tcPr>
          <w:p w14:paraId="71873660">
            <w:pPr>
              <w:autoSpaceDE w:val="0"/>
              <w:autoSpaceDN w:val="0"/>
              <w:adjustRightInd w:val="0"/>
              <w:spacing w:line="300" w:lineRule="atLeast"/>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电子加密投标文件的解密和异常情况处理</w:t>
            </w:r>
          </w:p>
        </w:tc>
        <w:tc>
          <w:tcPr>
            <w:tcW w:w="7821" w:type="dxa"/>
            <w:vAlign w:val="center"/>
          </w:tcPr>
          <w:p w14:paraId="6586B44C">
            <w:pPr>
              <w:autoSpaceDE w:val="0"/>
              <w:autoSpaceDN w:val="0"/>
              <w:adjustRightInd w:val="0"/>
              <w:spacing w:line="300" w:lineRule="atLeast"/>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（1）开标后，采购组织机构将向各投标人发出“电子加密投标文件”的解密通知，各投标人代表应当在接到解密通知后30分钟内自行完成“电子加密投标文件”的在线解密。</w:t>
            </w:r>
          </w:p>
          <w:p w14:paraId="697EC22A">
            <w:pPr>
              <w:autoSpaceDE w:val="0"/>
              <w:autoSpaceDN w:val="0"/>
              <w:adjustRightInd w:val="0"/>
              <w:spacing w:line="300" w:lineRule="atLeast"/>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2）通过“政采云平台”成功上传递交的“电子加密投标文件”无法按时解密，投标人如按规定递交了“备份投标文件”的，以“备份投标文件”为依据（由采购组织机构按“政采云平台”操作规范将“备份投标文件”上传至“政采云平台”，上传成功后，“电子加密投标文件”自动失效），否则视为投标文件撤回。</w:t>
            </w:r>
          </w:p>
          <w:p w14:paraId="7DD5013E">
            <w:pPr>
              <w:autoSpaceDE w:val="0"/>
              <w:autoSpaceDN w:val="0"/>
              <w:adjustRightInd w:val="0"/>
              <w:spacing w:line="300" w:lineRule="atLeast"/>
              <w:rPr>
                <w:rFonts w:cs="宋体" w:asciiTheme="majorEastAsia" w:hAnsiTheme="majorEastAsia" w:eastAsiaTheme="majorEastAsia"/>
                <w:color w:val="auto"/>
                <w:sz w:val="22"/>
                <w:szCs w:val="22"/>
                <w:highlight w:val="none"/>
                <w:lang w:val="zh-CN"/>
              </w:rPr>
            </w:pPr>
            <w:r>
              <w:rPr>
                <w:rFonts w:hint="eastAsia" w:cs="宋体" w:asciiTheme="majorEastAsia" w:hAnsiTheme="majorEastAsia" w:eastAsiaTheme="majorEastAsia"/>
                <w:color w:val="auto"/>
                <w:sz w:val="22"/>
                <w:szCs w:val="22"/>
                <w:highlight w:val="none"/>
                <w:lang w:val="zh-CN"/>
              </w:rPr>
              <w:t>（3）投标文件递交截止时间前，投标人仅递交了“备份投标文件”而未将电子加密投标文件上传至“政采云平台”的，投标无效。</w:t>
            </w:r>
          </w:p>
        </w:tc>
      </w:tr>
      <w:tr w14:paraId="43E76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07" w:hRule="atLeast"/>
          <w:jc w:val="center"/>
        </w:trPr>
        <w:tc>
          <w:tcPr>
            <w:tcW w:w="694" w:type="dxa"/>
            <w:vAlign w:val="center"/>
          </w:tcPr>
          <w:p w14:paraId="0F0D14D6">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25</w:t>
            </w:r>
          </w:p>
        </w:tc>
        <w:tc>
          <w:tcPr>
            <w:tcW w:w="1715" w:type="dxa"/>
            <w:vAlign w:val="center"/>
          </w:tcPr>
          <w:p w14:paraId="7B967D14">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评标委员会成员的组建</w:t>
            </w:r>
          </w:p>
        </w:tc>
        <w:tc>
          <w:tcPr>
            <w:tcW w:w="7821" w:type="dxa"/>
            <w:vAlign w:val="center"/>
          </w:tcPr>
          <w:p w14:paraId="0C1FA60B">
            <w:pPr>
              <w:rPr>
                <w:rFonts w:cs="宋体" w:asciiTheme="majorEastAsia" w:hAnsiTheme="majorEastAsia" w:eastAsiaTheme="majorEastAsia"/>
                <w:color w:val="auto"/>
                <w:sz w:val="22"/>
                <w:szCs w:val="22"/>
                <w:highlight w:val="none"/>
              </w:rPr>
            </w:pPr>
            <w:r>
              <w:rPr>
                <w:rFonts w:hint="eastAsia" w:ascii="新宋体" w:hAnsi="新宋体" w:eastAsia="新宋体" w:cs="新宋体"/>
                <w:bCs/>
                <w:color w:val="auto"/>
                <w:sz w:val="22"/>
                <w:szCs w:val="22"/>
                <w:highlight w:val="none"/>
              </w:rPr>
              <w:t>采购人按照《中华人民共和国政府采购法》等有关法律、法规的规定组建评标委员会，评标委员会成员由采购人代表和有关技术、经济等方面的专家组成，成员人数为5人（含）以上单数，除采购人代表外的专家将在评标专家库中随机抽取产生。</w:t>
            </w:r>
          </w:p>
        </w:tc>
      </w:tr>
      <w:tr w14:paraId="1E8C1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97" w:hRule="atLeast"/>
          <w:jc w:val="center"/>
        </w:trPr>
        <w:tc>
          <w:tcPr>
            <w:tcW w:w="694" w:type="dxa"/>
            <w:vAlign w:val="center"/>
          </w:tcPr>
          <w:p w14:paraId="0AFA72A9">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26</w:t>
            </w:r>
          </w:p>
        </w:tc>
        <w:tc>
          <w:tcPr>
            <w:tcW w:w="1715" w:type="dxa"/>
            <w:vAlign w:val="center"/>
          </w:tcPr>
          <w:p w14:paraId="7B7B493E">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政府采购</w:t>
            </w:r>
          </w:p>
          <w:p w14:paraId="369F3CA1">
            <w:pPr>
              <w:adjustRightInd w:val="0"/>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扶持政策</w:t>
            </w:r>
          </w:p>
        </w:tc>
        <w:tc>
          <w:tcPr>
            <w:tcW w:w="7821" w:type="dxa"/>
            <w:vAlign w:val="center"/>
          </w:tcPr>
          <w:p w14:paraId="49FF5E1B">
            <w:pPr>
              <w:spacing w:line="360" w:lineRule="exact"/>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1.本项目对符合财政扶持政策的中小企业（小型、微型）、监狱企业、残疾人福利性单位给予价格优惠扶持，价格优惠扶持见《评分办法》。</w:t>
            </w:r>
          </w:p>
          <w:p w14:paraId="40C17435">
            <w:pPr>
              <w:spacing w:line="360" w:lineRule="exact"/>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2.满足财政部 工业和信息化部关于印发《政府采购促进中小企业发展管理办法》的通知（财库〔2020〕46号）的规定的中小企业可享受优惠扶持。</w:t>
            </w:r>
          </w:p>
          <w:p w14:paraId="4D9EC959">
            <w:pPr>
              <w:spacing w:line="360" w:lineRule="exact"/>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3.满足关于政府采购支持监狱企业发展有关问题的通知（财库[2014]68号）的规定的供应商可享受优惠扶持。</w:t>
            </w:r>
          </w:p>
          <w:p w14:paraId="6C7E476A">
            <w:pPr>
              <w:spacing w:line="360" w:lineRule="exact"/>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4.满足关于促进残疾人就业政府采购政策的通知（财库[2017]141号）的规定的供应商可享受优惠扶持。</w:t>
            </w:r>
          </w:p>
          <w:p w14:paraId="770D3AED">
            <w:pPr>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5.</w:t>
            </w:r>
            <w:r>
              <w:rPr>
                <w:rFonts w:hint="eastAsia"/>
                <w:color w:val="auto"/>
                <w:highlight w:val="none"/>
              </w:rPr>
              <w:t xml:space="preserve"> </w:t>
            </w:r>
            <w:r>
              <w:rPr>
                <w:rFonts w:hint="eastAsia" w:cs="宋体" w:asciiTheme="majorEastAsia" w:hAnsiTheme="majorEastAsia" w:eastAsiaTheme="majorEastAsia"/>
                <w:bCs/>
                <w:color w:val="auto"/>
                <w:sz w:val="22"/>
                <w:szCs w:val="22"/>
                <w:highlight w:val="none"/>
              </w:rPr>
              <w:t>为支持和促进中小企业发展，进一步发挥政府采购政策功能，“政采云”平台目前提供政采贷、履约保函、预付款保函等金融服务，供应商若有融资意向，</w:t>
            </w:r>
            <w:r>
              <w:rPr>
                <w:rFonts w:hint="eastAsia" w:cs="宋体" w:asciiTheme="majorEastAsia" w:hAnsiTheme="majorEastAsia" w:eastAsiaTheme="majorEastAsia"/>
                <w:bCs/>
                <w:color w:val="auto"/>
                <w:sz w:val="22"/>
                <w:szCs w:val="22"/>
                <w:highlight w:val="none"/>
                <w:lang w:eastAsia="zh-CN"/>
              </w:rPr>
              <w:t>可登录</w:t>
            </w:r>
            <w:r>
              <w:rPr>
                <w:rFonts w:hint="eastAsia" w:cs="宋体" w:asciiTheme="majorEastAsia" w:hAnsiTheme="majorEastAsia" w:eastAsiaTheme="majorEastAsia"/>
                <w:bCs/>
                <w:color w:val="auto"/>
                <w:sz w:val="22"/>
                <w:szCs w:val="22"/>
                <w:highlight w:val="none"/>
              </w:rPr>
              <w:t>https://jinrong.zcygov.cn/finance-service/#/help查看详情。供应商中标后可在“政采云”平台申请政采贷：操作路径：登录政采云平台 - 金融服务中心 -【融资服务】，可在热门申请中选择产品直接申请，也可点击云智贷匹配适合产品进行申请，或者在可申请项目中根据该项目进行申请。</w:t>
            </w:r>
          </w:p>
          <w:p w14:paraId="70EBF559">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bCs/>
                <w:color w:val="auto"/>
                <w:sz w:val="22"/>
                <w:szCs w:val="22"/>
                <w:highlight w:val="none"/>
              </w:rPr>
              <w:t>6.对节能、环保产品优先采购。</w:t>
            </w:r>
          </w:p>
        </w:tc>
      </w:tr>
      <w:tr w14:paraId="45717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26" w:hRule="atLeast"/>
          <w:jc w:val="center"/>
        </w:trPr>
        <w:tc>
          <w:tcPr>
            <w:tcW w:w="694" w:type="dxa"/>
            <w:vAlign w:val="center"/>
          </w:tcPr>
          <w:p w14:paraId="0ADE1E1C">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27</w:t>
            </w:r>
          </w:p>
        </w:tc>
        <w:tc>
          <w:tcPr>
            <w:tcW w:w="1715" w:type="dxa"/>
            <w:vAlign w:val="center"/>
          </w:tcPr>
          <w:p w14:paraId="78447222">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供应商信用</w:t>
            </w:r>
          </w:p>
          <w:p w14:paraId="3440B495">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查询</w:t>
            </w:r>
          </w:p>
        </w:tc>
        <w:tc>
          <w:tcPr>
            <w:tcW w:w="7821" w:type="dxa"/>
            <w:vAlign w:val="center"/>
          </w:tcPr>
          <w:p w14:paraId="2AA47E39">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信用信息查询的查询渠道：“信用中国”(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cs="宋体" w:asciiTheme="majorEastAsia" w:hAnsiTheme="majorEastAsia" w:eastAsiaTheme="majorEastAsia"/>
                <w:color w:val="auto"/>
                <w:sz w:val="22"/>
                <w:szCs w:val="22"/>
                <w:highlight w:val="none"/>
              </w:rPr>
              <w:t>www.creditchina.gov.cn</w:t>
            </w:r>
            <w:r>
              <w:rPr>
                <w:rFonts w:hint="eastAsia" w:cs="宋体" w:asciiTheme="majorEastAsia" w:hAnsiTheme="majorEastAsia" w:eastAsiaTheme="majorEastAsia"/>
                <w:color w:val="auto"/>
                <w:sz w:val="22"/>
                <w:szCs w:val="22"/>
                <w:highlight w:val="none"/>
              </w:rPr>
              <w:fldChar w:fldCharType="end"/>
            </w:r>
            <w:r>
              <w:rPr>
                <w:rFonts w:hint="eastAsia" w:cs="宋体" w:asciiTheme="majorEastAsia" w:hAnsiTheme="majorEastAsia" w:eastAsiaTheme="majorEastAsia"/>
                <w:color w:val="auto"/>
                <w:sz w:val="22"/>
                <w:szCs w:val="22"/>
                <w:highlight w:val="none"/>
              </w:rPr>
              <w:t>)；“中国政府采购网”（</w:t>
            </w:r>
            <w:r>
              <w:rPr>
                <w:rFonts w:cs="宋体" w:asciiTheme="majorEastAsia" w:hAnsiTheme="majorEastAsia" w:eastAsiaTheme="majorEastAsia"/>
                <w:color w:val="auto"/>
                <w:sz w:val="22"/>
                <w:szCs w:val="22"/>
                <w:highlight w:val="none"/>
              </w:rPr>
              <w:t>www.ccgp.gov.cn/search/cr/</w:t>
            </w:r>
            <w:r>
              <w:rPr>
                <w:rFonts w:hint="eastAsia" w:cs="宋体" w:asciiTheme="majorEastAsia" w:hAnsiTheme="majorEastAsia" w:eastAsiaTheme="majorEastAsia"/>
                <w:color w:val="auto"/>
                <w:sz w:val="22"/>
                <w:szCs w:val="22"/>
                <w:highlight w:val="none"/>
              </w:rPr>
              <w:t>）；</w:t>
            </w:r>
          </w:p>
          <w:p w14:paraId="398BFA0B">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信用信息查询截止时点：招标公告发布之日至投标截止时间前；</w:t>
            </w:r>
          </w:p>
          <w:p w14:paraId="4BD67A86">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信用信息查询记录和证据留存的具体方式：网页截图或报告；</w:t>
            </w:r>
          </w:p>
          <w:p w14:paraId="6BCC3BB5">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4、信用信息的使用规则：对列入失信被执行人、重大税收违法案件当事人名单、政府采购严重违法失信行为记录名单及其他不符合《中华人民共和国政府采购法》第二十二条规定条件的供应商，其投标</w:t>
            </w:r>
            <w:r>
              <w:rPr>
                <w:rFonts w:hint="eastAsia" w:cs="宋体" w:asciiTheme="majorEastAsia" w:hAnsiTheme="majorEastAsia" w:eastAsiaTheme="majorEastAsia"/>
                <w:color w:val="auto"/>
                <w:sz w:val="22"/>
                <w:szCs w:val="22"/>
                <w:highlight w:val="none"/>
                <w:lang w:eastAsia="zh-CN"/>
              </w:rPr>
              <w:t>作</w:t>
            </w:r>
            <w:r>
              <w:rPr>
                <w:rFonts w:hint="eastAsia" w:cs="宋体" w:asciiTheme="majorEastAsia" w:hAnsiTheme="majorEastAsia" w:eastAsiaTheme="majorEastAsia"/>
                <w:color w:val="auto"/>
                <w:sz w:val="22"/>
                <w:szCs w:val="22"/>
                <w:highlight w:val="none"/>
              </w:rPr>
              <w:t>无效投标处理。</w:t>
            </w:r>
          </w:p>
        </w:tc>
      </w:tr>
      <w:tr w14:paraId="14B36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86" w:hRule="atLeast"/>
          <w:jc w:val="center"/>
        </w:trPr>
        <w:tc>
          <w:tcPr>
            <w:tcW w:w="694" w:type="dxa"/>
            <w:vAlign w:val="center"/>
          </w:tcPr>
          <w:p w14:paraId="4B847A42">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28</w:t>
            </w:r>
          </w:p>
        </w:tc>
        <w:tc>
          <w:tcPr>
            <w:tcW w:w="1715" w:type="dxa"/>
            <w:vAlign w:val="center"/>
          </w:tcPr>
          <w:p w14:paraId="0171F569">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合同备案</w:t>
            </w:r>
          </w:p>
        </w:tc>
        <w:tc>
          <w:tcPr>
            <w:tcW w:w="7821" w:type="dxa"/>
            <w:vAlign w:val="center"/>
          </w:tcPr>
          <w:p w14:paraId="44FDE3C4">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1、中标供应商须在发出中标通知书之日起30日历天内与采购人签订合同。</w:t>
            </w:r>
          </w:p>
          <w:p w14:paraId="1AEC4360">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2、本项目政府采购合同按规定在浙江政府采购网（http://www.zjzfcg.gov.cn）予以公告。</w:t>
            </w:r>
          </w:p>
        </w:tc>
      </w:tr>
      <w:tr w14:paraId="59CF6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1" w:hRule="atLeast"/>
          <w:jc w:val="center"/>
        </w:trPr>
        <w:tc>
          <w:tcPr>
            <w:tcW w:w="694" w:type="dxa"/>
            <w:vAlign w:val="center"/>
          </w:tcPr>
          <w:p w14:paraId="558FD2A1">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29</w:t>
            </w:r>
          </w:p>
        </w:tc>
        <w:tc>
          <w:tcPr>
            <w:tcW w:w="1715" w:type="dxa"/>
            <w:vAlign w:val="center"/>
          </w:tcPr>
          <w:p w14:paraId="623852E3">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合同履约管理</w:t>
            </w:r>
          </w:p>
        </w:tc>
        <w:tc>
          <w:tcPr>
            <w:tcW w:w="7821" w:type="dxa"/>
            <w:vAlign w:val="center"/>
          </w:tcPr>
          <w:p w14:paraId="1E9B4F99">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合同签订后，采购人依法加强对合同履约进行管理，并在成交供应商服务、项目验收等重要</w:t>
            </w:r>
            <w:r>
              <w:rPr>
                <w:rFonts w:hint="eastAsia" w:cs="宋体" w:asciiTheme="majorEastAsia" w:hAnsiTheme="majorEastAsia" w:eastAsiaTheme="majorEastAsia"/>
                <w:color w:val="auto"/>
                <w:sz w:val="22"/>
                <w:szCs w:val="22"/>
                <w:highlight w:val="none"/>
                <w:lang w:eastAsia="zh-CN"/>
              </w:rPr>
              <w:t>环</w:t>
            </w:r>
            <w:r>
              <w:rPr>
                <w:rFonts w:hint="eastAsia" w:cs="宋体" w:asciiTheme="majorEastAsia" w:hAnsiTheme="majorEastAsia" w:eastAsiaTheme="majorEastAsia"/>
                <w:color w:val="auto"/>
                <w:sz w:val="22"/>
                <w:szCs w:val="22"/>
                <w:highlight w:val="none"/>
              </w:rPr>
              <w:t>节，如实填写《合同验收报告》，并及时向同级财政部门报告验收过程中遇到的问题。</w:t>
            </w:r>
          </w:p>
        </w:tc>
      </w:tr>
      <w:tr w14:paraId="69517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5" w:hRule="atLeast"/>
          <w:jc w:val="center"/>
        </w:trPr>
        <w:tc>
          <w:tcPr>
            <w:tcW w:w="694" w:type="dxa"/>
            <w:vAlign w:val="center"/>
          </w:tcPr>
          <w:p w14:paraId="3A767D9E">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30</w:t>
            </w:r>
          </w:p>
        </w:tc>
        <w:tc>
          <w:tcPr>
            <w:tcW w:w="1715" w:type="dxa"/>
            <w:vAlign w:val="center"/>
          </w:tcPr>
          <w:p w14:paraId="6549EC80">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免则声明</w:t>
            </w:r>
          </w:p>
        </w:tc>
        <w:tc>
          <w:tcPr>
            <w:tcW w:w="7821" w:type="dxa"/>
            <w:vAlign w:val="center"/>
          </w:tcPr>
          <w:p w14:paraId="11A76C64">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1、供应商自行承担投标过程中产生的费用。无论何种因素导致采购项目延期开标、废标（流标）、供应商未成交、项目终止采购的，采购人与代理机构均不承担供应商投标费用。</w:t>
            </w:r>
          </w:p>
          <w:p w14:paraId="20235399">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2、供应商在投标、合同履行过程中必须做好安全保障工作，不因项目实施而危及自身及第三方人员、财产安全。若发生任何安全事故，由成交供应商自行承担一切责任并赔偿损失。</w:t>
            </w:r>
          </w:p>
        </w:tc>
      </w:tr>
      <w:tr w14:paraId="5BA69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46" w:hRule="atLeast"/>
          <w:jc w:val="center"/>
        </w:trPr>
        <w:tc>
          <w:tcPr>
            <w:tcW w:w="694" w:type="dxa"/>
            <w:vAlign w:val="center"/>
          </w:tcPr>
          <w:p w14:paraId="4206936D">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31</w:t>
            </w:r>
          </w:p>
        </w:tc>
        <w:tc>
          <w:tcPr>
            <w:tcW w:w="1715" w:type="dxa"/>
            <w:vAlign w:val="center"/>
          </w:tcPr>
          <w:p w14:paraId="58F42B02">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解释权</w:t>
            </w:r>
          </w:p>
        </w:tc>
        <w:tc>
          <w:tcPr>
            <w:tcW w:w="7821" w:type="dxa"/>
            <w:vAlign w:val="center"/>
          </w:tcPr>
          <w:p w14:paraId="1291EAA2">
            <w:pP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构成本招标文件的各个组成文件应互为解释，互为说明；如有不明确或不一致，构成合同文件组成内容的，以合同文件约定内容为准，且以专用合同条款约定的合同文件优先顺序解释；仅适用于采购阶段的约定，按采购公告、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6E433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642" w:hRule="atLeast"/>
          <w:jc w:val="center"/>
        </w:trPr>
        <w:tc>
          <w:tcPr>
            <w:tcW w:w="694" w:type="dxa"/>
            <w:vAlign w:val="center"/>
          </w:tcPr>
          <w:p w14:paraId="54F344FC">
            <w:pPr>
              <w:jc w:val="center"/>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32</w:t>
            </w:r>
          </w:p>
        </w:tc>
        <w:tc>
          <w:tcPr>
            <w:tcW w:w="1715" w:type="dxa"/>
            <w:vAlign w:val="center"/>
          </w:tcPr>
          <w:p w14:paraId="5F943223">
            <w:pPr>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项目类型</w:t>
            </w:r>
          </w:p>
        </w:tc>
        <w:tc>
          <w:tcPr>
            <w:tcW w:w="7821" w:type="dxa"/>
            <w:vAlign w:val="center"/>
          </w:tcPr>
          <w:p w14:paraId="6FA7BB1A">
            <w:pPr>
              <w:adjustRightInd w:val="0"/>
              <w:rPr>
                <w:rFonts w:ascii="宋体"/>
                <w:color w:val="auto"/>
                <w:sz w:val="22"/>
                <w:szCs w:val="22"/>
                <w:highlight w:val="none"/>
              </w:rPr>
            </w:pPr>
            <w:r>
              <w:rPr>
                <w:rFonts w:hint="eastAsia" w:cs="宋体" w:asciiTheme="majorEastAsia" w:hAnsiTheme="majorEastAsia" w:eastAsiaTheme="majorEastAsia"/>
                <w:b/>
                <w:color w:val="auto"/>
                <w:sz w:val="22"/>
                <w:szCs w:val="22"/>
                <w:highlight w:val="none"/>
              </w:rPr>
              <w:fldChar w:fldCharType="begin"/>
            </w:r>
            <w:r>
              <w:rPr>
                <w:rFonts w:hint="eastAsia" w:cs="宋体" w:asciiTheme="majorEastAsia" w:hAnsiTheme="majorEastAsia" w:eastAsiaTheme="majorEastAsia"/>
                <w:b/>
                <w:color w:val="auto"/>
                <w:sz w:val="22"/>
                <w:szCs w:val="22"/>
                <w:highlight w:val="none"/>
              </w:rPr>
              <w:instrText xml:space="preserve">eq \o\ac(□)</w:instrText>
            </w:r>
            <w:r>
              <w:rPr>
                <w:rFonts w:hint="eastAsia" w:cs="宋体" w:asciiTheme="majorEastAsia" w:hAnsiTheme="majorEastAsia" w:eastAsiaTheme="majorEastAsia"/>
                <w:b/>
                <w:color w:val="auto"/>
                <w:sz w:val="22"/>
                <w:szCs w:val="22"/>
                <w:highlight w:val="none"/>
              </w:rPr>
              <w:fldChar w:fldCharType="end"/>
            </w:r>
            <w:r>
              <w:rPr>
                <w:rFonts w:hint="eastAsia" w:ascii="宋体"/>
                <w:color w:val="auto"/>
                <w:sz w:val="22"/>
                <w:szCs w:val="22"/>
                <w:highlight w:val="none"/>
              </w:rPr>
              <w:t>A</w:t>
            </w:r>
            <w:r>
              <w:rPr>
                <w:rFonts w:hint="eastAsia" w:ascii="宋体"/>
                <w:b/>
                <w:color w:val="auto"/>
                <w:sz w:val="22"/>
                <w:szCs w:val="22"/>
                <w:highlight w:val="none"/>
              </w:rPr>
              <w:t>货物类</w:t>
            </w:r>
            <w:r>
              <w:rPr>
                <w:rFonts w:hint="eastAsia" w:ascii="宋体"/>
                <w:color w:val="auto"/>
                <w:sz w:val="22"/>
                <w:szCs w:val="22"/>
                <w:highlight w:val="none"/>
              </w:rPr>
              <w:t>，单一产品或核心产品为：/</w:t>
            </w:r>
            <w:r>
              <w:rPr>
                <w:rFonts w:hint="eastAsia" w:ascii="宋体"/>
                <w:color w:val="auto"/>
                <w:sz w:val="22"/>
                <w:highlight w:val="none"/>
              </w:rPr>
              <w:t>。</w:t>
            </w:r>
          </w:p>
          <w:p w14:paraId="47B6773A">
            <w:pPr>
              <w:rPr>
                <w:rFonts w:ascii="宋体"/>
                <w:b/>
                <w:color w:val="auto"/>
                <w:sz w:val="22"/>
                <w:szCs w:val="22"/>
                <w:highlight w:val="none"/>
              </w:rPr>
            </w:pPr>
            <w:r>
              <w:rPr>
                <w:rFonts w:ascii="宋体"/>
                <w:b/>
                <w:color w:val="auto"/>
                <w:sz w:val="22"/>
                <w:szCs w:val="22"/>
                <w:highlight w:val="none"/>
              </w:rPr>
              <w:sym w:font="Wingdings 2" w:char="0052"/>
            </w:r>
            <w:r>
              <w:rPr>
                <w:rFonts w:hint="eastAsia" w:ascii="宋体"/>
                <w:b/>
                <w:color w:val="auto"/>
                <w:sz w:val="22"/>
                <w:szCs w:val="22"/>
                <w:highlight w:val="none"/>
              </w:rPr>
              <w:t>B服务类。</w:t>
            </w:r>
          </w:p>
          <w:p w14:paraId="07AC7A94">
            <w:pPr>
              <w:rPr>
                <w:rFonts w:ascii="宋体"/>
                <w:color w:val="auto"/>
                <w:sz w:val="22"/>
                <w:szCs w:val="22"/>
                <w:highlight w:val="none"/>
              </w:rPr>
            </w:pPr>
            <w:r>
              <w:rPr>
                <w:rFonts w:hint="eastAsia" w:ascii="宋体"/>
                <w:color w:val="auto"/>
                <w:sz w:val="22"/>
                <w:szCs w:val="22"/>
                <w:highlight w:val="none"/>
              </w:rPr>
              <w:t>采购标的对应的中小企业划分标准所属行业：软件和信息技术服务行业</w:t>
            </w:r>
          </w:p>
        </w:tc>
      </w:tr>
    </w:tbl>
    <w:p w14:paraId="3DBFAD54">
      <w:pPr>
        <w:rPr>
          <w:rFonts w:asciiTheme="majorEastAsia" w:hAnsiTheme="majorEastAsia" w:eastAsiaTheme="majorEastAsia"/>
          <w:color w:val="auto"/>
          <w:highlight w:val="none"/>
        </w:rPr>
      </w:pPr>
    </w:p>
    <w:p w14:paraId="5E96814B">
      <w:pPr>
        <w:pStyle w:val="18"/>
        <w:ind w:firstLine="210"/>
        <w:rPr>
          <w:rFonts w:asciiTheme="majorEastAsia" w:hAnsiTheme="majorEastAsia" w:eastAsiaTheme="majorEastAsia"/>
          <w:color w:val="auto"/>
          <w:highlight w:val="none"/>
        </w:rPr>
      </w:pPr>
    </w:p>
    <w:p w14:paraId="390BA0E0">
      <w:pPr>
        <w:pStyle w:val="18"/>
        <w:ind w:firstLine="210"/>
        <w:rPr>
          <w:rFonts w:asciiTheme="majorEastAsia" w:hAnsiTheme="majorEastAsia" w:eastAsiaTheme="majorEastAsia"/>
          <w:color w:val="auto"/>
          <w:highlight w:val="none"/>
        </w:rPr>
      </w:pPr>
    </w:p>
    <w:p w14:paraId="218A462D">
      <w:pPr>
        <w:pStyle w:val="18"/>
        <w:ind w:firstLine="210"/>
        <w:rPr>
          <w:rFonts w:asciiTheme="majorEastAsia" w:hAnsiTheme="majorEastAsia" w:eastAsiaTheme="majorEastAsia"/>
          <w:color w:val="auto"/>
          <w:highlight w:val="none"/>
        </w:rPr>
      </w:pPr>
    </w:p>
    <w:p w14:paraId="09A73F9E">
      <w:pPr>
        <w:pStyle w:val="40"/>
        <w:rPr>
          <w:rFonts w:cs="新宋体" w:asciiTheme="majorEastAsia" w:hAnsiTheme="majorEastAsia" w:eastAsiaTheme="majorEastAsia"/>
          <w:color w:val="auto"/>
          <w:sz w:val="30"/>
          <w:szCs w:val="30"/>
          <w:highlight w:val="none"/>
        </w:rPr>
      </w:pPr>
      <w:bookmarkStart w:id="7" w:name="_Toc498343165"/>
      <w:bookmarkStart w:id="8" w:name="_Toc461563840"/>
      <w:r>
        <w:rPr>
          <w:rFonts w:hint="eastAsia" w:cs="新宋体" w:asciiTheme="majorEastAsia" w:hAnsiTheme="majorEastAsia" w:eastAsiaTheme="majorEastAsia"/>
          <w:color w:val="auto"/>
          <w:sz w:val="30"/>
          <w:szCs w:val="30"/>
          <w:highlight w:val="none"/>
        </w:rPr>
        <w:br w:type="page"/>
      </w:r>
      <w:bookmarkStart w:id="9" w:name="_Toc13266"/>
      <w:r>
        <w:rPr>
          <w:rFonts w:hint="eastAsia" w:cs="新宋体" w:asciiTheme="majorEastAsia" w:hAnsiTheme="majorEastAsia" w:eastAsiaTheme="majorEastAsia"/>
          <w:color w:val="auto"/>
          <w:sz w:val="30"/>
          <w:szCs w:val="30"/>
          <w:highlight w:val="none"/>
        </w:rPr>
        <w:t xml:space="preserve">第二部分 </w:t>
      </w:r>
      <w:bookmarkEnd w:id="7"/>
      <w:bookmarkEnd w:id="8"/>
      <w:r>
        <w:rPr>
          <w:rFonts w:hint="eastAsia" w:cs="新宋体" w:asciiTheme="majorEastAsia" w:hAnsiTheme="majorEastAsia" w:eastAsiaTheme="majorEastAsia"/>
          <w:color w:val="auto"/>
          <w:sz w:val="30"/>
          <w:szCs w:val="30"/>
          <w:highlight w:val="none"/>
        </w:rPr>
        <w:t>招标内容及要求</w:t>
      </w:r>
      <w:bookmarkEnd w:id="9"/>
    </w:p>
    <w:p w14:paraId="0D0A5A36">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bookmarkStart w:id="10" w:name="_Toc15541"/>
      <w:bookmarkStart w:id="11" w:name="_Toc20320"/>
      <w:bookmarkStart w:id="12" w:name="_Toc4886"/>
      <w:bookmarkStart w:id="13" w:name="_Toc19761"/>
      <w:bookmarkStart w:id="14" w:name="_Toc11234"/>
      <w:bookmarkStart w:id="15" w:name="_Toc29343"/>
      <w:bookmarkStart w:id="16" w:name="_Toc3943"/>
      <w:bookmarkStart w:id="17" w:name="_Toc19027"/>
      <w:bookmarkStart w:id="18" w:name="_Toc18118"/>
      <w:bookmarkStart w:id="19" w:name="_Toc66643429"/>
      <w:bookmarkStart w:id="20" w:name="_Toc484540405"/>
      <w:bookmarkStart w:id="21" w:name="_Toc25187"/>
      <w:bookmarkStart w:id="22" w:name="_Toc501892974"/>
      <w:bookmarkStart w:id="23" w:name="_Toc405377115"/>
      <w:bookmarkStart w:id="24" w:name="_Toc461563851"/>
      <w:bookmarkStart w:id="25" w:name="_Toc498343168"/>
      <w:r>
        <w:rPr>
          <w:rFonts w:hint="eastAsia" w:ascii="宋体" w:hAnsi="宋体" w:eastAsia="宋体" w:cs="宋体"/>
          <w:b/>
          <w:bCs/>
          <w:color w:val="auto"/>
          <w:sz w:val="22"/>
          <w:szCs w:val="22"/>
          <w:highlight w:val="none"/>
          <w:lang w:val="en-US" w:eastAsia="zh-CN"/>
        </w:rPr>
        <w:t>建设目标</w:t>
      </w:r>
      <w:bookmarkEnd w:id="10"/>
      <w:bookmarkEnd w:id="11"/>
      <w:bookmarkEnd w:id="12"/>
      <w:bookmarkEnd w:id="13"/>
      <w:bookmarkEnd w:id="14"/>
      <w:bookmarkEnd w:id="15"/>
      <w:bookmarkEnd w:id="16"/>
      <w:bookmarkEnd w:id="17"/>
      <w:bookmarkEnd w:id="18"/>
    </w:p>
    <w:p w14:paraId="55988A9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以科学规范、满足医改要求、符合基层需求的指导性文件为基础，根据浙江省委办公厅、浙江省政府办公厅发布的《关于全面推进县域医疗卫生服务共同体建设的意见》，结合永嘉县的实际情况，深入推进永嘉县域医共体模式下的信息化建设，提升重大疫情应对和医疗应急能力。健全永嘉县域医共体分级分层分流的重大疫情救治机制，加强县域医疗急救体系建设。</w:t>
      </w:r>
    </w:p>
    <w:p w14:paraId="5D15CD93">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本项目打造永嘉县医共体急诊平台，建设一套符合国家互联互通、电子病历、智慧服务测评标准的急救系统。通过集成院前、院内急诊急救平台、五大中心系统等功能，实现院前院内数据信息高速互联互通，为病患开启智慧急救绿色通道，全面提升病患急救效率。</w:t>
      </w:r>
    </w:p>
    <w:p w14:paraId="6352D5BA">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bookmarkStart w:id="26" w:name="_Toc12869"/>
      <w:bookmarkStart w:id="27" w:name="_Toc13975"/>
      <w:bookmarkStart w:id="28" w:name="_Toc13733"/>
      <w:bookmarkStart w:id="29" w:name="_Toc8261"/>
      <w:bookmarkStart w:id="30" w:name="_Toc17625"/>
      <w:bookmarkStart w:id="31" w:name="_Toc19764"/>
      <w:bookmarkStart w:id="32" w:name="_Toc19436"/>
      <w:bookmarkStart w:id="33" w:name="_Toc7045"/>
      <w:bookmarkStart w:id="34" w:name="_Toc8826"/>
      <w:r>
        <w:rPr>
          <w:rFonts w:hint="eastAsia" w:ascii="宋体" w:hAnsi="宋体" w:eastAsia="宋体" w:cs="宋体"/>
          <w:b/>
          <w:bCs/>
          <w:color w:val="auto"/>
          <w:sz w:val="22"/>
          <w:szCs w:val="22"/>
          <w:highlight w:val="none"/>
          <w:lang w:val="en-US" w:eastAsia="zh-CN"/>
        </w:rPr>
        <w:t>建设规模</w:t>
      </w:r>
      <w:bookmarkEnd w:id="26"/>
      <w:bookmarkEnd w:id="27"/>
      <w:bookmarkEnd w:id="28"/>
      <w:bookmarkEnd w:id="29"/>
      <w:bookmarkEnd w:id="30"/>
      <w:bookmarkEnd w:id="31"/>
      <w:bookmarkEnd w:id="32"/>
      <w:bookmarkEnd w:id="33"/>
      <w:bookmarkEnd w:id="34"/>
    </w:p>
    <w:p w14:paraId="73B47B6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永嘉县医共体急诊平台项目覆盖永嘉县全域，涉及县卫生健康局、县大数据管理中心、县防控办等部门与区域内医疗机构，覆盖县、街道（镇、乡）、村三级，归集各类医疗资源信息，衔接浙里办等系统，用户包括医疗机构工作人员、民众等。</w:t>
      </w:r>
    </w:p>
    <w:p w14:paraId="5DBE3611">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bookmarkStart w:id="35" w:name="_Toc2078"/>
      <w:bookmarkStart w:id="36" w:name="_Toc7163"/>
      <w:bookmarkStart w:id="37" w:name="_Toc10151"/>
      <w:bookmarkStart w:id="38" w:name="_Toc20769"/>
      <w:bookmarkStart w:id="39" w:name="_Toc18518"/>
      <w:bookmarkStart w:id="40" w:name="_Toc31634"/>
      <w:r>
        <w:rPr>
          <w:rFonts w:hint="eastAsia" w:ascii="宋体" w:hAnsi="宋体" w:eastAsia="宋体" w:cs="宋体"/>
          <w:b/>
          <w:bCs/>
          <w:color w:val="auto"/>
          <w:sz w:val="22"/>
          <w:szCs w:val="22"/>
          <w:highlight w:val="none"/>
          <w:lang w:val="en-US" w:eastAsia="zh-CN"/>
        </w:rPr>
        <w:t>建设内容</w:t>
      </w:r>
      <w:bookmarkEnd w:id="35"/>
      <w:bookmarkEnd w:id="36"/>
      <w:bookmarkEnd w:id="37"/>
      <w:bookmarkEnd w:id="38"/>
      <w:bookmarkEnd w:id="39"/>
      <w:bookmarkEnd w:id="40"/>
    </w:p>
    <w:p w14:paraId="7AB650A9">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永嘉县医共体急诊平台建设项目主要建设内容如下</w:t>
      </w:r>
      <w:r>
        <w:rPr>
          <w:rFonts w:hint="eastAsia" w:ascii="宋体" w:hAnsi="宋体" w:cs="宋体"/>
          <w:color w:val="auto"/>
          <w:kern w:val="0"/>
          <w:sz w:val="22"/>
          <w:szCs w:val="22"/>
          <w:highlight w:val="none"/>
          <w:lang w:val="en-US" w:eastAsia="zh-CN"/>
        </w:rPr>
        <w:t>（如招标文件中的功能无法满足采购人实际需求，中标人须无条件配合，并进行相应的调整）</w:t>
      </w:r>
      <w:r>
        <w:rPr>
          <w:rFonts w:hint="eastAsia" w:ascii="宋体" w:hAnsi="宋体" w:eastAsia="宋体" w:cs="宋体"/>
          <w:color w:val="auto"/>
          <w:kern w:val="0"/>
          <w:sz w:val="22"/>
          <w:szCs w:val="22"/>
          <w:highlight w:val="none"/>
          <w:lang w:val="en-US" w:eastAsia="zh-CN"/>
        </w:rPr>
        <w:t>：</w:t>
      </w:r>
    </w:p>
    <w:p w14:paraId="57FE28B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（一）数据分析平台（数据驾驶舱）</w:t>
      </w:r>
    </w:p>
    <w:p w14:paraId="6D39D68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数据分析平台包括概览大屏、院前质控报表、院内质控报表、急诊分析四部分内容。其中概览大屏展示院前急救关键质控数据和院内急救业务统计数据；院前质控报表展示院前每日</w:t>
      </w:r>
      <w:r>
        <w:rPr>
          <w:rFonts w:hint="eastAsia" w:ascii="宋体" w:hAnsi="宋体" w:cs="宋体"/>
          <w:color w:val="auto"/>
          <w:kern w:val="0"/>
          <w:sz w:val="22"/>
          <w:szCs w:val="22"/>
          <w:highlight w:val="none"/>
          <w:lang w:val="en-US" w:eastAsia="zh-CN"/>
        </w:rPr>
        <w:t>和指定时间范围内</w:t>
      </w:r>
      <w:r>
        <w:rPr>
          <w:rFonts w:hint="eastAsia" w:ascii="宋体" w:hAnsi="宋体" w:eastAsia="宋体" w:cs="宋体"/>
          <w:color w:val="auto"/>
          <w:kern w:val="0"/>
          <w:sz w:val="22"/>
          <w:szCs w:val="22"/>
          <w:highlight w:val="none"/>
          <w:lang w:val="en-US" w:eastAsia="zh-CN"/>
        </w:rPr>
        <w:t>急救业务统计数据；院内质控报表展示院内每日</w:t>
      </w:r>
      <w:r>
        <w:rPr>
          <w:rFonts w:hint="eastAsia" w:ascii="宋体" w:hAnsi="宋体" w:cs="宋体"/>
          <w:color w:val="auto"/>
          <w:kern w:val="0"/>
          <w:sz w:val="22"/>
          <w:szCs w:val="22"/>
          <w:highlight w:val="none"/>
          <w:lang w:val="en-US" w:eastAsia="zh-CN"/>
        </w:rPr>
        <w:t>和指定时间范围内</w:t>
      </w:r>
      <w:r>
        <w:rPr>
          <w:rFonts w:hint="eastAsia" w:ascii="宋体" w:hAnsi="宋体" w:eastAsia="宋体" w:cs="宋体"/>
          <w:color w:val="auto"/>
          <w:kern w:val="0"/>
          <w:sz w:val="22"/>
          <w:szCs w:val="22"/>
          <w:highlight w:val="none"/>
          <w:lang w:val="en-US" w:eastAsia="zh-CN"/>
        </w:rPr>
        <w:t>急诊业务统计数据；急诊分析展示院内急诊质控在本院和区域的分析和统计，患者在本院和区域的检索。</w:t>
      </w:r>
    </w:p>
    <w:p w14:paraId="66134E2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（二）院内急诊系统（急诊医学系统）</w:t>
      </w:r>
    </w:p>
    <w:p w14:paraId="0C7B834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建设急诊医学信息系统，满足医院急诊科建设和管理需求，实现对患者在急诊科内诊疗全过程进行跟踪和管理。系统围绕积极探索急诊救治区域三区划分和合理使用。通过建立急诊预检分诊系统、急诊医生护士一体化工作站、急诊护理系统、急诊留观留抢电子病历系统、移动护理、急诊统计报表、急诊质控报表、急诊智慧屏及系统设置、急诊危急值管理与消息提醒模块、急诊仪器及信息系统连接模块等满足急诊科管理要求，提升永嘉县医共体急诊服务质量。</w:t>
      </w:r>
    </w:p>
    <w:p w14:paraId="2EC1E51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支持多机构版本。其中分中心版本（或基层版）指面向基层医疗机构、分中心机构的版本，针对分中心临床医生、护理人员开发的版本，要求操作相对中心完整版本更简单，功能集中化、易用、直接，减少操作复杂度，能满足日常工作的基本需求。</w:t>
      </w:r>
    </w:p>
    <w:p w14:paraId="4E9A5BC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（三）五大中心系统</w:t>
      </w:r>
    </w:p>
    <w:p w14:paraId="008E93C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五大中心系统的建设内容涵盖了胸痛中心、卒中中心、创伤中心、危重孕产妇中心和危重新生儿中心，旨在提供针对特定疾病或病情的专业化、高效化治疗服务，以提升患者救治效率和生存率，保障患者的生命健康，为医疗卫生事业的发展贡献力量。</w:t>
      </w:r>
    </w:p>
    <w:p w14:paraId="753346D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支持多机构版本。其中分中心版本（或基层版）指面向基层医疗机构、分中心机构的版本，针对分中心临床医生、护理人员开发的版本，要求操作相对中心完整版本更简单，功能集中化、易用、直接，减少操作复杂度，能满足日常工作的基本需求。</w:t>
      </w:r>
    </w:p>
    <w:p w14:paraId="72A86546">
      <w:pPr>
        <w:pageBreakBefore w:val="0"/>
        <w:numPr>
          <w:ilvl w:val="0"/>
          <w:numId w:val="1"/>
        </w:numPr>
        <w:kinsoku/>
        <w:wordWrap/>
        <w:topLinePunct w:val="0"/>
        <w:bidi w:val="0"/>
        <w:snapToGrid/>
        <w:spacing w:line="360" w:lineRule="auto"/>
        <w:ind w:left="0" w:leftChars="0" w:firstLine="0" w:firstLineChars="0"/>
        <w:outlineLvl w:val="0"/>
        <w:rPr>
          <w:rFonts w:hint="eastAsia" w:ascii="宋体" w:hAnsi="宋体" w:eastAsia="宋体" w:cs="宋体"/>
          <w:b/>
          <w:bCs/>
          <w:color w:val="auto"/>
          <w:sz w:val="22"/>
          <w:szCs w:val="22"/>
          <w:highlight w:val="none"/>
          <w:lang w:val="en-US" w:eastAsia="zh-CN"/>
        </w:rPr>
      </w:pPr>
      <w:bookmarkStart w:id="41" w:name="_Toc25531"/>
      <w:bookmarkStart w:id="42" w:name="_Toc8072"/>
      <w:bookmarkStart w:id="43" w:name="_Toc6602"/>
      <w:bookmarkStart w:id="44" w:name="_Toc8283"/>
      <w:bookmarkStart w:id="45" w:name="_Toc20142"/>
      <w:bookmarkStart w:id="46" w:name="_Toc32294"/>
      <w:bookmarkStart w:id="47" w:name="_Toc23357"/>
      <w:bookmarkStart w:id="48" w:name="_Toc22478"/>
      <w:bookmarkStart w:id="49" w:name="_Toc29950"/>
      <w:bookmarkStart w:id="50" w:name="_Toc25588"/>
      <w:bookmarkStart w:id="51" w:name="_Toc30751"/>
      <w:bookmarkStart w:id="52" w:name="_Toc27752"/>
      <w:bookmarkStart w:id="53" w:name="_Toc23868"/>
      <w:bookmarkStart w:id="54" w:name="_Toc24856"/>
      <w:bookmarkStart w:id="55" w:name="_Toc16360"/>
      <w:bookmarkStart w:id="56" w:name="_Toc12378"/>
      <w:bookmarkStart w:id="57" w:name="_Toc4080"/>
      <w:bookmarkStart w:id="58" w:name="_Toc30995"/>
      <w:bookmarkStart w:id="59" w:name="_Toc4742"/>
      <w:bookmarkStart w:id="60" w:name="_Toc21351"/>
      <w:bookmarkStart w:id="61" w:name="_Toc12945"/>
      <w:bookmarkStart w:id="62" w:name="_Toc16797"/>
      <w:bookmarkStart w:id="63" w:name="_Toc4571"/>
      <w:bookmarkStart w:id="64" w:name="_Toc21636"/>
      <w:bookmarkStart w:id="65" w:name="_Toc14723"/>
      <w:bookmarkStart w:id="66" w:name="_Toc2061"/>
      <w:bookmarkStart w:id="67" w:name="_Toc6014"/>
      <w:r>
        <w:rPr>
          <w:rFonts w:hint="eastAsia" w:ascii="宋体" w:hAnsi="宋体" w:eastAsia="宋体" w:cs="宋体"/>
          <w:b/>
          <w:bCs/>
          <w:color w:val="auto"/>
          <w:sz w:val="22"/>
          <w:szCs w:val="22"/>
          <w:highlight w:val="none"/>
          <w:lang w:val="en-US" w:eastAsia="zh-CN"/>
        </w:rPr>
        <w:t>总体建设方案</w:t>
      </w:r>
      <w:bookmarkEnd w:id="41"/>
      <w:bookmarkEnd w:id="42"/>
      <w:bookmarkEnd w:id="43"/>
      <w:bookmarkEnd w:id="44"/>
      <w:bookmarkEnd w:id="45"/>
      <w:bookmarkEnd w:id="46"/>
      <w:bookmarkEnd w:id="47"/>
      <w:bookmarkEnd w:id="48"/>
      <w:bookmarkEnd w:id="49"/>
    </w:p>
    <w:bookmarkEnd w:id="50"/>
    <w:bookmarkEnd w:id="51"/>
    <w:bookmarkEnd w:id="52"/>
    <w:bookmarkEnd w:id="53"/>
    <w:bookmarkEnd w:id="54"/>
    <w:bookmarkEnd w:id="55"/>
    <w:bookmarkEnd w:id="56"/>
    <w:bookmarkEnd w:id="57"/>
    <w:bookmarkEnd w:id="58"/>
    <w:p w14:paraId="7D49FC02">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68" w:name="_Toc25949"/>
      <w:bookmarkStart w:id="69" w:name="_Toc6916"/>
      <w:bookmarkStart w:id="70" w:name="_Toc14986"/>
      <w:bookmarkStart w:id="71" w:name="_Toc29397"/>
      <w:bookmarkStart w:id="72" w:name="_Toc12481"/>
      <w:bookmarkStart w:id="73" w:name="_Toc31603"/>
      <w:bookmarkStart w:id="74" w:name="_Toc17725"/>
      <w:bookmarkStart w:id="75" w:name="_Toc4343"/>
      <w:bookmarkStart w:id="76" w:name="_Toc5205"/>
      <w:r>
        <w:rPr>
          <w:rFonts w:hint="eastAsia" w:ascii="宋体" w:hAnsi="宋体" w:eastAsia="宋体" w:cs="宋体"/>
          <w:b/>
          <w:bCs/>
          <w:color w:val="auto"/>
          <w:sz w:val="22"/>
          <w:szCs w:val="22"/>
          <w:highlight w:val="none"/>
          <w:lang w:val="en-US" w:eastAsia="zh-CN"/>
        </w:rPr>
        <w:t>4.1建设原则和策略</w:t>
      </w:r>
      <w:bookmarkEnd w:id="68"/>
      <w:bookmarkEnd w:id="69"/>
      <w:bookmarkEnd w:id="70"/>
      <w:bookmarkEnd w:id="71"/>
      <w:bookmarkEnd w:id="72"/>
      <w:bookmarkEnd w:id="73"/>
      <w:bookmarkEnd w:id="74"/>
      <w:bookmarkEnd w:id="75"/>
      <w:bookmarkEnd w:id="76"/>
    </w:p>
    <w:p w14:paraId="67767D3B">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77" w:name="_Toc15827"/>
      <w:bookmarkStart w:id="78" w:name="_Toc21200"/>
      <w:bookmarkStart w:id="79" w:name="_Toc11957"/>
      <w:bookmarkStart w:id="80" w:name="_Toc3255"/>
      <w:bookmarkStart w:id="81" w:name="_Toc22000"/>
      <w:bookmarkStart w:id="82" w:name="_Toc2954"/>
      <w:r>
        <w:rPr>
          <w:rFonts w:hint="eastAsia" w:ascii="宋体" w:hAnsi="宋体" w:eastAsia="宋体" w:cs="宋体"/>
          <w:b/>
          <w:bCs/>
          <w:color w:val="auto"/>
          <w:sz w:val="22"/>
          <w:szCs w:val="22"/>
          <w:highlight w:val="none"/>
          <w:lang w:val="en-US" w:eastAsia="zh-CN"/>
        </w:rPr>
        <w:t>4.1.1建设原则</w:t>
      </w:r>
      <w:bookmarkEnd w:id="77"/>
      <w:bookmarkEnd w:id="78"/>
      <w:bookmarkEnd w:id="79"/>
      <w:bookmarkEnd w:id="80"/>
      <w:bookmarkEnd w:id="81"/>
      <w:bookmarkEnd w:id="82"/>
    </w:p>
    <w:p w14:paraId="1ABB075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1、标准化和规范化</w:t>
      </w:r>
    </w:p>
    <w:p w14:paraId="114B0BB0">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系统建设应严格按照国家、省有关部门制订的软件工程标准进行设计、开发；业务流程的设置、业务处理的设定应符合卫健局有关政策规定和业务管理要求；数据指标设计严格遵循温州市大数据发展管理局颁发的数据指标体系标准。</w:t>
      </w:r>
    </w:p>
    <w:p w14:paraId="59E24BD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2、可扩展性和易维护性</w:t>
      </w:r>
    </w:p>
    <w:p w14:paraId="55ABCC1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设计时应充分考虑卫健局业务在未来若干年内的发展趋势，具有一定的前瞻性，并充分考虑系统升级、扩容、扩充和维护的可行性。</w:t>
      </w:r>
    </w:p>
    <w:p w14:paraId="0C1E574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3、灵活性和兼容性</w:t>
      </w:r>
    </w:p>
    <w:p w14:paraId="36606EE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改造设计时应充分考虑整个应用系统的灵活要求，随用户需求的改变而及时调整，通过合理的模块划分及参数规则灵活配置，实现应用软件对业务变更或软件技术发展的灵活适应能力。</w:t>
      </w:r>
    </w:p>
    <w:p w14:paraId="17CFCA0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4、安全性和保密性</w:t>
      </w:r>
    </w:p>
    <w:p w14:paraId="6A041DA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改造设计应把安全性放在首位，既要考虑信息资源的充分共享，也要考虑信息的保护和隔离；系统应该在各个层次对访问进行控制，设置严格的操作权限；并充分利用日志系统、健全的备份和恢复策略增强系统的安全性。</w:t>
      </w:r>
    </w:p>
    <w:p w14:paraId="3E6E530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5、</w:t>
      </w:r>
      <w:r>
        <w:rPr>
          <w:rFonts w:hint="eastAsia" w:ascii="宋体" w:hAnsi="宋体" w:cs="宋体"/>
          <w:color w:val="auto"/>
          <w:kern w:val="0"/>
          <w:sz w:val="22"/>
          <w:szCs w:val="22"/>
          <w:highlight w:val="none"/>
          <w:lang w:val="en-US" w:eastAsia="zh-CN"/>
        </w:rPr>
        <w:t>支持</w:t>
      </w:r>
      <w:r>
        <w:rPr>
          <w:rFonts w:hint="eastAsia" w:ascii="宋体" w:hAnsi="宋体" w:eastAsia="宋体" w:cs="宋体"/>
          <w:color w:val="auto"/>
          <w:kern w:val="0"/>
          <w:sz w:val="22"/>
          <w:szCs w:val="22"/>
          <w:highlight w:val="none"/>
          <w:lang w:val="en-US" w:eastAsia="zh-CN"/>
        </w:rPr>
        <w:t>双设备热备份原则</w:t>
      </w:r>
    </w:p>
    <w:p w14:paraId="679F0C8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采用双设备热备份方案，确保数据中心出口网络具备高可用性，即当一台设备故障时，另一台设备能够自动接管，从而避免单点故障问题。</w:t>
      </w:r>
    </w:p>
    <w:p w14:paraId="5DA4D5E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6、高带宽扩展原则</w:t>
      </w:r>
    </w:p>
    <w:p w14:paraId="349BF06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采用高带宽扩展方案，增加数据中心出口网络的带宽，满足局办单位不断增长的网络访问需求，提高政务服务的效率和质量。在接入用户规模、业务承载能力上具备扩展性，具有顺利扩容、平滑升级的能力。通过分层、分域的设计和建设，在不影响现有网络和政务业务运行情况下，响应全市接入需求。</w:t>
      </w:r>
    </w:p>
    <w:p w14:paraId="7054D60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7、技术先进性原则</w:t>
      </w:r>
    </w:p>
    <w:p w14:paraId="24EACFD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考虑政务工作需求和技术发展趋势，在稳定、可靠、高效的基础上确保设计思想先进、网络架构先进、软硬件设备先进等，进一步深化政务外网向IPv6单栈演进。</w:t>
      </w:r>
    </w:p>
    <w:p w14:paraId="6FC1A3E4">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83" w:name="_Toc12206"/>
      <w:bookmarkStart w:id="84" w:name="_Toc2741"/>
      <w:bookmarkStart w:id="85" w:name="_Toc12336"/>
      <w:bookmarkStart w:id="86" w:name="_Toc6519"/>
      <w:bookmarkStart w:id="87" w:name="_Toc21409"/>
      <w:bookmarkStart w:id="88" w:name="_Toc28575"/>
      <w:r>
        <w:rPr>
          <w:rFonts w:hint="eastAsia" w:ascii="宋体" w:hAnsi="宋体" w:eastAsia="宋体" w:cs="宋体"/>
          <w:b/>
          <w:bCs/>
          <w:color w:val="auto"/>
          <w:sz w:val="22"/>
          <w:szCs w:val="22"/>
          <w:highlight w:val="none"/>
          <w:lang w:val="en-US" w:eastAsia="zh-CN"/>
        </w:rPr>
        <w:t>4.1.2建设策略</w:t>
      </w:r>
      <w:bookmarkEnd w:id="83"/>
      <w:bookmarkEnd w:id="84"/>
      <w:bookmarkEnd w:id="85"/>
      <w:bookmarkEnd w:id="86"/>
      <w:bookmarkEnd w:id="87"/>
      <w:bookmarkEnd w:id="88"/>
    </w:p>
    <w:p w14:paraId="089DA28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医共体区域急诊急救建设策略包括“服务医改，惠及民生”“总体规划，分步实施”“顶层设计，夯实基层”以及“综合配套，协同推进”四点，要始终坚持以健康为中心、以问题为导向、容错激励并重，统筹协调形成合力。</w:t>
      </w:r>
    </w:p>
    <w:p w14:paraId="45709AC6">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4.1.2.1服务医改惠及民生</w:t>
      </w:r>
    </w:p>
    <w:p w14:paraId="08F342B4">
      <w:pPr>
        <w:pageBreakBefore w:val="0"/>
        <w:kinsoku/>
        <w:wordWrap/>
        <w:topLinePunct w:val="0"/>
        <w:bidi w:val="0"/>
        <w:snapToGrid/>
        <w:spacing w:line="360" w:lineRule="auto"/>
        <w:ind w:firstLine="0" w:firstLine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以人为本，惠及民生是组建医共体的出发点和最终目标。紧密型医共体信息化项目设计是通过利用信息化手段，一方面需要以居民获得更加优质﹑高效、便捷的医疗卫生服务为理念，使居民成为医改信息化的受益者；另外一方面，需要有利于推进医疗卫生体制改革，有利于医疗卫生资源整合，有利于提高医疗服务的可及性和公共卫生的均等性，有利于提高县域医共体整体医疗卫生服务水平。</w:t>
      </w:r>
    </w:p>
    <w:p w14:paraId="5B9B0C72">
      <w:pPr>
        <w:pageBreakBefore w:val="0"/>
        <w:kinsoku/>
        <w:wordWrap/>
        <w:topLinePunct w:val="0"/>
        <w:bidi w:val="0"/>
        <w:snapToGrid/>
        <w:spacing w:line="360" w:lineRule="auto"/>
        <w:ind w:firstLine="0" w:firstLine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为了服务医改，医共体应充分改造升级急诊急救平台，以提供更加优质、高效、便捷的医疗卫生服务。急诊急救平台需建立紧急医疗救援体系，配备急救设备，培训急救人员，以保障急救服务的及时性和有效性，提高医疗服务的可及性和公共卫生的均等性。</w:t>
      </w:r>
    </w:p>
    <w:p w14:paraId="7B277070">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4.1.2.2总体规划分步实施</w:t>
      </w:r>
    </w:p>
    <w:p w14:paraId="0C715D8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医共体信息化的设计需要考虑项目的规模和实施的复杂性，在设计过程中需要综合采用“总体规划、分段实施、循序渐进”的原则。</w:t>
      </w:r>
    </w:p>
    <w:p w14:paraId="18A1109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根据国家卫健委总体要求，结合永嘉县的实际情况，确立项目的整体目标，制定统一的建设规划，搭建平台的统一框架，确定项目的实施方案。在总体规划的基础上分阶段实施，按照“先互联互通，再关停并转”“先搭体系，再逐步完善”和“先行先试，再全面铺开”的原则进行设计，先着重打造互联互通的急诊急救平台，再逐步完善其他相关业务，有序推进医共体建设，确保系统的稳定性和可持续发展。</w:t>
      </w:r>
    </w:p>
    <w:p w14:paraId="03D52A63">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4.1.2.3顶层设计夯实基层</w:t>
      </w:r>
    </w:p>
    <w:p w14:paraId="601B8FC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传统的医疗信息化设计与建设普遍采用各地方各机构先建各自平台及系统，再建总体平台的自底向上建设模式。该信息化设计与建设模式极易造成标准不一致、建设无序、重复投资等问题。医共体急诊医学平台设计建议遵循“自顶向下”的模式，强化顶层设计，夯实基层业务。在总体规划框架下建立统一的制度规范，实现医共体各成员部门的分工协作，联合共建。</w:t>
      </w:r>
    </w:p>
    <w:p w14:paraId="78560CF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在永嘉县医共体建设中，应该强化医共体的顶层设计，建立统一的制度规范，推动医共体各成员部门之间的分工协作，共同建设急诊急救平台，以实现信息共享和协同工作。通过自顶向下的模式设计，医共体可以更好地管理和运行急救和转诊服务，从而提高医疗服务的质量和效率。</w:t>
      </w:r>
    </w:p>
    <w:p w14:paraId="08B0FBE6">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4.1.2.4综合配套协同推进</w:t>
      </w:r>
    </w:p>
    <w:p w14:paraId="41CBA31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医共体信息化设计与建设是一个综合配套工程，涉及管理与运行机制、业务模式与规范，以及相关法律法规。在升级急诊急救平台的过程中，应该考虑人口、卫生、服务和健康等因素，确保医共体能够全面推进。通过综合配套和协同推进的原则，医共体可以实现急救和转诊平台的有效整合，提升服务水平，为医改，惠及民生的目标不懈努力。</w:t>
      </w:r>
    </w:p>
    <w:p w14:paraId="42854679">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89" w:name="_Toc30624"/>
      <w:bookmarkStart w:id="90" w:name="_Toc26424"/>
      <w:bookmarkStart w:id="91" w:name="_Toc27678"/>
      <w:bookmarkStart w:id="92" w:name="_Toc11785"/>
      <w:bookmarkStart w:id="93" w:name="_Toc1151"/>
      <w:bookmarkStart w:id="94" w:name="_Toc30973"/>
      <w:bookmarkStart w:id="95" w:name="_Toc30378"/>
      <w:bookmarkStart w:id="96" w:name="_Toc8037"/>
      <w:bookmarkStart w:id="97" w:name="_Toc26045"/>
      <w:r>
        <w:rPr>
          <w:rFonts w:hint="eastAsia" w:ascii="宋体" w:hAnsi="宋体" w:eastAsia="宋体" w:cs="宋体"/>
          <w:b/>
          <w:bCs/>
          <w:color w:val="auto"/>
          <w:sz w:val="22"/>
          <w:szCs w:val="22"/>
          <w:highlight w:val="none"/>
          <w:lang w:val="en-US" w:eastAsia="zh-CN"/>
        </w:rPr>
        <w:t>4.2总体目标</w:t>
      </w:r>
      <w:bookmarkEnd w:id="89"/>
      <w:bookmarkEnd w:id="90"/>
      <w:bookmarkEnd w:id="91"/>
      <w:bookmarkEnd w:id="92"/>
      <w:bookmarkEnd w:id="93"/>
      <w:bookmarkEnd w:id="94"/>
      <w:bookmarkEnd w:id="95"/>
      <w:bookmarkEnd w:id="96"/>
      <w:bookmarkEnd w:id="97"/>
    </w:p>
    <w:p w14:paraId="5E1B8159">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以科学规范、满足医改要求、符合基层需求的指导性文件为基础，根据浙江省委办公厅、浙江省政府办公厅发布的《关于全面推进县域医疗卫生服务共同体建设的意见》，结合永嘉县的实际情况，深入推进永嘉县域医共体模式下的信息化建设，提升重大疫情应对和医疗应急能力。健全永嘉县域医共体分级分层分流的重大疫情救治机制，加强县域医疗急救体系建设。</w:t>
      </w:r>
    </w:p>
    <w:p w14:paraId="57ABD11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本项目打造永嘉县区域急诊急救一体化平台，通过集成数据分析平台、院前、院内急诊急救平台、五大中心系统等功能，实现院前院内数据信息高速互联互通，为病患开启智慧急救绿色通道，全面提升病患急救效率。</w:t>
      </w:r>
    </w:p>
    <w:p w14:paraId="37439FF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打通现有温州市急救中心建设的平台，做到数据标准全市统一、调度指令逻辑集中、管理数据物理集中，实现市域范围内院前院内无缝衔接，急救调度一体化格局，将孤立的急救系统与接诊医院、区域卫生信息平台、省级县级急救中心对接，实现诊疗数据和急救数据共享，形成规模效应，达到降低系统建设成本，对促进院前急救事业发展，提供优质服务起到重要作用。</w:t>
      </w:r>
    </w:p>
    <w:p w14:paraId="09465AB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医共体区域急诊急救体系以提升居民看病体验为主要核心，优化提升服务功能为目标，延申“数字化转型、高质量发展、便捷化就医”主题，通过规划布局与建设统一标准的分级医疗急救机构，强化分工合作，完成医院跟踪工作，实现患者全样本、全流程覆盖，实现院前和院内急救系统的无缝衔接，全面满足人民群众日常医疗急救和应对突发重大公共事件的双重需求。</w:t>
      </w:r>
    </w:p>
    <w:p w14:paraId="29C24E7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同时，以医共体建设为契机，全面推动卫生健康信息化建设，加快推进互联网与医疗健康的深度融合发展，深化医疗领域“最多跑一次”改革，打破各级医疗机构之间的数据壁垒、信息孤岛，实现电子健康档案和电子病历的互享。重点抓好医共体规范化建设，推动县域医共体建设取得实效；坚持贯彻“强基层、强县级、强县域”的改革要求，实现城市医疗资源有效下沉，稳步提升县域医疗卫生整体水平。</w:t>
      </w:r>
    </w:p>
    <w:p w14:paraId="25A548C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1.数据分析平台方面： 通过建立院前急救和院内急诊数据分析模型，提出关键质控指标，实现数据分析平台快速展示急救业务和急诊业务情况以及问题，从而开始反应和改进业务流程，进一步提升急诊急救的效率和满意度。</w:t>
      </w:r>
    </w:p>
    <w:p w14:paraId="551FB4C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院内急诊方面：通过优化急诊流程和提升急诊设施设备水平，实现急诊医疗服务的快速、高效、安全和优质化，缩短患者就医等候时间，提高急诊治疗的及时性和准确性，确保每一位急诊患者能够得到及时的救治和关怀。</w:t>
      </w:r>
    </w:p>
    <w:p w14:paraId="13A7FD6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五大中心方面：通过建设和完善胸痛中心、卒中中心、创伤中心、危重孕产妇中心和危重新生儿中心，实现对特定疾病或病情的专业化救治，提高救治水平和生存率，为患者提供更加全面、高效、安全的医疗服务，推动医疗卫生事业的健康发展。</w:t>
      </w:r>
    </w:p>
    <w:p w14:paraId="4C333076">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98" w:name="_Toc17877"/>
      <w:bookmarkStart w:id="99" w:name="_Toc8994"/>
      <w:bookmarkStart w:id="100" w:name="_Toc26565"/>
      <w:bookmarkStart w:id="101" w:name="_Toc29406"/>
      <w:bookmarkStart w:id="102" w:name="_Toc30122"/>
      <w:bookmarkStart w:id="103" w:name="_Toc24199"/>
      <w:r>
        <w:rPr>
          <w:rFonts w:hint="eastAsia" w:ascii="宋体" w:hAnsi="宋体" w:eastAsia="宋体" w:cs="宋体"/>
          <w:b/>
          <w:bCs/>
          <w:color w:val="auto"/>
          <w:sz w:val="22"/>
          <w:szCs w:val="22"/>
          <w:highlight w:val="none"/>
          <w:lang w:val="en-US" w:eastAsia="zh-CN"/>
        </w:rPr>
        <w:t>4.3建设任务</w:t>
      </w:r>
      <w:bookmarkEnd w:id="98"/>
      <w:bookmarkEnd w:id="99"/>
      <w:bookmarkEnd w:id="100"/>
      <w:bookmarkEnd w:id="101"/>
      <w:bookmarkEnd w:id="102"/>
      <w:bookmarkEnd w:id="103"/>
    </w:p>
    <w:p w14:paraId="765A07D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1.数据分析平台：在数据分析平台建设任务中，首要任务是规划分析数据模型，提炼关键质控指标；同时要对院前数据接口做规范和数据落地到分析平台；院内数据通过急诊系统提供不用做接口和数据落地。</w:t>
      </w:r>
    </w:p>
    <w:p w14:paraId="7D57A0A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院内急诊：在院内急诊建设任务中，首要任务是优化急诊流程，包括分诊、排队、就诊等环节，提高急诊服务效率；同时要完善急诊设施设备，提高急诊医疗服务的质量和安全性；此外，还需要加强急诊医护人员的培训和队伍建设，提高其应急处置能力和专业水平。</w:t>
      </w:r>
    </w:p>
    <w:p w14:paraId="3C614C6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五大中心：在五大中心建设任务中，重点是建设和完善各个中心的诊疗流程和治疗标准，确保患者得到规范化、专业化的治疗服务；同时要加强中心内部各个环节的协同作战和资源整合，提高救治效率和生存率；此外，还需要加强对中心医护人员的培训和队伍建设，确保其具备应对各种急重症的能力和水平。</w:t>
      </w:r>
    </w:p>
    <w:p w14:paraId="357FC50D">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04" w:name="_Toc8087"/>
      <w:bookmarkStart w:id="105" w:name="_Toc8517"/>
      <w:bookmarkStart w:id="106" w:name="_Toc11092"/>
      <w:bookmarkStart w:id="107" w:name="_Toc2415"/>
      <w:bookmarkStart w:id="108" w:name="_Toc16691"/>
      <w:bookmarkStart w:id="109" w:name="_Toc10048"/>
      <w:bookmarkStart w:id="110" w:name="_Toc30547"/>
      <w:bookmarkStart w:id="111" w:name="_Toc21550"/>
      <w:bookmarkStart w:id="112" w:name="_Toc16858"/>
      <w:r>
        <w:rPr>
          <w:rFonts w:hint="eastAsia" w:ascii="宋体" w:hAnsi="宋体" w:eastAsia="宋体" w:cs="宋体"/>
          <w:b/>
          <w:bCs/>
          <w:color w:val="auto"/>
          <w:sz w:val="22"/>
          <w:szCs w:val="22"/>
          <w:highlight w:val="none"/>
          <w:lang w:val="en-US" w:eastAsia="zh-CN"/>
        </w:rPr>
        <w:t>4.4总体设计方案</w:t>
      </w:r>
      <w:bookmarkEnd w:id="104"/>
      <w:bookmarkEnd w:id="105"/>
      <w:bookmarkEnd w:id="106"/>
      <w:bookmarkEnd w:id="107"/>
      <w:bookmarkEnd w:id="108"/>
      <w:bookmarkEnd w:id="109"/>
      <w:bookmarkEnd w:id="110"/>
      <w:bookmarkEnd w:id="111"/>
      <w:bookmarkEnd w:id="112"/>
    </w:p>
    <w:p w14:paraId="280FA1D9">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4.4.1系统总体结构</w:t>
      </w:r>
    </w:p>
    <w:p w14:paraId="05F01D22">
      <w:pPr>
        <w:pageBreakBefore w:val="0"/>
        <w:kinsoku/>
        <w:wordWrap/>
        <w:topLinePunct w:val="0"/>
        <w:bidi w:val="0"/>
        <w:snapToGrid/>
        <w:spacing w:line="360" w:lineRule="auto"/>
        <w:ind w:left="0" w:leftChars="0" w:firstLine="0" w:firstLineChars="0"/>
        <w:jc w:val="center"/>
        <w:rPr>
          <w:rFonts w:hint="eastAsia" w:ascii="宋体" w:hAnsi="宋体" w:eastAsia="宋体" w:cs="宋体"/>
          <w:color w:val="auto"/>
          <w:sz w:val="22"/>
          <w:szCs w:val="22"/>
          <w:highlight w:val="none"/>
        </w:rPr>
      </w:pPr>
      <w:r>
        <w:rPr>
          <w:color w:val="auto"/>
          <w:highlight w:val="none"/>
        </w:rPr>
        <w:drawing>
          <wp:inline distT="0" distB="0" distL="114300" distR="114300">
            <wp:extent cx="5257800" cy="314325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9"/>
                    <a:stretch>
                      <a:fillRect/>
                    </a:stretch>
                  </pic:blipFill>
                  <pic:spPr>
                    <a:xfrm>
                      <a:off x="0" y="0"/>
                      <a:ext cx="5257800" cy="3143250"/>
                    </a:xfrm>
                    <a:prstGeom prst="rect">
                      <a:avLst/>
                    </a:prstGeom>
                    <a:noFill/>
                    <a:ln>
                      <a:noFill/>
                    </a:ln>
                  </pic:spPr>
                </pic:pic>
              </a:graphicData>
            </a:graphic>
          </wp:inline>
        </w:drawing>
      </w:r>
    </w:p>
    <w:p w14:paraId="1E6DC422">
      <w:pPr>
        <w:pStyle w:val="12"/>
        <w:pageBreakBefore w:val="0"/>
        <w:kinsoku/>
        <w:wordWrap/>
        <w:topLinePunct w:val="0"/>
        <w:bidi w:val="0"/>
        <w:snapToGrid/>
        <w:spacing w:line="360" w:lineRule="auto"/>
        <w:ind w:left="-414" w:leftChars="-197" w:firstLine="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 xml:space="preserve">图4- </w:t>
      </w:r>
      <w:r>
        <w:rPr>
          <w:rFonts w:hint="eastAsia" w:ascii="宋体" w:hAnsi="宋体" w:eastAsia="宋体" w:cs="宋体"/>
          <w:color w:val="auto"/>
          <w:sz w:val="22"/>
          <w:szCs w:val="22"/>
          <w:highlight w:val="none"/>
          <w:lang w:eastAsia="zh-CN"/>
        </w:rPr>
        <w:fldChar w:fldCharType="begin"/>
      </w:r>
      <w:r>
        <w:rPr>
          <w:rFonts w:hint="eastAsia" w:ascii="宋体" w:hAnsi="宋体" w:eastAsia="宋体" w:cs="宋体"/>
          <w:color w:val="auto"/>
          <w:sz w:val="22"/>
          <w:szCs w:val="22"/>
          <w:highlight w:val="none"/>
          <w:lang w:eastAsia="zh-CN"/>
        </w:rPr>
        <w:instrText xml:space="preserve"> SEQ 图4- \* ARABIC </w:instrText>
      </w:r>
      <w:r>
        <w:rPr>
          <w:rFonts w:hint="eastAsia" w:ascii="宋体" w:hAnsi="宋体" w:eastAsia="宋体" w:cs="宋体"/>
          <w:color w:val="auto"/>
          <w:sz w:val="22"/>
          <w:szCs w:val="22"/>
          <w:highlight w:val="none"/>
          <w:lang w:eastAsia="zh-CN"/>
        </w:rPr>
        <w:fldChar w:fldCharType="separate"/>
      </w:r>
      <w:r>
        <w:rPr>
          <w:rFonts w:hint="eastAsia" w:ascii="宋体" w:hAnsi="宋体" w:eastAsia="宋体" w:cs="宋体"/>
          <w:color w:val="auto"/>
          <w:sz w:val="22"/>
          <w:szCs w:val="22"/>
          <w:highlight w:val="none"/>
          <w:lang w:eastAsia="zh-CN"/>
        </w:rPr>
        <w:t>1</w:t>
      </w:r>
      <w:r>
        <w:rPr>
          <w:rFonts w:hint="eastAsia" w:ascii="宋体" w:hAnsi="宋体" w:eastAsia="宋体" w:cs="宋体"/>
          <w:color w:val="auto"/>
          <w:sz w:val="22"/>
          <w:szCs w:val="22"/>
          <w:highlight w:val="none"/>
          <w:lang w:eastAsia="zh-CN"/>
        </w:rPr>
        <w:fldChar w:fldCharType="end"/>
      </w:r>
      <w:r>
        <w:rPr>
          <w:rFonts w:hint="eastAsia" w:ascii="宋体" w:hAnsi="宋体" w:eastAsia="宋体" w:cs="宋体"/>
          <w:color w:val="auto"/>
          <w:sz w:val="22"/>
          <w:szCs w:val="22"/>
          <w:highlight w:val="none"/>
          <w:lang w:eastAsia="zh-CN"/>
        </w:rPr>
        <w:t>系统总体架构图</w:t>
      </w:r>
    </w:p>
    <w:p w14:paraId="58109300">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（一）用户层</w:t>
      </w:r>
    </w:p>
    <w:p w14:paraId="2135207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用户层面向医生、护士、管理者等用户提供多种在线服务，包括数据分析平台的概览大屏、院内急诊系统中的急诊智慧屏、五大中心系统中的概览大屏，方便不同角色用户对院前急救及院内急救相关业务数据进行查看。</w:t>
      </w:r>
    </w:p>
    <w:p w14:paraId="120E8ED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（二）应用层</w:t>
      </w:r>
    </w:p>
    <w:p w14:paraId="1BDA7D0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应用层包括急诊医疗系统、五大中心、数据分析平台。</w:t>
      </w:r>
    </w:p>
    <w:p w14:paraId="1F92B7B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（三）支撑层</w:t>
      </w:r>
    </w:p>
    <w:p w14:paraId="0B0D04B3">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支撑层包括用户中心、业务中心、交互中心、数据缓存，为上册应用提供各类基础能力支持。</w:t>
      </w:r>
    </w:p>
    <w:p w14:paraId="02E9851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（四）数据层</w:t>
      </w:r>
    </w:p>
    <w:p w14:paraId="12464A5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数据层包括从数据分析平台获取院前急救信息库、急诊电子病历库、急诊患者信息库、五大中心专病库；从院内急诊系统获取预检分诊信息库、急诊护理信息库、急诊电子病历库、分诊知识库、护理知识库、病历知识库；从五大中心系统获取胸痛专病库、卒中专病库、创伤专病库、危重新生儿专病库、危重孕产妇专病库，为上层业务系统提供数据存储、管理。</w:t>
      </w:r>
    </w:p>
    <w:p w14:paraId="190A2EA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（五）基础层</w:t>
      </w:r>
    </w:p>
    <w:p w14:paraId="55B8060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基础层包括硬件服务器、卫健专网、互联网、RFID等物联网设备。</w:t>
      </w:r>
    </w:p>
    <w:p w14:paraId="15FE05C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p>
    <w:p w14:paraId="6318AC45">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13" w:name="_Toc12650"/>
      <w:bookmarkStart w:id="114" w:name="_Toc4023"/>
      <w:bookmarkStart w:id="115" w:name="_Toc2888"/>
      <w:bookmarkStart w:id="116" w:name="_Toc6080"/>
      <w:bookmarkStart w:id="117" w:name="_Toc11414"/>
      <w:bookmarkStart w:id="118" w:name="_Toc12559"/>
      <w:bookmarkStart w:id="119" w:name="_Toc31120"/>
      <w:bookmarkStart w:id="120" w:name="_Toc25633"/>
      <w:bookmarkStart w:id="121" w:name="_Toc8449"/>
      <w:bookmarkStart w:id="122" w:name="_Toc12214"/>
      <w:bookmarkStart w:id="123" w:name="_Toc29305"/>
      <w:r>
        <w:rPr>
          <w:rFonts w:hint="eastAsia" w:ascii="宋体" w:hAnsi="宋体" w:eastAsia="宋体" w:cs="宋体"/>
          <w:b/>
          <w:bCs/>
          <w:color w:val="auto"/>
          <w:sz w:val="22"/>
          <w:szCs w:val="22"/>
          <w:highlight w:val="none"/>
          <w:lang w:val="en-US" w:eastAsia="zh-CN"/>
        </w:rPr>
        <w:t>4.4.2网络总体结构</w:t>
      </w:r>
      <w:bookmarkEnd w:id="113"/>
      <w:bookmarkEnd w:id="114"/>
      <w:bookmarkEnd w:id="115"/>
      <w:bookmarkEnd w:id="116"/>
      <w:bookmarkEnd w:id="117"/>
      <w:bookmarkEnd w:id="118"/>
      <w:bookmarkEnd w:id="119"/>
      <w:bookmarkEnd w:id="120"/>
      <w:bookmarkEnd w:id="121"/>
      <w:bookmarkEnd w:id="122"/>
    </w:p>
    <w:p w14:paraId="193AF807">
      <w:pPr>
        <w:pageBreakBefore w:val="0"/>
        <w:kinsoku/>
        <w:wordWrap/>
        <w:topLinePunct w:val="0"/>
        <w:bidi w:val="0"/>
        <w:snapToGrid/>
        <w:spacing w:line="360" w:lineRule="auto"/>
        <w:ind w:left="-414" w:leftChars="-197" w:firstLine="0" w:firstLineChars="0"/>
        <w:jc w:val="center"/>
        <w:rPr>
          <w:rFonts w:hint="eastAsia" w:ascii="宋体" w:hAnsi="宋体" w:eastAsia="宋体" w:cs="宋体"/>
          <w:color w:val="auto"/>
          <w:sz w:val="22"/>
          <w:szCs w:val="22"/>
          <w:highlight w:val="none"/>
          <w:lang w:eastAsia="zh-CN"/>
        </w:rPr>
      </w:pPr>
      <w:r>
        <w:rPr>
          <w:rFonts w:hint="eastAsia"/>
          <w:color w:val="auto"/>
          <w:highlight w:val="none"/>
        </w:rPr>
        <w:drawing>
          <wp:inline distT="0" distB="0" distL="114300" distR="114300">
            <wp:extent cx="5410835" cy="3497580"/>
            <wp:effectExtent l="0" t="0" r="18415" b="7620"/>
            <wp:docPr id="19" name="图片 19" descr="急救平台五大中心网络拓扑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急救平台五大中心网络拓扑图 (2)"/>
                    <pic:cNvPicPr>
                      <a:picLocks noChangeAspect="1"/>
                    </pic:cNvPicPr>
                  </pic:nvPicPr>
                  <pic:blipFill>
                    <a:blip r:embed="rId20"/>
                    <a:stretch>
                      <a:fillRect/>
                    </a:stretch>
                  </pic:blipFill>
                  <pic:spPr>
                    <a:xfrm>
                      <a:off x="0" y="0"/>
                      <a:ext cx="5410835" cy="3497580"/>
                    </a:xfrm>
                    <a:prstGeom prst="rect">
                      <a:avLst/>
                    </a:prstGeom>
                  </pic:spPr>
                </pic:pic>
              </a:graphicData>
            </a:graphic>
          </wp:inline>
        </w:drawing>
      </w:r>
    </w:p>
    <w:p w14:paraId="16F9128F">
      <w:pPr>
        <w:pStyle w:val="12"/>
        <w:pageBreakBefore w:val="0"/>
        <w:kinsoku/>
        <w:wordWrap/>
        <w:topLinePunct w:val="0"/>
        <w:bidi w:val="0"/>
        <w:snapToGrid/>
        <w:spacing w:line="360" w:lineRule="auto"/>
        <w:ind w:left="-414" w:leftChars="-197" w:firstLine="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xml:space="preserve">图4- </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SEQ 图4- \* ARABIC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rPr>
        <w:fldChar w:fldCharType="end"/>
      </w:r>
      <w:r>
        <w:rPr>
          <w:rFonts w:hint="eastAsia" w:ascii="宋体" w:hAnsi="宋体" w:eastAsia="宋体" w:cs="宋体"/>
          <w:color w:val="auto"/>
          <w:sz w:val="22"/>
          <w:szCs w:val="22"/>
          <w:highlight w:val="none"/>
          <w:lang w:eastAsia="zh-CN"/>
        </w:rPr>
        <w:t>网络总体架构图</w:t>
      </w:r>
    </w:p>
    <w:p w14:paraId="3ACF4AB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该图中人民医院内部网络和</w:t>
      </w:r>
      <w:r>
        <w:rPr>
          <w:rFonts w:hint="eastAsia" w:ascii="宋体" w:hAnsi="宋体" w:cs="宋体"/>
          <w:color w:val="auto"/>
          <w:kern w:val="0"/>
          <w:sz w:val="22"/>
          <w:szCs w:val="22"/>
          <w:highlight w:val="none"/>
          <w:lang w:val="en-US" w:eastAsia="zh-CN"/>
        </w:rPr>
        <w:t>中医医院</w:t>
      </w:r>
      <w:r>
        <w:rPr>
          <w:rFonts w:hint="eastAsia" w:ascii="宋体" w:hAnsi="宋体" w:eastAsia="宋体" w:cs="宋体"/>
          <w:color w:val="auto"/>
          <w:kern w:val="0"/>
          <w:sz w:val="22"/>
          <w:szCs w:val="22"/>
          <w:highlight w:val="none"/>
          <w:lang w:val="en-US" w:eastAsia="zh-CN"/>
        </w:rPr>
        <w:t>内部通过医疗专网实现互联互通，人民医院（或者</w:t>
      </w:r>
      <w:r>
        <w:rPr>
          <w:rFonts w:hint="eastAsia" w:ascii="宋体" w:hAnsi="宋体" w:cs="宋体"/>
          <w:color w:val="auto"/>
          <w:kern w:val="0"/>
          <w:sz w:val="22"/>
          <w:szCs w:val="22"/>
          <w:highlight w:val="none"/>
          <w:lang w:val="en-US" w:eastAsia="zh-CN"/>
        </w:rPr>
        <w:t>中医医院</w:t>
      </w:r>
      <w:r>
        <w:rPr>
          <w:rFonts w:hint="eastAsia" w:ascii="宋体" w:hAnsi="宋体" w:eastAsia="宋体" w:cs="宋体"/>
          <w:color w:val="auto"/>
          <w:kern w:val="0"/>
          <w:sz w:val="22"/>
          <w:szCs w:val="22"/>
          <w:highlight w:val="none"/>
          <w:lang w:val="en-US" w:eastAsia="zh-CN"/>
        </w:rPr>
        <w:t>）互联网区作为院前院内一体化数据交互的中转站和区域急救平台进行通讯。同时急诊医学平台中的AI电话和短信讯息通过互联网区和“联通云服务器”进行数据交互。</w:t>
      </w:r>
    </w:p>
    <w:p w14:paraId="0D04817A">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24" w:name="_Toc17257"/>
      <w:bookmarkStart w:id="125" w:name="_Toc4502"/>
      <w:bookmarkStart w:id="126" w:name="_Toc21814"/>
      <w:bookmarkStart w:id="127" w:name="_Toc22430"/>
      <w:bookmarkStart w:id="128" w:name="_Toc17523"/>
      <w:bookmarkStart w:id="129" w:name="_Toc20177"/>
      <w:r>
        <w:rPr>
          <w:rFonts w:hint="eastAsia" w:ascii="宋体" w:hAnsi="宋体" w:eastAsia="宋体" w:cs="宋体"/>
          <w:b/>
          <w:bCs/>
          <w:color w:val="auto"/>
          <w:sz w:val="22"/>
          <w:szCs w:val="22"/>
          <w:highlight w:val="none"/>
          <w:lang w:val="en-US" w:eastAsia="zh-CN"/>
        </w:rPr>
        <w:t>4.4.3数据架构</w:t>
      </w:r>
      <w:bookmarkEnd w:id="124"/>
      <w:bookmarkEnd w:id="125"/>
      <w:bookmarkEnd w:id="126"/>
      <w:bookmarkEnd w:id="127"/>
      <w:bookmarkEnd w:id="128"/>
      <w:bookmarkEnd w:id="129"/>
    </w:p>
    <w:p w14:paraId="50A66A11">
      <w:pPr>
        <w:pageBreakBefore w:val="0"/>
        <w:shd w:val="clear"/>
        <w:kinsoku/>
        <w:wordWrap/>
        <w:topLinePunct w:val="0"/>
        <w:bidi w:val="0"/>
        <w:snapToGrid/>
        <w:spacing w:line="360" w:lineRule="auto"/>
        <w:ind w:left="-199" w:leftChars="-95" w:firstLine="0" w:firstLineChars="0"/>
        <w:jc w:val="center"/>
        <w:rPr>
          <w:rFonts w:hint="eastAsia" w:ascii="宋体" w:hAnsi="宋体" w:eastAsia="宋体" w:cs="宋体"/>
          <w:color w:val="auto"/>
          <w:sz w:val="22"/>
          <w:szCs w:val="22"/>
          <w:highlight w:val="none"/>
          <w:lang w:eastAsia="zh-CN"/>
        </w:rPr>
      </w:pPr>
      <w:r>
        <w:rPr>
          <w:rFonts w:hint="eastAsia"/>
          <w:color w:val="auto"/>
          <w:highlight w:val="none"/>
        </w:rPr>
        <w:drawing>
          <wp:inline distT="0" distB="0" distL="114300" distR="114300">
            <wp:extent cx="5264785" cy="5275580"/>
            <wp:effectExtent l="0" t="0" r="12065" b="1270"/>
            <wp:docPr id="20" name="图片 20" descr="急救平台五大中心数据流程图-V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急救平台五大中心数据流程图-V2 (2)"/>
                    <pic:cNvPicPr>
                      <a:picLocks noChangeAspect="1"/>
                    </pic:cNvPicPr>
                  </pic:nvPicPr>
                  <pic:blipFill>
                    <a:blip r:embed="rId21"/>
                    <a:stretch>
                      <a:fillRect/>
                    </a:stretch>
                  </pic:blipFill>
                  <pic:spPr>
                    <a:xfrm>
                      <a:off x="0" y="0"/>
                      <a:ext cx="5264785" cy="5275580"/>
                    </a:xfrm>
                    <a:prstGeom prst="rect">
                      <a:avLst/>
                    </a:prstGeom>
                  </pic:spPr>
                </pic:pic>
              </a:graphicData>
            </a:graphic>
          </wp:inline>
        </w:drawing>
      </w:r>
    </w:p>
    <w:p w14:paraId="39A9447A">
      <w:pPr>
        <w:pStyle w:val="12"/>
        <w:pageBreakBefore w:val="0"/>
        <w:kinsoku/>
        <w:wordWrap/>
        <w:topLinePunct w:val="0"/>
        <w:bidi w:val="0"/>
        <w:snapToGrid/>
        <w:spacing w:line="360" w:lineRule="auto"/>
        <w:ind w:left="-414" w:leftChars="-197" w:firstLine="0" w:firstLine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 xml:space="preserve">图4- </w:t>
      </w:r>
      <w:r>
        <w:rPr>
          <w:rFonts w:hint="eastAsia" w:ascii="宋体" w:hAnsi="宋体" w:eastAsia="宋体" w:cs="宋体"/>
          <w:color w:val="auto"/>
          <w:sz w:val="22"/>
          <w:szCs w:val="22"/>
          <w:highlight w:val="none"/>
          <w:lang w:eastAsia="zh-CN"/>
        </w:rPr>
        <w:fldChar w:fldCharType="begin"/>
      </w:r>
      <w:r>
        <w:rPr>
          <w:rFonts w:hint="eastAsia" w:ascii="宋体" w:hAnsi="宋体" w:eastAsia="宋体" w:cs="宋体"/>
          <w:color w:val="auto"/>
          <w:sz w:val="22"/>
          <w:szCs w:val="22"/>
          <w:highlight w:val="none"/>
          <w:lang w:eastAsia="zh-CN"/>
        </w:rPr>
        <w:instrText xml:space="preserve"> SEQ 图4- \* ARABIC </w:instrText>
      </w:r>
      <w:r>
        <w:rPr>
          <w:rFonts w:hint="eastAsia" w:ascii="宋体" w:hAnsi="宋体" w:eastAsia="宋体" w:cs="宋体"/>
          <w:color w:val="auto"/>
          <w:sz w:val="22"/>
          <w:szCs w:val="22"/>
          <w:highlight w:val="none"/>
          <w:lang w:eastAsia="zh-CN"/>
        </w:rPr>
        <w:fldChar w:fldCharType="separate"/>
      </w:r>
      <w:r>
        <w:rPr>
          <w:rFonts w:hint="eastAsia" w:ascii="宋体" w:hAnsi="宋体" w:eastAsia="宋体" w:cs="宋体"/>
          <w:color w:val="auto"/>
          <w:sz w:val="22"/>
          <w:szCs w:val="22"/>
          <w:highlight w:val="none"/>
          <w:lang w:eastAsia="zh-CN"/>
        </w:rPr>
        <w:t>3</w:t>
      </w:r>
      <w:r>
        <w:rPr>
          <w:rFonts w:hint="eastAsia" w:ascii="宋体" w:hAnsi="宋体" w:eastAsia="宋体" w:cs="宋体"/>
          <w:color w:val="auto"/>
          <w:sz w:val="22"/>
          <w:szCs w:val="22"/>
          <w:highlight w:val="none"/>
          <w:lang w:eastAsia="zh-CN"/>
        </w:rPr>
        <w:fldChar w:fldCharType="end"/>
      </w:r>
      <w:r>
        <w:rPr>
          <w:rFonts w:hint="eastAsia" w:ascii="宋体" w:hAnsi="宋体" w:eastAsia="宋体" w:cs="宋体"/>
          <w:color w:val="auto"/>
          <w:sz w:val="22"/>
          <w:szCs w:val="22"/>
          <w:highlight w:val="none"/>
          <w:lang w:eastAsia="zh-CN"/>
        </w:rPr>
        <w:t>数据架构图</w:t>
      </w:r>
    </w:p>
    <w:p w14:paraId="5DD84A2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当前为在建系统数据流程图，包含数据从外部系统（院前急救系统及院内HIS系统，集成平台，短信平台，CA系统，归档平台，传染病平台，胸痛中心平台，浙江创伤平台）与在建系统的数据交互情况。同时包含急诊大平台内数据流向情况。</w:t>
      </w:r>
    </w:p>
    <w:bookmarkEnd w:id="123"/>
    <w:p w14:paraId="04ED1FB4">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30" w:name="_Toc15587"/>
      <w:bookmarkStart w:id="131" w:name="_Toc19470"/>
      <w:bookmarkStart w:id="132" w:name="_Toc13067"/>
      <w:bookmarkStart w:id="133" w:name="_Toc26051"/>
      <w:bookmarkStart w:id="134" w:name="_Toc30216"/>
      <w:bookmarkStart w:id="135" w:name="_Toc2681"/>
      <w:bookmarkStart w:id="136" w:name="_Toc17567"/>
      <w:bookmarkStart w:id="137" w:name="_Toc20930"/>
      <w:bookmarkStart w:id="138" w:name="_Toc13113"/>
      <w:bookmarkStart w:id="139" w:name="_Toc23123"/>
      <w:r>
        <w:rPr>
          <w:rFonts w:hint="eastAsia" w:ascii="宋体" w:hAnsi="宋体" w:eastAsia="宋体" w:cs="宋体"/>
          <w:b/>
          <w:bCs/>
          <w:color w:val="auto"/>
          <w:sz w:val="22"/>
          <w:szCs w:val="22"/>
          <w:highlight w:val="none"/>
          <w:lang w:val="en-US" w:eastAsia="zh-CN"/>
        </w:rPr>
        <w:t>4.4.4技术路线</w:t>
      </w:r>
      <w:bookmarkEnd w:id="130"/>
      <w:bookmarkEnd w:id="131"/>
      <w:bookmarkEnd w:id="132"/>
      <w:bookmarkEnd w:id="133"/>
      <w:bookmarkEnd w:id="134"/>
      <w:bookmarkEnd w:id="135"/>
      <w:bookmarkEnd w:id="136"/>
      <w:bookmarkEnd w:id="137"/>
      <w:bookmarkEnd w:id="138"/>
      <w:bookmarkEnd w:id="139"/>
    </w:p>
    <w:p w14:paraId="44E58162">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4.4.4.1应用系统层</w:t>
      </w:r>
    </w:p>
    <w:p w14:paraId="5F4102C9">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4.4.4.1.1  基于B/S的架构</w:t>
      </w:r>
    </w:p>
    <w:p w14:paraId="7DDFE00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系统开发采用基于B/S的架构。</w:t>
      </w:r>
    </w:p>
    <w:p w14:paraId="3D24D97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B/S结构，即Browser/Server（浏览器/服务器）结构，用户界面完全通过WWW浏览器实现，形成所谓三层体系结构。B/S结构利用不断成熟和普及的浏览器技术实现原来需要复杂专用软件才能实现的强大功能，主要特点是分布性强、维护方便、开发简单且共享性强、总体拥有成本低。</w:t>
      </w:r>
    </w:p>
    <w:p w14:paraId="71FE44D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B/S三层体系结构采用三层客户/服务器结构，在数据管理层（Server）和用户界面层（Client）增加了一层结构，称为中间件（Middleware），使整个体系结构成为三层。三层结构是伴随着中间件技术的成熟而兴起的，核心概念是利用中间件将应用分为表示层、业务逻辑层和数据存储层三个不同的处理层次。三个层次的划分是从逻辑上分的，具体的物理分法可以有多种组合。中间件作为构造三层结构应用系统的基础平台，提供了以下主要功能：负责客户机与服务器、服务器与服务器间的连接和通信；实现应用与数据库的高效连接；提供一个三层结构应用的开发、运行、部署和管理的平台。这种三层结构在层与层之间相互独立，</w:t>
      </w:r>
    </w:p>
    <w:p w14:paraId="223C504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任何一层的改变不会影响其他层的功能。</w:t>
      </w:r>
    </w:p>
    <w:p w14:paraId="52F30BE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在B/S体系结构系统中，用户通过浏览器向分布在网络上的许多服务器发出请求，服务器对浏览器的请求进行处理，将用户所需信息返回到浏览器。而其余如数据请求、加工、结果返回以及动态网页生成、对数据库的访问和应用程序的</w:t>
      </w:r>
    </w:p>
    <w:p w14:paraId="57ECBFE9">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执行等工作全部由WebServer完成。</w:t>
      </w:r>
    </w:p>
    <w:p w14:paraId="555FDED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B/S架构的软件只需要管理服务器就行了，所有的客户端只是浏览器，根本不需要做任何的维护。所以客户机越来越“瘦”而服务器越来越“胖”是将来软件的主流发展方向，这使得升级和维护越来越容易而使用越来越简单。</w:t>
      </w:r>
    </w:p>
    <w:p w14:paraId="36FCB37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软件系统的改进和升级越来越频繁，B/S架构的产品明显体现出更方便的特性。无论系统的用户规模有多大，有多少下级部门都不会增加任何维护升级的工作量，所有的操作只需要针对服务器进行，如果是不同地点只需要把服务器连接上网即可立即进行维护和升级，这对人力、时间、费用的节省是相当惊人的。</w:t>
      </w:r>
    </w:p>
    <w:p w14:paraId="305B08AD">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0" w:name="bookmark122"/>
      <w:bookmarkEnd w:id="140"/>
      <w:r>
        <w:rPr>
          <w:rFonts w:hint="eastAsia" w:ascii="宋体" w:hAnsi="宋体" w:eastAsia="宋体" w:cs="宋体"/>
          <w:b/>
          <w:bCs/>
          <w:color w:val="auto"/>
          <w:sz w:val="22"/>
          <w:szCs w:val="22"/>
          <w:highlight w:val="none"/>
          <w:lang w:val="en-US" w:eastAsia="zh-CN"/>
        </w:rPr>
        <w:t>4.4.4.1.2  基于HTML5</w:t>
      </w:r>
    </w:p>
    <w:p w14:paraId="6FE429B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HTML5是HyperTextMarkupLanguage5的缩写，HTML5技术结合了HTML4.01的相关标准并革新，符合现代网络发展要求，在2008年正式发布。HTML5由不同的技术构成，其在互联网中得到了非常广泛的应用，提供更多增强网络应用的标准机。与传统的技术相比，HTML5的语法特征更加明显，并且结合了SVG的内容。这些内容在网页中使用可以更加便捷的处理多媒体内容，而且HTML5中还结合了其他元素，对原有的功能进行调整和修改，进行标准化工作。</w:t>
      </w:r>
    </w:p>
    <w:p w14:paraId="7D5589E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新一代网络标准能够让程序通过Web浏览器，消费者从而能够从包括个人电脑、笔记本电脑、智能手机或平板电脑在内的任意终端访问相同的程序和基于云端的信息。HTML5允许程序通过Web浏览器运行，并且将视频等目前需要插件和其他平台才能使用的多媒体内容也纳入其中，这将使浏览器成为一种通用的平台，用户通过浏览器就能完成任务。此外，消费者还可以访问以远程方式存储在“云”中的各种内容，不受位置和设备的限制。</w:t>
      </w:r>
    </w:p>
    <w:p w14:paraId="68342F18">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1" w:name="bookmark123"/>
      <w:bookmarkEnd w:id="141"/>
      <w:r>
        <w:rPr>
          <w:rFonts w:hint="eastAsia" w:ascii="宋体" w:hAnsi="宋体" w:eastAsia="宋体" w:cs="宋体"/>
          <w:b/>
          <w:bCs/>
          <w:color w:val="auto"/>
          <w:sz w:val="22"/>
          <w:szCs w:val="22"/>
          <w:highlight w:val="none"/>
          <w:lang w:val="en-US" w:eastAsia="zh-CN"/>
        </w:rPr>
        <w:t>4.4.4.1.3  MVC模式</w:t>
      </w:r>
    </w:p>
    <w:p w14:paraId="08E1964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MVC模式是一个用于将用户界面逻辑与业务逻辑分离开来的基础设计模式，它将数据处理、界面以及用户的行为控制分为：Model（模型）－View（视图）-Controller（控制器）。Model：负责当前应用的数据获取与变更及相关的业务逻辑。可用JAVABEAN来体现；View：负责显示信息。可以使用JSP、VELOCITY模板等技术。</w:t>
      </w:r>
    </w:p>
    <w:p w14:paraId="20A1A72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其优点有：</w:t>
      </w:r>
    </w:p>
    <w:p w14:paraId="2BD4FC0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Controller：负责收集转化用户的输入。常用一个SERVLET来实现；</w:t>
      </w:r>
    </w:p>
    <w:p w14:paraId="036490B5">
      <w:pPr>
        <w:pageBreakBefore w:val="0"/>
        <w:kinsoku/>
        <w:wordWrap/>
        <w:topLinePunct w:val="0"/>
        <w:bidi w:val="0"/>
        <w:snapToGrid/>
        <w:spacing w:before="156" w:line="360" w:lineRule="auto"/>
        <w:ind w:left="0" w:leftChars="0" w:firstLine="0" w:firstLineChars="0"/>
        <w:jc w:val="center"/>
        <w:rPr>
          <w:rFonts w:hint="eastAsia" w:ascii="宋体" w:hAnsi="宋体" w:eastAsia="宋体" w:cs="宋体"/>
          <w:color w:val="auto"/>
          <w:sz w:val="22"/>
          <w:szCs w:val="22"/>
          <w:highlight w:val="none"/>
        </w:rPr>
      </w:pPr>
      <w:r>
        <w:rPr>
          <w:color w:val="auto"/>
          <w:position w:val="-81"/>
          <w:highlight w:val="none"/>
        </w:rPr>
        <w:drawing>
          <wp:inline distT="0" distB="0" distL="0" distR="0">
            <wp:extent cx="5152390" cy="2580640"/>
            <wp:effectExtent l="0" t="0" r="10160" b="1016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22"/>
                    <a:stretch>
                      <a:fillRect/>
                    </a:stretch>
                  </pic:blipFill>
                  <pic:spPr>
                    <a:xfrm>
                      <a:off x="0" y="0"/>
                      <a:ext cx="5153024" cy="2581274"/>
                    </a:xfrm>
                    <a:prstGeom prst="rect">
                      <a:avLst/>
                    </a:prstGeom>
                  </pic:spPr>
                </pic:pic>
              </a:graphicData>
            </a:graphic>
          </wp:inline>
        </w:drawing>
      </w:r>
    </w:p>
    <w:p w14:paraId="1E3BDB38">
      <w:pPr>
        <w:pStyle w:val="12"/>
        <w:pageBreakBefore w:val="0"/>
        <w:kinsoku/>
        <w:wordWrap/>
        <w:topLinePunct w:val="0"/>
        <w:bidi w:val="0"/>
        <w:snapToGrid/>
        <w:spacing w:line="360" w:lineRule="auto"/>
        <w:ind w:left="-414" w:leftChars="-197"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 xml:space="preserve">图4- </w:t>
      </w:r>
      <w:r>
        <w:rPr>
          <w:rFonts w:hint="eastAsia" w:ascii="宋体" w:hAnsi="宋体" w:eastAsia="宋体" w:cs="宋体"/>
          <w:color w:val="auto"/>
          <w:sz w:val="22"/>
          <w:szCs w:val="22"/>
          <w:highlight w:val="none"/>
          <w:lang w:eastAsia="zh-CN"/>
        </w:rPr>
        <w:fldChar w:fldCharType="begin"/>
      </w:r>
      <w:r>
        <w:rPr>
          <w:rFonts w:hint="eastAsia" w:ascii="宋体" w:hAnsi="宋体" w:eastAsia="宋体" w:cs="宋体"/>
          <w:color w:val="auto"/>
          <w:sz w:val="22"/>
          <w:szCs w:val="22"/>
          <w:highlight w:val="none"/>
          <w:lang w:eastAsia="zh-CN"/>
        </w:rPr>
        <w:instrText xml:space="preserve"> SEQ 图4- \* ARABIC </w:instrText>
      </w:r>
      <w:r>
        <w:rPr>
          <w:rFonts w:hint="eastAsia" w:ascii="宋体" w:hAnsi="宋体" w:eastAsia="宋体" w:cs="宋体"/>
          <w:color w:val="auto"/>
          <w:sz w:val="22"/>
          <w:szCs w:val="22"/>
          <w:highlight w:val="none"/>
          <w:lang w:eastAsia="zh-CN"/>
        </w:rPr>
        <w:fldChar w:fldCharType="separate"/>
      </w:r>
      <w:r>
        <w:rPr>
          <w:rFonts w:hint="eastAsia" w:ascii="宋体" w:hAnsi="宋体" w:eastAsia="宋体" w:cs="宋体"/>
          <w:color w:val="auto"/>
          <w:sz w:val="22"/>
          <w:szCs w:val="22"/>
          <w:highlight w:val="none"/>
          <w:lang w:eastAsia="zh-CN"/>
        </w:rPr>
        <w:t>4</w:t>
      </w:r>
      <w:r>
        <w:rPr>
          <w:rFonts w:hint="eastAsia" w:ascii="宋体" w:hAnsi="宋体" w:eastAsia="宋体" w:cs="宋体"/>
          <w:color w:val="auto"/>
          <w:sz w:val="22"/>
          <w:szCs w:val="22"/>
          <w:highlight w:val="none"/>
          <w:lang w:eastAsia="zh-CN"/>
        </w:rPr>
        <w:fldChar w:fldCharType="end"/>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MVC模式</w:t>
      </w:r>
      <w:r>
        <w:rPr>
          <w:rFonts w:hint="eastAsia" w:ascii="宋体" w:hAnsi="宋体" w:eastAsia="宋体" w:cs="宋体"/>
          <w:color w:val="auto"/>
          <w:sz w:val="22"/>
          <w:szCs w:val="22"/>
          <w:highlight w:val="none"/>
          <w:lang w:val="en-US" w:eastAsia="zh-CN"/>
        </w:rPr>
        <w:t>图</w:t>
      </w:r>
    </w:p>
    <w:p w14:paraId="2C8596C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View和Controller都依赖于Model，但是Model既不依赖于View，也不依赖于Controller，这是分离的主要优点之一，这样Model可以单独地建立和测试以便于代码复用，View和Controller只需要Model提供数据，它们不会知道，也不会关心数据是存储在SQLServer还是Oracle数据库中或者别的什么地方。</w:t>
      </w:r>
    </w:p>
    <w:p w14:paraId="55A4C68E">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2" w:name="bookmark124"/>
      <w:bookmarkEnd w:id="142"/>
      <w:bookmarkStart w:id="143" w:name="bookmark242"/>
      <w:bookmarkEnd w:id="143"/>
      <w:r>
        <w:rPr>
          <w:rFonts w:hint="eastAsia" w:ascii="宋体" w:hAnsi="宋体" w:eastAsia="宋体" w:cs="宋体"/>
          <w:b/>
          <w:bCs/>
          <w:color w:val="auto"/>
          <w:sz w:val="22"/>
          <w:szCs w:val="22"/>
          <w:highlight w:val="none"/>
          <w:lang w:val="en-US" w:eastAsia="zh-CN"/>
        </w:rPr>
        <w:t>4.4.4.1.4  业务逻辑层框架Spring</w:t>
      </w:r>
    </w:p>
    <w:p w14:paraId="28575C7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Spring是一个解决了许多JavaEE开发中常见问题并能够替代EJB技术的强大的轻量级框架。这里所说的轻量级指的是Spring框架本身，而不是指Spring只能用于轻量级的应用开发。Spring的轻盈体现在其框架本身的基础结构以及对其他应用工具的支持和装配能力。与EJB这种庞然大物相比，Spring可使程序研发人员把各个技术层次之间的风险降低。</w:t>
      </w:r>
    </w:p>
    <w:p w14:paraId="499A904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Spring框架的核心是控制翻转IoC(InversionofControl)/依赖注入DI(DependenceInjection)机制。IoC是指由容器中控制组件之间的关系（这里，容器是指为组件提供特定服务和技术支持的一个标准化的运行时的环境）而非传统实现中由程序代码直接操控，这种将控制权由程序代码到外部容器的转移，称为“翻转”。DI是对IoC更形象的解释，即由容器在运行期间动态地将依赖关系(如构造参数、构造对象或接口)注入组件之中。Spring采用设值注入(使用Setter方法实现依赖)和构造子注入(在构造方法中实现依赖)的机制，通过配置文件管理组件的协作对象，创建可以构造组件的IoC容器。这样，不需要编写工厂模式、单例模式或者其他构造的方法，就可以通过容器直接获取所需的业务组件。Spring框架的结构如下图所示。</w:t>
      </w:r>
    </w:p>
    <w:p w14:paraId="0E0AADA5">
      <w:pPr>
        <w:pageBreakBefore w:val="0"/>
        <w:kinsoku/>
        <w:wordWrap/>
        <w:topLinePunct w:val="0"/>
        <w:bidi w:val="0"/>
        <w:snapToGrid/>
        <w:spacing w:line="360" w:lineRule="auto"/>
        <w:ind w:left="0" w:leftChars="0" w:firstLine="0" w:firstLineChars="0"/>
        <w:jc w:val="center"/>
        <w:rPr>
          <w:rFonts w:hint="eastAsia" w:ascii="宋体" w:hAnsi="宋体" w:eastAsia="宋体" w:cs="宋体"/>
          <w:color w:val="auto"/>
          <w:position w:val="-44"/>
          <w:sz w:val="22"/>
          <w:szCs w:val="22"/>
          <w:highlight w:val="none"/>
        </w:rPr>
      </w:pPr>
      <w:r>
        <w:rPr>
          <w:color w:val="auto"/>
          <w:position w:val="-44"/>
          <w:highlight w:val="none"/>
        </w:rPr>
        <w:drawing>
          <wp:inline distT="0" distB="0" distL="0" distR="0">
            <wp:extent cx="3029585" cy="1400175"/>
            <wp:effectExtent l="0" t="0" r="18415" b="9525"/>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23"/>
                    <a:stretch>
                      <a:fillRect/>
                    </a:stretch>
                  </pic:blipFill>
                  <pic:spPr>
                    <a:xfrm>
                      <a:off x="0" y="0"/>
                      <a:ext cx="3029585" cy="1400175"/>
                    </a:xfrm>
                    <a:prstGeom prst="rect">
                      <a:avLst/>
                    </a:prstGeom>
                  </pic:spPr>
                </pic:pic>
              </a:graphicData>
            </a:graphic>
          </wp:inline>
        </w:drawing>
      </w:r>
    </w:p>
    <w:p w14:paraId="1BCC023B">
      <w:pPr>
        <w:pStyle w:val="12"/>
        <w:pageBreakBefore w:val="0"/>
        <w:kinsoku/>
        <w:wordWrap/>
        <w:topLinePunct w:val="0"/>
        <w:bidi w:val="0"/>
        <w:snapToGrid/>
        <w:spacing w:line="360" w:lineRule="auto"/>
        <w:ind w:left="-414" w:leftChars="-197"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 xml:space="preserve">图4- </w:t>
      </w:r>
      <w:r>
        <w:rPr>
          <w:rFonts w:hint="eastAsia" w:ascii="宋体" w:hAnsi="宋体" w:eastAsia="宋体" w:cs="宋体"/>
          <w:color w:val="auto"/>
          <w:sz w:val="22"/>
          <w:szCs w:val="22"/>
          <w:highlight w:val="none"/>
          <w:lang w:eastAsia="zh-CN"/>
        </w:rPr>
        <w:fldChar w:fldCharType="begin"/>
      </w:r>
      <w:r>
        <w:rPr>
          <w:rFonts w:hint="eastAsia" w:ascii="宋体" w:hAnsi="宋体" w:eastAsia="宋体" w:cs="宋体"/>
          <w:color w:val="auto"/>
          <w:sz w:val="22"/>
          <w:szCs w:val="22"/>
          <w:highlight w:val="none"/>
          <w:lang w:eastAsia="zh-CN"/>
        </w:rPr>
        <w:instrText xml:space="preserve"> SEQ 图4- \* ARABIC </w:instrText>
      </w:r>
      <w:r>
        <w:rPr>
          <w:rFonts w:hint="eastAsia" w:ascii="宋体" w:hAnsi="宋体" w:eastAsia="宋体" w:cs="宋体"/>
          <w:color w:val="auto"/>
          <w:sz w:val="22"/>
          <w:szCs w:val="22"/>
          <w:highlight w:val="none"/>
          <w:lang w:eastAsia="zh-CN"/>
        </w:rPr>
        <w:fldChar w:fldCharType="separate"/>
      </w:r>
      <w:r>
        <w:rPr>
          <w:rFonts w:hint="eastAsia" w:ascii="宋体" w:hAnsi="宋体" w:eastAsia="宋体" w:cs="宋体"/>
          <w:color w:val="auto"/>
          <w:sz w:val="22"/>
          <w:szCs w:val="22"/>
          <w:highlight w:val="none"/>
          <w:lang w:eastAsia="zh-CN"/>
        </w:rPr>
        <w:t>5</w:t>
      </w:r>
      <w:r>
        <w:rPr>
          <w:rFonts w:hint="eastAsia" w:ascii="宋体" w:hAnsi="宋体" w:eastAsia="宋体" w:cs="宋体"/>
          <w:color w:val="auto"/>
          <w:sz w:val="22"/>
          <w:szCs w:val="22"/>
          <w:highlight w:val="none"/>
          <w:lang w:eastAsia="zh-CN"/>
        </w:rPr>
        <w:fldChar w:fldCharType="end"/>
      </w:r>
      <w:r>
        <w:rPr>
          <w:rFonts w:hint="eastAsia" w:ascii="宋体" w:hAnsi="宋体" w:eastAsia="宋体" w:cs="宋体"/>
          <w:color w:val="auto"/>
          <w:sz w:val="22"/>
          <w:szCs w:val="22"/>
          <w:highlight w:val="none"/>
          <w:lang w:val="en-US" w:eastAsia="zh-CN"/>
        </w:rPr>
        <w:t xml:space="preserve"> Spring框架图</w:t>
      </w:r>
    </w:p>
    <w:p w14:paraId="7D89F61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bookmarkStart w:id="144" w:name="bookmark243"/>
      <w:bookmarkEnd w:id="144"/>
      <w:r>
        <w:rPr>
          <w:rFonts w:hint="eastAsia" w:ascii="宋体" w:hAnsi="宋体" w:eastAsia="宋体" w:cs="宋体"/>
          <w:color w:val="auto"/>
          <w:kern w:val="0"/>
          <w:sz w:val="22"/>
          <w:szCs w:val="22"/>
          <w:highlight w:val="none"/>
          <w:lang w:val="en-US" w:eastAsia="zh-CN"/>
        </w:rPr>
        <w:t>Spring框架由七个定义明确的模块组成，且每个模块或组件都可以单独存在，或者与其他一个或多个模块联合实现。SpringCoreContainer是一个用来管理业务组件的IoC容器，是Spring应用的核心；SpringDAO和SpringORM不仅提供数据访问的抽象模块，还集成了对Hibernate、JDO和iBatis等流行的对象关系映射框架的支持模块，并且提供了缓冲连接池、事务处理等重要的服务功能，保证了系统的性能和数据的完整性；SprnigWeb模块提供了Web应用的一些抽象封装，可以将Struts、Webwork等Web框架与Spring整合成为适用于自己的解决方案。</w:t>
      </w:r>
    </w:p>
    <w:p w14:paraId="3CCEE203">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Spring框架可以成为企业级应用程序一站式的解决方案，同时它也是模块化的框架，允许开发人员自由地挑选适合自己应用的模块进行开发。Spring框架式是一个松耦合的框架，框架的部分耦合度被设计为最小，在各个层次上具体选用哪个框架取决于开发者的需要。</w:t>
      </w:r>
    </w:p>
    <w:p w14:paraId="46BA4271">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5" w:name="bookmark125"/>
      <w:bookmarkEnd w:id="145"/>
      <w:r>
        <w:rPr>
          <w:rFonts w:hint="eastAsia" w:ascii="宋体" w:hAnsi="宋体" w:eastAsia="宋体" w:cs="宋体"/>
          <w:b/>
          <w:bCs/>
          <w:color w:val="auto"/>
          <w:sz w:val="22"/>
          <w:szCs w:val="22"/>
          <w:highlight w:val="none"/>
          <w:lang w:val="en-US" w:eastAsia="zh-CN"/>
        </w:rPr>
        <w:t>4.4.4.1.5  三层（多层）架构</w:t>
      </w:r>
    </w:p>
    <w:p w14:paraId="56198290">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软件系统采用三层（多层）分布式体系结构。</w:t>
      </w:r>
    </w:p>
    <w:p w14:paraId="2BA1209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典型的三层（多层）分布式体系结构分为表示层、业务层和数据层。通常表示层提供应用程序的用户界面（UI），而将业务规则、数据访问、合法性校验等工作放到了中间层进行处理，数据层提供对外部系统（如数据库）的访问。三层架构不是指物理上的三层，不是简单地放置三台机器就是三层体系结构，也不仅仅有B/S应用才有三层体系结构，三层是指逻辑上的三层。通过引入中间层，将复杂的商业逻辑从传统的双层结构（Client-Server）应用模型中分离出来，并提供了可伸缩、易于访问、易于管理的方法，可以将多种应用服务分别封装部署于应用服务器，同时增强了应用程序可用性、安全性、封装复用性、可扩展性和可移植性，使用户在管理上所花费的时间最小化，从而实现了便捷、高效、安全、稳定的企业级系统应用。</w:t>
      </w:r>
    </w:p>
    <w:p w14:paraId="2AC0F6F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三层（多层）分布式体系结构既可以满足用户个性化需求以及系统安全性等方面的需要，又能保持系统核心架构的稳定性。</w:t>
      </w:r>
    </w:p>
    <w:p w14:paraId="4408721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应用系统采用支持广域网运行模式的三层网络架构体系，既要可以满足用户个性化要求以及系统安全性等方面的需要；又要同时保持系统核心架构的稳定性，保证系统的可用性、可靠性和可扩展性。</w:t>
      </w:r>
    </w:p>
    <w:p w14:paraId="14825DE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采用三层或以上体系构架，基于SOA架构实现服务，具备易部署、易管理和易使用的特点，各系统通过发布和获取服务来对外提供和获取信息。</w:t>
      </w:r>
    </w:p>
    <w:p w14:paraId="367D62FC">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6" w:name="bookmark126"/>
      <w:bookmarkEnd w:id="146"/>
      <w:r>
        <w:rPr>
          <w:rFonts w:hint="eastAsia" w:ascii="宋体" w:hAnsi="宋体" w:eastAsia="宋体" w:cs="宋体"/>
          <w:b/>
          <w:bCs/>
          <w:color w:val="auto"/>
          <w:sz w:val="22"/>
          <w:szCs w:val="22"/>
          <w:highlight w:val="none"/>
          <w:lang w:val="en-US" w:eastAsia="zh-CN"/>
        </w:rPr>
        <w:t>4.4.4.1.6  基于J2EE体系结构</w:t>
      </w:r>
    </w:p>
    <w:p w14:paraId="18FE92C9">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随着软件系统的规模和复杂性的增加，软件体系结构的选择成为比数据结构和算法的选择更为重要的因素，三层客户/服务器体系结构为系统的整合提供了良好的框架。</w:t>
      </w:r>
    </w:p>
    <w:p w14:paraId="3F6133B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J2EE体系结构分为三个层次，分别是客户表示层、中间逻辑层和数据管理层及应用系统。本结构具有跨平台的特性，结构中的三个层次可以处于不同的平台下进行协作应用；因为客户表示层可以使用不同的客户端程序，因此具有很好的分布性，可以适应分布式管理的要求，在后台的应用系统集成中，可以把不同的应用系统集成到该结构中，因此可以有效的保护现有的资源不被破坏。</w:t>
      </w:r>
    </w:p>
    <w:p w14:paraId="56F17DC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J2EE平台成熟度高，在1999年形成了其成熟的架构，并且到今天已经有相当成熟的经过检验的技术架构。</w:t>
      </w:r>
    </w:p>
    <w:p w14:paraId="4C17BA4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J2EE作为一种开放的规范，从一开始就得到了众多厂商的支持，IBM、HP、Oracle等在J2EE的实施上都有较大的投入。由于J2EE是开放的规范框架，任意厂商只要有实力都可以按照规范来开发实现，不同厂商的组件也可以在一起协同使用。</w:t>
      </w:r>
    </w:p>
    <w:p w14:paraId="1066817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选用J2EE作为主要系统的框架，并以它为基础搭建整个技术架构平台。</w:t>
      </w:r>
    </w:p>
    <w:p w14:paraId="0551CE33">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J2EE将组成一个完整企业级应用的不同部分纳入不同的容器（Container），每个容器中都包含若干组件（这些组件是需要部署在相应容器中的），同时各种组件都能使用各种J2EEService/API。J2EE容器包括：</w:t>
      </w:r>
    </w:p>
    <w:p w14:paraId="7B89B0D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Web容器服务器端容器，包括两种组件JSP和Servlet，JSP和Servlet都是Web服务器的功能扩展，接受Web请求，返回动态的Web页面。Web容器中的组件可使用EJB容器中的组件完成复杂的商务逻辑。</w:t>
      </w:r>
    </w:p>
    <w:p w14:paraId="12307A5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EJB容器，服务器端容器，包含的组件为EJB（EnterpriseJavaBeans），它是J2EE的核心之一，主要用于服务器端的商业逻辑的实现。EJB规范定义了一个开发和部署分布式商业逻辑的框架，以简化企业级应用的开发，使其较容易地具备可伸缩性、可移植性、分布式事务处理、多用户和安全性等。</w:t>
      </w:r>
    </w:p>
    <w:p w14:paraId="414BE8F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Applet容器，客户端容器，包含的组件为Applet。Applet是嵌在浏览器中的一种轻量级客户端，一般而言，仅当使用Web页面无法充分地表现数据或应用界面的时候，才使用它。Applet是一种替代Web页面的手段，仅能够使用J2SE开发Applet，Applet无法使用J2EE的各种Service和API，这是为了安全性的考虑。</w:t>
      </w:r>
    </w:p>
    <w:p w14:paraId="1ADF57C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ApplicationClient容器，客户端容器，包含的组件为ApplicationClient。ApplicationClient相对Applet而言是一种较重量级的客户端，它能够使用J2EE的大多数Service和API。</w:t>
      </w:r>
    </w:p>
    <w:p w14:paraId="0C66BDC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通过这四个容器，J2EE能够灵活地实现前面描述的企业级应用的架构。在View部分，J2EE提供了三种手段：Web容器中的JSP（或Servlet）、Applet和ApplicationClient，分别能够实现面向浏览器的数据表现和面向桌面应用的数据表现。Web容器中的Servlet是实现Controller部分业务流程控制的主要手段；而EJB则主要针对Model部分的业务逻辑实现。至于与各种企业资源和企业级应用相连接，则是依靠J2EE的各种服务和API。</w:t>
      </w:r>
    </w:p>
    <w:p w14:paraId="5B8300D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采用J2EE体系结构可以用来满足系统高可用性、高可靠性以及可扩展性的应用的需求。通过提供统一的开发平台，J2EE降低了开发费用和复杂性，同时提供对现有应用程序集成强有力支持，完全支持EnterpriseJavaBeans，有良好的向导支持打包和部署应用，添加目录支持，增强了安全机制，提高了性能。J2EE方案的实施可显著地提高系统的可移植性、安全性、可伸缩性、负载平衡和可重用性。</w:t>
      </w:r>
    </w:p>
    <w:p w14:paraId="37E3B1FB">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4.4.4.2应用支撑层</w:t>
      </w:r>
    </w:p>
    <w:p w14:paraId="243ED52F">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4.4.4.2.1服务接口技术路线</w:t>
      </w:r>
    </w:p>
    <w:p w14:paraId="5B28E161">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4.4.4.2.1.1  WebService接口</w:t>
      </w:r>
    </w:p>
    <w:p w14:paraId="767CB01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WebService技术是目前软件开发领域中最为先进的技术之一。</w:t>
      </w:r>
    </w:p>
    <w:p w14:paraId="3AAFA86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WebServices不是应用集成或者是应用集成的一部分，它是另外一个技术，WebServices能够使应用集成成为真正可能的、便捷实施的，同时又引人注目的设计。WebServices能彻底地改变传统的应用集成中点对点的集成处理方式。</w:t>
      </w:r>
    </w:p>
    <w:p w14:paraId="63B8F9D3">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使用WebServices，通过松散的应用集成，可以仅仅实现应用集成的一个子集，即能取得实效。与之相反，应用集成要实现一个全盘的设计，来紧密的集成和联系支持业务的所有的系统和应用。</w:t>
      </w:r>
    </w:p>
    <w:p w14:paraId="756D3B3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WebServices以一种松散的服务捆绑集合形式，能够快速、低代价的开发、发布、发现和动态绑定应用。WebServices可以实现应用程序之间的函数或方法集的集成。现有的主要关注于应用集成的应用集成设计将不得不因此而改变。包装好的应用程序将使用如XML、SOAP、WSDL和UDDI技术来把他们的函数或方法作为WebServices的界面来显示。各个应用业务系统可以彼此通过统一的UDDI注册发现彼此的服务实现彼此业务互访，实现应用集成。</w:t>
      </w:r>
    </w:p>
    <w:p w14:paraId="65B3DECA">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4.4.4.2.1.2  Http接口</w:t>
      </w:r>
    </w:p>
    <w:p w14:paraId="1FD6BCC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Http接口走Https协议，Https协议是建立在TCP协议基础之上的，Http通过TCP建立起一个到服务器的连接通道，是一种短连接，是一种无状态的连接。客户向服务器请求服务时，只需传送请求方法和路径。请求方法常用的有GET、HEAD、POST。每种方法规定了客户与服务器联系的类型不同。由于HTTPS协议简单，使得HTTP服务器的程序规模小，因而通信速度很快。</w:t>
      </w:r>
    </w:p>
    <w:p w14:paraId="763A6BEF">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4.4.4.2.1.3  RPC接口</w:t>
      </w:r>
    </w:p>
    <w:p w14:paraId="3FF1BCC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RemoteProcedureCalls远程过程调用（RPC）是一种协议，程序可使用这种协议向网络中的另一台计算机上的程序请求服务。由于使用RPC的程序不必了解支持通信的网络协议的情况，因此RPC提高了程序的互操作性。在RPC中，发出请求的程序是客户程序，而提供服务的程序是服务器。RPC（远程过程调用）是一项广泛用于支持分布式应用程序（不同组件分布在不同计算机上的应用程序）的技术。RPC的主要目的是为组件提供一种相互通信的方式，使这些组件之间能够相互发出请求并传递这些请求的结果。</w:t>
      </w:r>
    </w:p>
    <w:p w14:paraId="5F276376">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7" w:name="bookmark129"/>
      <w:bookmarkEnd w:id="147"/>
      <w:r>
        <w:rPr>
          <w:rFonts w:hint="eastAsia" w:ascii="宋体" w:hAnsi="宋体" w:eastAsia="宋体" w:cs="宋体"/>
          <w:b/>
          <w:bCs/>
          <w:color w:val="auto"/>
          <w:sz w:val="22"/>
          <w:szCs w:val="22"/>
          <w:highlight w:val="none"/>
          <w:lang w:val="en-US" w:eastAsia="zh-CN"/>
        </w:rPr>
        <w:t>4.4.4.2.2服务构件技术路线</w:t>
      </w:r>
    </w:p>
    <w:p w14:paraId="1B747EB4">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4.4.4.2.2.1  SOA面向服务的体系结构</w:t>
      </w:r>
    </w:p>
    <w:p w14:paraId="054C814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本项目是一项系统工程，需要实现与网络、硬软件支撑平台等的集成，同时还与多个环境业务系统之间进行数据的交换和整合，因此系统的设计应该遵循面向服务的体系结构，使各个子系统之间可以完整地集成在一起。</w:t>
      </w:r>
    </w:p>
    <w:p w14:paraId="64BBBED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面向服务的体系结构（SOA）表示可以如何合理地使用Web服务。Web服务规范定义了实现服务以及与它们的交互所需要的细节。面向服务的体系结构（SOA）是一种用于构建分布式系统的方法，采用SOA这种方法构建的分布式应用程序可以将功能作为服务交付给终端用户，也可以构建其他的服务。面向服务的体系结构（SOA）可以基于Web服务，也可使用其他的技术来代替。在使用面向服务的体系结构（SOA）设计分布式应用程序时，可以将Web服务的使用从简单的客户端-服务器模型扩展成任意复杂的系统。</w:t>
      </w:r>
    </w:p>
    <w:p w14:paraId="58971B5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在面向服务的体系结构（SOA）中，服务（service）是封装成用于业务流程的可重用组件的应用程序函数。它提供信息或简化业务数据从一个有效的、一致的状态向另一个状态的转变。</w:t>
      </w:r>
    </w:p>
    <w:p w14:paraId="1CFE2A2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Web服务是以使用SOAP消息（它是用像HTTP这样的标准协议上的WSDL来描述的）的调用为基础的。使用Web服务的最佳实践就是与外部的业务伙伴通信。</w:t>
      </w:r>
    </w:p>
    <w:p w14:paraId="58BFDF74">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4.4.4.2.2.2  消息中间件</w:t>
      </w:r>
    </w:p>
    <w:p w14:paraId="1620CDD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消息中间件利用高效可靠的消息传递机制进行平台无关的数据交流，并基于数据通信来进行分布式系统的集成。通过提供消息传递和消息排队模型，它可以在分布式环境下扩展进程间的通信。消息中间件解耦了应用的处理过程，所以提高消息入队和处理的效率是很容易的，只要另外增加处理过程即可，不需要改变代码，也不需要调节参数。在访问量剧增的情况下，使得程序不会因为突发的超负荷请求而崩溃。当系统一部分组件失效时，不会影响到整个系统，消息中间件降低了进程间的耦合度，所以即使1个处理消息的进程挂掉，加入消息中间件中的消息仍然可以在系统恢复后进行处理。</w:t>
      </w:r>
    </w:p>
    <w:p w14:paraId="3F50753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RabbitMQ是实现了高级消息队列协议（AMQP）的开源消息代理软件（亦称面向消息的中间件）。RabbitMQ服务器是用Erlang语言编写的，而集群和故障转移是构建在开放电信平台框架上的。所有主要的编程语言均有与代理接口通讯的客户端库。</w:t>
      </w:r>
    </w:p>
    <w:p w14:paraId="6297B27E">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4.4.4.2.2.3  Docker容器</w:t>
      </w:r>
    </w:p>
    <w:p w14:paraId="1EC0C3D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Docker是最火热的开源容器项目之一，通过在容器中增加一个抽象层，就可以将应用程序部署到容器中。</w:t>
      </w:r>
    </w:p>
    <w:p w14:paraId="32ABF7F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标准化应用发布，docker容器包含了运行环境和可执行程序，可以跨平台和主机使用；节约时间，快速部署和启动，VM启动一般是分钟级，docker容器启动是秒级；方便构建基于SOA架构或微服务架构的系统，通过服务编排，拥有更好的松耦合；节约成本，以前一个虚拟机至少需要几个G的磁盘空间，docker容器可以减少到MB级；方便持续集成，通过与代码进行关联使持续集成非常方便。</w:t>
      </w:r>
    </w:p>
    <w:p w14:paraId="52B72C5A">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4.4.4.3数据层</w:t>
      </w:r>
    </w:p>
    <w:p w14:paraId="6919262D">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4.4.4.3.1数据存储和交换格式类型</w:t>
      </w:r>
    </w:p>
    <w:p w14:paraId="293AC2C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XML可以存取多种数据源，根据具体的应用，大致可以分为下面三种：一种是XML纯文本文档，第二种是关系型数据库，第三种则来源于其他各种应用数据，如邮件、目录清单、商务报告等。其中，第一种来源，即XML纯文本文档是最基本的也是最为简单的，将数据存储于文件中，其最大的优点在于可以直接方便地读取，或者加以样式信息在浏览器中显示，或者通过DOM接口编程同其他应用相连。第二种数据来源是对第一种来源的扩展，其目的是便于开发各种动态应用，其优点则在于通过数据库管理系统对数据进行管理，然后再利用服务器端应用进行动态存取。这种方式最适合于当前最为流行的基于三层结构的应用开发。第三种数据由于来源广泛，因此需要具体情况具体对待。数据接口是连接业务部门内部系统和数据交换平台的“桥梁”，而各业务部门之间的数据交换主要是以文件形式存在的。因此，数据中心应用XML技术存取的数据源主要为前两种，即XML纯文本文档和关系型数据库。数据接口通过XML的数据解析，将各业务数据库中的数据生成XML纯文本文档，再经过数据交换平台进行传递。</w:t>
      </w:r>
    </w:p>
    <w:p w14:paraId="7692505B">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148" w:name="bookmark132"/>
      <w:bookmarkEnd w:id="148"/>
      <w:r>
        <w:rPr>
          <w:rFonts w:hint="eastAsia" w:ascii="宋体" w:hAnsi="宋体" w:eastAsia="宋体" w:cs="宋体"/>
          <w:b/>
          <w:bCs/>
          <w:color w:val="auto"/>
          <w:sz w:val="22"/>
          <w:szCs w:val="22"/>
          <w:highlight w:val="none"/>
          <w:lang w:val="en-US" w:eastAsia="zh-CN"/>
        </w:rPr>
        <w:t>4.4.4.3.2数据库开发技术</w:t>
      </w:r>
    </w:p>
    <w:p w14:paraId="25968CFB">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4.4.4.3.2.1  可视化技术</w:t>
      </w:r>
    </w:p>
    <w:p w14:paraId="59511B4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采用可视化的数据项目映射、同义词对照、代码对照、字典对照表、后结构化配置等数据抽取、清洗、转换配置管理工具；数据采集的清洗过程允许后台管理人员人工清洗干预，便于采集数据的验证和系统的测试。</w:t>
      </w:r>
    </w:p>
    <w:p w14:paraId="0BFFF082">
      <w:pPr>
        <w:pageBreakBefore w:val="0"/>
        <w:numPr>
          <w:ilvl w:val="0"/>
          <w:numId w:val="1"/>
        </w:numPr>
        <w:kinsoku/>
        <w:wordWrap/>
        <w:topLinePunct w:val="0"/>
        <w:bidi w:val="0"/>
        <w:snapToGrid/>
        <w:spacing w:line="360" w:lineRule="auto"/>
        <w:ind w:left="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lang w:val="en-US" w:eastAsia="zh-CN"/>
        </w:rPr>
        <w:br w:type="page"/>
      </w:r>
      <w:bookmarkStart w:id="149" w:name="_Toc19498"/>
      <w:bookmarkStart w:id="150" w:name="_Toc1277"/>
      <w:bookmarkStart w:id="151" w:name="_Toc964"/>
      <w:bookmarkStart w:id="152" w:name="_Toc29690"/>
      <w:bookmarkStart w:id="153" w:name="_Toc20332"/>
      <w:bookmarkStart w:id="154" w:name="_Toc3339"/>
      <w:r>
        <w:rPr>
          <w:rFonts w:hint="eastAsia" w:ascii="宋体" w:hAnsi="宋体" w:eastAsia="宋体" w:cs="宋体"/>
          <w:b/>
          <w:bCs/>
          <w:color w:val="auto"/>
          <w:sz w:val="22"/>
          <w:szCs w:val="22"/>
          <w:highlight w:val="none"/>
          <w:lang w:val="en-US" w:eastAsia="zh-CN"/>
        </w:rPr>
        <w:t>本期建设方案</w:t>
      </w:r>
      <w:bookmarkEnd w:id="149"/>
      <w:bookmarkEnd w:id="150"/>
      <w:bookmarkEnd w:id="151"/>
      <w:bookmarkEnd w:id="152"/>
      <w:bookmarkEnd w:id="153"/>
      <w:bookmarkEnd w:id="154"/>
    </w:p>
    <w:p w14:paraId="6DB6BC02">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bookmarkStart w:id="155" w:name="_Toc25176"/>
      <w:bookmarkStart w:id="156" w:name="_Toc10731"/>
      <w:bookmarkStart w:id="157" w:name="_Toc17381"/>
      <w:bookmarkStart w:id="158" w:name="_Toc2677"/>
      <w:r>
        <w:rPr>
          <w:rFonts w:hint="eastAsia" w:ascii="宋体" w:hAnsi="宋体" w:cs="宋体"/>
          <w:b/>
          <w:bCs/>
          <w:color w:val="auto"/>
          <w:sz w:val="22"/>
          <w:szCs w:val="22"/>
          <w:highlight w:val="none"/>
          <w:shd w:val="clear" w:color="auto" w:fill="auto"/>
          <w:lang w:val="en-US" w:eastAsia="zh-CN"/>
        </w:rPr>
        <w:t>5.1基础设施体系建设内容</w:t>
      </w:r>
    </w:p>
    <w:p w14:paraId="70B8B935">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5.1.1需配置：中医院-人民医院裸纤</w:t>
      </w:r>
      <w:bookmarkEnd w:id="155"/>
      <w:bookmarkEnd w:id="156"/>
      <w:bookmarkEnd w:id="157"/>
      <w:bookmarkEnd w:id="158"/>
    </w:p>
    <w:p w14:paraId="13747359">
      <w:pPr>
        <w:pageBreakBefore w:val="0"/>
        <w:kinsoku/>
        <w:wordWrap/>
        <w:topLinePunct w:val="0"/>
        <w:bidi w:val="0"/>
        <w:snapToGrid/>
        <w:spacing w:line="360" w:lineRule="auto"/>
        <w:ind w:firstLine="420" w:firstLineChars="200"/>
        <w:rPr>
          <w:color w:val="auto"/>
          <w:highlight w:val="none"/>
        </w:rPr>
      </w:pPr>
      <w:r>
        <w:rPr>
          <w:rFonts w:hint="eastAsia"/>
          <w:color w:val="auto"/>
          <w:highlight w:val="none"/>
        </w:rPr>
        <w:t>为了满足系统的稳定性和高可靠性，需要在人民医院和中医院之间部署裸纤，用于保障系统的稳定运行。</w:t>
      </w:r>
    </w:p>
    <w:p w14:paraId="34F9DA9C">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bookmarkStart w:id="159" w:name="_Toc12895"/>
      <w:bookmarkStart w:id="160" w:name="_Toc26872"/>
      <w:bookmarkStart w:id="161" w:name="_Toc14397"/>
      <w:r>
        <w:rPr>
          <w:rFonts w:hint="eastAsia" w:ascii="宋体" w:hAnsi="宋体" w:cs="宋体"/>
          <w:b/>
          <w:bCs/>
          <w:color w:val="auto"/>
          <w:sz w:val="22"/>
          <w:szCs w:val="22"/>
          <w:highlight w:val="none"/>
          <w:shd w:val="clear" w:color="auto" w:fill="auto"/>
          <w:lang w:val="en-US" w:eastAsia="zh-CN"/>
        </w:rPr>
        <w:t>5.2应用支撑体系建设内容</w:t>
      </w:r>
      <w:bookmarkEnd w:id="159"/>
      <w:bookmarkEnd w:id="160"/>
      <w:bookmarkEnd w:id="161"/>
    </w:p>
    <w:p w14:paraId="23EB3A06">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bookmarkStart w:id="162" w:name="_Toc27820"/>
      <w:bookmarkStart w:id="163" w:name="_Toc28616"/>
      <w:bookmarkStart w:id="164" w:name="_Toc14878"/>
      <w:bookmarkStart w:id="165" w:name="_Toc13166"/>
      <w:bookmarkStart w:id="166" w:name="_Toc14197"/>
      <w:bookmarkStart w:id="167" w:name="_Toc28467"/>
      <w:r>
        <w:rPr>
          <w:rFonts w:hint="eastAsia" w:ascii="宋体" w:hAnsi="宋体" w:cs="宋体"/>
          <w:b/>
          <w:bCs/>
          <w:color w:val="auto"/>
          <w:sz w:val="22"/>
          <w:szCs w:val="22"/>
          <w:highlight w:val="none"/>
          <w:shd w:val="clear" w:color="auto" w:fill="auto"/>
          <w:lang w:val="en-US" w:eastAsia="zh-CN"/>
        </w:rPr>
        <w:t>5.2.1所需一体化平台提供的应用组件目录表</w:t>
      </w:r>
      <w:bookmarkEnd w:id="162"/>
      <w:bookmarkEnd w:id="163"/>
      <w:bookmarkEnd w:id="164"/>
      <w:bookmarkEnd w:id="165"/>
      <w:bookmarkEnd w:id="166"/>
      <w:bookmarkEnd w:id="167"/>
    </w:p>
    <w:p w14:paraId="25A64F5B">
      <w:pPr>
        <w:pageBreakBefore w:val="0"/>
        <w:kinsoku/>
        <w:wordWrap/>
        <w:topLinePunct w:val="0"/>
        <w:bidi w:val="0"/>
        <w:snapToGrid/>
        <w:spacing w:line="360" w:lineRule="auto"/>
        <w:ind w:firstLine="420" w:firstLineChars="200"/>
        <w:rPr>
          <w:rFonts w:hint="eastAsia"/>
          <w:color w:val="auto"/>
          <w:highlight w:val="none"/>
        </w:rPr>
      </w:pPr>
      <w:bookmarkStart w:id="168" w:name="_Toc421"/>
      <w:bookmarkStart w:id="169" w:name="_Toc8108"/>
      <w:bookmarkStart w:id="170" w:name="_Toc31481"/>
      <w:bookmarkStart w:id="171" w:name="_Toc32641"/>
      <w:bookmarkStart w:id="172" w:name="_Toc337"/>
      <w:bookmarkStart w:id="173" w:name="_Toc11858"/>
      <w:bookmarkStart w:id="174" w:name="_Toc29677"/>
      <w:bookmarkStart w:id="175" w:name="_Toc17275"/>
      <w:bookmarkStart w:id="176" w:name="_Toc5153"/>
      <w:bookmarkStart w:id="177" w:name="_Toc20620"/>
      <w:bookmarkStart w:id="178" w:name="_Toc21590"/>
      <w:bookmarkStart w:id="179" w:name="_Toc15415"/>
      <w:bookmarkStart w:id="180" w:name="_Toc28496"/>
      <w:bookmarkStart w:id="181" w:name="_Toc11407"/>
      <w:bookmarkStart w:id="182" w:name="_Toc22149"/>
      <w:bookmarkStart w:id="183" w:name="_Toc24953"/>
      <w:bookmarkStart w:id="184" w:name="_Toc17608"/>
      <w:bookmarkStart w:id="185" w:name="_Toc29481"/>
      <w:bookmarkStart w:id="186" w:name="_Toc3083"/>
      <w:bookmarkStart w:id="187" w:name="_Toc4678"/>
      <w:bookmarkStart w:id="188" w:name="_Toc4905"/>
      <w:bookmarkStart w:id="189" w:name="_Toc20172"/>
      <w:bookmarkStart w:id="190" w:name="_Toc10824"/>
      <w:bookmarkStart w:id="191" w:name="_Toc31059"/>
      <w:bookmarkStart w:id="192" w:name="_Toc23855"/>
      <w:bookmarkStart w:id="193" w:name="_Toc26666"/>
      <w:bookmarkStart w:id="194" w:name="_Toc27136"/>
      <w:bookmarkStart w:id="195" w:name="_Toc15988"/>
      <w:bookmarkStart w:id="196" w:name="_Toc23905"/>
      <w:bookmarkStart w:id="197" w:name="_Toc8672"/>
      <w:r>
        <w:rPr>
          <w:rFonts w:hint="eastAsia"/>
          <w:color w:val="auto"/>
          <w:highlight w:val="none"/>
        </w:rPr>
        <w:t>本项目不涉及组件复用。</w:t>
      </w:r>
    </w:p>
    <w:p w14:paraId="74EDFE9C">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bookmarkStart w:id="198" w:name="_Toc8003"/>
      <w:bookmarkStart w:id="199" w:name="_Toc658"/>
      <w:bookmarkStart w:id="200" w:name="_Toc20599"/>
      <w:bookmarkStart w:id="201" w:name="_Toc31903"/>
      <w:bookmarkStart w:id="202" w:name="_Toc30184"/>
      <w:bookmarkStart w:id="203" w:name="_Toc16877"/>
      <w:r>
        <w:rPr>
          <w:rFonts w:hint="eastAsia" w:ascii="宋体" w:hAnsi="宋体" w:cs="宋体"/>
          <w:b/>
          <w:bCs/>
          <w:color w:val="auto"/>
          <w:sz w:val="22"/>
          <w:szCs w:val="22"/>
          <w:highlight w:val="none"/>
          <w:shd w:val="clear" w:color="auto" w:fill="auto"/>
          <w:lang w:val="en-US" w:eastAsia="zh-CN"/>
        </w:rPr>
        <w:t>5.2.2本期项目系统提供的应用组件目录表</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A1A509A">
      <w:pPr>
        <w:pageBreakBefore w:val="0"/>
        <w:kinsoku/>
        <w:wordWrap/>
        <w:topLinePunct w:val="0"/>
        <w:bidi w:val="0"/>
        <w:snapToGrid/>
        <w:spacing w:line="360" w:lineRule="auto"/>
        <w:ind w:firstLine="420" w:firstLineChars="200"/>
        <w:rPr>
          <w:rFonts w:hint="eastAsia"/>
          <w:color w:val="auto"/>
          <w:highlight w:val="none"/>
        </w:rPr>
      </w:pPr>
      <w:r>
        <w:rPr>
          <w:rFonts w:hint="eastAsia"/>
          <w:color w:val="auto"/>
          <w:highlight w:val="none"/>
        </w:rPr>
        <w:t>本项目不提供组件。</w:t>
      </w:r>
    </w:p>
    <w:p w14:paraId="21D8BFE7">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5.3业务应用体系建设内容</w:t>
      </w:r>
    </w:p>
    <w:p w14:paraId="22748F8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val="en-US" w:eastAsia="zh-CN"/>
        </w:rPr>
      </w:pPr>
      <w:r>
        <w:rPr>
          <w:rFonts w:hint="eastAsia" w:ascii="宋体" w:hAnsi="宋体" w:eastAsia="宋体" w:cs="宋体"/>
          <w:color w:val="auto"/>
          <w:sz w:val="22"/>
          <w:szCs w:val="22"/>
          <w:highlight w:val="none"/>
          <w:shd w:val="clear" w:color="auto" w:fill="auto"/>
          <w:lang w:val="en-US" w:eastAsia="zh-CN"/>
        </w:rPr>
        <w:t>本项目所提供系统架构为多机构版本，支持在永嘉县内多个医疗机构部署，符合多机构部署的产品特点，包含但不限于如用户管理和权限控制，数据隔离和安全性，信息共享和集成，报告和分析，协助等。</w:t>
      </w:r>
    </w:p>
    <w:p w14:paraId="6B665327">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5.3.1数据分析平台（数据驾驶舱）</w:t>
      </w:r>
    </w:p>
    <w:p w14:paraId="2658BF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数据驾驶舱（Data Cockpit）是一种可视化工具，它提供了一个综合的、实时的数据展示界面，使用户能够监控、分析和管理关键业务指标。</w:t>
      </w:r>
    </w:p>
    <w:p w14:paraId="7EAF010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医疗行业中，数据驾驶舱是一种强大的工具，它通过集成医疗机构的各类数据资源，为医院管理层提供实时、全面的运营视图。使得医院能够基于实时数据进行决策，优化资源配置，提高运营效率，帮助医疗机构提升服务质量、保障患者安全并实现可持续发展。</w:t>
      </w:r>
    </w:p>
    <w:p w14:paraId="487A7B7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在统一业务流程的基础上，实现系统功能同质化实施，不针对个体或某一类型单元进行个性化实施，与第三方系统对接也必须符合相关标准数据规范。</w:t>
      </w:r>
    </w:p>
    <w:p w14:paraId="17FFD26D">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5.3.1.1数据驾驶舱</w:t>
      </w:r>
    </w:p>
    <w:p w14:paraId="5D6AA32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数据驾驶舱的作用主要包括以下几点：</w:t>
      </w:r>
    </w:p>
    <w:p w14:paraId="648D50B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1. 实时监控：数据驾驶舱能够实时显示关键医疗数据和指标，帮助用户及时发现问题，从而做出快速响应。</w:t>
      </w:r>
    </w:p>
    <w:p w14:paraId="5502576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2. 数据分析：通过图表、表格和其他视觉元素，数据驾驶舱将复杂的数据转化为易于理解的信息，帮助用户深入分析数据，洞察医疗趋势和模式。</w:t>
      </w:r>
    </w:p>
    <w:p w14:paraId="15B06CE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3. 决策支持：数据驾驶舱为用户提供了一个互动的平台，用户可以通过钻取、筛选、比较等功能，对数据进行深入探索，从而支持决策过程。</w:t>
      </w:r>
    </w:p>
    <w:p w14:paraId="05B08D3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4. 提高效率：通过自动化和集中化数据展示，数据驾驶舱减少了用户查找和处理数据的时间，提高了工作效率。</w:t>
      </w:r>
    </w:p>
    <w:p w14:paraId="1DD5468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5. 增强协作：数据驾驶舱可以成为团队协作的中心，因为它允许用户共享数据和分析结果，促进知识交流和协同工作。</w:t>
      </w:r>
    </w:p>
    <w:p w14:paraId="065B0C4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总的来说，数据驾驶舱是一个强大的工具，它可以帮助用户更好地理解和利用数据，以数据驱动的方式推动业务增长和创新。通过使用数据驾驶舱，用户可以更有效地监控业务表现，制定更加精准的策略，最终提升医院的竞争力和盈利能力。</w:t>
      </w:r>
    </w:p>
    <w:p w14:paraId="19D2A2F1">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5.3.1.1.1院前质控报表</w:t>
      </w:r>
      <w:r>
        <w:rPr>
          <w:rFonts w:hint="eastAsia" w:ascii="宋体" w:hAnsi="宋体" w:cs="宋体"/>
          <w:b/>
          <w:bCs/>
          <w:color w:val="auto"/>
          <w:sz w:val="22"/>
          <w:szCs w:val="22"/>
          <w:highlight w:val="none"/>
          <w:shd w:val="clear" w:color="auto" w:fill="auto"/>
          <w:lang w:val="en-US" w:eastAsia="zh-CN"/>
        </w:rPr>
        <w:tab/>
      </w:r>
    </w:p>
    <w:p w14:paraId="06D2B19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驾驶舱中的“院前质控报表”是一个重要的工具，旨在全面展示并监控医疗机构在院前急救过程中的质量控制情况。该报表通过整合和分析多个数据源，为医疗工作者提供了一站式的质量监控和决策支持平台。</w:t>
      </w:r>
    </w:p>
    <w:p w14:paraId="48794C3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用户进入院前质控报表页面，可实现系统的、全面展示区域院前质控内容数据功能。</w:t>
      </w:r>
    </w:p>
    <w:p w14:paraId="3044ACD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用户点击分医院每日急救数据统计，可以查看分医院每日急救数据统计图和列表，点击导出按钮，可导出Excel形式的每日急救数据统计列表。</w:t>
      </w:r>
    </w:p>
    <w:p w14:paraId="36663C6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点击分医院近七天急救数据统计，可以查看分医院近七天急救数据统计图和列表，点击导出按钮，可导出Excel形式的分医院近七天急救数据统计列表。</w:t>
      </w:r>
    </w:p>
    <w:p w14:paraId="56B4A58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点击分医院每日五大中心患者统计，可以查看分医院每日五大中心患者统计图和列表，点击导出按钮，可导出Excel形式的分医院每日五大中心患者统计列表。</w:t>
      </w:r>
    </w:p>
    <w:p w14:paraId="6913565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点击分医院近七天五大中心患者统计，可以查看分医院近七天五大中心患者统计图和列表，点击导出按钮，可导出Excel形式的分医院近七天五大中心患者统计列表。</w:t>
      </w:r>
    </w:p>
    <w:p w14:paraId="42EBCE1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点击分医院急救年龄，性别层级统计，可以查看分医院急救年龄，性别层级统计图和列表，点击导出按钮，可导出Excel形式的分医院急救年龄，性别层级统计列表。</w:t>
      </w:r>
    </w:p>
    <w:p w14:paraId="74B41A9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点击患者明细按钮，展示院前患者明细列表。</w:t>
      </w:r>
    </w:p>
    <w:p w14:paraId="6CB4279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患者，点击院前信息按钮，展示院前患者急诊病历；点击专病病历按钮，根据院前患者归属五大中心对应的病种，展示专病病历；点击时间轴按钮，展示院前患者时间轴信息。点击医嘱信息，展示院前患者医嘱信息列表；点击检验信息，展示院前患者检验信息列表；点击检查信息，展示院前患者检查信息列表。</w:t>
      </w:r>
    </w:p>
    <w:p w14:paraId="018E565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通过数据驾驶舱中的院前质控报表，医疗工作者可以直观地了解院前急救工作的整体情况，及时发现并解决问题，优化资源配置，提升急救服务水平，为患者提供更加高效、优质的急救服务。</w:t>
      </w:r>
    </w:p>
    <w:p w14:paraId="5EAC919E">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5.3.1.1.2院内质控报表</w:t>
      </w:r>
    </w:p>
    <w:p w14:paraId="04F79CB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驾驶舱中的院内质控报表是一个关键的工具，它集成了医院内部质量控制的重要数据和指标，用于全面、系统地监控和提升医疗服务质量。这份报表旨在通过数据分析和可视化手段，帮助医院管理者和医务人员快速识别质量控制中的薄弱环节，及时采取改进措施，以确保患者安全、提升医疗质量和效率。</w:t>
      </w:r>
    </w:p>
    <w:p w14:paraId="7FE8FA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用户进入院内质控报表页面，可实现系统的、全面展示区域院内质控内容数据功能。</w:t>
      </w:r>
    </w:p>
    <w:p w14:paraId="7AE9B52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用户点击分医院每日急诊数据统计，可以查看分医院每日急诊数据统计图和列表，点击导出按钮，可导出Excel形式的分医院每日急诊数据统计列表。</w:t>
      </w:r>
    </w:p>
    <w:p w14:paraId="5A97B94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点击分医院近七天急诊数据统计，可以查看分医院近七天急诊数据统计图和列表，点击导出按钮，可导出Excel形式的分医院近七天急诊数据统计列表。</w:t>
      </w:r>
    </w:p>
    <w:p w14:paraId="3808B09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点击分医院每日五大中心患者统计，可以查看分医院每日五大中心患者统计图和列表，点击导出按钮，可导出Excel形式的分医院每日五大中心患者统计列表。</w:t>
      </w:r>
    </w:p>
    <w:p w14:paraId="7E8F358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点击分医院近七天五大中心患者统计，可以查看分医院近七天五大中心患者统计图和列表，点击导出按钮，可导出Excel形式的分医院近七天五大中心患者统计列表。</w:t>
      </w:r>
    </w:p>
    <w:p w14:paraId="3B3A8B5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点击分医院急诊年龄，性别层级统计，可以查看分医院急诊年龄，性别层级统计图和列表，点击导出按钮，可导出Excel形式的分医院急诊年龄，性别层级统计列表。</w:t>
      </w:r>
    </w:p>
    <w:p w14:paraId="0DD197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点击患者明细按钮，展示院内患者明细列表。</w:t>
      </w:r>
    </w:p>
    <w:p w14:paraId="026D2BD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患者，点击院内信息按钮，展示院内患者急诊病历；点击专病病历按钮，根据院内患者归属五大中心对应的病种，展示专病病历；点击时间轴按钮，展示院内患者时间轴信息。点击医嘱信息，展示院内患者医嘱信息列表；点击检验信息，展示院内患者检验信息列表；点击检查信息，展示院内患者检查信息列表。</w:t>
      </w:r>
    </w:p>
    <w:p w14:paraId="313E5D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结合医院实际情况，灵活调整报表内容和格式。通过定期审查和更新报表，医院可以不断完善质量控制体系，提升整体医疗服务质量。此外，报表的呈现方式也应注重直观性和易用性，便于医院管理者和医务人员快速获取关键信息并作出决策。</w:t>
      </w:r>
    </w:p>
    <w:p w14:paraId="26AAF14C">
      <w:pPr>
        <w:pageBreakBefore w:val="0"/>
        <w:kinsoku/>
        <w:wordWrap/>
        <w:topLinePunct w:val="0"/>
        <w:bidi w:val="0"/>
        <w:snapToGrid/>
        <w:spacing w:line="360" w:lineRule="auto"/>
        <w:ind w:firstLine="442" w:firstLineChars="200"/>
        <w:rPr>
          <w:rFonts w:hint="eastAsia" w:ascii="宋体" w:hAnsi="宋体" w:eastAsia="宋体" w:cs="宋体"/>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5.3.1.1.3急诊分析</w:t>
      </w:r>
      <w:r>
        <w:rPr>
          <w:rFonts w:hint="eastAsia" w:ascii="宋体" w:hAnsi="宋体" w:eastAsia="宋体" w:cs="宋体"/>
          <w:color w:val="auto"/>
          <w:sz w:val="22"/>
          <w:szCs w:val="22"/>
          <w:highlight w:val="none"/>
          <w:shd w:val="clear" w:color="auto" w:fill="auto"/>
        </w:rPr>
        <w:tab/>
      </w:r>
    </w:p>
    <w:p w14:paraId="47328C8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数据驾驶舱中，急诊分析模块首先会接入急诊部门的各类数据源，包括但不限于患者基本信息、就诊记录、诊断结果、治疗过程等。这些数据经过清洗、整合后，形成统一的数据仓库或数据湖，为后续的分析工作提供坚实的数据基础。</w:t>
      </w:r>
    </w:p>
    <w:p w14:paraId="4AAE425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用户进入急诊分析，可实现系统的、全面分析患者数据功能。</w:t>
      </w:r>
    </w:p>
    <w:p w14:paraId="3DDFD2A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用户点击急诊患者信息分析，可以查看本院区，区域患者信息列表，点击导出按钮，可导出Excel形式的患者信息列表。</w:t>
      </w:r>
    </w:p>
    <w:p w14:paraId="6A670DD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急诊患者，点击电子病历按钮，可查看本院区，区域患者电子病历；点击救治记录，可查看本院区，区域患者就诊记录；点击时间轴，可查看本院区，区域患者时间轴；点击医嘱信息，可查看本院区，区域患者医嘱信息；点击检验信息，可查看本院区，区域患者检验；点击检查信息，可查看本院区，区域患者检查信息。</w:t>
      </w:r>
    </w:p>
    <w:p w14:paraId="5A30398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点击急诊质控数据分析，可以查看急诊质控数据分析图和列表，点击导出按钮，可导出Excel形式的急诊质控数据分析列表。</w:t>
      </w:r>
    </w:p>
    <w:p w14:paraId="2598905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点击胸痛中心质控数据分析，可以查看胸痛中心质控数据分析图和列表，点击导出按钮，可导出Excel形式的胸痛中心质控数据分析列表。</w:t>
      </w:r>
    </w:p>
    <w:p w14:paraId="28C744B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点击胸痛患者统计按钮，可以查看胸痛患者明细列表，点击导出按钮，可导出Excel形式的胸痛患者明细列表。</w:t>
      </w:r>
    </w:p>
    <w:p w14:paraId="5386DC5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选中某胸痛患者，点击专病病历按钮，展示专病病历信息；点击时间轴按钮，展示胸痛患者时间轴信息。</w:t>
      </w:r>
    </w:p>
    <w:p w14:paraId="0DB46BA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点击卒中中心质控数据分析，可以查看卒中中心质控数据分析图和列表，点击导出按钮，可导出Excel形式的卒中中心质控数据分析列表。</w:t>
      </w:r>
    </w:p>
    <w:p w14:paraId="44BC1D7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点击卒中患者统计按钮，可以查看卒中患者明细列表，点击导出按钮，可导出Excel形式的卒中患者明细列表。</w:t>
      </w:r>
    </w:p>
    <w:p w14:paraId="62039E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选中某卒中患者，点击专病病历按钮，展示专病病历信息；点击时间轴按钮，展示卒中患者时间轴信息。</w:t>
      </w:r>
    </w:p>
    <w:p w14:paraId="768B35D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点击创伤中心质控数据分析，可以查看创伤中心质控数据分析图和列表，点击导出按钮，可导出Excel形式的创伤中心质控数据分析列表。</w:t>
      </w:r>
    </w:p>
    <w:p w14:paraId="1225A9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点击创伤患者统计按钮，可以查看创伤患者明细列表，点击导出按钮，可导出Excel形式的创伤患者明细列表。</w:t>
      </w:r>
    </w:p>
    <w:p w14:paraId="4BD86A3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选中某创伤患者，点击专病病历按钮，展示专病病历信息；点击时间轴按钮，展示创伤患者时间轴信息。</w:t>
      </w:r>
    </w:p>
    <w:p w14:paraId="7C33EC6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点击危重孕产妇质控数据分析，可以查看危重孕产妇质控数据分析图和列表，点击导出按钮，可导出Excel形式的危重孕产妇质控数据分析列表。</w:t>
      </w:r>
    </w:p>
    <w:p w14:paraId="1AAC7D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点击危重孕产妇患者统计按钮，可以查看危重孕产妇患者明细列表，点击导出按钮，可导出Excel形式的危重孕产妇患者明细列表。</w:t>
      </w:r>
    </w:p>
    <w:p w14:paraId="29BFAD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选中某危重孕产妇患者，点击专病病历按钮，展示专病病历信息；点击时间轴按钮，展示危重孕产妇患者时间轴信息。</w:t>
      </w:r>
    </w:p>
    <w:p w14:paraId="2D2A600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点击危重新生儿质控数据分析，可以查看危重新生儿质控数据分析图和列表，点击导出按钮，可导出Excel形式的危重新生儿质控数据分析列表。</w:t>
      </w:r>
    </w:p>
    <w:p w14:paraId="1EDB1BF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点击危重新生儿患者统计按钮，可以查看危重新生儿患者明细列表，点击导出按钮，可导出Excel形式的危重新生儿患者明细列表。</w:t>
      </w:r>
    </w:p>
    <w:p w14:paraId="1E2D986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选中某危重新生儿患者，点击专病病历按钮，展示专病病历信息；点击时间轴按钮，展示危重新生儿患者时间轴信息。</w:t>
      </w:r>
    </w:p>
    <w:p w14:paraId="73DF5B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通过以上数据监测、多维度分析、可视化展示等功能，医院可以更加精准地掌握急诊运行状况，优化资源配置，提升救治效率和服务质量，为患者提供更加安全、高效、便捷的急诊医疗服务。</w:t>
      </w:r>
    </w:p>
    <w:p w14:paraId="2731605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5.3.1.1.4第三方系统数据对接</w:t>
      </w:r>
    </w:p>
    <w:p w14:paraId="01A787A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通过与第三方系统数据对接，获取第三方系统相关数据，根据用户需要进行数据筛选并展示。</w:t>
      </w:r>
    </w:p>
    <w:p w14:paraId="388AD93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val="en-US" w:eastAsia="zh-CN"/>
        </w:rPr>
        <w:t>县</w:t>
      </w:r>
      <w:r>
        <w:rPr>
          <w:rFonts w:hint="eastAsia" w:ascii="宋体" w:hAnsi="宋体" w:eastAsia="宋体" w:cs="宋体"/>
          <w:color w:val="auto"/>
          <w:sz w:val="22"/>
          <w:szCs w:val="22"/>
          <w:highlight w:val="none"/>
          <w:shd w:val="clear" w:color="auto" w:fill="auto"/>
        </w:rPr>
        <w:t>院前急救系统对接：展示人民医院院前急救信息。</w:t>
      </w:r>
    </w:p>
    <w:p w14:paraId="58B9CA9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val="en-US" w:eastAsia="zh-CN"/>
        </w:rPr>
        <w:t>县院</w:t>
      </w:r>
      <w:r>
        <w:rPr>
          <w:rFonts w:hint="eastAsia" w:ascii="宋体" w:hAnsi="宋体" w:eastAsia="宋体" w:cs="宋体"/>
          <w:color w:val="auto"/>
          <w:sz w:val="22"/>
          <w:szCs w:val="22"/>
          <w:highlight w:val="none"/>
          <w:shd w:val="clear" w:color="auto" w:fill="auto"/>
        </w:rPr>
        <w:t>前急救系统对接：展示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院前急救信息。</w:t>
      </w:r>
    </w:p>
    <w:p w14:paraId="0FD1CD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与人民医院院内急诊系统对接：展示人民医院急诊信息。</w:t>
      </w:r>
    </w:p>
    <w:p w14:paraId="3FEB369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院内急诊系统对接：展示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急诊信息。</w:t>
      </w:r>
    </w:p>
    <w:p w14:paraId="44994C5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与人民医院五大中心系统对接：展示人民医院五大中心救治信息。</w:t>
      </w:r>
    </w:p>
    <w:p w14:paraId="7E878E8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五大中心系统对接：展示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五大中心救治信息。</w:t>
      </w:r>
    </w:p>
    <w:p w14:paraId="3523D94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与人民医院HIS系统对接：展示人民医院病历信息。</w:t>
      </w:r>
    </w:p>
    <w:p w14:paraId="15A388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HIS系统对接：展示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病历信息。</w:t>
      </w:r>
    </w:p>
    <w:p w14:paraId="19FACA6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与人民医院LIS系统对接：展示人民医院检验信息。</w:t>
      </w:r>
    </w:p>
    <w:p w14:paraId="07A7AA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LIS系统对接：展示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检验信息。</w:t>
      </w:r>
    </w:p>
    <w:p w14:paraId="061E8A3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与人民医院PACS系统对接：展示人民医院检查信息。</w:t>
      </w:r>
    </w:p>
    <w:p w14:paraId="7DED848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PACS系统对接：展示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检查信息。</w:t>
      </w:r>
    </w:p>
    <w:p w14:paraId="3E68A4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与区域HIS、LIS、PACS系统对接</w:t>
      </w:r>
      <w:r>
        <w:rPr>
          <w:rFonts w:hint="eastAsia" w:ascii="宋体" w:hAnsi="宋体" w:cs="宋体"/>
          <w:color w:val="auto"/>
          <w:sz w:val="22"/>
          <w:szCs w:val="22"/>
          <w:highlight w:val="none"/>
          <w:shd w:val="clear" w:color="auto" w:fill="auto"/>
          <w:lang w:eastAsia="zh-CN"/>
        </w:rPr>
        <w:t>。</w:t>
      </w:r>
    </w:p>
    <w:p w14:paraId="0A46276D">
      <w:pPr>
        <w:pageBreakBefore w:val="0"/>
        <w:kinsoku/>
        <w:wordWrap/>
        <w:topLinePunct w:val="0"/>
        <w:bidi w:val="0"/>
        <w:snapToGrid/>
        <w:spacing w:line="360" w:lineRule="auto"/>
        <w:ind w:firstLine="440" w:firstLineChars="200"/>
        <w:rPr>
          <w:rFonts w:hint="default" w:ascii="宋体" w:hAnsi="宋体" w:eastAsia="宋体" w:cs="宋体"/>
          <w:color w:val="auto"/>
          <w:sz w:val="22"/>
          <w:szCs w:val="22"/>
          <w:highlight w:val="none"/>
          <w:shd w:val="clear" w:color="auto" w:fill="auto"/>
          <w:lang w:val="en-US" w:eastAsia="zh-CN"/>
        </w:rPr>
      </w:pPr>
      <w:r>
        <w:rPr>
          <w:rFonts w:hint="eastAsia" w:ascii="宋体" w:hAnsi="宋体" w:cs="宋体"/>
          <w:color w:val="auto"/>
          <w:sz w:val="22"/>
          <w:szCs w:val="22"/>
          <w:highlight w:val="none"/>
          <w:shd w:val="clear" w:color="auto" w:fill="auto"/>
          <w:lang w:val="en-US" w:eastAsia="zh-CN"/>
        </w:rPr>
        <w:t>与永嘉县人民医院智慧医院信息管理集成平台项目（包含不限于HIS、LIS、PACS、集成平台等）</w:t>
      </w:r>
      <w:r>
        <w:rPr>
          <w:rFonts w:hint="eastAsia" w:ascii="宋体" w:hAnsi="宋体" w:eastAsia="宋体" w:cs="宋体"/>
          <w:color w:val="auto"/>
          <w:sz w:val="22"/>
          <w:szCs w:val="22"/>
          <w:highlight w:val="none"/>
          <w:shd w:val="clear" w:color="auto" w:fill="auto"/>
        </w:rPr>
        <w:t>对接</w:t>
      </w:r>
      <w:r>
        <w:rPr>
          <w:rFonts w:hint="eastAsia" w:ascii="宋体" w:hAnsi="宋体" w:cs="宋体"/>
          <w:color w:val="auto"/>
          <w:sz w:val="22"/>
          <w:szCs w:val="22"/>
          <w:highlight w:val="none"/>
          <w:shd w:val="clear" w:color="auto" w:fill="auto"/>
          <w:lang w:val="en-US" w:eastAsia="zh-CN"/>
        </w:rPr>
        <w:t>。</w:t>
      </w:r>
    </w:p>
    <w:p w14:paraId="165E6541">
      <w:pPr>
        <w:pageBreakBefore w:val="0"/>
        <w:kinsoku/>
        <w:wordWrap/>
        <w:topLinePunct w:val="0"/>
        <w:bidi w:val="0"/>
        <w:snapToGrid/>
        <w:spacing w:line="360" w:lineRule="auto"/>
        <w:ind w:firstLine="440" w:firstLineChars="200"/>
        <w:rPr>
          <w:rFonts w:hint="default" w:ascii="宋体" w:hAnsi="宋体" w:eastAsia="宋体" w:cs="宋体"/>
          <w:color w:val="auto"/>
          <w:sz w:val="22"/>
          <w:szCs w:val="22"/>
          <w:highlight w:val="none"/>
          <w:shd w:val="clear" w:color="auto" w:fill="auto"/>
          <w:lang w:val="en-US" w:eastAsia="zh-CN"/>
        </w:rPr>
      </w:pPr>
      <w:r>
        <w:rPr>
          <w:rFonts w:hint="eastAsia" w:ascii="宋体" w:hAnsi="宋体" w:cs="宋体"/>
          <w:color w:val="auto"/>
          <w:sz w:val="22"/>
          <w:szCs w:val="22"/>
          <w:highlight w:val="none"/>
          <w:shd w:val="clear" w:color="auto" w:fill="auto"/>
          <w:lang w:val="en-US" w:eastAsia="zh-CN"/>
        </w:rPr>
        <w:t>与人民医院、中医医院其它业务系统对接。</w:t>
      </w:r>
    </w:p>
    <w:p w14:paraId="41737DC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5.3.1.2系统设置</w:t>
      </w:r>
      <w:r>
        <w:rPr>
          <w:rFonts w:hint="eastAsia" w:ascii="宋体" w:hAnsi="宋体" w:cs="宋体"/>
          <w:b/>
          <w:bCs/>
          <w:color w:val="auto"/>
          <w:sz w:val="22"/>
          <w:szCs w:val="22"/>
          <w:highlight w:val="none"/>
          <w:shd w:val="clear" w:color="auto" w:fill="auto"/>
          <w:lang w:val="en-US" w:eastAsia="zh-CN"/>
        </w:rPr>
        <w:tab/>
      </w:r>
    </w:p>
    <w:p w14:paraId="7033B5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系统设置对于系统的正常运行至关重要。通过合理的设置，可以确保系统处于最佳工作状态，提高系统性能和稳定性。用户可根据自己的需求和系统的性能特点，进行合理的系统设置。</w:t>
      </w:r>
    </w:p>
    <w:p w14:paraId="60FE621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5.3.1.2.1用户管理</w:t>
      </w:r>
    </w:p>
    <w:p w14:paraId="22F6269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用户进入系统设置页面，点击用户管理，左侧展示机构数信息，点选某机构，右侧展示对应机构的用户信息列表和用户所属角色列表。</w:t>
      </w:r>
    </w:p>
    <w:p w14:paraId="066A39E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点击新增按钮，弹出用户新增页面，编辑用户信息后点击保存，实现新增用户功能。</w:t>
      </w:r>
    </w:p>
    <w:p w14:paraId="623E63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选中某用户，点击修改按钮，弹出修改页面，可编辑用户信息，点击保存后，实现用户修改功能。</w:t>
      </w:r>
    </w:p>
    <w:p w14:paraId="76F893D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点击删除按钮，可实现删除用户功能。</w:t>
      </w:r>
    </w:p>
    <w:p w14:paraId="5B3EE71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点击用户授权按钮，弹出授权页面，左侧显示未授权角色列表，右侧显示已授权角色列表，点击授权，可实现用户授权功能。</w:t>
      </w:r>
    </w:p>
    <w:p w14:paraId="6926196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点击密码重置按钮，弹出修改密码页面，录入新密码点击保存，实现密码重置功能。</w:t>
      </w:r>
    </w:p>
    <w:p w14:paraId="4AA750F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点击用户调配按钮，弹出用户调配界面，录入调配科室点击保存，实现用户科室调配功能。</w:t>
      </w:r>
    </w:p>
    <w:p w14:paraId="30D7668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点击导出按钮，可导出Excel形式的用户统计列表。</w:t>
      </w:r>
    </w:p>
    <w:p w14:paraId="085D0504">
      <w:pPr>
        <w:pageBreakBefore w:val="0"/>
        <w:kinsoku/>
        <w:wordWrap/>
        <w:topLinePunct w:val="0"/>
        <w:bidi w:val="0"/>
        <w:snapToGrid/>
        <w:spacing w:line="360" w:lineRule="auto"/>
        <w:ind w:firstLine="420" w:firstLineChars="200"/>
        <w:rPr>
          <w:rFonts w:hint="eastAsia"/>
          <w:color w:val="auto"/>
          <w:highlight w:val="none"/>
          <w:lang w:val="en-US" w:eastAsia="zh-CN"/>
        </w:rPr>
      </w:pPr>
      <w:r>
        <w:rPr>
          <w:rFonts w:hint="eastAsia"/>
          <w:color w:val="auto"/>
          <w:highlight w:val="none"/>
          <w:lang w:val="en-US" w:eastAsia="zh-CN"/>
        </w:rPr>
        <w:t>支持密码复杂度策略、有效期策略设置。</w:t>
      </w:r>
    </w:p>
    <w:p w14:paraId="6122A332">
      <w:pPr>
        <w:pageBreakBefore w:val="0"/>
        <w:kinsoku/>
        <w:wordWrap/>
        <w:topLinePunct w:val="0"/>
        <w:bidi w:val="0"/>
        <w:snapToGrid/>
        <w:spacing w:line="360" w:lineRule="auto"/>
        <w:ind w:firstLine="420" w:firstLineChars="200"/>
        <w:rPr>
          <w:rFonts w:hint="default"/>
          <w:color w:val="auto"/>
          <w:highlight w:val="none"/>
          <w:lang w:val="en-US" w:eastAsia="zh-CN"/>
        </w:rPr>
      </w:pPr>
      <w:r>
        <w:rPr>
          <w:rFonts w:hint="eastAsia"/>
          <w:color w:val="auto"/>
          <w:highlight w:val="none"/>
          <w:lang w:val="en-US" w:eastAsia="zh-CN"/>
        </w:rPr>
        <w:t>支持电子签字（CA）认证登录。</w:t>
      </w:r>
    </w:p>
    <w:p w14:paraId="7E59D53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5.3.1.2.2权限配置</w:t>
      </w:r>
      <w:r>
        <w:rPr>
          <w:rFonts w:hint="eastAsia" w:ascii="宋体" w:hAnsi="宋体" w:cs="宋体"/>
          <w:b/>
          <w:bCs/>
          <w:color w:val="auto"/>
          <w:sz w:val="22"/>
          <w:szCs w:val="22"/>
          <w:highlight w:val="none"/>
          <w:shd w:val="clear" w:color="auto" w:fill="auto"/>
          <w:lang w:val="en-US" w:eastAsia="zh-CN"/>
        </w:rPr>
        <w:tab/>
      </w:r>
    </w:p>
    <w:p w14:paraId="48725E9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人员的权限进行管理，不同的人员拥有不同的权限，权限按照人员角色进行管理，通过不同的角色，采用医护一体化的方式进行管理，通过角色的切换，方便</w:t>
      </w: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人员适应不同的工作场景。</w:t>
      </w:r>
    </w:p>
    <w:p w14:paraId="2E26326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用户进入系统设置页面，点击权限配置，可查看角色信息列表。</w:t>
      </w:r>
    </w:p>
    <w:p w14:paraId="371F2D1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点击新增按钮，弹出角色新增页面，编辑角色信息后点击保存，实现新增角色功能。</w:t>
      </w:r>
    </w:p>
    <w:p w14:paraId="67C1AAD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选中某角色，点击修改按钮，弹出修改页面，可编辑角色信息，点击保存后，实现角色修改功能。</w:t>
      </w:r>
    </w:p>
    <w:p w14:paraId="1FFF7D9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点击删除按钮，可实现删除角色功能。</w:t>
      </w:r>
    </w:p>
    <w:p w14:paraId="044952B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点击分配权限按钮，弹出分配权限页面，内容可勾选系统模块以及对应功能按钮，点击确定，可实现角色权限分配功能。</w:t>
      </w:r>
    </w:p>
    <w:p w14:paraId="3FCAB01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5.3.1.2.3数据字典配置</w:t>
      </w:r>
      <w:r>
        <w:rPr>
          <w:rFonts w:hint="eastAsia" w:ascii="宋体" w:hAnsi="宋体" w:cs="宋体"/>
          <w:b/>
          <w:bCs/>
          <w:color w:val="auto"/>
          <w:sz w:val="22"/>
          <w:szCs w:val="22"/>
          <w:highlight w:val="none"/>
          <w:shd w:val="clear" w:color="auto" w:fill="auto"/>
          <w:lang w:val="en-US" w:eastAsia="zh-CN"/>
        </w:rPr>
        <w:tab/>
      </w:r>
    </w:p>
    <w:p w14:paraId="2BCB023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用户进入系统设置页面，点击数据字典配置，左侧显示基础类别列表，点击某类别，右侧显示数据字典子项列表。</w:t>
      </w:r>
    </w:p>
    <w:p w14:paraId="2E1B0F9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点击新增按钮，弹出数据字典新增页面，编辑数据字典信息后点击保存，实现新增数据字典功能。</w:t>
      </w:r>
    </w:p>
    <w:p w14:paraId="0BF7305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选中某数据字典子项信息，点击修改按钮，弹出修改页面，可编辑数据字典信息，点击保存后，实现数据字典修改功能。</w:t>
      </w:r>
    </w:p>
    <w:p w14:paraId="393FE8E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点击删除按钮，可实现删除数据字典子项功能。</w:t>
      </w:r>
    </w:p>
    <w:p w14:paraId="6DB495D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通过点击设置启用和禁用按钮，实现数据字典内容设置可用和设置不可用功能。</w:t>
      </w:r>
    </w:p>
    <w:p w14:paraId="42A60B8D">
      <w:pPr>
        <w:pageBreakBefore w:val="0"/>
        <w:kinsoku/>
        <w:wordWrap/>
        <w:topLinePunct w:val="0"/>
        <w:bidi w:val="0"/>
        <w:spacing w:line="360" w:lineRule="auto"/>
        <w:ind w:firstLine="640"/>
        <w:rPr>
          <w:rFonts w:hint="eastAsia" w:ascii="宋体" w:hAnsi="宋体" w:eastAsia="宋体" w:cs="宋体"/>
          <w:color w:val="auto"/>
          <w:sz w:val="22"/>
          <w:szCs w:val="22"/>
          <w:highlight w:val="none"/>
          <w:shd w:val="clear" w:color="auto" w:fill="auto"/>
        </w:rPr>
      </w:pPr>
    </w:p>
    <w:p w14:paraId="3067B4F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5.3.2院内急诊系统</w:t>
      </w:r>
    </w:p>
    <w:p w14:paraId="5C0BDF1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5.3.2.1概述</w:t>
      </w:r>
    </w:p>
    <w:p w14:paraId="4CAB867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急诊医学信息系统将满足医院急诊科建设和管理需求，实现对患者在急诊科内诊疗全过程进行跟踪和管理。系统积极探索急诊救治区域三区划分和合理使用。通过建立急诊预检分诊系统、急诊医生工作站、急诊护士工作站、急诊护理系统等模块，满足“三区四级”的急诊科管理要求。</w:t>
      </w:r>
    </w:p>
    <w:p w14:paraId="4EC342A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支持多机构版本。其中分中心版本（或基层版）指面向基层医疗机构、分中心机构的版本，针对分中心临床医生、护理人员开发的版本，要求操作相对中心完整版本更简单，功能集中化、易用、直接，减少操作复杂度，能满足日常工作的基本需求。</w:t>
      </w:r>
    </w:p>
    <w:p w14:paraId="185F31B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在统一业务流程的基础上，实现系统功能同质化实施，不针对个体或某一类型单元进行个性化实施，与第三方系统对接也必须符合相关标准数据规范。</w:t>
      </w:r>
    </w:p>
    <w:p w14:paraId="3ECE9103">
      <w:pPr>
        <w:pageBreakBefore w:val="0"/>
        <w:kinsoku/>
        <w:wordWrap/>
        <w:topLinePunct w:val="0"/>
        <w:bidi w:val="0"/>
        <w:spacing w:line="360" w:lineRule="auto"/>
        <w:ind w:firstLine="0" w:firstLineChars="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drawing>
          <wp:inline distT="0" distB="0" distL="0" distR="0">
            <wp:extent cx="5267960" cy="2425065"/>
            <wp:effectExtent l="0" t="0" r="8890" b="1333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t="4597"/>
                    <a:stretch>
                      <a:fillRect/>
                    </a:stretch>
                  </pic:blipFill>
                  <pic:spPr>
                    <a:xfrm>
                      <a:off x="0" y="0"/>
                      <a:ext cx="5267960" cy="2425065"/>
                    </a:xfrm>
                    <a:prstGeom prst="rect">
                      <a:avLst/>
                    </a:prstGeom>
                    <a:noFill/>
                    <a:ln>
                      <a:noFill/>
                    </a:ln>
                  </pic:spPr>
                </pic:pic>
              </a:graphicData>
            </a:graphic>
          </wp:inline>
        </w:drawing>
      </w:r>
    </w:p>
    <w:p w14:paraId="463854C7">
      <w:pPr>
        <w:pStyle w:val="12"/>
        <w:pageBreakBefore w:val="0"/>
        <w:kinsoku/>
        <w:wordWrap/>
        <w:topLinePunct w:val="0"/>
        <w:bidi w:val="0"/>
        <w:spacing w:line="360" w:lineRule="auto"/>
        <w:jc w:val="center"/>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 xml:space="preserve">图5- </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SEQ 图5- \* ARABIC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1</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院内急诊系统图</w:t>
      </w:r>
    </w:p>
    <w:p w14:paraId="24EDF53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5.3.2.2建设内容</w:t>
      </w:r>
    </w:p>
    <w:p w14:paraId="2877787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5.3.2.2.1急诊预检分诊系统</w:t>
      </w:r>
    </w:p>
    <w:p w14:paraId="0880639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急诊预检分诊系统是一种基于先进设计理念和高科技手段的医疗管理系统，它遵循科学的设计原则，通过综合评分体系快速准确地评估患者病情的紧急性，实现自动评分与智能分诊。系统内置丰富的医学知识库，支持群伤事件的快速分诊处理，追踪患者去向，优化急诊门诊流程。综合评估患者状况，提供智能化决策支持，同时再评估功能确保分诊的准确性，提高急诊工作效率和患者满意度。</w:t>
      </w:r>
    </w:p>
    <w:p w14:paraId="2B1C583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根据国家卫生部发布的《急诊病人病情分级试点指导原则（2011征求意见稿）》对系统进行设计，实现规范化、标准化、智能化、便捷的急诊预检分诊流程。</w:t>
      </w:r>
    </w:p>
    <w:p w14:paraId="188EA01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5.3.2.2.1.1患者登记</w:t>
      </w:r>
    </w:p>
    <w:p w14:paraId="61F247B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急诊系统主要有两类用户，一类用户是普通用户，普通用户只能对患者进行登记，一类是管理员用户，管理员用户可以对患者登记信息进行维护操作，如：来院方式、挂号科室、最终去向、物品租借、特殊病种标识、120医生项目等。</w:t>
      </w:r>
    </w:p>
    <w:p w14:paraId="2D503C2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普通用户进入模块后可以看见预检分诊页面，左侧患者列表主要检索条件为就诊号或姓名，次要条件为“已挂号未预检”，“未关联挂号”和“暂存”。</w:t>
      </w:r>
    </w:p>
    <w:p w14:paraId="0A25CFF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右侧患者登记页面还包含患者标识、绿通和三无患者标识、保存、保存并打印、新建、删除、挂号绑定、群体伤事件等。</w:t>
      </w:r>
    </w:p>
    <w:p w14:paraId="0E3DC80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点击分诊信息中的患者标识可对患者标记对应类型，如：</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产科</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妇科</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绿色通道</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三无人员</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胸痛</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卒中</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创伤</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心脏骤停</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休克</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气道阻塞</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危重孕产妇</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危重新生儿</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p>
    <w:p w14:paraId="6AE4313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点击绿色通道和三无患者标识，患者登记保存后对接患者信息实现管理。</w:t>
      </w:r>
    </w:p>
    <w:p w14:paraId="293CCB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点击120送入后，选择下拉中的“院内120”或“院外120”，再填写驾驶员或医生中配置好的信息，并进行登记。</w:t>
      </w:r>
    </w:p>
    <w:p w14:paraId="31C56F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点击新增、保存按钮，可以进行患者登记流程。保存后可实现患者登记。</w:t>
      </w:r>
    </w:p>
    <w:p w14:paraId="7745ADD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左侧列表中通过就诊号或姓名等信息查找到对应的患者记录，双击后可打开患者的修改页面。该页面与患者登记页面一致，可以在该页面进行修改患者信息后，点击保存按钮，以实现患者信息的修改。</w:t>
      </w:r>
    </w:p>
    <w:p w14:paraId="25705CF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患者登记后会自动通过卡号匹配患者挂号信息，若遇患者未匹配挂号，可在患者修改页面中，点击挂号绑定按钮，可实现手动操作匹配挂号信息。</w:t>
      </w:r>
    </w:p>
    <w:p w14:paraId="2217B3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在患者修改页面中，点击删除按钮，可实现对患者记录信息的删除。</w:t>
      </w:r>
    </w:p>
    <w:p w14:paraId="1898C72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勾选绿色通道按钮，可录入绿色通道原因，支持绿通管理。</w:t>
      </w:r>
    </w:p>
    <w:p w14:paraId="3C5A53F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点击分诊列表，展示患者预检分诊信息。支持分诊信息查询功能，可根据日期范围、门诊号、预检等级、姓名、急诊科室等条件自定义查询。点击导出按钮，以excel格式导出患者分诊信息。</w:t>
      </w:r>
    </w:p>
    <w:p w14:paraId="0CEBF1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右侧患者登记右下角更多操作中的群体伤事件按钮，打开新增群体伤事件弹窗。在该弹窗中可查看群体伤事件列表，填写群体伤事件信息后点击保存后，可实现批量新增群里事件患者记录，并使群体事件患者关联对应群体事件。</w:t>
      </w:r>
    </w:p>
    <w:p w14:paraId="44498A3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在群体伤事件管理列表页面，点击删除按钮，可实现删除群体伤信息。选中某群体伤事件，可以点击关联患者按钮，勾选患者点击确定后实现批量群体伤患者绑定。</w:t>
      </w:r>
    </w:p>
    <w:p w14:paraId="1868330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管理员用户进入模块后也可以看见预检分诊页面，左侧患者列表和右侧患者登记页面。该页面也于普通用户一致，可进行新增、保存、删除等操作。管理员用户登录界面还显示数据字段配置按钮，通过该按钮可进入数据字段配置页面。</w:t>
      </w:r>
    </w:p>
    <w:p w14:paraId="4D9DDAA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管理员用户进行数据字段配置页面后可以看见左侧的基础类别列表，该列表包含来院方式、挂号科室、最终去向、物品租借、特殊病种标识、120医生项目等。该页面还包含新增、设置可用、设置不可用、修改、删除按钮。</w:t>
      </w:r>
    </w:p>
    <w:p w14:paraId="7B22D3B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用户点击左侧基础类别列表进入对应类别列表管理页面。</w:t>
      </w:r>
    </w:p>
    <w:p w14:paraId="64FC8AD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点击新增按钮，可新增对应基础类别的详细小类项目。</w:t>
      </w:r>
    </w:p>
    <w:p w14:paraId="73FB47E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点击设置可用、设置不可用按钮，可实现修改该基础类别的对应详细小类项目在普通用户患者登记页面中的可见可选、不可见不可选效果。</w:t>
      </w:r>
    </w:p>
    <w:p w14:paraId="086A7BC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点击删除按钮，可删除对应基础类别的详细小类项目。</w:t>
      </w:r>
    </w:p>
    <w:p w14:paraId="2F30587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5.3.2.2.1.2患者分诊</w:t>
      </w:r>
    </w:p>
    <w:p w14:paraId="7684A1B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普通用户进入模块后可以看见预检分诊页面，在右侧预检分诊页面中对患者进行登记后可对</w:t>
      </w:r>
      <w:r>
        <w:rPr>
          <w:rFonts w:hint="eastAsia" w:ascii="宋体" w:hAnsi="宋体" w:cs="宋体"/>
          <w:color w:val="auto"/>
          <w:sz w:val="22"/>
          <w:szCs w:val="22"/>
          <w:highlight w:val="none"/>
          <w:shd w:val="clear" w:color="auto" w:fill="auto"/>
          <w:lang w:eastAsia="zh-CN"/>
        </w:rPr>
        <w:t>该</w:t>
      </w:r>
      <w:r>
        <w:rPr>
          <w:rFonts w:hint="eastAsia" w:ascii="宋体" w:hAnsi="宋体" w:eastAsia="宋体" w:cs="宋体"/>
          <w:color w:val="auto"/>
          <w:sz w:val="22"/>
          <w:szCs w:val="22"/>
          <w:highlight w:val="none"/>
          <w:shd w:val="clear" w:color="auto" w:fill="auto"/>
        </w:rPr>
        <w:t>患者进行分诊。在该页面可填写患者的分诊信息、体征以及处理。</w:t>
      </w:r>
    </w:p>
    <w:p w14:paraId="7839D14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在修订分级中点击对应要修改的分级，用以对自动分级的结果进行修改，并且可录入修改原因。</w:t>
      </w:r>
    </w:p>
    <w:p w14:paraId="6FB2E75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点击备注按钮，在下拉列表中选择对应的备注信息，如：拒测生命体征、拒测部分体征等，备注信息可进行配置。</w:t>
      </w:r>
    </w:p>
    <w:p w14:paraId="0C949A7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患者24小时内再次分诊保存，系统会弹窗进行提示，是否进行二次分诊操作。</w:t>
      </w:r>
    </w:p>
    <w:p w14:paraId="418699D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系统通过不同级别患者规定响应时间标准不同，自动对超过规定时间内未接诊患者进行提醒。</w:t>
      </w:r>
    </w:p>
    <w:p w14:paraId="34BB2D5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点击右侧患者登记右下角更多操作中的发热登记按钮，打开新增发热登记弹窗。在该弹窗中填写发热登记患者信息后点击保存，</w:t>
      </w:r>
    </w:p>
    <w:p w14:paraId="0DC9758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可实现发热登记患者的记录和统计。</w:t>
      </w:r>
    </w:p>
    <w:p w14:paraId="1F3E9B3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在分诊列表页面中，可通过填写或勾选主要条件：日期、患者信息、急诊科室、转归去向、分级、特殊标识等，来进行分诊记录列表的查询。</w:t>
      </w:r>
    </w:p>
    <w:p w14:paraId="3EB4871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在分诊列表页面中，选择对应分诊记录，点击修改按钮可进入患者分诊信息修改页面，可实现对该分诊记录的编辑。</w:t>
      </w:r>
    </w:p>
    <w:p w14:paraId="10309E7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在分诊列表页面中，选择对应分诊记录，点击删除按钮，可实现对该分诊记录的删除。</w:t>
      </w:r>
    </w:p>
    <w:p w14:paraId="1B118DD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患者分诊信息修改页面中，可在右下角更多操作中看见就诊绑定按钮，点击该按钮会显示就诊关联弹窗。该弹窗内容通过就诊序号等信息显示与该患者关联的就诊记录信息，可实现手动关联绑定对应就诊以及诊断信息。</w:t>
      </w:r>
    </w:p>
    <w:p w14:paraId="68241B8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在预检分诊页面, 进行患者分级变更时, 若是等级由四级变更成三级, 则系统根据《急诊预检分级分诊标准》判断患者响应时间, 实现AI电话语音或短信提醒. </w:t>
      </w:r>
    </w:p>
    <w:p w14:paraId="5543C37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5.3.2.2.1.3分诊知识库</w:t>
      </w:r>
    </w:p>
    <w:p w14:paraId="38E088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普通用户进入模块后可在预检分诊页面主诉症状调用知识库功能用于填写主诉症状。</w:t>
      </w:r>
    </w:p>
    <w:p w14:paraId="6432E5C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管理用户进入模块后可在主诉知识库页面中查看知识库列表，该页面按钮有新增、删除、修改，用户可根据这系列按钮实现对主诉症状的维护。</w:t>
      </w:r>
    </w:p>
    <w:p w14:paraId="3DF826D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点击新增按钮，可输入主诉症状、拼音首码、分级、去向、就诊科室以及备注这些信息，点击确定后实现新增主诉知识库记录，用于普通用户分诊患者时填写主诉症状时使用。</w:t>
      </w:r>
    </w:p>
    <w:p w14:paraId="0E30E52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选择主诉知识库记录，点击修改，修改如下：主诉症状、拼音首码、分级、去向、就诊科室以及备注信息后，点击确定后实现修改主诉知识库记录。</w:t>
      </w:r>
    </w:p>
    <w:p w14:paraId="222B82C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选择主诉知识库记录，点击删除后实现删除主诉知识库记录。</w:t>
      </w:r>
    </w:p>
    <w:p w14:paraId="40735DC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5.3.2.2.1.4生命体征采集</w:t>
      </w:r>
    </w:p>
    <w:p w14:paraId="4EB2CA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在预检分诊页面中的分诊体征部分，用户可编辑患者的分诊体征数据：体温、呼吸、脉搏、血压以及血氧等信息。</w:t>
      </w:r>
    </w:p>
    <w:p w14:paraId="04A39C1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点击分诊信息修改页面右下角更多操作中的生命体征补录按钮，可查看该患者多次录入的生命体征数据。</w:t>
      </w:r>
    </w:p>
    <w:p w14:paraId="57D6817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点击分诊列表页面中的生命体征补录按钮，打开生命体征列表后，录入体征信息后点击保存，实现生命体征补录操作。</w:t>
      </w:r>
    </w:p>
    <w:p w14:paraId="3190F90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5.3.2.2.1.5患者评分评估</w:t>
      </w:r>
    </w:p>
    <w:p w14:paraId="4774C2F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在预检页面填写分诊信息，点击疼痛评分进入修改NRS评分。</w:t>
      </w:r>
    </w:p>
    <w:p w14:paraId="6F508AB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在预检页面填写分诊信息，点击GCS进入修改GCS评分。</w:t>
      </w:r>
    </w:p>
    <w:p w14:paraId="27EF6FB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在预检页面填写分诊信息，点击Ti进入修改创伤Ti评分。</w:t>
      </w:r>
    </w:p>
    <w:p w14:paraId="6DFBDF3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在预检页面填写儿童患者分诊信息，点击PEWS进入修改PEWS评分。</w:t>
      </w:r>
    </w:p>
    <w:p w14:paraId="6279C7F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在预检页面填写分诊信息，点击RTS进入修改RTS评分。</w:t>
      </w:r>
    </w:p>
    <w:p w14:paraId="5CAE7E9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在预检页面填写分诊信息，点击跌倒评估进入修改门急诊跌倒评分。</w:t>
      </w:r>
    </w:p>
    <w:p w14:paraId="23BBF60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在预检页面填写分诊信息，点击疼痛评分进入修改多种类型疼痛评分。</w:t>
      </w:r>
    </w:p>
    <w:p w14:paraId="4BB1163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在预检页面填写勾选胸痛标识患者的分诊信息，点击胸痛评估进入修改胸痛评估。</w:t>
      </w:r>
    </w:p>
    <w:p w14:paraId="28D4457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在预检页面填写勾选创伤标识患者的分诊信息，点击创伤评估进入修改创伤评估。</w:t>
      </w:r>
    </w:p>
    <w:p w14:paraId="3A04BF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在预检页面填写勾选卒中标识患者的分诊信息，点击卒中评估进入修改卒中评估。</w:t>
      </w:r>
    </w:p>
    <w:p w14:paraId="6B442F6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5.3.2.2.1.6患者标识</w:t>
      </w:r>
    </w:p>
    <w:p w14:paraId="3E847F5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在预检分诊页面点击保存后，系统自动打印分诊单。在分诊列表中点击打印按钮可打印所选患者分诊单。</w:t>
      </w:r>
    </w:p>
    <w:p w14:paraId="21CE3CF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在分诊列表页面点击腕带打印按钮，可实现所选患者的腕带打印操作。</w:t>
      </w:r>
    </w:p>
    <w:p w14:paraId="0571326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5.3.2.2.1.7患者去向</w:t>
      </w:r>
    </w:p>
    <w:p w14:paraId="5DAF617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在分诊列表页面选择患者后点击转归登记按钮，打开转归登记弹窗，可实现对患者去向、去向时间的编辑。</w:t>
      </w:r>
    </w:p>
    <w:p w14:paraId="71705A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转归登记默认去向如下：诊间就诊、留抢、转留观室、离院、转院、住院等去向子项。可根据科室实际情况进行配置。</w:t>
      </w:r>
    </w:p>
    <w:p w14:paraId="0E4A98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在转归登记中选择留抢、转留观室时，可在转归登记页面进行床位的配置，选择所显示的空床，实现对应信息患者“落床”的动作，用作转归信息的记录。</w:t>
      </w:r>
    </w:p>
    <w:p w14:paraId="3AE343C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可根据院内实际情况选择是否开放留观室床位。</w:t>
      </w:r>
    </w:p>
    <w:p w14:paraId="27CB85C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在分诊信息修改页面的右下角更多操作中，有转归记录按钮。点击该按钮可打开转归记录页面弹窗。</w:t>
      </w:r>
    </w:p>
    <w:p w14:paraId="6391E1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在转归记录页面中，选中对应转归记录点击删除按钮，可实现对患者对应转归记录的删除操作。</w:t>
      </w:r>
    </w:p>
    <w:p w14:paraId="66BB04E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5.3.2.2.1.8患者信息</w:t>
      </w:r>
    </w:p>
    <w:p w14:paraId="57C4D55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用户进入分诊信息修改页面，可见右侧侧边栏有医嘱、检验、检查等按钮。</w:t>
      </w:r>
    </w:p>
    <w:p w14:paraId="6561580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点击医嘱按钮，进入该患者的医嘱信息列表。</w:t>
      </w:r>
    </w:p>
    <w:p w14:paraId="14A353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点击检验按钮，进入该患者的检验信息列表。</w:t>
      </w:r>
    </w:p>
    <w:p w14:paraId="00A1C55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进入检验信息列表后，点击左侧检验项，右侧将会显示对应检验其检验子项目的详细信息列表。</w:t>
      </w:r>
    </w:p>
    <w:p w14:paraId="77FB84F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点击检查按钮，进入该患者的检查信息列表。</w:t>
      </w:r>
    </w:p>
    <w:p w14:paraId="03B737A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5.3.2.2.2急诊医护一体化工作站</w:t>
      </w:r>
    </w:p>
    <w:p w14:paraId="2D21CFC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5.3.2.2.2.1基本信息</w:t>
      </w:r>
    </w:p>
    <w:p w14:paraId="3642FF9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进入留抢患者管理列表页面，该页面主要查询条件为日期、患者信息、转归去向、滞留时间、患者标识、病历查对情况等。</w:t>
      </w:r>
    </w:p>
    <w:p w14:paraId="6DC8D65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进入留抢患者管理列表页面时，左侧患者信息默认预览模式为床卡模式，该模式展示当前状态还在留抢或留观的患者信息，便于实现用户优先对当前患者进行操作。</w:t>
      </w:r>
    </w:p>
    <w:p w14:paraId="24B9E32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在留抢患者管理列表中，选择患者，点击右侧操作列表中修改按钮，进入该患者分诊信息修改页面，在该页面修改保存可实现患者信息的修改。</w:t>
      </w:r>
    </w:p>
    <w:p w14:paraId="311CC2F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在床卡模式下，默认在上方显示抢救室床位卡，下方默认显示留观室床位卡，并且可通过查询列表左侧的查看科室的类型进行显示的切换。</w:t>
      </w:r>
    </w:p>
    <w:p w14:paraId="6C3C2DA2">
      <w:pPr>
        <w:pageBreakBefore w:val="0"/>
        <w:kinsoku/>
        <w:wordWrap/>
        <w:topLinePunct w:val="0"/>
        <w:bidi w:val="0"/>
        <w:snapToGrid/>
        <w:spacing w:line="360" w:lineRule="auto"/>
        <w:ind w:firstLine="442" w:firstLineChars="200"/>
        <w:rPr>
          <w:rFonts w:hint="eastAsia" w:ascii="宋体" w:hAnsi="宋体" w:eastAsia="宋体" w:cs="宋体"/>
          <w:b/>
          <w:bCs/>
          <w:color w:val="auto"/>
          <w:spacing w:val="0"/>
          <w:kern w:val="2"/>
          <w:sz w:val="22"/>
          <w:szCs w:val="22"/>
          <w:highlight w:val="none"/>
          <w:shd w:val="clear" w:color="auto" w:fill="auto"/>
          <w:lang w:val="en-US" w:eastAsia="zh-CN" w:bidi="ar-SA"/>
        </w:rPr>
      </w:pPr>
      <w:r>
        <w:rPr>
          <w:rFonts w:hint="eastAsia" w:ascii="宋体" w:hAnsi="宋体" w:cs="宋体"/>
          <w:b/>
          <w:bCs/>
          <w:color w:val="auto"/>
          <w:sz w:val="22"/>
          <w:szCs w:val="22"/>
          <w:highlight w:val="none"/>
          <w:shd w:val="clear" w:color="auto" w:fill="auto"/>
          <w:lang w:val="en-US" w:eastAsia="zh-CN"/>
        </w:rPr>
        <w:t>5.3.2.2.2.2</w:t>
      </w:r>
      <w:r>
        <w:rPr>
          <w:rFonts w:hint="eastAsia" w:ascii="宋体" w:hAnsi="宋体" w:eastAsia="宋体" w:cs="宋体"/>
          <w:b/>
          <w:bCs/>
          <w:color w:val="auto"/>
          <w:spacing w:val="0"/>
          <w:kern w:val="2"/>
          <w:sz w:val="22"/>
          <w:szCs w:val="22"/>
          <w:highlight w:val="none"/>
          <w:shd w:val="clear" w:color="auto" w:fill="auto"/>
          <w:lang w:val="en-US" w:eastAsia="zh-CN" w:bidi="ar-SA"/>
        </w:rPr>
        <w:t>候诊超时提醒</w:t>
      </w:r>
    </w:p>
    <w:p w14:paraId="3FDEC4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进入候诊患者查询列表，该列表主要查询条件为患者姓名或就诊号。该页面有修改、删除两个按钮。</w:t>
      </w:r>
    </w:p>
    <w:p w14:paraId="3A06340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选择超时患者记录信息，点击修改按钮，进入分诊信息修改页面，可在备注中录入，实现超时原因录入。</w:t>
      </w:r>
    </w:p>
    <w:p w14:paraId="4C33491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选择超时患者记录信息，点击修改按钮，进入分诊信息修改页面，在该页面中修改信息保存可实现超时患者信息修改。</w:t>
      </w:r>
    </w:p>
    <w:p w14:paraId="0D61165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5.3.2.2.2.3床位管理</w:t>
      </w:r>
    </w:p>
    <w:p w14:paraId="5092665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进入床位管理列表页面，该页面主要查询条件为位置、床位情况和床号，进行床位在床情况的展示。该页面有新增、修改、删除按钮。</w:t>
      </w:r>
    </w:p>
    <w:p w14:paraId="01FBE98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点击新增按钮，可配置床位列表子项，为床卡添加床位。</w:t>
      </w:r>
    </w:p>
    <w:p w14:paraId="5C36E6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点击修改按钮，可修改所选床位列表子项，修改对应床位信息。</w:t>
      </w:r>
    </w:p>
    <w:p w14:paraId="762EC75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点击删除按钮，可删除所选床位列表子项，修改对应床位信息。</w:t>
      </w:r>
    </w:p>
    <w:p w14:paraId="087E176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5.3.2.2.2.4患者首页</w:t>
      </w:r>
    </w:p>
    <w:p w14:paraId="202D10F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留抢患者管理页面右侧查看中，按钮如下：留抢病历信息、检查信息、检查信息、医嘱信息、会诊信息、转归记录。选择患者后点击这系列按钮可查询该患者对应信息。</w:t>
      </w:r>
    </w:p>
    <w:p w14:paraId="5C48CD8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留抢患者管理页面右侧操作中，选择患者点击修改，进入患者信息修改页面，实现患者信息以及体征数据的修改。</w:t>
      </w:r>
    </w:p>
    <w:p w14:paraId="778CA57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5.3.2.2.2.5患者时间轴</w:t>
      </w:r>
    </w:p>
    <w:p w14:paraId="504FB53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val="en-US" w:eastAsia="zh-CN"/>
        </w:rPr>
        <w:t>留</w:t>
      </w:r>
      <w:r>
        <w:rPr>
          <w:rFonts w:hint="eastAsia" w:ascii="宋体" w:hAnsi="宋体" w:eastAsia="宋体" w:cs="宋体"/>
          <w:color w:val="auto"/>
          <w:sz w:val="22"/>
          <w:szCs w:val="22"/>
          <w:highlight w:val="none"/>
          <w:shd w:val="clear" w:color="auto" w:fill="auto"/>
        </w:rPr>
        <w:t>抢患者管理页面右侧查看中，选择患者点击时间轴按钮，可打开患者时间轴弹窗。</w:t>
      </w:r>
    </w:p>
    <w:p w14:paraId="390DF30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5.3.2.2.2.6调配床位</w:t>
      </w:r>
    </w:p>
    <w:p w14:paraId="1B739CA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留抢患者管理页面右侧操作中，选择患者点击调配床位按钮，打开调配床位弹窗，在该弹窗页面中可变更该在床患者的床位信息。</w:t>
      </w:r>
    </w:p>
    <w:p w14:paraId="2B94800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5.3.2.2.2.7门药、门球时间录入</w:t>
      </w:r>
    </w:p>
    <w:p w14:paraId="12D8EC2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留抢患者管理页面右侧操作中，选择患者点击门药录入按钮，打开门球/门药录入时间页面。在该页面填写门球/门药录入时间点，可用作质控报表中进行统计、展示。</w:t>
      </w:r>
    </w:p>
    <w:p w14:paraId="3F7371A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5.3.2.2.2.8空输液单</w:t>
      </w:r>
    </w:p>
    <w:p w14:paraId="2213921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留抢患者管理页面右侧操作中，选择患者点击空输液单按钮，即可打印出该患者的空输液票贴。</w:t>
      </w:r>
    </w:p>
    <w:p w14:paraId="0DD3834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5.3.2.2.2.9患者转归</w:t>
      </w:r>
    </w:p>
    <w:p w14:paraId="085D896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留抢患者管理页面右侧操作中，选择患者点击转归登记按钮，打开转归登记弹窗，填写时间、去向后保存可新增转归记录。</w:t>
      </w:r>
    </w:p>
    <w:p w14:paraId="40F6523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打开转归登记，修改时间或者去向可修改转归记录。</w:t>
      </w:r>
    </w:p>
    <w:p w14:paraId="1DB0A3E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转归去向选择转院或者住院时，录入转院的医院名称或住院的具体科室。</w:t>
      </w:r>
    </w:p>
    <w:p w14:paraId="734700A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点击转归记录可打开转归记录页面，选择去向信息点击删除按钮可删除该去向。</w:t>
      </w:r>
    </w:p>
    <w:p w14:paraId="33EB724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5.3.2.2.2.10健康宣教</w:t>
      </w:r>
    </w:p>
    <w:p w14:paraId="346680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留抢患者管理页面右侧操作中，选择患者点击健康宣教按钮，进入健康宣教页面。该页面可点击新增，打开健康宣教弹窗，点击对应模板进行保存可实现健康宣教新增。</w:t>
      </w:r>
    </w:p>
    <w:p w14:paraId="2565567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点击列表中对应健康宣教记录，点击修改按钮可对</w:t>
      </w:r>
      <w:r>
        <w:rPr>
          <w:rFonts w:hint="eastAsia" w:ascii="宋体" w:hAnsi="宋体" w:cs="宋体"/>
          <w:color w:val="auto"/>
          <w:sz w:val="22"/>
          <w:szCs w:val="22"/>
          <w:highlight w:val="none"/>
          <w:shd w:val="clear" w:color="auto" w:fill="auto"/>
          <w:lang w:eastAsia="zh-CN"/>
        </w:rPr>
        <w:t>该</w:t>
      </w:r>
      <w:r>
        <w:rPr>
          <w:rFonts w:hint="eastAsia" w:ascii="宋体" w:hAnsi="宋体" w:eastAsia="宋体" w:cs="宋体"/>
          <w:color w:val="auto"/>
          <w:sz w:val="22"/>
          <w:szCs w:val="22"/>
          <w:highlight w:val="none"/>
          <w:shd w:val="clear" w:color="auto" w:fill="auto"/>
        </w:rPr>
        <w:t>记录进行修改。</w:t>
      </w:r>
    </w:p>
    <w:p w14:paraId="298052A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点击列表中对应健康宣教记录，点击删除按钮可对</w:t>
      </w:r>
      <w:r>
        <w:rPr>
          <w:rFonts w:hint="eastAsia" w:ascii="宋体" w:hAnsi="宋体" w:cs="宋体"/>
          <w:color w:val="auto"/>
          <w:sz w:val="22"/>
          <w:szCs w:val="22"/>
          <w:highlight w:val="none"/>
          <w:shd w:val="clear" w:color="auto" w:fill="auto"/>
          <w:lang w:eastAsia="zh-CN"/>
        </w:rPr>
        <w:t>该</w:t>
      </w:r>
      <w:r>
        <w:rPr>
          <w:rFonts w:hint="eastAsia" w:ascii="宋体" w:hAnsi="宋体" w:eastAsia="宋体" w:cs="宋体"/>
          <w:color w:val="auto"/>
          <w:sz w:val="22"/>
          <w:szCs w:val="22"/>
          <w:highlight w:val="none"/>
          <w:shd w:val="clear" w:color="auto" w:fill="auto"/>
        </w:rPr>
        <w:t>记录进行删除。</w:t>
      </w:r>
    </w:p>
    <w:p w14:paraId="64C2077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5.3.2.2.2.11交接班</w:t>
      </w:r>
    </w:p>
    <w:p w14:paraId="44EFDAE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交接班管理页面进行交班记录。在该页面点击新增，打开交接班新增页面，可进行书写交接记录。在该页面点击交班按钮可自动汇总对应时间内对应去向患者记录并展示在下方交班列表中。</w:t>
      </w:r>
    </w:p>
    <w:p w14:paraId="7BBB5C8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点击患者记录列表中的交班日志，打开交班日志编辑页面，该页面可快速导入护理记录单、急诊病历、医嘱等数据。</w:t>
      </w:r>
    </w:p>
    <w:p w14:paraId="20291B8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在交接班管理页面可点击对应交班记录的修改按钮，进入交班记录修改页面，可在该页面修改交班数据。</w:t>
      </w:r>
    </w:p>
    <w:p w14:paraId="73EA46F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在交接班管理页面可点击对应交班记录的删除按钮，可实现删除该交班数据。</w:t>
      </w:r>
    </w:p>
    <w:p w14:paraId="1F7B2CA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在交接班管理页面可选择交班记录点击打印按钮，可实现该交班记录的打印。</w:t>
      </w:r>
    </w:p>
    <w:p w14:paraId="2E909A7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5.3.2.2.2.12查对病历</w:t>
      </w:r>
    </w:p>
    <w:p w14:paraId="4AE67A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留抢患者管理页面右侧操作中，选择患者点击查对病历按钮，即可实现对该患者标记查对病历标志。</w:t>
      </w:r>
    </w:p>
    <w:p w14:paraId="51551A0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5.3.2.2.2.13在床评分查询</w:t>
      </w:r>
    </w:p>
    <w:p w14:paraId="34F6C7D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于在床评分查询页面中，点击压力性损伤按钮后可展示在床患者压力性损伤危险列表信息。</w:t>
      </w:r>
    </w:p>
    <w:p w14:paraId="19A2E1F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于在床评分查询页面中，点击转运风险按钮后可展示在床患者转运风险列表信息。</w:t>
      </w:r>
    </w:p>
    <w:p w14:paraId="7930511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5.3.2.2.2.14压疮护理会诊查询</w:t>
      </w:r>
    </w:p>
    <w:p w14:paraId="0360E87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进入压疮会诊列表页面，该页面主要查询条件为会诊日期、会诊护士、会诊科室、是否签到进行查询。</w:t>
      </w:r>
    </w:p>
    <w:p w14:paraId="0EDECE9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点击新增打印压疮会诊新增页面，保存后可实现压疮会诊新增操作。填写会诊经过时可导入主诉、现病史、体格检查、检验、检查和护理记录。实现会诊记录生成压疮护理会诊统计报表。</w:t>
      </w:r>
    </w:p>
    <w:p w14:paraId="47807E7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点击压疮会诊列表中的会诊记录，点击会诊回复按钮，进入会诊记录回复页面，实现压疮会诊记录回复功能。</w:t>
      </w:r>
    </w:p>
    <w:p w14:paraId="33316B2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点击压疮会诊列表中的导出按钮，实现压疮会诊记录导出功能。</w:t>
      </w:r>
    </w:p>
    <w:p w14:paraId="5431A3F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5.3.2.2.2.15物资管理</w:t>
      </w:r>
    </w:p>
    <w:p w14:paraId="5009CD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进入物资管理页面，该页面有刷新和使用记录两个按钮，按钮下方有科室对应轮椅、被服、平车等物资的情况展示。</w:t>
      </w:r>
    </w:p>
    <w:p w14:paraId="736E875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点击对应物资下方的借出按钮打开对应物资情况修改页面，在该页面录入患者病案号查询患者信息后进行保存后，实现物资出借操作。</w:t>
      </w:r>
    </w:p>
    <w:p w14:paraId="506E6BD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点击对应物资下方的归还按钮确认后，实现物资归还操作。</w:t>
      </w:r>
    </w:p>
    <w:p w14:paraId="65FCA8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点击使用记录按钮进入物资历史记录列表页面，该列表查询主要条件为物资类型及日期。可查询对应条件物资的详情、借出时间、归还时间等信息。</w:t>
      </w:r>
    </w:p>
    <w:p w14:paraId="1BC53C7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5.3.2.2.3急诊护理系统</w:t>
      </w:r>
    </w:p>
    <w:p w14:paraId="52642E2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5.3.2.2.3.1患者首页</w:t>
      </w:r>
    </w:p>
    <w:p w14:paraId="01F47D7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在护理记录单页面中的患者首页中，可查看到该患者可自定义筛选的流转情况时间轴和生命体征趋势图。在通过点击该页面右侧栏中的按钮查看评分总览。</w:t>
      </w:r>
    </w:p>
    <w:p w14:paraId="6F8EFC1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5.3.2.2.3.2护理评估</w:t>
      </w:r>
    </w:p>
    <w:p w14:paraId="06E141F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在护理记录的入院护理评估单中点击保存，可新增/修改入院护理评估单。</w:t>
      </w:r>
    </w:p>
    <w:p w14:paraId="10E5AC5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在护理记录的入院护理评估单中点击打印，可打印入院护理评估单。</w:t>
      </w:r>
    </w:p>
    <w:p w14:paraId="2843605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在护理记录的创伤入院评估单中点击保存，可新增/修改创伤入院评估单。</w:t>
      </w:r>
    </w:p>
    <w:p w14:paraId="54B24F5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在护理记录的创伤入院评估单中点击打印，可打印创伤入院评估单。</w:t>
      </w:r>
    </w:p>
    <w:p w14:paraId="0E7A795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在护理记录的创伤记录表中点击保存，可新增/修改创伤记录表。</w:t>
      </w:r>
    </w:p>
    <w:p w14:paraId="647B28A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在护理记录的创伤记录表中点击打印，可打印创伤记录表。</w:t>
      </w:r>
    </w:p>
    <w:p w14:paraId="6F7F935F">
      <w:pPr>
        <w:pageBreakBefore w:val="0"/>
        <w:kinsoku/>
        <w:wordWrap/>
        <w:topLinePunct w:val="0"/>
        <w:bidi w:val="0"/>
        <w:snapToGrid/>
        <w:spacing w:line="360" w:lineRule="auto"/>
        <w:ind w:firstLine="442" w:firstLineChars="200"/>
        <w:rPr>
          <w:rFonts w:hint="eastAsia" w:ascii="宋体" w:hAnsi="宋体" w:eastAsia="宋体" w:cs="宋体"/>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5.3.2.2.3.3</w:t>
      </w:r>
      <w:r>
        <w:rPr>
          <w:rFonts w:hint="eastAsia" w:ascii="宋体" w:hAnsi="宋体" w:eastAsia="宋体" w:cs="宋体"/>
          <w:b/>
          <w:bCs/>
          <w:color w:val="auto"/>
          <w:sz w:val="22"/>
          <w:szCs w:val="22"/>
          <w:highlight w:val="none"/>
          <w:shd w:val="clear" w:color="auto" w:fill="auto"/>
        </w:rPr>
        <w:t>护理记录</w:t>
      </w:r>
    </w:p>
    <w:p w14:paraId="64BC8A4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病情护理记录单列表页面，点击新增按钮可打开病情护理记录单新增页面，该页面可导入二次预检体征信息、预检补录体征信息、入院护理评估单、创伤护理评估、体温单、模板、检验及检验异常项、检查、药疗医嘱、特殊符号、会诊意见、系统评估等信息，点击保存后实现新增病情护理记录单功能。</w:t>
      </w:r>
    </w:p>
    <w:p w14:paraId="21EB06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在病情护理记录单列表页面，点击对应护理记录后点击修改按钮可进入病情护理记录单修改页面，在该页面进行修改后点击保存可实现护理记录单的修改。</w:t>
      </w:r>
    </w:p>
    <w:p w14:paraId="4DA97AE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在病情护理记录单列表页面，点击对应护理记录后点击删除按钮，可实现对应护理记录单的删除。</w:t>
      </w:r>
    </w:p>
    <w:p w14:paraId="60922CD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在列表按钮中点击打印按钮，可对</w:t>
      </w:r>
      <w:r>
        <w:rPr>
          <w:rFonts w:hint="eastAsia" w:ascii="宋体" w:hAnsi="宋体" w:cs="宋体"/>
          <w:color w:val="auto"/>
          <w:sz w:val="22"/>
          <w:szCs w:val="22"/>
          <w:highlight w:val="none"/>
          <w:shd w:val="clear" w:color="auto" w:fill="auto"/>
          <w:lang w:eastAsia="zh-CN"/>
        </w:rPr>
        <w:t>该</w:t>
      </w:r>
      <w:r>
        <w:rPr>
          <w:rFonts w:hint="eastAsia" w:ascii="宋体" w:hAnsi="宋体" w:eastAsia="宋体" w:cs="宋体"/>
          <w:color w:val="auto"/>
          <w:sz w:val="22"/>
          <w:szCs w:val="22"/>
          <w:highlight w:val="none"/>
          <w:shd w:val="clear" w:color="auto" w:fill="auto"/>
        </w:rPr>
        <w:t>患者的护理记录单内容进行打印。</w:t>
      </w:r>
    </w:p>
    <w:p w14:paraId="76006DD8">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5.3.2.2.3.4</w:t>
      </w:r>
      <w:r>
        <w:rPr>
          <w:rFonts w:hint="eastAsia" w:ascii="宋体" w:hAnsi="宋体" w:eastAsia="宋体" w:cs="宋体"/>
          <w:b/>
          <w:bCs/>
          <w:color w:val="auto"/>
          <w:sz w:val="22"/>
          <w:szCs w:val="22"/>
          <w:highlight w:val="none"/>
          <w:shd w:val="clear" w:color="auto" w:fill="auto"/>
        </w:rPr>
        <w:t>出入量管理</w:t>
      </w:r>
    </w:p>
    <w:p w14:paraId="03681EC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在护理记录单的新增或修改页面中，可进行患者出量和入量的录入，可手动录入自定义的出入量类型和入量项或导入药疗医嘱以生成入量项。保存后即可完成出入量数据的录入。</w:t>
      </w:r>
    </w:p>
    <w:p w14:paraId="03EBCCA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在护理记录单列表可点击出入量统计按钮，选择时间后点击统计可计算出时间内病情护理记录单中记录的综合出入量项，点击导入体温单按钮可将数据导入体温单。</w:t>
      </w:r>
    </w:p>
    <w:p w14:paraId="4571689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5.3.2.2.3.5时间窗管理</w:t>
      </w:r>
    </w:p>
    <w:p w14:paraId="1E33BE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时间窗管理页面中显示关机时间节点的时间事件，点击新增可手动保存可自定义的对应事件的时间点。</w:t>
      </w:r>
    </w:p>
    <w:p w14:paraId="0F73986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选择对应时间事件记录可进行修改发生时间、操作人和备注信息。</w:t>
      </w:r>
    </w:p>
    <w:p w14:paraId="49F91C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点击删除按钮可删除对应时间事件记录。</w:t>
      </w:r>
    </w:p>
    <w:p w14:paraId="1B12535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5.3.2.2.3.6特殊护理记录</w:t>
      </w:r>
    </w:p>
    <w:p w14:paraId="285029D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在特殊护理记录单中，可选择对应记录单后点击新增按钮进入对应护理记录的新增页面进行保存，以实现对应护理记录的新增。</w:t>
      </w:r>
    </w:p>
    <w:p w14:paraId="2BF6CFD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如：心肺复苏记录单、洗胃护理记录单。</w:t>
      </w:r>
    </w:p>
    <w:p w14:paraId="53FC6B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在特殊护理记录单中，可选择对应记录单记录后点击修改按钮进入对应护理记录的修改页面进行保存，以实现对应护理记录的修改。</w:t>
      </w:r>
    </w:p>
    <w:p w14:paraId="744550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在特殊护理记录单中，可选择对应记录单的打印按钮以实现对应护理记录的打印。</w:t>
      </w:r>
    </w:p>
    <w:p w14:paraId="510799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在特殊护理记录单中，可选择对应记录单记录后点击删除按钮以实现对应护理记录的删除。</w:t>
      </w:r>
    </w:p>
    <w:p w14:paraId="18E5A4B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5.3.2.2.3.7体温单</w:t>
      </w:r>
    </w:p>
    <w:p w14:paraId="700B9C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在体温单中，点击新增按钮可手动进行生命体征的录入，也可获取护理记录单中生命体征。</w:t>
      </w:r>
    </w:p>
    <w:p w14:paraId="54A9F64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选择对应体温单中的记录，点击修改按钮可进入修改页面，修改后保存可实现体温单的数据修改操作。</w:t>
      </w:r>
    </w:p>
    <w:p w14:paraId="35A79F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选择对应体温单中的记录，点击删除按钮，可实现体温单的数据删除操作。</w:t>
      </w:r>
    </w:p>
    <w:p w14:paraId="228BD35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在体温单右侧列表中点击放大/缩小按钮，可修改页面预览效果。</w:t>
      </w:r>
    </w:p>
    <w:p w14:paraId="3E1849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点击打印按钮可打印出体温单。</w:t>
      </w:r>
    </w:p>
    <w:p w14:paraId="1EB5070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5.3.2.2.3.8评分管理</w:t>
      </w:r>
    </w:p>
    <w:p w14:paraId="31728FC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在评分管理中可统一对多种类型评分进行查询、新增、修改和删除操作，如：braden评分、ADL评分、约翰霍普金斯评分、儿童跌倒风险、疼痛评分、GCS评分、转运风险评估、镇静评分、MEWS评分、Morse跌倒风险。</w:t>
      </w:r>
    </w:p>
    <w:p w14:paraId="0891C0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选择要操作的对应评分后，右侧列表有新增、保存、删除按钮。点击对应按钮可实现对该评分的对应操作。</w:t>
      </w:r>
    </w:p>
    <w:p w14:paraId="7318E94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5.3.2.2.3.9导管评估</w:t>
      </w:r>
    </w:p>
    <w:p w14:paraId="551561E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进入导管评估页面，该页面提供主要条件为导管类型的查询。</w:t>
      </w:r>
    </w:p>
    <w:p w14:paraId="160A66B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点击置管按钮，进行该患者新增置管记录，打开置管页面填写详细数据后保存，以实现该患者置管数据新增的操作。</w:t>
      </w:r>
    </w:p>
    <w:p w14:paraId="30040E5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点击对应置管数据记录中的置管修改按钮，打开置管记录修改页面后点击保存，以实现该置管数据的修改操作。</w:t>
      </w:r>
    </w:p>
    <w:p w14:paraId="5047EE1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点击对应置管数据记录后点击拔管按钮，打开拔管页面填写详细数据后保存，以实现该置管数据的拔管操作。</w:t>
      </w:r>
    </w:p>
    <w:p w14:paraId="213346F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点击置管或置管修改时，勾选导入护理记录单选项并保存，可将该导管数据导入护理记录单。</w:t>
      </w:r>
    </w:p>
    <w:p w14:paraId="1B3CBE0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点击对应拔管数据记录中的拔管修改按钮，打开拔管记录修改页面后点击保存，以实现该拔管数据的修改操作。</w:t>
      </w:r>
    </w:p>
    <w:p w14:paraId="01AF356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选择列表中的导管记录，点击删除按钮，已实现该导管数据的删除功能。</w:t>
      </w:r>
    </w:p>
    <w:p w14:paraId="49235CD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5.3.2.2.3.10护理文书</w:t>
      </w:r>
    </w:p>
    <w:p w14:paraId="1B07CC9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护理文书页面，点击新增可对患者的多种护理文书进行书写，如：脑卒中溶栓流程核查表、保护性约束知情同意书、胸痛时间管理记录表、住院须知、坠床/跌倒告知、留置管胃知情同意书、胸痛留观患者提前终止观察及治疗离院知情同意书、压力性损伤高危风险知情同意书、经外周穿刺中心静脉(PICC)置管术知情同意书、入抢救室须知或其他按科室需求个性化新增文书。</w:t>
      </w:r>
    </w:p>
    <w:p w14:paraId="7D0A664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在护理文书中，可选择对应护理文书记录后点击修改按钮进入对应护理文书的修改页面进行保存，以实现对应护理文书的修改。</w:t>
      </w:r>
    </w:p>
    <w:p w14:paraId="7A33737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在护理文书中，可选择对应护理文书的打印按钮以实现对应护理文书的打印。</w:t>
      </w:r>
    </w:p>
    <w:p w14:paraId="606A7C2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在护理文书中，可选择对应护理文书记录后点击删除按钮以实现对应护理文书的删除。</w:t>
      </w:r>
    </w:p>
    <w:p w14:paraId="533D233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5.3.2.2.3.11急诊交接单</w:t>
      </w:r>
    </w:p>
    <w:p w14:paraId="3A7E0D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交接单页面，点击新增可对患者的多种交接单进行书写，如：危重患者转运交接单、手术患者交接单、一般患者转科交接单、介入患者护理交接单、内镜患者转运交接单、血透患者转运交接单、产房产妇患者转运交接单、新生儿患者转运交接单、门急诊患者转运交接单、日间手术患者转运交接单或其他按科室需求个性化新增交接单。</w:t>
      </w:r>
    </w:p>
    <w:p w14:paraId="0A96997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在交接单中，可选择对应交接单后点击修改按钮进入对应交接单的修改页面进行保存，以实现对应交接单的修改。</w:t>
      </w:r>
    </w:p>
    <w:p w14:paraId="1E051D6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在交接单中，可选择对应交接单的打印按钮以实现对应交接单的打印。</w:t>
      </w:r>
    </w:p>
    <w:p w14:paraId="2C3F7A4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在交接单中，可选择对应交接单记录后点击删除按钮以实现对应交接单的删除。</w:t>
      </w:r>
    </w:p>
    <w:p w14:paraId="37D68C6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5.3.2.2.3.12压疮护理会诊</w:t>
      </w:r>
    </w:p>
    <w:p w14:paraId="3C801D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进入压疮会诊列表页面，该页面主要查询条件为会诊日期、会诊护士、会诊科室、是否签到进行查询。</w:t>
      </w:r>
    </w:p>
    <w:p w14:paraId="59271C3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点击新增打印压疮会诊新增页面，保存后可实现压疮会诊新增操作。填写会诊经过时可导入主诉、现病史、体格检查、检验、检查和护理记录。实现会诊记录生成压疮护理会诊统计报表。</w:t>
      </w:r>
    </w:p>
    <w:p w14:paraId="44EC829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点击压疮会诊列表中的会诊记录，点击修改按钮进入压疮会诊记录页面，实现压疮会诊修改功能。</w:t>
      </w:r>
    </w:p>
    <w:p w14:paraId="7A98EDE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选择压疮会诊记录点击会诊签到按钮实现压疮会诊记录签到功能。</w:t>
      </w:r>
    </w:p>
    <w:p w14:paraId="3851221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选择压疮会诊记录点击会诊回复按钮，进入会诊记录回复页面，实现压疮会诊记录回复功能。</w:t>
      </w:r>
    </w:p>
    <w:p w14:paraId="6B0C9C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选择压疮会诊记录点击删除按钮实现压疮会诊记录删除功能。</w:t>
      </w:r>
    </w:p>
    <w:p w14:paraId="53180DD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5.3.2.2.3.13口头医嘱单</w:t>
      </w:r>
    </w:p>
    <w:p w14:paraId="3E9D2A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进入口头医嘱单页面，在该页面点击新增口头医嘱，打开新增口头医嘱页面，可手动录入文本医嘱或使用自定义模板维护的医嘱套组进行文本医嘱的新增，并将其导入护理记录单中。</w:t>
      </w:r>
    </w:p>
    <w:p w14:paraId="4544EEC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选择口头医嘱记录中的修改按钮，已实现修改口头医嘱的操作。</w:t>
      </w:r>
    </w:p>
    <w:p w14:paraId="69F6D78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5.3.2.2.4急诊、留观留抢电子病历系统</w:t>
      </w:r>
    </w:p>
    <w:p w14:paraId="145D7ED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5.3.2.2.4.1病程录列表</w:t>
      </w:r>
    </w:p>
    <w:p w14:paraId="0E8A3F0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进入病历文书页面，在页面的左侧有病程录列表，该列表会显示医生书写过的文书记录。</w:t>
      </w:r>
    </w:p>
    <w:p w14:paraId="16BF344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5.3.2.2.4.2病历模板</w:t>
      </w:r>
    </w:p>
    <w:p w14:paraId="772CCC1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病历文书页面，点击病程记录可对患者的多种病历文书模板进行书写，如：首次病历记录模板、手术病程记录模板、危急值病程记录模板、病历个人模板、病历科室模板、导入单个模块模板、一键导入模板至病历。</w:t>
      </w:r>
    </w:p>
    <w:p w14:paraId="71D9AB9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5.3.2.2.4.3患者诊断</w:t>
      </w:r>
    </w:p>
    <w:p w14:paraId="3A0E491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可点击录入按钮，可根据ICD10编码格式生成录入诊断信息。</w:t>
      </w:r>
    </w:p>
    <w:p w14:paraId="152ACD3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点击修改按钮，可修改诊断信息的名称和开立时间。</w:t>
      </w:r>
    </w:p>
    <w:p w14:paraId="5895F55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5.3.2.2.4.4导入功能</w:t>
      </w:r>
    </w:p>
    <w:p w14:paraId="20D3E7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首次病历记录按钮，进入首次病历记录页面。该页面默认已急诊病历模板结构显示。点击头部的门诊病历，打开门诊历史病历列表弹窗，可查询该患者的门诊历史病历信息。点击导入按钮，可将门诊历史病历以模板格式导入首次病历记录页面，以实现病历文书的快速书写。点击历史病历按钮，打开留抢历史病历列表弹窗，可查询该患者的留抢历史病历信息。点击导入按钮，可将留抢历史病历以模板格式导入首次病历记录页面，以实现病历文书的快速书写。</w:t>
      </w:r>
    </w:p>
    <w:p w14:paraId="76D5B03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双击点击输入框，可打开常用语模块页面，该页面可选中模板记录，点击导入，以实现部分病历内容的导入。</w:t>
      </w:r>
    </w:p>
    <w:p w14:paraId="4ABD6CF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点击导入临床数据按钮，可打开临床数据页面。该页面可选中对应的检验记录、检查记录、医嘱记录、护理记录单书写记录，点击导入，以实现临床数据内容的导入。</w:t>
      </w:r>
    </w:p>
    <w:p w14:paraId="302FE0C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5.3.2.2.4.5病案首页</w:t>
      </w:r>
    </w:p>
    <w:p w14:paraId="102CE38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点击病历文书中病案首页按钮，该页面显示默认病案首页模板页面，可提供自定义排版功能。</w:t>
      </w:r>
    </w:p>
    <w:p w14:paraId="1E8F06D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病案首页模板头部患者信息可自动导入预检患者信息数据并显示。</w:t>
      </w:r>
    </w:p>
    <w:p w14:paraId="3403F49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点击手术操作记录下方录入按钮，可打开手术操作录入弹窗，保存后可实现手术操作记录的录入。</w:t>
      </w:r>
    </w:p>
    <w:p w14:paraId="60CEC36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点击对应记录操作中的修改按钮，可实现对应手术操作记录的修改。</w:t>
      </w:r>
    </w:p>
    <w:p w14:paraId="664C172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点击对应记录操作中的删除按钮，可实现对应手术操作记录的删除。</w:t>
      </w:r>
    </w:p>
    <w:p w14:paraId="17DE587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可在病种选框中进行该患者所对应的病种选项的勾选。</w:t>
      </w:r>
    </w:p>
    <w:p w14:paraId="4CBBC36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可在操作步骤选框中进行该患者所对应的操作步骤选项的勾选。</w:t>
      </w:r>
    </w:p>
    <w:p w14:paraId="2D76BE3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可在患者诊疗信息选框中进行该患者所对应的患者诊疗信息选项的勾选。</w:t>
      </w:r>
    </w:p>
    <w:p w14:paraId="4FA33D3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点击打印按钮可实现病案首页模板页面的打印操作。</w:t>
      </w:r>
    </w:p>
    <w:p w14:paraId="6AB7FA4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5.3.2.2.4.6首次病历记录</w:t>
      </w:r>
    </w:p>
    <w:p w14:paraId="64A230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点击病历文书中的首次病历按钮，可展示急诊首次病历模板页面，该页面生命体征部分可自动导入患者预检体征数据并在页面做展示。在该页面点击保存按钮可实现手册病历的新增和修改。</w:t>
      </w:r>
    </w:p>
    <w:p w14:paraId="6610EDA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点击删除按钮可实现该份病历文书的删除操作。</w:t>
      </w:r>
    </w:p>
    <w:p w14:paraId="111C638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点击打印按钮可实现首次病历记录模板页面的打印操作。</w:t>
      </w:r>
    </w:p>
    <w:p w14:paraId="7AC3094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5.3.2.2.4.7病程记录</w:t>
      </w:r>
    </w:p>
    <w:p w14:paraId="11D72A2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的病程记录按钮后，再点击对应病程记录列表中的点击新增可对患者的多种病程记录文书进行书写，如：日常病程记录、手术操作病程、危急值病程、输血(血制品)记录、主治医师查房记录、主任医师查房记录、主任医师查房记录、抢救记录、可编辑记录、家属谈话记录、疑难、危重病历讨论、有创操作记录、术后首次病程记录、交接班记录。</w:t>
      </w:r>
    </w:p>
    <w:p w14:paraId="69850D4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在对应病程记录列表中，可选择对应病程记录后点击修改按钮进入对应病程记录的修改页面进行保存，以实现对应病程记录的修改。</w:t>
      </w:r>
    </w:p>
    <w:p w14:paraId="02861FF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在对应病程记录列表中，可选择对应病程记录的打印按钮或续打按钮以实现对应病程记录的打印或续打操作。</w:t>
      </w:r>
    </w:p>
    <w:p w14:paraId="5285C40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在对应病程记录列表中，可选择对应病程记录后点击删除按钮以实现对应病程记录的删除。</w:t>
      </w:r>
    </w:p>
    <w:p w14:paraId="724EF2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点击对应病程记录列表中的痕迹比对按钮，可展示该文书模板的历史修改记录。</w:t>
      </w:r>
    </w:p>
    <w:p w14:paraId="193D0CB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5.3.2.2.4.8死亡记录</w:t>
      </w:r>
    </w:p>
    <w:p w14:paraId="4653A29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点击病历文书中死亡记录按钮，该页面查询并显示死亡记录模板数据。</w:t>
      </w:r>
    </w:p>
    <w:p w14:paraId="79477D5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点击保存按钮可实现该患者死亡记录文书的新增或修改操作。</w:t>
      </w:r>
    </w:p>
    <w:p w14:paraId="1C75653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点击删除按钮可实现该患者死亡记录文书的删除操作。</w:t>
      </w:r>
    </w:p>
    <w:p w14:paraId="67B89DA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点击打印按钮可实现该患者死亡记录文书的打印操作。</w:t>
      </w:r>
    </w:p>
    <w:p w14:paraId="007A2BA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点击上传按钮可实现文书数据上传公卫防保科操作。</w:t>
      </w:r>
    </w:p>
    <w:p w14:paraId="052FCA9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点击撤销上传按钮可实现文书数据撤销上传公卫防保科操作。</w:t>
      </w:r>
    </w:p>
    <w:p w14:paraId="11A4D72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5.3.2.2.4.9死亡病例讨论</w:t>
      </w:r>
    </w:p>
    <w:p w14:paraId="4E05F6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点击病历文书中死亡病例讨论记录按钮，该页面查询并显示死亡病例讨论记录数据。</w:t>
      </w:r>
    </w:p>
    <w:p w14:paraId="094B7A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点击保存按钮可实现该死亡病例讨论记录的新增或修改操作。</w:t>
      </w:r>
    </w:p>
    <w:p w14:paraId="5F6FF98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点击删除按钮可实现该死亡病例讨论记录的删除操作。</w:t>
      </w:r>
    </w:p>
    <w:p w14:paraId="07BBA5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点击打印按钮可实现该死亡病例讨论记录的打印操作。</w:t>
      </w:r>
    </w:p>
    <w:p w14:paraId="1EA3820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5.3.2.2.4.10疑难病例讨论记录</w:t>
      </w:r>
    </w:p>
    <w:p w14:paraId="5E4C621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点击病历文书中疑难病例讨论记录按钮，该页面查询并显示疑难病例讨论记录数据。</w:t>
      </w:r>
    </w:p>
    <w:p w14:paraId="003CFC1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点击保存按钮可实现该疑难病例讨论记录的新增或修改操作。</w:t>
      </w:r>
    </w:p>
    <w:p w14:paraId="3BA219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点击删除按钮可实现该疑难病例讨论记录的删除操作。</w:t>
      </w:r>
    </w:p>
    <w:p w14:paraId="112D180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点击打印按钮可实现该疑难病例讨论记录的打印操作。</w:t>
      </w:r>
    </w:p>
    <w:p w14:paraId="68CCAB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双击点击模板的输入框，可打开常用语弹窗，可配置对应输入框的常用语内容项。</w:t>
      </w:r>
    </w:p>
    <w:p w14:paraId="132E229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5.3.2.2.4.11抢救室小结</w:t>
      </w:r>
    </w:p>
    <w:p w14:paraId="4A20E3B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点击病历文书中抢救室小结按钮，该页面查询并显示抢救室小结数据。</w:t>
      </w:r>
    </w:p>
    <w:p w14:paraId="2FD7EB8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点击保存按钮可实现该抢救室小结的新增或修改操作。</w:t>
      </w:r>
    </w:p>
    <w:p w14:paraId="5E252B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点击删除按钮可实现该抢救室小结的删除操作。</w:t>
      </w:r>
    </w:p>
    <w:p w14:paraId="414EE81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点击打印按钮可实现该抢救室小结的打印操作。</w:t>
      </w:r>
    </w:p>
    <w:p w14:paraId="7E59C80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5.3.2.2.4.12知情同意书</w:t>
      </w:r>
    </w:p>
    <w:p w14:paraId="35B489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知情同意按钮。进入知情同意书列表页面，点击新增可对患者的多种知情同意书进行书写，如：病情告知书、病危病重告知书、床位卡信息标识、授权书、输血液制品同意书、气管插管和机械通气知情同意书、胸腔穿刺置管（闭环引流）术知情同意书、磁共振对比剂使用知情同意书、碘对比剂使用知情同意书、钆对比剂使用知情同意书、疾病诊断证明书、拒绝或放弃医学治疗告知书、超声造影检查知情同意书、危重病人转运知情同意书、急诊冠脉造影知情同意书、常规支气管镜检查知情同意书、胃镜诊疗知情同意书、患者非医嘱离院知情告知书、肠镜诊疗知情同意书、洗胃操作知情同意书、有创操作知情同意书、犬伤门诊知情同意书、深静脉置管术知情同意书、PICC置管术知情同意书、胸痛中心STEMI溶栓知情同意书、大剂量或疗程大于5天激素治疗知情同意书、腰椎穿刺知情同意书、腹腔穿刺术知情同意书、心包穿刺知情同意书、超声引导下穿刺置管引流知情同意书、脑血管介入知情同意书、镇痛镇静谈话记录、神经内科溶栓知情同意书、重大疑难手术审批报告或其他按科室需求个性化新增文书。</w:t>
      </w:r>
    </w:p>
    <w:p w14:paraId="2B1907F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在知情同意书列表中，可选择对应知情同意记录后点击修改按钮进入对应知情同意的修改页面进行保存，以实现对应知情同意的修改。</w:t>
      </w:r>
    </w:p>
    <w:p w14:paraId="620501F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在知情同意列表中，可选择对应知情同意的打印按钮以实现对应知情同意的打印。</w:t>
      </w:r>
    </w:p>
    <w:p w14:paraId="758DD3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在知情同意列表中，可选择对应知情同意记录后点击删除按钮以实现对应知情同意的删除。</w:t>
      </w:r>
    </w:p>
    <w:p w14:paraId="3330057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5.3.2.2.4.13医嘱信息</w:t>
      </w:r>
    </w:p>
    <w:p w14:paraId="5EA43C4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点击留抢病历中医嘱信息按钮，跳转医嘱信息列表页面。该页面查询患者所有医嘱信息并做展示。</w:t>
      </w:r>
    </w:p>
    <w:p w14:paraId="0009D47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点击下方新增文本医嘱按钮，可手动录入或根据配置的自定义组套选项点击保存进行新增文本医嘱的操作。</w:t>
      </w:r>
    </w:p>
    <w:p w14:paraId="1807C48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选择对应医嘱信息列表数据，点击删除文本医嘱按钮，实现文本医嘱删除功能。</w:t>
      </w:r>
    </w:p>
    <w:p w14:paraId="28434AE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选择对应医嘱信息列表数据，点击修改医嘱开立时间按钮，实现修改医嘱开立时间功能。</w:t>
      </w:r>
    </w:p>
    <w:p w14:paraId="2CFEDE9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点击打印按钮，可实现医嘱单的打印操作。</w:t>
      </w:r>
    </w:p>
    <w:p w14:paraId="2763C1D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5.3.2.2.4.14会诊管理</w:t>
      </w:r>
    </w:p>
    <w:p w14:paraId="419FCB9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点击会诊记录按钮，显示会诊记录数据列表。并且与住院系统对接，可在列表对住院病人的会诊记录操作。</w:t>
      </w:r>
    </w:p>
    <w:p w14:paraId="3B70138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点击会诊记录列表中新增按钮进入会诊记录新增页面，点击保存按钮可实现该出观记录的新增操作。</w:t>
      </w:r>
    </w:p>
    <w:p w14:paraId="096A91C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选择对应会诊记录数据，点击修改按钮进入会诊记录修改页面，点击保存按钮可实现该出观记录的修改操作。</w:t>
      </w:r>
    </w:p>
    <w:p w14:paraId="3FE2766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选择对应会诊记录数据，点击删除按钮可实现该会诊记录的删除操作。</w:t>
      </w:r>
    </w:p>
    <w:p w14:paraId="10258BF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选择对应会诊记录数据，点击会诊签到按钮可实现该会诊记录的签到操作。</w:t>
      </w:r>
    </w:p>
    <w:p w14:paraId="4549D3F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选择对应会诊记录数据，点击会诊回复按钮进入会诊记录回复页面，该页面可进行病历等内容的导入，点击保存按钮可实现该会诊记录的回复操作。</w:t>
      </w:r>
    </w:p>
    <w:p w14:paraId="119FAF5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点击打印按钮，可打印所选会诊记录数据。</w:t>
      </w:r>
    </w:p>
    <w:p w14:paraId="0012755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5.3.2.2.4.15评分表</w:t>
      </w:r>
    </w:p>
    <w:p w14:paraId="414026C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点击留抢病历中评分表按钮。进入评分表页面，点击新增可对患者的多种评分表进行书写，如：内科患者出血评估表、内科病人VTE风险评估、静脉血栓风险因素评估等。</w:t>
      </w:r>
    </w:p>
    <w:p w14:paraId="10C6119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可选择对应评分表后点击保存按钮实现对应评分表的修改。</w:t>
      </w:r>
    </w:p>
    <w:p w14:paraId="121F07F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可选择对应评分表的打印按钮以实现对应评分表的打印。</w:t>
      </w:r>
    </w:p>
    <w:p w14:paraId="79E99C5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5.3.2.2.4.16护理文书调用</w:t>
      </w:r>
    </w:p>
    <w:p w14:paraId="525200D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点击留抢病历中的胸痛中心专用护理表单，进入胸痛中心专用护理表单展示页面，可查询由护士书写的胸痛中心专用护理表单。</w:t>
      </w:r>
    </w:p>
    <w:p w14:paraId="74599F5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点击留抢病历中的卒中中心专用护理表单，进入卒中中心专用护理表单展示页面，可查询由护士书写的卒中中心专用护理表单。</w:t>
      </w:r>
    </w:p>
    <w:p w14:paraId="468444C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点击留抢病历中的创伤中心专用护理表单，进入创伤中心专用护理表单展示页面，可查询由护士书写的创伤中心专用护理表单。</w:t>
      </w:r>
    </w:p>
    <w:p w14:paraId="08E0252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点击留抢病历中的危重孕产妇专用护理表单，进入危重孕产妇专用护理表单展示页面，可查询由护士书写的危重孕产妇专用护理表单。</w:t>
      </w:r>
    </w:p>
    <w:p w14:paraId="7C714CF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点击留抢病历中的危重新生儿专用护理表单，进入危重新生儿专用护理表单展示页面，可查询由护士书写的危重新生儿专用护理表单。</w:t>
      </w:r>
    </w:p>
    <w:p w14:paraId="21AB305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点击留抢病历中的心肺复苏护理表单，进入心肺复苏护理表单展示页面，可查询由护士书写的心肺复苏护理表单。</w:t>
      </w:r>
    </w:p>
    <w:p w14:paraId="704CC1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p>
    <w:p w14:paraId="6663597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5.3.2.2.4.17检验检查信息</w:t>
      </w:r>
    </w:p>
    <w:p w14:paraId="246706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与HIS系统对接，点击检验信息按钮后进入检验信息列表页面，可展示患者检验信息。</w:t>
      </w:r>
    </w:p>
    <w:p w14:paraId="0C8486D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与HIS系统对接，点击检查信息按钮后进入检验信息列表页面，可展示患者检验信息。</w:t>
      </w:r>
    </w:p>
    <w:p w14:paraId="56C37FB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5.3.2.2.4.18病历核查</w:t>
      </w:r>
    </w:p>
    <w:p w14:paraId="18A6EDC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在留抢病历列表页面选择对应患者数据后，点击留抢病历页面右侧列表中病历核查按钮，进入病历核查页面。可实现对该患者各项病历文书书写情况的查阅。</w:t>
      </w:r>
    </w:p>
    <w:p w14:paraId="76FDE85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5.3.2.2.4.19知识库</w:t>
      </w:r>
    </w:p>
    <w:p w14:paraId="6F23CEF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点击病历文书右侧边栏中的常用语，可打开常用语维护页面，在该页面可对常用语进行新增、修改、删除操作。</w:t>
      </w:r>
    </w:p>
    <w:p w14:paraId="2C60257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点击病历文书右侧边栏中的模板维护，可打开模板维护页面，在该页面可对</w:t>
      </w:r>
      <w:r>
        <w:rPr>
          <w:rFonts w:hint="eastAsia" w:ascii="宋体" w:hAnsi="宋体" w:cs="宋体"/>
          <w:color w:val="auto"/>
          <w:sz w:val="22"/>
          <w:szCs w:val="22"/>
          <w:highlight w:val="none"/>
          <w:shd w:val="clear" w:color="auto" w:fill="auto"/>
          <w:lang w:eastAsia="zh-CN"/>
        </w:rPr>
        <w:t>病历</w:t>
      </w:r>
      <w:r>
        <w:rPr>
          <w:rFonts w:hint="eastAsia" w:ascii="宋体" w:hAnsi="宋体" w:eastAsia="宋体" w:cs="宋体"/>
          <w:color w:val="auto"/>
          <w:sz w:val="22"/>
          <w:szCs w:val="22"/>
          <w:highlight w:val="none"/>
          <w:shd w:val="clear" w:color="auto" w:fill="auto"/>
        </w:rPr>
        <w:t>模板进行新增、修改、删除操作。</w:t>
      </w:r>
    </w:p>
    <w:p w14:paraId="6335C40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点击病历文书右侧边栏中的时间轴，可打开患者时间轴页面，该页面显示患者各个时间节点流程图。</w:t>
      </w:r>
    </w:p>
    <w:p w14:paraId="4FB82DA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5.3.2.2.4.20出观记录</w:t>
      </w:r>
    </w:p>
    <w:p w14:paraId="2AEF35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点击病历文书中出观记录按钮，该页面查询并显示出观记录数据并展示病人去向。</w:t>
      </w:r>
    </w:p>
    <w:p w14:paraId="7DEF41D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点击保存按钮可实现该出观记录的新增或修改操作。</w:t>
      </w:r>
    </w:p>
    <w:p w14:paraId="7671EAC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点击删除按钮可实现该出观记录的删除操作。</w:t>
      </w:r>
    </w:p>
    <w:p w14:paraId="411FA3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点击打印按钮可实现该出观记录的打印操作。</w:t>
      </w:r>
    </w:p>
    <w:p w14:paraId="6B48C87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5.3.2.2.4.21离抢记录</w:t>
      </w:r>
    </w:p>
    <w:p w14:paraId="0CB2CE3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点击病历文书中离抢记录按钮，该页面查询并显示离抢记录数据。</w:t>
      </w:r>
    </w:p>
    <w:p w14:paraId="4927EB3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点击保存按钮可实现离抢记录的新增或修改操作。</w:t>
      </w:r>
    </w:p>
    <w:p w14:paraId="31B41D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点击删除按钮可实现离抢记录的删除操作。</w:t>
      </w:r>
    </w:p>
    <w:p w14:paraId="4B933F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点击打印按钮可实现离抢记录的打印操作。</w:t>
      </w:r>
    </w:p>
    <w:p w14:paraId="2F052E8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5.3.2.2.4.22输血记录</w:t>
      </w:r>
    </w:p>
    <w:p w14:paraId="06D45C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点击病历文书中输血记录按钮，该页面查询并显示输血记录数据。</w:t>
      </w:r>
    </w:p>
    <w:p w14:paraId="464737E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点击保存按钮可实现该输血记录的新增或修改操作。</w:t>
      </w:r>
    </w:p>
    <w:p w14:paraId="039C04F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点击删除按钮可实现该输血记录的删除操作。</w:t>
      </w:r>
    </w:p>
    <w:p w14:paraId="303B648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点击打印按钮可实现该输血记录的打印操作。</w:t>
      </w:r>
    </w:p>
    <w:p w14:paraId="52CDA59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5.3.2.2.4.23手术记录</w:t>
      </w:r>
    </w:p>
    <w:p w14:paraId="6101264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点击病历文书中手术记录按钮，该页面查询并显示手术记录数据。</w:t>
      </w:r>
    </w:p>
    <w:p w14:paraId="69AC326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点击保存按钮可实现手术记录的新增或修改操作。</w:t>
      </w:r>
    </w:p>
    <w:p w14:paraId="27C0018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点击删除按钮可实现手术记录的删除操作。</w:t>
      </w:r>
    </w:p>
    <w:p w14:paraId="53D03D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点击打印按钮可实现手术记录的打印操作。</w:t>
      </w:r>
    </w:p>
    <w:p w14:paraId="727F630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5.3.2.2.4.24出观/抢评估</w:t>
      </w:r>
    </w:p>
    <w:p w14:paraId="2684570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点击病历文书中出观/抢评估按钮，该页面查询并显示出观/抢评估数据。</w:t>
      </w:r>
    </w:p>
    <w:p w14:paraId="5D92609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点击保存按钮可实现出观/抢评估的新增或修改操作。</w:t>
      </w:r>
    </w:p>
    <w:p w14:paraId="0B75FDB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点击删除按钮可实现出观/抢评估的删除操作。</w:t>
      </w:r>
    </w:p>
    <w:p w14:paraId="042DA6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点击打印按钮可实现出观/抢评估的打印操作。</w:t>
      </w:r>
    </w:p>
    <w:p w14:paraId="116B414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点击痕迹比对按钮，可展示出观/抢评估的历史修改记录。</w:t>
      </w:r>
    </w:p>
    <w:p w14:paraId="6390BCC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5.3.2.2.5移动护理（急诊科）</w:t>
      </w:r>
    </w:p>
    <w:p w14:paraId="186A031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5.3.2.2.5.1医嘱核对</w:t>
      </w:r>
    </w:p>
    <w:p w14:paraId="5BE6F3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点击留抢患者管理右侧输液管理按钮，进入输液模块；点击医嘱核对，根据时间范围查询患者医嘱信息，展示患者核对医嘱列表；</w:t>
      </w:r>
    </w:p>
    <w:p w14:paraId="221556B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点击已核对按钮，查询已核对医嘱信息，选中医嘱信息，点击核对时间可修改医嘱核对时间。</w:t>
      </w:r>
    </w:p>
    <w:p w14:paraId="70BD9B2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5.3.2.2.5.2撤销核对</w:t>
      </w:r>
    </w:p>
    <w:p w14:paraId="7675809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点击已核对按钮，进入核对医嘱列表，选择已核对医嘱信息，点击撤销核对按钮，即可撤销医嘱核对</w:t>
      </w:r>
      <w:r>
        <w:rPr>
          <w:rFonts w:hint="eastAsia" w:ascii="宋体" w:hAnsi="宋体" w:cs="宋体"/>
          <w:color w:val="auto"/>
          <w:sz w:val="22"/>
          <w:szCs w:val="22"/>
          <w:highlight w:val="none"/>
          <w:shd w:val="clear" w:color="auto" w:fill="auto"/>
          <w:lang w:eastAsia="zh-CN"/>
        </w:rPr>
        <w:t>。</w:t>
      </w:r>
    </w:p>
    <w:p w14:paraId="14C77D6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5.3.2.2.5.3医嘱拆分</w:t>
      </w:r>
    </w:p>
    <w:p w14:paraId="34BAD4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执行单打模块，点击医嘱拆分，根据频次和用药天数对下达药疗医嘱做拆分</w:t>
      </w:r>
    </w:p>
    <w:p w14:paraId="35E0551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5.3.2.2.5.4执行单打印</w:t>
      </w:r>
    </w:p>
    <w:p w14:paraId="0D27FD9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医嘱拆分后自动生产对应输液执行单和票贴，选中执行单后点击鼠标右键可选择是全部打印还是单个打印执行单。</w:t>
      </w:r>
    </w:p>
    <w:p w14:paraId="1CD58D0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5.3.2.2.5.5医嘱执行记录</w:t>
      </w:r>
    </w:p>
    <w:p w14:paraId="1D68706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医嘱执行确认，可根据所选日期和状态查询当前条件下的所有医嘱信息执行单列表，支持录入、修改和删除执行记录，对护士组长和护士长开放配药时间、执行时间、结束时间等关键时间节点的修改功的权限。</w:t>
      </w:r>
    </w:p>
    <w:p w14:paraId="4E1DE02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5.3.2.2.5.6医嘱单</w:t>
      </w:r>
    </w:p>
    <w:p w14:paraId="2A6C5A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点击医嘱单，根据时间范围和状态查询医嘱信息和医嘱单的打印，已执行的医嘱信息的执行人、执行时间自动关联显示，并且支持在PDA端录入口头医嘱</w:t>
      </w:r>
      <w:r>
        <w:rPr>
          <w:rFonts w:hint="eastAsia" w:ascii="宋体" w:hAnsi="宋体" w:cs="宋体"/>
          <w:color w:val="auto"/>
          <w:sz w:val="22"/>
          <w:szCs w:val="22"/>
          <w:highlight w:val="none"/>
          <w:shd w:val="clear" w:color="auto" w:fill="auto"/>
          <w:lang w:eastAsia="zh-CN"/>
        </w:rPr>
        <w:t>。</w:t>
      </w:r>
    </w:p>
    <w:p w14:paraId="474FBFF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5.3.2.2.5.7巡视单查看</w:t>
      </w:r>
    </w:p>
    <w:p w14:paraId="7DD4BEA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点击巡视单，可根据时间范围和状态查询已执行医嘱的巡视信息并且支持打印</w:t>
      </w:r>
      <w:r>
        <w:rPr>
          <w:rFonts w:hint="eastAsia" w:ascii="宋体" w:hAnsi="宋体" w:cs="宋体"/>
          <w:color w:val="auto"/>
          <w:sz w:val="22"/>
          <w:szCs w:val="22"/>
          <w:highlight w:val="none"/>
          <w:shd w:val="clear" w:color="auto" w:fill="auto"/>
          <w:lang w:eastAsia="zh-CN"/>
        </w:rPr>
        <w:t>。</w:t>
      </w:r>
    </w:p>
    <w:p w14:paraId="5BDE53E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5.3.2.2.5.8患者列表(PDA)</w:t>
      </w:r>
    </w:p>
    <w:p w14:paraId="6D5ED24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输入用户名和密码登录PDA，点击患者列表，选择留抢状态可查看留抢患者列表；选择留观状态可查看留观患者列表；选择离抢状态可查看离抢患者列表；选择离观状态即可查看离观患者列表；</w:t>
      </w:r>
    </w:p>
    <w:p w14:paraId="6B61E41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5.3.2.2.5.9患者信息（PDA）</w:t>
      </w:r>
    </w:p>
    <w:p w14:paraId="108C1E7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进入患者列表，点击对应患者进入患者详情列表，查看患者基本信息；也支持扫描患者腕带查询定位该患者，并进入患者详情页面查看患者信息。</w:t>
      </w:r>
    </w:p>
    <w:p w14:paraId="3B6D2A4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5.3.2.2.5.10配药（PDA）</w:t>
      </w:r>
    </w:p>
    <w:p w14:paraId="347156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PDA主页面选择配药模块，进入配药页面查看当前需配药的药品信息，支持人工手动点击配药，也支持扫描患者执行单进行对应药品的配药；执行药品配药时高危药品需双护士核对配药。</w:t>
      </w:r>
    </w:p>
    <w:p w14:paraId="3C32F93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5.3.2.2.5.11输液（PDA）</w:t>
      </w:r>
    </w:p>
    <w:p w14:paraId="1279EC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输液模块，进入输液页面查看当前输液执行情况；扫描腕带和执行单进行核对确认药品执行；高危药品核对执行时需双护士核对执行药品；输液结束时，扫描执行单确认结束，同时系统提示是否存在未结束的药品，可自动结束上一笔输液中的药品，也可以不结束上一袋输液药品，进行两路输液。</w:t>
      </w:r>
    </w:p>
    <w:p w14:paraId="3C80809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5.3.2.2.5.12巡视（PDA）</w:t>
      </w:r>
    </w:p>
    <w:p w14:paraId="2BAC620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PDA主页面选择巡视模块，进入巡视页面，扫描输液执行单，进入当前输液药品的巡视页面，记录输液状态、余液量、滴速等信息。</w:t>
      </w:r>
    </w:p>
    <w:p w14:paraId="7705C5E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5.3.2.2.5.13快速巡视(PDA)</w:t>
      </w:r>
    </w:p>
    <w:p w14:paraId="6226850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PDA主页面选择快速巡视模块，进入快速巡视页面，扫描输液执行单，PDA弹出已巡视字样，无需记录输液状态、余液量、滴速等信息。</w:t>
      </w:r>
    </w:p>
    <w:p w14:paraId="185103E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5.3.2.2.5.14医嘱查询（PDA）</w:t>
      </w:r>
    </w:p>
    <w:p w14:paraId="550E87E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PDA主页面选择医嘱查询模块，进入医嘱查询页面，用于查询当前患者的所有医嘱信息（其中关于危重药物会标红）</w:t>
      </w:r>
      <w:r>
        <w:rPr>
          <w:rFonts w:hint="eastAsia" w:ascii="宋体" w:hAnsi="宋体" w:cs="宋体"/>
          <w:color w:val="auto"/>
          <w:sz w:val="22"/>
          <w:szCs w:val="22"/>
          <w:highlight w:val="none"/>
          <w:shd w:val="clear" w:color="auto" w:fill="auto"/>
          <w:lang w:eastAsia="zh-CN"/>
        </w:rPr>
        <w:t>。</w:t>
      </w:r>
    </w:p>
    <w:p w14:paraId="1301C47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5.3.2.2.5.15输血、口服药、检验全流程（PDA）</w:t>
      </w:r>
    </w:p>
    <w:p w14:paraId="75D88B3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与输液系统进行视图或接口对接，展示输血信息；</w:t>
      </w:r>
    </w:p>
    <w:p w14:paraId="71AAB75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与his进行视图或接口对接，展示口服液信息；</w:t>
      </w:r>
    </w:p>
    <w:p w14:paraId="1D1F22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与检验系统进行视图或接口对接，展示检验信息；</w:t>
      </w:r>
    </w:p>
    <w:p w14:paraId="790A6D6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5.3.2.2.5.16护理文书</w:t>
      </w:r>
    </w:p>
    <w:p w14:paraId="33BF5C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护理文书模块，进入护理文书页面，在护理文书模块中可统一对多种类型文书进行新增操作，比如：入院护理评估单、创伤护理评估单、病情护理记录单或其他按科室需求个性化新增文书，点击新增按钮可实现对该文书的新增操作。</w:t>
      </w:r>
    </w:p>
    <w:p w14:paraId="7C2EDBC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在护理文书中，可选择对应护理文书记录后点击修改按钮进入对应护理文书的修改页面进行保存，以实现对应护理文书的修改。</w:t>
      </w:r>
    </w:p>
    <w:p w14:paraId="6811321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在护理文书中，可选择对应护理文书的打印按钮以实现对应护理文书的打印。</w:t>
      </w:r>
    </w:p>
    <w:p w14:paraId="6A13681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在护理文书中，可选择对应护理文书记录后点击删除按钮以实现对应护理文书的删除。</w:t>
      </w:r>
    </w:p>
    <w:p w14:paraId="55275ED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5.3.2.2.5.17各项评分</w:t>
      </w:r>
    </w:p>
    <w:p w14:paraId="5B59746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评分管理模块，进入评分管理页面，在评分管理模块中可统一对多种类型评分进行新增操作，比如：跌倒评分、BRADEN评分、ADL评分、NRS评分、成人/儿童坠床评分或其他按科室需求个性化评分，点击新增按钮可实现对该评分的新增操作。</w:t>
      </w:r>
    </w:p>
    <w:p w14:paraId="4306F95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在评分管理中，可选择对应评分记录后点击修改按钮进入对应评分的修改页面进行保存，以实现对应评分的修改。</w:t>
      </w:r>
    </w:p>
    <w:p w14:paraId="5DA69D2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在评分管理中，可选择对应评分的打印按钮以实现对应评分的打印。</w:t>
      </w:r>
    </w:p>
    <w:p w14:paraId="1DC5535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在评分管理中，可选择对应评分记录后点击删除按钮以实现对应评分的删除。</w:t>
      </w:r>
    </w:p>
    <w:p w14:paraId="7F76A758">
      <w:pPr>
        <w:pageBreakBefore w:val="0"/>
        <w:kinsoku/>
        <w:wordWrap/>
        <w:topLinePunct w:val="0"/>
        <w:bidi w:val="0"/>
        <w:snapToGrid/>
        <w:spacing w:line="360" w:lineRule="auto"/>
        <w:ind w:firstLine="442" w:firstLineChars="200"/>
        <w:rPr>
          <w:rFonts w:hint="eastAsia" w:ascii="宋体" w:hAnsi="宋体" w:eastAsia="宋体" w:cs="宋体"/>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5.3.2.2.5.18</w:t>
      </w:r>
      <w:r>
        <w:rPr>
          <w:rFonts w:hint="eastAsia" w:ascii="宋体" w:hAnsi="宋体" w:eastAsia="宋体" w:cs="宋体"/>
          <w:b/>
          <w:bCs/>
          <w:color w:val="auto"/>
          <w:sz w:val="22"/>
          <w:szCs w:val="22"/>
          <w:highlight w:val="none"/>
          <w:shd w:val="clear" w:color="auto" w:fill="auto"/>
        </w:rPr>
        <w:t>体征录入</w:t>
      </w:r>
    </w:p>
    <w:p w14:paraId="203CFB8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PDA主页面选择体征录入模块，进入体征录入页面，选择对应患者进行患者生命体征录入，提供体征、出入量、健康、其他模块的记录数据与急诊护理系统体温单数据互通。</w:t>
      </w:r>
    </w:p>
    <w:p w14:paraId="4E374A77">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5.3.2.2.5.19</w:t>
      </w:r>
      <w:r>
        <w:rPr>
          <w:rFonts w:hint="eastAsia" w:ascii="宋体" w:hAnsi="宋体" w:eastAsia="宋体" w:cs="宋体"/>
          <w:b/>
          <w:bCs/>
          <w:color w:val="auto"/>
          <w:sz w:val="22"/>
          <w:szCs w:val="22"/>
          <w:highlight w:val="none"/>
          <w:shd w:val="clear" w:color="auto" w:fill="auto"/>
        </w:rPr>
        <w:t>转归</w:t>
      </w:r>
    </w:p>
    <w:p w14:paraId="78C670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PDA主页面选择转归模块，进入转归页面，选择对应患者进行患者转归操作，数据与急诊系统转归数据互通。</w:t>
      </w:r>
    </w:p>
    <w:p w14:paraId="6BE2DC4A">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5.3.2.2.5.20</w:t>
      </w:r>
      <w:r>
        <w:rPr>
          <w:rFonts w:hint="eastAsia" w:ascii="宋体" w:hAnsi="宋体" w:eastAsia="宋体" w:cs="宋体"/>
          <w:b/>
          <w:bCs/>
          <w:color w:val="auto"/>
          <w:sz w:val="22"/>
          <w:szCs w:val="22"/>
          <w:highlight w:val="none"/>
          <w:shd w:val="clear" w:color="auto" w:fill="auto"/>
        </w:rPr>
        <w:t>口头医嘱录入</w:t>
      </w:r>
    </w:p>
    <w:p w14:paraId="4AF76A6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PDA主页面选择医嘱模块，进入医嘱页面，点击新增文本医嘱，录入口头医嘱单文本也支持医嘱套餐勾选快捷录入</w:t>
      </w:r>
      <w:r>
        <w:rPr>
          <w:rFonts w:hint="eastAsia" w:ascii="宋体" w:hAnsi="宋体" w:cs="宋体"/>
          <w:color w:val="auto"/>
          <w:sz w:val="22"/>
          <w:szCs w:val="22"/>
          <w:highlight w:val="none"/>
          <w:shd w:val="clear" w:color="auto" w:fill="auto"/>
          <w:lang w:eastAsia="zh-CN"/>
        </w:rPr>
        <w:t>。</w:t>
      </w:r>
    </w:p>
    <w:p w14:paraId="268DCC42">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5.3.2.2.5.21</w:t>
      </w:r>
      <w:r>
        <w:rPr>
          <w:rFonts w:hint="eastAsia" w:ascii="宋体" w:hAnsi="宋体" w:eastAsia="宋体" w:cs="宋体"/>
          <w:b/>
          <w:bCs/>
          <w:color w:val="auto"/>
          <w:sz w:val="22"/>
          <w:szCs w:val="22"/>
          <w:highlight w:val="none"/>
          <w:shd w:val="clear" w:color="auto" w:fill="auto"/>
        </w:rPr>
        <w:t>时间窗扫描</w:t>
      </w:r>
    </w:p>
    <w:p w14:paraId="41898FA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点击时间窗管理，支持点选自定义的时间窗时间节点，并扫描患者腕带记录时间点，支持PC端患者时间轴上展示PDA点选节点。</w:t>
      </w:r>
    </w:p>
    <w:p w14:paraId="07392AC6">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shd w:val="clear" w:color="auto" w:fill="auto"/>
        </w:rPr>
      </w:pPr>
      <w:r>
        <w:rPr>
          <w:rFonts w:hint="eastAsia" w:ascii="宋体" w:hAnsi="宋体" w:cs="宋体"/>
          <w:b/>
          <w:bCs/>
          <w:color w:val="auto"/>
          <w:sz w:val="22"/>
          <w:szCs w:val="22"/>
          <w:highlight w:val="none"/>
          <w:shd w:val="clear" w:color="auto" w:fill="auto"/>
          <w:lang w:val="en-US" w:eastAsia="zh-CN"/>
        </w:rPr>
        <w:t>5.3.2.2.5.22</w:t>
      </w:r>
      <w:r>
        <w:rPr>
          <w:rFonts w:hint="eastAsia" w:ascii="宋体" w:hAnsi="宋体" w:eastAsia="宋体" w:cs="宋体"/>
          <w:b/>
          <w:bCs/>
          <w:color w:val="auto"/>
          <w:sz w:val="22"/>
          <w:szCs w:val="22"/>
          <w:highlight w:val="none"/>
          <w:shd w:val="clear" w:color="auto" w:fill="auto"/>
        </w:rPr>
        <w:t>病情巡视</w:t>
      </w:r>
    </w:p>
    <w:p w14:paraId="0458E3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点击病情巡视按钮，进入病情巡视页面，扫描患者腕带匹配，进入病情巡视登记页面；支持记录生命体征、病情记录、各项评分；支持自动同步生成对应的护理记录单。</w:t>
      </w:r>
    </w:p>
    <w:p w14:paraId="0B492F0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5.3.2.2.5.23检查执行</w:t>
      </w:r>
    </w:p>
    <w:p w14:paraId="65AD864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PDA主页面选择检查模块，进入检查页面，选择对应患者进入患者检查列表界面，显示患者检查信息，支持PC端检查执行数据的查询展示、打印、修改、补录操作。</w:t>
      </w:r>
    </w:p>
    <w:p w14:paraId="6E742A0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5.3.2.2.5.24检验执行</w:t>
      </w:r>
    </w:p>
    <w:p w14:paraId="60B1D53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PDA主页面选择检验模块，进入检验页面，选择对应患者进入患者检验列表界面，显示患者检验信息，支持PC端检验执行数据的查询展示、打印、修改、补录操作。</w:t>
      </w:r>
    </w:p>
    <w:p w14:paraId="1398A4B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5.3.2.2.5.25治疗执行</w:t>
      </w:r>
    </w:p>
    <w:p w14:paraId="322349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PDA主页面选择治疗模块，进入治疗页面，选择对应患者进入患者治疗列表界面，显示患者治疗信息，支持PC端治疗执行数据的查询展示、打印、修改、补录操作。</w:t>
      </w:r>
    </w:p>
    <w:p w14:paraId="55E66D5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5.3.2.2.6急诊统计报表</w:t>
      </w:r>
    </w:p>
    <w:p w14:paraId="5DF0441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依照国家卫健委发布的院内急诊相关指导规范和指南，对医院各项质控指标进行多维度动态监测，支持统计报表通过柱状图、折线图、饼图形式的可视化展示，显示各个指标的变化趋势。</w:t>
      </w:r>
    </w:p>
    <w:p w14:paraId="308C3FA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可查看急诊患者趋势图报表，并且可进行信息导出</w:t>
      </w:r>
    </w:p>
    <w:p w14:paraId="260196F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可查看就诊时间分布统计图报表，并且可进行信息导出</w:t>
      </w:r>
    </w:p>
    <w:p w14:paraId="046CFC2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可查看急诊科室住院人数统计报表，并且可进行信息导出</w:t>
      </w:r>
    </w:p>
    <w:p w14:paraId="4557DA5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可查看住院科室收住人数统计报表，并且可进行信息导出和明细导出</w:t>
      </w:r>
    </w:p>
    <w:p w14:paraId="273556E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可查看急诊科患者就诊统计图，并且可进行信息导出</w:t>
      </w:r>
    </w:p>
    <w:p w14:paraId="7259BBA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可查看急诊科会诊院内统计，并且可进行信息导出和明细导出</w:t>
      </w:r>
    </w:p>
    <w:p w14:paraId="6C25111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可查看转院汇总统计报表，并且可进行信息导出和明细导出</w:t>
      </w:r>
    </w:p>
    <w:p w14:paraId="718BA2E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可查看病情汇总统计报表，并且可进行信息导出和明细导出</w:t>
      </w:r>
    </w:p>
    <w:p w14:paraId="5554A94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可查看分诊人员统计报表，并且可进行信息导出</w:t>
      </w:r>
    </w:p>
    <w:p w14:paraId="3A8CD1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可查看抢救室滞留时间统计报表，并且可进行信息导出</w:t>
      </w:r>
    </w:p>
    <w:p w14:paraId="337461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可查看病种及操作技术统计报表，并且可进行信息导出和明细导出</w:t>
      </w:r>
    </w:p>
    <w:p w14:paraId="00ECF26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可查看120收住院人数统计报表，并且可进行信息导出和明细导出</w:t>
      </w:r>
    </w:p>
    <w:p w14:paraId="7DEFBC1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可查看120到院统计报表，并且可进行信息导出和明细导出</w:t>
      </w:r>
    </w:p>
    <w:p w14:paraId="56863B5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可查看手术操作统计报表，并且可进行信息导出和明细导出</w:t>
      </w:r>
    </w:p>
    <w:p w14:paraId="20F8769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可查看分诊目标反应时间报表，并且可进行信息导出</w:t>
      </w:r>
    </w:p>
    <w:p w14:paraId="150AA94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可查看病人预检信息变动统计，并且可进行信息导出</w:t>
      </w:r>
    </w:p>
    <w:p w14:paraId="2430FF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可查看病人预检信息变动修改</w:t>
      </w:r>
    </w:p>
    <w:p w14:paraId="19DA5D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可查看科室流量统计报表，并且可进行信息导出</w:t>
      </w:r>
    </w:p>
    <w:p w14:paraId="3845E93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可查看去向流量统计报表，并且可进行信息导出</w:t>
      </w:r>
    </w:p>
    <w:p w14:paraId="517440F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可查看留抢病历质控检查统计报表，点击病历信息跳转患者病历页面，并且可进行留抢病例质控信息导出</w:t>
      </w:r>
    </w:p>
    <w:p w14:paraId="222E0F6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可查看分诊级别符合率统计报表，并且可进行信息导出</w:t>
      </w:r>
    </w:p>
    <w:p w14:paraId="10C5A6F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可查看危重病种统计报表，点击预检信息跳转至患者预检页面，点击</w:t>
      </w:r>
      <w:r>
        <w:rPr>
          <w:rFonts w:hint="eastAsia" w:ascii="宋体" w:hAnsi="宋体" w:cs="宋体"/>
          <w:color w:val="auto"/>
          <w:sz w:val="22"/>
          <w:szCs w:val="22"/>
          <w:highlight w:val="none"/>
          <w:shd w:val="clear" w:color="auto" w:fill="auto"/>
          <w:lang w:eastAsia="zh-CN"/>
        </w:rPr>
        <w:t>病历</w:t>
      </w:r>
      <w:r>
        <w:rPr>
          <w:rFonts w:hint="eastAsia" w:ascii="宋体" w:hAnsi="宋体" w:eastAsia="宋体" w:cs="宋体"/>
          <w:color w:val="auto"/>
          <w:sz w:val="22"/>
          <w:szCs w:val="22"/>
          <w:highlight w:val="none"/>
          <w:shd w:val="clear" w:color="auto" w:fill="auto"/>
        </w:rPr>
        <w:t>信息跳转至病历页面，并且可进行信息导出</w:t>
      </w:r>
      <w:r>
        <w:rPr>
          <w:rFonts w:hint="eastAsia" w:ascii="宋体" w:hAnsi="宋体" w:cs="宋体"/>
          <w:color w:val="auto"/>
          <w:sz w:val="22"/>
          <w:szCs w:val="22"/>
          <w:highlight w:val="none"/>
          <w:shd w:val="clear" w:color="auto" w:fill="auto"/>
          <w:lang w:eastAsia="zh-CN"/>
        </w:rPr>
        <w:t>。</w:t>
      </w:r>
    </w:p>
    <w:p w14:paraId="7B87657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5.3.2.2.7急诊质控报表</w:t>
      </w:r>
    </w:p>
    <w:p w14:paraId="5D68E74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根据国家《急诊专业医疗质量质控指标2015》进行统计。用户进入院内质控报表页面，可实现系统的、全面展示院内质控内容数据功能。</w:t>
      </w:r>
    </w:p>
    <w:p w14:paraId="665791B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可查看急诊各级患者比例报表</w:t>
      </w:r>
    </w:p>
    <w:p w14:paraId="7FCD543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可查看急诊各级患者比例导出</w:t>
      </w:r>
    </w:p>
    <w:p w14:paraId="2DDB4E6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可查看急诊各级患者比例患者明细</w:t>
      </w:r>
    </w:p>
    <w:p w14:paraId="7A7330C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可查看抢救室滞留时间中位数报表</w:t>
      </w:r>
    </w:p>
    <w:p w14:paraId="40C644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可查看抢救室滞留时间中位数导出</w:t>
      </w:r>
    </w:p>
    <w:p w14:paraId="4BA9E51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可查看急诊抢救室患者死亡率报表</w:t>
      </w:r>
    </w:p>
    <w:p w14:paraId="00DB500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可查看急诊抢救室患者死亡率导出</w:t>
      </w:r>
    </w:p>
    <w:p w14:paraId="268A8F1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可查看急诊抢救室死亡患者导出</w:t>
      </w:r>
    </w:p>
    <w:p w14:paraId="3B418DA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可查看急诊抢救室死亡患者明细</w:t>
      </w:r>
    </w:p>
    <w:p w14:paraId="3F43AD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可查看急诊医患比/护患比报表</w:t>
      </w:r>
    </w:p>
    <w:p w14:paraId="1F8E546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可查看非计划重返抢救室率报表</w:t>
      </w:r>
    </w:p>
    <w:p w14:paraId="374151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可查看非计划重返抢救室率导出</w:t>
      </w:r>
    </w:p>
    <w:p w14:paraId="5EC3946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可查看门球时间报表</w:t>
      </w:r>
    </w:p>
    <w:p w14:paraId="781C752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可查看门药时间报表</w:t>
      </w:r>
    </w:p>
    <w:p w14:paraId="06C508F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可查看ROSC成功率报表</w:t>
      </w:r>
    </w:p>
    <w:p w14:paraId="3D5D296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可查看ROSC成功率导出</w:t>
      </w:r>
    </w:p>
    <w:p w14:paraId="7E748F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可查看手术患者死亡率报表</w:t>
      </w:r>
    </w:p>
    <w:p w14:paraId="61F0B8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lang w:eastAsia="zh-CN"/>
        </w:rPr>
      </w:pPr>
      <w:r>
        <w:rPr>
          <w:rFonts w:hint="eastAsia" w:ascii="宋体" w:hAnsi="宋体" w:eastAsia="宋体" w:cs="宋体"/>
          <w:color w:val="auto"/>
          <w:sz w:val="22"/>
          <w:szCs w:val="22"/>
          <w:highlight w:val="none"/>
          <w:shd w:val="clear" w:color="auto" w:fill="auto"/>
        </w:rPr>
        <w:t>可查看手术患者死亡率导出</w:t>
      </w:r>
      <w:r>
        <w:rPr>
          <w:rFonts w:hint="eastAsia" w:ascii="宋体" w:hAnsi="宋体" w:cs="宋体"/>
          <w:color w:val="auto"/>
          <w:sz w:val="22"/>
          <w:szCs w:val="22"/>
          <w:highlight w:val="none"/>
          <w:shd w:val="clear" w:color="auto" w:fill="auto"/>
          <w:lang w:eastAsia="zh-CN"/>
        </w:rPr>
        <w:t>。</w:t>
      </w:r>
    </w:p>
    <w:p w14:paraId="76143D2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5.3.2.2.8急诊危急值管理与消息提醒模块</w:t>
      </w:r>
    </w:p>
    <w:p w14:paraId="2470C32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通过与危急值系统数据对接，获取危急值信息进行展示，用户可以点击处理按钮，进行危急值处理。</w:t>
      </w:r>
    </w:p>
    <w:p w14:paraId="1CB6252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通过与HIS系统对接，获取新医嘱信息，并且以弹框的形式提醒用户。</w:t>
      </w:r>
    </w:p>
    <w:p w14:paraId="5A4B6B7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5.3.2.2.9急诊仪器及信息系统连接</w:t>
      </w:r>
    </w:p>
    <w:p w14:paraId="34E8235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自动采集监护设备的数据，服务器同步数据存储。与监护仪设备进行对接，接入主流厂商的监护设备，如迈瑞、科曼、伟伦、欧姆龙、飞利浦、GE、德尔格等。</w:t>
      </w:r>
    </w:p>
    <w:p w14:paraId="74E7E3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p>
    <w:p w14:paraId="4C58FCC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5.3.3五大中心系统</w:t>
      </w:r>
    </w:p>
    <w:p w14:paraId="4F4F5C4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5.3.3.1概述</w:t>
      </w:r>
    </w:p>
    <w:p w14:paraId="3285CC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五大中心系统的建设内容涵盖了胸痛中心、卒中中心、创伤中心、危重孕产妇中心和危重新生儿中心，旨在提供针对特定疾病或病情的专业化、高效化治疗服务，以提升患者救治效率和生存率，保障患者的生命健康，为医疗卫生事业的发展贡献力量。本次在以</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、人民医院为主的医共体之间部署五大中心系统及配套的相关硬件设备。</w:t>
      </w:r>
    </w:p>
    <w:p w14:paraId="38DA9E9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支持多机构版本。其中分中心版本（或基层版）指面向基层医疗机构、分中心机构的版本，针对分中心临床医生、护理人员开发的版本，要求操作相对中心完整版本更简单，功能集中化、易用、直接，减少操作复杂度，能满足日常工作的基本需求。</w:t>
      </w:r>
    </w:p>
    <w:p w14:paraId="2EBEBC3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在统一业务流程的基础上，实现系统功能同质化实施，不针对个体或某一类型单元进行个性化实施，与第三方系统对接也必须符合相关标准数据规范。</w:t>
      </w:r>
    </w:p>
    <w:p w14:paraId="43286E0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5.3.3.2建设内容</w:t>
      </w:r>
    </w:p>
    <w:p w14:paraId="26CCBA5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5.3.3.2.1胸痛中心</w:t>
      </w:r>
    </w:p>
    <w:p w14:paraId="5659FD0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胸痛中心致力于快速、准确地诊断和处理各种胸痛病因，涵盖了急救绿色通道、流程图、移动工作站、患者综合档案信息管理、患者档案直报国家平台、大数据可视化大屏、患者随访管理、数据质控统计分析、第三方系统数据对接，旨在通过快速、精准的诊断和高效的流程，在最短时间内进行心电图、血液检查和影像学检查，从而迅速启动治疗，降低病死率，提高患者的生存率和生活质量。</w:t>
      </w:r>
    </w:p>
    <w:p w14:paraId="6E4FB2A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5.3.3.2.1.1胸痛急救绿色通道</w:t>
      </w:r>
    </w:p>
    <w:p w14:paraId="0D192A7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用户进入预检分诊界面，左侧为患者列表，支持急诊患者查询功能，右侧为患者登记，支持读卡、患者标识、绿通和三无患者标识、保存、保存并打印、新建、暂存、删除、挂号绑定、群体伤事件等功能。</w:t>
      </w:r>
    </w:p>
    <w:p w14:paraId="23430E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患者列表中，可选择日期和病人就诊号、姓名进行急诊患者查询。急诊系统内标识胸痛、卒中、创伤、危重孕产妇、危重新生儿的患者将自动导入。</w:t>
      </w:r>
    </w:p>
    <w:p w14:paraId="148CEF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患者登记分为三部分内容，分别为基本信息，分诊信息、体征及处理，硅胶手环绑定。</w:t>
      </w:r>
    </w:p>
    <w:p w14:paraId="57643CE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点击读卡，获取胸痛患者身份信息并且自动录入到基本信息中。</w:t>
      </w:r>
    </w:p>
    <w:p w14:paraId="6EA476D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点击分诊信息中的患者标识可对患者标记对应类型，如：</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绿色通道</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三无人员</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胸痛</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卒中</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创伤</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、心衰、</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危重孕产妇</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危重新生儿</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。点击对应标识后可填写针对性分诊信息，如绿通原因、创伤评估、卒中评分等。</w:t>
      </w:r>
    </w:p>
    <w:p w14:paraId="0466F36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点击三无人员标识，自动生成基本信息处的患者姓名，实现快速登记。</w:t>
      </w:r>
    </w:p>
    <w:p w14:paraId="448098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支持对接第三方院前急救系统，获取院前患者信息。点击分诊信息中的到院方式，选择下拉中的“呼叫（120或其他）出车”，可填写配置好的相关院前信息。点击导入按钮，在弹窗中可通过日期、患者姓名、医生姓名进行院前急救患者查询，选择患者后实现院前急救患者导入。</w:t>
      </w:r>
    </w:p>
    <w:p w14:paraId="158B53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接收患者后，点击一键启动呼叫，可选择通知方式，支持与科室值班电话对接、与钉钉对接。在线监视电话语音通报完成，若是占线或者失败，可进行回拨处理。同时支持与钉钉对接，接收患者后，可通过钉钉消息一键通知到胸痛急救小组；并在钉钉上建立患者救治群组，便于后续诊疗沟通工作。</w:t>
      </w:r>
    </w:p>
    <w:p w14:paraId="5B6128E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护士在分诊台为患者佩戴腕带，并通过读写设备的扫描读取腕带，快速登记患者佩戴的手环编号进行绑定，为自动采集质控时间做准备。</w:t>
      </w:r>
    </w:p>
    <w:p w14:paraId="45F9B4E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点击新增、保存、暂存按钮，可进行患者诊疗流程记录。保存或暂存后对接患者档案建立，实现患者登记。并支持诊疗流程查看。</w:t>
      </w:r>
    </w:p>
    <w:p w14:paraId="657B04E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5.3.3.2.1.2胸痛流程图</w:t>
      </w:r>
    </w:p>
    <w:p w14:paraId="77834B9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进入胸痛流程图界面，左侧为胸痛流程图，右侧为胸痛患者列表。</w:t>
      </w:r>
    </w:p>
    <w:p w14:paraId="37ED274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胸痛患者列表，展示姓名，年龄，性别，预检时间，killip分级，血压，呼吸，心率，床位号，提示栏等信息，可根据患者姓名进行查询。</w:t>
      </w:r>
    </w:p>
    <w:p w14:paraId="1B88BF8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胸痛流程图，直观展示路径总览，包括路径中所有的事件，执行情况和执行时间。通过自动数据的采集和医护人员数据的操作记录，点亮关键时间节点，并提供关键时间节点的倒计时。</w:t>
      </w:r>
    </w:p>
    <w:p w14:paraId="6E6AFB7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点击流程图中的心电图按钮，可在线查看心电图。</w:t>
      </w:r>
    </w:p>
    <w:p w14:paraId="1DCA5DD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点击流程图中的GRACE评估，可查看患者GRACE评分。</w:t>
      </w:r>
    </w:p>
    <w:p w14:paraId="213811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胸痛流程图上方有倒计时提醒界面，展示关键质控节点的倒计时、完成用时及标准质控时间，展示肌酐蛋白化验数据。</w:t>
      </w:r>
    </w:p>
    <w:p w14:paraId="56C6754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点击知情同意书打印按钮，可实现知情同意书打印。</w:t>
      </w:r>
    </w:p>
    <w:p w14:paraId="77219AE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5.3.3.2.1.3胸痛移动工作站</w:t>
      </w:r>
    </w:p>
    <w:p w14:paraId="2F0D1A2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进入登</w:t>
      </w:r>
      <w:r>
        <w:rPr>
          <w:rFonts w:hint="eastAsia" w:ascii="宋体" w:hAnsi="宋体" w:cs="宋体"/>
          <w:color w:val="auto"/>
          <w:sz w:val="22"/>
          <w:szCs w:val="22"/>
          <w:highlight w:val="none"/>
          <w:shd w:val="clear" w:color="auto" w:fill="auto"/>
          <w:lang w:eastAsia="zh-CN"/>
        </w:rPr>
        <w:t>录</w:t>
      </w:r>
      <w:r>
        <w:rPr>
          <w:rFonts w:hint="eastAsia" w:ascii="宋体" w:hAnsi="宋体" w:eastAsia="宋体" w:cs="宋体"/>
          <w:color w:val="auto"/>
          <w:sz w:val="22"/>
          <w:szCs w:val="22"/>
          <w:highlight w:val="none"/>
          <w:shd w:val="clear" w:color="auto" w:fill="auto"/>
        </w:rPr>
        <w:t>界面，点击下方IP配置按钮，可实现IP地址、端口、服务名的配置。</w:t>
      </w:r>
    </w:p>
    <w:p w14:paraId="0333A34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后点击胸痛中心，进入胸痛患者列表，列表展示姓名、年龄、性别、建档时间、门诊编号、病情评估、血压、脉搏信息、诊疗时间轴关键节点，当前列表显示近24小时内患者。诊疗时间轴关键节点随进度进行高亮展示。</w:t>
      </w:r>
    </w:p>
    <w:p w14:paraId="4F7D377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点击“急诊、绕行、院内发病”按钮，进行患者快速筛选。可根据病人姓名、就诊卡号进行患者搜索。</w:t>
      </w:r>
    </w:p>
    <w:p w14:paraId="586B2F3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点击新增患者标识，弹出新增胸痛患者窗口，录入信息，点击确认后实现新增胸痛患者功能。</w:t>
      </w:r>
    </w:p>
    <w:p w14:paraId="436E0D6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点击患者列表的时间轴关键节点，进入该患者的时间轴界面，展示患者胸痛急救全流程诊疗流程时间轴，点击刷新按钮实时刷</w:t>
      </w:r>
      <w:r>
        <w:rPr>
          <w:rFonts w:hint="eastAsia" w:ascii="宋体" w:hAnsi="宋体" w:cs="宋体"/>
          <w:color w:val="auto"/>
          <w:sz w:val="22"/>
          <w:szCs w:val="22"/>
          <w:highlight w:val="none"/>
          <w:shd w:val="clear" w:color="auto" w:fill="auto"/>
          <w:lang w:eastAsia="zh-CN"/>
        </w:rPr>
        <w:t>新</w:t>
      </w:r>
      <w:r>
        <w:rPr>
          <w:rFonts w:hint="eastAsia" w:ascii="宋体" w:hAnsi="宋体" w:eastAsia="宋体" w:cs="宋体"/>
          <w:color w:val="auto"/>
          <w:sz w:val="22"/>
          <w:szCs w:val="22"/>
          <w:highlight w:val="none"/>
          <w:shd w:val="clear" w:color="auto" w:fill="auto"/>
        </w:rPr>
        <w:t>患者时间轴。点击扫码按钮进入扫码记录时间点界面，可点击按钮实现实时扫描二维码，下方展示操作事件与操作时间的列表。</w:t>
      </w:r>
    </w:p>
    <w:p w14:paraId="1FCE888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点击选择患者，进入患者诊疗详情界面，以临床路径形式进行分步诊疗，可切换查看院前、分诊检、治疗、转归信息。</w:t>
      </w:r>
    </w:p>
    <w:p w14:paraId="15EFD6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诊疗详情界面中，点击患者右侧录音标识，进入知情谈话录音界面，实现知情同意书语音录入、知情同意书语音播放、知情同意书语音删除功能。</w:t>
      </w:r>
    </w:p>
    <w:p w14:paraId="0572403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诊疗详情界面中，提供流程路径质控时间节点，节点旁提供时间节点序号标识，点击序号可快速记录时间节点。</w:t>
      </w:r>
    </w:p>
    <w:p w14:paraId="0DF8394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诊疗详情界面中，选择院前部分，点击录入院前基本信息。</w:t>
      </w:r>
    </w:p>
    <w:p w14:paraId="3214D54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诊疗详情界面中，选择院前部分，点击录入院前溶栓治疗信息。</w:t>
      </w:r>
    </w:p>
    <w:p w14:paraId="4F9414B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诊疗详情界面中，选择分诊检部分，点击录入分诊信息。</w:t>
      </w:r>
    </w:p>
    <w:p w14:paraId="2A250C2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诊疗详情界面中，选择分诊检部分，点击录入检诊信息。</w:t>
      </w:r>
    </w:p>
    <w:p w14:paraId="08E0E62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检诊界面中，点击选择检查报告、检验报告，弹出该条报告的详情界面，实现实时查看。</w:t>
      </w:r>
    </w:p>
    <w:p w14:paraId="4B9A47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检诊界面中，点击心电图标识，进入心电图界面。界面展示心电图列表，展示心电图时间、心电图文件、诊断时间。点击加号按钮，进入心电图上传界面，选择上传后实现心电图上传功能。点击选择某条心电图记录，点击实现心电图查看、删除功能。</w:t>
      </w:r>
    </w:p>
    <w:p w14:paraId="773634D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诊疗详情界面中，选择分诊检部分，点击录入会诊信息，支持点击序号记录会诊时间，实现会诊签到功能。点击选择会诊记录，可实现会诊回复功能。</w:t>
      </w:r>
    </w:p>
    <w:p w14:paraId="3429BA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诊疗详情界面中，选择治疗部分，点击录入诊疗信息。</w:t>
      </w:r>
    </w:p>
    <w:p w14:paraId="1574275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诊疗详情界面中，选择治疗部分，点击录入介入手术信息。</w:t>
      </w:r>
    </w:p>
    <w:p w14:paraId="13F7C6B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诊疗详情界面中，选择转归部分，点击录入出院诊断信息。</w:t>
      </w:r>
    </w:p>
    <w:p w14:paraId="7159CD6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诊疗详情界面中，选择治疗部分，点击录入出院信息。</w:t>
      </w:r>
    </w:p>
    <w:p w14:paraId="7B027D1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5.3.3.2.1.4患者综合档案信息管理</w:t>
      </w:r>
    </w:p>
    <w:p w14:paraId="31468F5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进入胸痛患者管理界面，左侧为患者列表，右侧为患者诊疗详情。</w:t>
      </w:r>
    </w:p>
    <w:p w14:paraId="153436A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患者列表，可点击按钮收起，展示患者姓名、性别、年龄、初步诊断、发病时间、首次医疗接触时间、手环绑定情况、数据填报状态、数据填报完成度，可根据日期、患者姓名、就诊号、住院号检索患者。</w:t>
      </w:r>
    </w:p>
    <w:p w14:paraId="1D6CA16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点击新建患者按钮，进入预检分诊界面，实现新建患者功能。</w:t>
      </w:r>
    </w:p>
    <w:p w14:paraId="315B636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患者诊疗详情，分为胸痛填报、时间轴、MDT会诊、信息查看、文书总览，可切换查看。</w:t>
      </w:r>
    </w:p>
    <w:p w14:paraId="6FDA054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胸痛填报，左侧为胸痛时间轴，关键时间节点下方展示该节点质控情况。右侧为胸痛填报信息，展示基本信息、急救信息、胸痛诊疗、患者转归，可点击相应按钮进行胸痛填报信息查看、胸痛填报信息补充、胸痛患者档案删除。</w:t>
      </w:r>
    </w:p>
    <w:p w14:paraId="1309558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选择急救信息，实现基本信息、病情现况、来院方式、基础生命特征、院前溶栓治疗的展示、填报、修改功能。</w:t>
      </w:r>
    </w:p>
    <w:p w14:paraId="62EC632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选择胸痛诊疗，实现心电图、实验室检查、心内科会诊、诊断等信息的展示、填报、修改功能。可点击按钮，实现心电图维护、心电图文件预览、远程心电图传输功能。</w:t>
      </w:r>
    </w:p>
    <w:p w14:paraId="696284F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对患者的病情、体征、检验检查等方式，对患者进行初步诊断，初步诊断分为STEMI、NSTEMI、UA、主动脉夹层、肺动脉栓塞、非ACS心源性胸痛、其它非心源性胸痛等内容。针对不同的初步诊断，有不同的治疗方案。</w:t>
      </w:r>
    </w:p>
    <w:p w14:paraId="727FF20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STEMI患者支持记录患者发病时间、发病地点、初步诊断时间、心内科接诊时间等，记录首次抗血小板给药时间、药品、剂量等情况，是否有使用抗凝药，以及其他辅助信息，溶栓评估，溶栓适应症、禁忌症等情况。再灌注措施，包含溶栓、PCI、造影等治疗措施。</w:t>
      </w:r>
    </w:p>
    <w:p w14:paraId="4F28555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NSTEMI和UA患者支持记录患者发病时间、发病地点、初步诊断时间、心内科接诊时间，记录首次抗血小板给药时间、药品、剂量等情况，是否有使用抗凝药，以及其他辅助信息，首次危险分层，再次危险分层等信息。</w:t>
      </w:r>
    </w:p>
    <w:p w14:paraId="4E3DA39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主动脉夹层患者支持记录患者发病时间、发病地点、初步诊断时间、心内科接诊时间，夹层类型（A型、B型），治疗方案（介入治疗、保守治疗、其他治疗方案等）等。</w:t>
      </w:r>
    </w:p>
    <w:p w14:paraId="030F052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肺动脉栓塞患者支持记录患者发病时间、发病地点、初步诊断时间、心内科接诊时间，肺动脉栓筛情况（高危、中危、低危），是否溶栓、溶栓评估等。</w:t>
      </w:r>
    </w:p>
    <w:p w14:paraId="038DA88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非ACS心源性胸痛患者支持记录非ACS心源性胸痛的症状，比如 心律失常、冠心病、心衰等情况，此类胸痛患者的治疗方案、去向等信息 。</w:t>
      </w:r>
    </w:p>
    <w:p w14:paraId="1CDAD82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选择患者转归，实现转归信息、住院期间用药、检查结果、出院信息、出院药物方案的展示、填报、修改功能。</w:t>
      </w:r>
    </w:p>
    <w:p w14:paraId="0D11ACC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点击时间轴，展示胸痛时间轴关键时间节点，可点击选择不同基准。若系统检测时间轴数据异常，弹出时间校验弹窗，可点击修改时间轴信息。</w:t>
      </w:r>
    </w:p>
    <w:p w14:paraId="1319A83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点击MDT会诊，展示MDT会诊列表，列表展示邀请时间、会议类型、申请人、签到时间、会诊回复时间、邀请会诊科室、会诊医生、会诊意见、MDT组长回复时间、MDT组长姓名、MDT组长意见。</w:t>
      </w:r>
    </w:p>
    <w:p w14:paraId="763072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点击按钮，实现MDT会诊登记、MDT会诊修改、MDT会诊删除、MDT会诊签到、MDT会诊回复、MDT打印功能。</w:t>
      </w:r>
    </w:p>
    <w:p w14:paraId="61A1DDE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点击信息查看，在下拉框中可选择评分总览、检验信息、检查信息进行查看。</w:t>
      </w:r>
    </w:p>
    <w:p w14:paraId="5AB804B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选择评分总览查看，左侧默认以基本模式展示患者胸痛评分总览，评分根据风险度分级以不同着色进行高亮展示，右侧可点击切换评分浏览模式、点击刷新评分总览界面。</w:t>
      </w:r>
    </w:p>
    <w:p w14:paraId="7B86D4B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点击具体评分，跳转该评分详情界面，点击右侧按钮可实现新增评分、修改评分、删除评分功能，可点击“显示列表”按钮返回评分总览界面。</w:t>
      </w:r>
    </w:p>
    <w:p w14:paraId="092C203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选择检验信息查看，展示患者检验信息列表，展示报告时间、检验项目、样本类型，可根据日期进行查询。选择某条检验信息，右侧展示检验结果详情，异常数值进行不同颜色标识。</w:t>
      </w:r>
    </w:p>
    <w:p w14:paraId="64E9833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选择检查信息查看，展示患者检查报告列表，展示检查项目、检查结论、检查描述、报告医生、审核医生、报告时间。</w:t>
      </w:r>
    </w:p>
    <w:p w14:paraId="0124996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点击文书总览，在下拉框中可选择时间管理记录表、知情同意书进行查看，可选择知情同意书拍照。</w:t>
      </w:r>
    </w:p>
    <w:p w14:paraId="4A306A7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选择时间管理记录表查看，可点击按钮实现时间节点记录表保存、时间节点记录表打印功能。</w:t>
      </w:r>
    </w:p>
    <w:p w14:paraId="6E19D09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知情同意书查看，展示知情同意书列表，展示编号、模板号、名称、创建人名称、创建时间、更新时间。可点击新增按钮，在弹窗中选择相应知情同意书模板，实现知情同意书新增功能。可选择某条知情同意书，点击修改按钮，实现知情同意书修改、知情同意书删除功能。</w:t>
      </w:r>
    </w:p>
    <w:p w14:paraId="4BD5E5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选择知情同意书拍照，展示同意书列表，选择某条知情同意书，可进行拍照，展示拍照预览画面、历史保存照片。</w:t>
      </w:r>
    </w:p>
    <w:p w14:paraId="4227A1C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界面右侧列表按钮，进入胸痛患者列表界面，可根据登记日期、姓名、上报状态、填报状态、初步诊断进行胸痛患者列表查询。点击导出按钮，可实现胸痛患者列表导出。点击选择患者时，界面右侧展示该患者的时间轴。</w:t>
      </w:r>
    </w:p>
    <w:p w14:paraId="54ABC1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与LIS系统数据对接，同步展示检验结果数据。</w:t>
      </w:r>
    </w:p>
    <w:p w14:paraId="5D43834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与PACS系统数据对接，同步展示检查结果数据。</w:t>
      </w:r>
    </w:p>
    <w:p w14:paraId="342DFC0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5.3.3.2.1.5胸痛患者档案直报国家平台</w:t>
      </w:r>
    </w:p>
    <w:p w14:paraId="7FC9948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胸痛患者档案信息审核上报主要有两类用户，一类用户是数据填报员，可以点击申请审核按钮，发起审核流程；一类是数据审核员，对患者档案信息进行审核处理，点击同意按钮，审核通过；点击驳回按钮，流程回退到数据填报员处理。</w:t>
      </w:r>
    </w:p>
    <w:p w14:paraId="0A313C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当审核通过的患者档案信息可点击上报按钮，上报数据会进行系统的校验与国家胸痛中心数据填报平台进行接口对接，实现胸痛填报上报功能，展示上报结果。</w:t>
      </w:r>
    </w:p>
    <w:p w14:paraId="0FBBCC2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已上报的胸痛填报数据，可以进行信息补录，点击二次上报按钮，再次国家胸痛中心数据填报平台进行接口交互，实现胸痛填报二次上报功能，展示上报结果。</w:t>
      </w:r>
    </w:p>
    <w:p w14:paraId="5C609E5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5.3.3.2.1.6胸痛患者随访管理</w:t>
      </w:r>
    </w:p>
    <w:p w14:paraId="12D994C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点击进入胸痛随访管理界面，可切换查看待随访列表、随访列表、随访概览。</w:t>
      </w:r>
    </w:p>
    <w:p w14:paraId="1AF796E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选择待随访列表，展示患者id、姓名、性别、年龄、首次医疗接触时间、出院诊断、发病日期、出院时间信息。可根据姓名、出院诊断、出院日期进行待随访列表检索。</w:t>
      </w:r>
    </w:p>
    <w:p w14:paraId="1B84218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w:t>
      </w:r>
    </w:p>
    <w:p w14:paraId="1C3607A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点击按钮可实现批量进入随访功能。</w:t>
      </w:r>
    </w:p>
    <w:p w14:paraId="17548FA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列表，默认展示全部随访列表，展示患者id、姓名、性别、年龄、出院诊断、出院日期、随访开始时间、随访截止时间、随访日期、随访周期、随访状态、上报状态信息。可根据姓名、出院诊断、出院日期进行随访列表检索。</w:t>
      </w:r>
    </w:p>
    <w:p w14:paraId="75BD30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点击按钮实现新增计划内随访、新增一年后随访、撤销随访功能。</w:t>
      </w:r>
    </w:p>
    <w:p w14:paraId="31F71CF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点击按钮进入患者随访界面，实现计划内随访情况展示、查看、保存、上报功能。</w:t>
      </w:r>
    </w:p>
    <w:p w14:paraId="607A9A4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点击按钮进入患者胸痛病历界面，实现患者胸痛病历查看。</w:t>
      </w:r>
    </w:p>
    <w:p w14:paraId="5AED36A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选择随访概览，展示随访信息概览、今日随访数量统计、随访趋势图、诊断分类饼图。</w:t>
      </w:r>
    </w:p>
    <w:p w14:paraId="4A3231C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5.3.3.2.1.7数据质控统计分析</w:t>
      </w:r>
    </w:p>
    <w:p w14:paraId="76879C9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依照国家卫健委发布的胸痛相关指导规范和指南，对医院各项质控指标进行多维度动态监测，支持质控数据通过柱状图、折线图、饼图形式的可视化展示，显示各个指标的变化趋势。</w:t>
      </w:r>
    </w:p>
    <w:p w14:paraId="5EBA1E9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可查看ECG远程传输比例。</w:t>
      </w:r>
    </w:p>
    <w:p w14:paraId="06609CB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可查看直达导管室比例：绕行急诊及CCU。</w:t>
      </w:r>
    </w:p>
    <w:p w14:paraId="2667A9C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可查看D2W达标率。</w:t>
      </w:r>
    </w:p>
    <w:p w14:paraId="0DC439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可查看胸痛患者趋势图。</w:t>
      </w:r>
    </w:p>
    <w:p w14:paraId="20C233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可查看胸痛病例统计图。</w:t>
      </w:r>
    </w:p>
    <w:p w14:paraId="55D701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可查看FMC2W达标率。</w:t>
      </w:r>
    </w:p>
    <w:p w14:paraId="52B9564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可查看STEMI患者发病2小时内获得首次医疗接触的比例。</w:t>
      </w:r>
    </w:p>
    <w:p w14:paraId="59C94E8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可查看院内死亡率。</w:t>
      </w:r>
    </w:p>
    <w:p w14:paraId="45F53D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可查看高危胸痛患者数据填报量。</w:t>
      </w:r>
    </w:p>
    <w:p w14:paraId="2EE7391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可查看急诊PCI例数。</w:t>
      </w:r>
    </w:p>
    <w:p w14:paraId="4051922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可查看ACS患者FMC后24小时内接受他汀类药物的比例。</w:t>
      </w:r>
    </w:p>
    <w:p w14:paraId="4C5BC0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可查看ACS患者随访率。</w:t>
      </w:r>
    </w:p>
    <w:p w14:paraId="34A44D7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可查看再灌注比例。</w:t>
      </w:r>
    </w:p>
    <w:p w14:paraId="6B6E54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可查看医生患者救治达标率统计表。</w:t>
      </w:r>
    </w:p>
    <w:p w14:paraId="3B6704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可查看患者轨迹耗时表。</w:t>
      </w:r>
    </w:p>
    <w:p w14:paraId="4603E22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可查看胸痛质控内容报表。</w:t>
      </w:r>
    </w:p>
    <w:p w14:paraId="51B0E89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可查看绕行CCU比例。</w:t>
      </w:r>
    </w:p>
    <w:p w14:paraId="54664C3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可查看溶栓后造影比例。</w:t>
      </w:r>
    </w:p>
    <w:p w14:paraId="54B1260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可查看STEMI患者发病12小时内获得首次医疗接触的比例。</w:t>
      </w:r>
    </w:p>
    <w:p w14:paraId="09A941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可查看急诊PCI的STEMI患者的死亡率。</w:t>
      </w:r>
    </w:p>
    <w:p w14:paraId="1A703C2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可查看ACS患者心力衰竭患者数。</w:t>
      </w:r>
    </w:p>
    <w:p w14:paraId="371AAD9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5.3.3.2.1.8第三方系统数据对接</w:t>
      </w:r>
    </w:p>
    <w:p w14:paraId="0995C38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与人民医院HIS系统接口对接，同步导入人民医院病人基本信息，并在系统页面进行呈现。</w:t>
      </w:r>
    </w:p>
    <w:p w14:paraId="17FEC14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HIS系统接口对接，同步导入</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病人基本信息，并在系统页面进行呈现。</w:t>
      </w:r>
    </w:p>
    <w:p w14:paraId="21C14F1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与人民医院LIS系统接口对接，同步展示人民医院检验信息列表，并实现信息导入。</w:t>
      </w:r>
    </w:p>
    <w:p w14:paraId="1A6BC4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LIS系统接口对接，同步展示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检验信息列表，并实现信息导入。</w:t>
      </w:r>
    </w:p>
    <w:p w14:paraId="7213677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与人民医院PACS系统接口对接，同步展示人民医院检查信息列表，并实现信息导入。</w:t>
      </w:r>
    </w:p>
    <w:p w14:paraId="514A76F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PACS系统接口对接，同步展示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检查信息列表，并实现信息导入。</w:t>
      </w:r>
    </w:p>
    <w:p w14:paraId="0C32EF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与人民医院住院系统接口对接，同步展示人民医院住院信息列表，并实现信息导入。</w:t>
      </w:r>
    </w:p>
    <w:p w14:paraId="74DEB29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住院系统接口对接，同步展示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住院信息列表，并实现信息导入。</w:t>
      </w:r>
    </w:p>
    <w:p w14:paraId="14F6234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与人民医院院内急诊系统接口对接，同步展示人民医院急诊信息列表，并实现信息导入。</w:t>
      </w:r>
    </w:p>
    <w:p w14:paraId="4DF45CD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院内急诊接口对接，同步展示</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急诊信息列表，并实现信息导入。</w:t>
      </w:r>
    </w:p>
    <w:p w14:paraId="2CE9733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5.3.3.2.2卒中中心</w:t>
      </w:r>
    </w:p>
    <w:p w14:paraId="47A6A8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卒中中心专注于急性脑卒中的快速诊断和治疗，涵盖了急救绿色通道、移动工作站、患者综合档案信息管理、患者档案直报国家平台、大数据可视化大屏、患者随访管理、数据质控统计分析，旨在通过快速、精准的诊断和高效的流程，</w:t>
      </w:r>
      <w:r>
        <w:rPr>
          <w:rFonts w:hint="eastAsia" w:ascii="宋体" w:hAnsi="宋体" w:cs="宋体"/>
          <w:color w:val="auto"/>
          <w:sz w:val="22"/>
          <w:szCs w:val="22"/>
          <w:highlight w:val="none"/>
          <w:shd w:val="clear" w:color="auto" w:fill="auto"/>
          <w:lang w:eastAsia="zh-CN"/>
        </w:rPr>
        <w:t>在</w:t>
      </w:r>
      <w:r>
        <w:rPr>
          <w:rFonts w:hint="eastAsia" w:ascii="宋体" w:hAnsi="宋体" w:eastAsia="宋体" w:cs="宋体"/>
          <w:color w:val="auto"/>
          <w:sz w:val="22"/>
          <w:szCs w:val="22"/>
          <w:highlight w:val="none"/>
          <w:shd w:val="clear" w:color="auto" w:fill="auto"/>
        </w:rPr>
        <w:t>卒中发生后迅速进行评估和干预，尽可能减轻卒中带来的损害，改善患者预后，提高患者的恢复率和生活质量。</w:t>
      </w:r>
    </w:p>
    <w:p w14:paraId="6550FE1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5.3.3.2.2.1卒中急救绿色通道</w:t>
      </w:r>
    </w:p>
    <w:p w14:paraId="10144AE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用户进入预检分诊界面，左侧为患者列表，支持急诊患者查询功能，右侧为患者登记，支持读卡、患者标识、绿通和三无患者标识、保存、保存并打印、新建、暂存、删除、挂号绑定、群体伤事件等功能。</w:t>
      </w:r>
    </w:p>
    <w:p w14:paraId="531423A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患者列表中，可选择日期和病人就诊号、姓名进行急诊患者查询。急诊系统内标识胸痛、卒中、创伤、危重孕产妇、危重新生儿的患者将自动导入。</w:t>
      </w:r>
    </w:p>
    <w:p w14:paraId="707400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患者登记分为三部分内容，分别为基本信息，分诊信息、体征及处理，硅胶手环绑定。</w:t>
      </w:r>
    </w:p>
    <w:p w14:paraId="24C1F97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点击读卡，获取患者身份信息并且自动录入到基本信息中。</w:t>
      </w:r>
    </w:p>
    <w:p w14:paraId="4218710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点击分诊信息中的患者标识可对患者标记对应类型，如：</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绿色通道</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三无人员</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胸痛</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卒中</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创伤</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、心衰、</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危重孕产妇</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危重新生儿</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。点击对应标识后可填写针对性分诊信息，如绿通原因、创伤评估、卒中评分等。</w:t>
      </w:r>
    </w:p>
    <w:p w14:paraId="24E5770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点击三无人员标识，自动生成基本信息处的患者姓名，实现快速登记。</w:t>
      </w:r>
    </w:p>
    <w:p w14:paraId="0532D4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支持对接第三方院前急救系统，获取院前患者信息。点击分诊信息中的到院方式，选择下拉中的“呼叫（120或其他）出车”，可填写配置好的相关院前信息。点击导入按钮，在弹窗中可通过日期、患者姓名、医生姓名进行院前急救患者查询，选择患者后实现院前急救患者导入。</w:t>
      </w:r>
    </w:p>
    <w:p w14:paraId="1E23752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接收患者后，点击一键启动呼叫，可选择通知方式，支持与科室值班电话对接、与钉钉对接。在线监视电话语音通报完成，若是占线或者失败，可进行回拨处理。同时支持与钉钉对接，接收患者后，可通过钉钉消息一键通知到卒中急救小组；并在钉钉上建立患者救治群组，便于后续诊疗沟通工作。</w:t>
      </w:r>
    </w:p>
    <w:p w14:paraId="11C1FC6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护士在分诊台为患者佩戴腕带，并通过读写设备的扫描读取腕带，快速登记患者佩戴的手环编号进行绑定，为自动采集质控时间做准备。</w:t>
      </w:r>
    </w:p>
    <w:p w14:paraId="168073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点击新增、保存、暂存按钮，可进行患者诊疗流程记录。保存或暂存后对接患者档案建立，实现患者登记。并支持诊疗流程查看。</w:t>
      </w:r>
    </w:p>
    <w:p w14:paraId="2598E60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5.3.3.2.2.2卒中流程图</w:t>
      </w:r>
    </w:p>
    <w:p w14:paraId="60EF5E8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进入卒中流程图界面，左侧为卒中流程图，右侧为卒中患者列表。</w:t>
      </w:r>
    </w:p>
    <w:p w14:paraId="1D71DB8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卒中患者列表，展示姓名，年龄，性别，预检时间，病情评估，NINSS评分，血压，呼吸，心率，床位号，提示栏等信息，可根据患者姓名进行查询。</w:t>
      </w:r>
    </w:p>
    <w:p w14:paraId="0A165C3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卒中流程图，直观展示路径总览，包括路径中所有的事件，执行情况和执行时间。通过自动数据的采集和医护人员数据的操作记录，点亮关键时间节点，并提供关键时间节点的倒计时。</w:t>
      </w:r>
    </w:p>
    <w:p w14:paraId="6EE0148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点击流程图中的心电图按钮，可在线查看心电图。</w:t>
      </w:r>
    </w:p>
    <w:p w14:paraId="409A261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点击流程图中的医学影像检查（CT/CTA），可查看患者CTA结果。</w:t>
      </w:r>
    </w:p>
    <w:p w14:paraId="22E28A9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点击知情同意书打印按钮，可实现知情同意书打印。</w:t>
      </w:r>
    </w:p>
    <w:p w14:paraId="395C931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5.3.3.2.2.3卒中移动工作站</w:t>
      </w:r>
    </w:p>
    <w:p w14:paraId="530BDA5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进入登</w:t>
      </w:r>
      <w:r>
        <w:rPr>
          <w:rFonts w:hint="eastAsia" w:ascii="宋体" w:hAnsi="宋体" w:cs="宋体"/>
          <w:color w:val="auto"/>
          <w:sz w:val="22"/>
          <w:szCs w:val="22"/>
          <w:highlight w:val="none"/>
          <w:shd w:val="clear" w:color="auto" w:fill="auto"/>
          <w:lang w:eastAsia="zh-CN"/>
        </w:rPr>
        <w:t>录</w:t>
      </w:r>
      <w:r>
        <w:rPr>
          <w:rFonts w:hint="eastAsia" w:ascii="宋体" w:hAnsi="宋体" w:eastAsia="宋体" w:cs="宋体"/>
          <w:color w:val="auto"/>
          <w:sz w:val="22"/>
          <w:szCs w:val="22"/>
          <w:highlight w:val="none"/>
          <w:shd w:val="clear" w:color="auto" w:fill="auto"/>
        </w:rPr>
        <w:t>界面，点击下方IP配置按钮，可实现IP地址、端口、服务名的配置。</w:t>
      </w:r>
    </w:p>
    <w:p w14:paraId="14D568E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点击登录按钮，可选择登录院区切换、登录病区切换。</w:t>
      </w:r>
    </w:p>
    <w:p w14:paraId="7E3B038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后点击卒中中心，进入卒中患者列表，列表展示姓名、年龄、性别、建档时间、发病时间、MDT时间、意识、血压、脉搏、心率、诊疗时间轴关键节点，当前列表显示近24小时内患者。诊疗时间轴关键节点随进度进行高亮展示。</w:t>
      </w:r>
    </w:p>
    <w:p w14:paraId="649257F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可根据病人姓名、就诊卡号进行患者检索。</w:t>
      </w:r>
    </w:p>
    <w:p w14:paraId="1BA8213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点击新增患者标识，弹出新增卒中患者窗口，录入信息，点击确认后实现新增卒中患者功能。</w:t>
      </w:r>
    </w:p>
    <w:p w14:paraId="355E4C2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点击患者列表的时间轴按钮，进入该患者的时间轴界面，展示患者卒中急救全流程诊疗流程时间轴，点击刷新按钮实时刷</w:t>
      </w:r>
      <w:r>
        <w:rPr>
          <w:rFonts w:hint="eastAsia" w:ascii="宋体" w:hAnsi="宋体" w:cs="宋体"/>
          <w:color w:val="auto"/>
          <w:sz w:val="22"/>
          <w:szCs w:val="22"/>
          <w:highlight w:val="none"/>
          <w:shd w:val="clear" w:color="auto" w:fill="auto"/>
          <w:lang w:eastAsia="zh-CN"/>
        </w:rPr>
        <w:t>新</w:t>
      </w:r>
      <w:r>
        <w:rPr>
          <w:rFonts w:hint="eastAsia" w:ascii="宋体" w:hAnsi="宋体" w:eastAsia="宋体" w:cs="宋体"/>
          <w:color w:val="auto"/>
          <w:sz w:val="22"/>
          <w:szCs w:val="22"/>
          <w:highlight w:val="none"/>
          <w:shd w:val="clear" w:color="auto" w:fill="auto"/>
        </w:rPr>
        <w:t>患者时间轴。点击扫码按钮进入扫码记录时间点界面，可点击按钮实现实时扫描二维码，下方展示操作事件与操作时间的列表。</w:t>
      </w:r>
    </w:p>
    <w:p w14:paraId="5BF6A84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点击选择患者，进入患者诊疗详情界面，以临床路径形式进行分步诊疗，可切换查看院前、分诊检、治疗、转归信息。</w:t>
      </w:r>
    </w:p>
    <w:p w14:paraId="0D56F18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诊疗详情界面中，点击患者右侧录音标识，进入知情谈话录音界面，实现知情同意书语音录入、知情同意书语音播放、知情同意书语音删除功能。</w:t>
      </w:r>
    </w:p>
    <w:p w14:paraId="7D034DA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诊疗详情界面中，提供流程路径质控时间节点，节点旁提供时间节点序号标识，点击序号可快速记录时间节点。</w:t>
      </w:r>
    </w:p>
    <w:p w14:paraId="02F3905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诊疗详情界面中，选择院前部分，点击录入院前基本信息。</w:t>
      </w:r>
    </w:p>
    <w:p w14:paraId="40A5E8E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诊疗详情界面中，选择分诊检部分，点击录入分诊信息。</w:t>
      </w:r>
    </w:p>
    <w:p w14:paraId="580B0AB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诊疗详情界面中，选择分诊检部分，点击录入检诊信息。</w:t>
      </w:r>
    </w:p>
    <w:p w14:paraId="256905B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检诊界面中，点击选择检查报告、检验报告，弹出该条报告的详情界面，实现实时查看。</w:t>
      </w:r>
    </w:p>
    <w:p w14:paraId="39924F8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检诊界面中，点击心电图标识，进入心电图界面。界面展示心电图列表，展示心电图时间、心电图文件、诊断时间。点击加号按钮，进入心电图上传界面，选择上传后实现心电图上传功能。点击选择某条心电图记录，点击实现心电图查看、删除功能。</w:t>
      </w:r>
    </w:p>
    <w:p w14:paraId="4EA159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诊疗详情界面中，选择分诊检部分，点击录入会诊信息。支持点击序号记录会诊时间，实现会诊签到功能。点击选择会诊记录，可实现会诊回复功能。</w:t>
      </w:r>
    </w:p>
    <w:p w14:paraId="3F41D5C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诊疗详情界面中，选择治疗部分，点击录入诊疗信息。</w:t>
      </w:r>
    </w:p>
    <w:p w14:paraId="269DCE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诊疗详情界面中，选择治疗部分，点击录入溶栓信息。</w:t>
      </w:r>
    </w:p>
    <w:p w14:paraId="7004DB7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诊疗详情界面中，选择治疗部分，点击录入介入手术信息。</w:t>
      </w:r>
    </w:p>
    <w:p w14:paraId="4BB9F91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诊疗详情界面中，选择转归部分，点击录入患者转归信息。</w:t>
      </w:r>
    </w:p>
    <w:p w14:paraId="089B17C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5.3.3.2.2.4患者综合档案信息管理</w:t>
      </w:r>
    </w:p>
    <w:p w14:paraId="2BD8317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进入卒中患者管理界面，左侧为患者列表，右侧为患者诊疗详情。</w:t>
      </w:r>
    </w:p>
    <w:p w14:paraId="44E49C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患者列表，可点击按钮收起，展示患者姓名、性别、年龄、初步诊断、发病时间、首次医疗接触时间、手环绑定情况、数据填报状态、数据填报完成度，可根据日期、患者姓名、就诊号、住院号检索患者。</w:t>
      </w:r>
    </w:p>
    <w:p w14:paraId="1F6C5FE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点击新建患者按钮，进入预检分诊界面，实现新建患者功能。</w:t>
      </w:r>
    </w:p>
    <w:p w14:paraId="17CBE21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患者诊疗详情，分为卒中填报、时间轴、MDT会诊、信息查看、文书总览，可切换查看。</w:t>
      </w:r>
    </w:p>
    <w:p w14:paraId="51CD4A2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点击卒中填报，左侧为卒中时间轴。右侧为卒中填报信息，展示基本信息、入出院信息、诊疗信息、溶栓组、介入组，可点击相应按钮进行卒中填报信息查看、卒中填报信息补充、卒中患者档案删除。</w:t>
      </w:r>
    </w:p>
    <w:p w14:paraId="3B8AF76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选择诊疗信息，实现心电图维护功能。系统自动计算DNT时间。</w:t>
      </w:r>
    </w:p>
    <w:p w14:paraId="568E02B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通过对患者的病情、体征、检验检查等方式，对患者进行初步诊断，针对不同的初步诊断，有不同的治疗方案。</w:t>
      </w:r>
    </w:p>
    <w:p w14:paraId="1C3663F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选择患者转归，实现卒中患者转归登记功能。</w:t>
      </w:r>
    </w:p>
    <w:p w14:paraId="7BD692B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点击时间轴，展示卒中时间轴关键时间节点、展示关键时间节点质控情况。若系统检测时间轴数据异常，弹出时间校验弹窗，可点击修改时间轴信息。</w:t>
      </w:r>
    </w:p>
    <w:p w14:paraId="5E2E6D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点击MDT会诊，展示MDT会诊列表，列表展示邀请时间、会议类型、申请人、签到时间、会诊回复时间、邀请会诊科室、会诊医生、会诊意见、MDT组长回复时间、MDT组长姓名、MDT组长意见。</w:t>
      </w:r>
    </w:p>
    <w:p w14:paraId="2F9F33D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点击按钮，实现MDT会诊登记、MDT会诊修改、MDT会诊删除、MDT会诊签到、MDT会诊回复、MDT打印功能。</w:t>
      </w:r>
    </w:p>
    <w:p w14:paraId="5F38844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点击信息查看，在下拉框中可选择评分总览、检验信息、检查信息进行查看。</w:t>
      </w:r>
    </w:p>
    <w:p w14:paraId="074857C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选择评分总览查看，左侧默认以基本模式展示患者卒中评分总览，评分根据风险度分级以不同着色进行高亮展示，右侧可点击切换评分浏览模式、点击刷新评分总览界面、展示风险度分级与着色标准。</w:t>
      </w:r>
    </w:p>
    <w:p w14:paraId="1490149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点击具体评分，跳转该评分详情界面，点击右侧按钮可实现新增评分、修改评分、删除评分功能，可点击“显示列表”按钮返回评分总览界面。</w:t>
      </w:r>
    </w:p>
    <w:p w14:paraId="3D1D4B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选择检验信息查看，展示患者检验信息列表，展示报告时间、检验项目、样本类型，可根据日期进行查询。选择某条检验信息，右侧展示检验结果详情，异常数值进行不同颜色标识。</w:t>
      </w:r>
    </w:p>
    <w:p w14:paraId="577E5F0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选择检查信息查看，展示患者检查报告列表，展示检查项目、检查结论、检查描述、报告医生、审核医生、报告时间。</w:t>
      </w:r>
    </w:p>
    <w:p w14:paraId="5BAECD0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点击文书总览，在下拉框中可选择时间管理记录表、知情同意书进行查看。</w:t>
      </w:r>
    </w:p>
    <w:p w14:paraId="47F9E02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选择时间管理记录表查看，可点击按钮</w:t>
      </w:r>
      <w:r>
        <w:rPr>
          <w:rFonts w:hint="eastAsia" w:ascii="宋体" w:hAnsi="宋体" w:cs="宋体"/>
          <w:color w:val="auto"/>
          <w:sz w:val="22"/>
          <w:szCs w:val="22"/>
          <w:highlight w:val="none"/>
          <w:shd w:val="clear" w:color="auto" w:fill="auto"/>
          <w:lang w:eastAsia="zh-CN"/>
        </w:rPr>
        <w:t>实现</w:t>
      </w:r>
      <w:r>
        <w:rPr>
          <w:rFonts w:hint="eastAsia" w:ascii="宋体" w:hAnsi="宋体" w:eastAsia="宋体" w:cs="宋体"/>
          <w:color w:val="auto"/>
          <w:sz w:val="22"/>
          <w:szCs w:val="22"/>
          <w:highlight w:val="none"/>
          <w:shd w:val="clear" w:color="auto" w:fill="auto"/>
        </w:rPr>
        <w:t>时间节点记录表打印功能。</w:t>
      </w:r>
    </w:p>
    <w:p w14:paraId="440C079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知情同意书查看，展示知情同意书列表，展示编号、模板号、名称、创建人名称、创建时间、更新时间。可点击新增按钮，在弹窗中选择相应知情同意书模板，实现知情同意书新增功能。可选择某条知情同意书，点击修改按钮，实现知情同意书修改、知情同意书删除功能。支持知情同意书打印功能。</w:t>
      </w:r>
    </w:p>
    <w:p w14:paraId="1A2C23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界面右侧列表按钮，进入卒中患者列表界面，可根据登记日期、姓名、上报状态、填报状态、初步诊断进行卒中患者列表查询。点击导出按钮，可实现卒中患者列表导出。点击选择患者时，界面右侧展示该患者的时间轴。</w:t>
      </w:r>
    </w:p>
    <w:p w14:paraId="468153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与LIS系统数据对接，同步展示检验结果数据。</w:t>
      </w:r>
    </w:p>
    <w:p w14:paraId="31C402C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与PACS系统数据对接，同步展示检查结果数据。</w:t>
      </w:r>
    </w:p>
    <w:p w14:paraId="77BAF9D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5.3.3.2.2.5卒中患者档案直报国家平台</w:t>
      </w:r>
    </w:p>
    <w:p w14:paraId="3A1F86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卒中患者档案信息审核上报主要有两类用户，一类用户是数据填报员，可以点击申请审核按钮，发起审核流程；一类是数据审核员，对患者档案信息进行审核处理，点击同意按钮，审核通过；点击驳回按钮，流程回退到数据填报员处理。</w:t>
      </w:r>
    </w:p>
    <w:p w14:paraId="20870C7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当审核通过的患者档案信息可点击上报按钮，上报数据会进行系统的校验与国家卒中中心数据填报平台进行接口对接，实现卒中填报上报功能，展示上报结果。</w:t>
      </w:r>
    </w:p>
    <w:p w14:paraId="65AB8DB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已上报的卒中填报数据，可以进行信息补录，点击二次上报按钮，再次国家卒中中心数据填报平台进行接口交互，实现卒中填报二次上报功能，展示上报结果。</w:t>
      </w:r>
    </w:p>
    <w:p w14:paraId="63C50BB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支持病案首页基础信息同步功能、病案首页诊断信息同步功能、病案首页手术操作同步功能。</w:t>
      </w:r>
    </w:p>
    <w:p w14:paraId="3A8D53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支持卒中出院病例数据查询、导出、上报功能。</w:t>
      </w:r>
    </w:p>
    <w:p w14:paraId="4F1DE6C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5.3.3.2.2.6卒中患者随访管理</w:t>
      </w:r>
    </w:p>
    <w:p w14:paraId="21CBAB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点击进入卒中随访管理界面，可切换查看待随访列表、随访列表、随访概览。</w:t>
      </w:r>
    </w:p>
    <w:p w14:paraId="24D49FD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选择待随访列表，展示患者id、姓名、性别、年龄、首次医疗接触时间、出院诊断、发病日期、出院时间信息。可根据姓名、出院日期进行待随访列表检索。</w:t>
      </w:r>
    </w:p>
    <w:p w14:paraId="1059317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w:t>
      </w:r>
    </w:p>
    <w:p w14:paraId="22EA805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点击按钮可实现批量进入随访功能。</w:t>
      </w:r>
    </w:p>
    <w:p w14:paraId="0EEAF3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列表，默认展示全部随访列表，展示患者id、姓名、性别、年龄、出院诊断、出院日期、随访开始时间、随访截止时间、随访日期、随访周期、随访状态、上报状态信息。可根据姓名、出院日期进行随访列表检索。</w:t>
      </w:r>
    </w:p>
    <w:p w14:paraId="0086165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点击按钮实现新增计划内随访、新增一年后随访、撤销随访功能。</w:t>
      </w:r>
    </w:p>
    <w:p w14:paraId="24F3B2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点击按钮进入患者随访界面，实现计划内随访情况展示、查看、保存、上报功能。</w:t>
      </w:r>
    </w:p>
    <w:p w14:paraId="6ADB67D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点击按钮进入患者卒中病历界面，实现患者卒中病历查看。</w:t>
      </w:r>
    </w:p>
    <w:p w14:paraId="5930BB2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选择随访概览，展示随访信息概览、今日随访数量统计、随访趋势图、诊断分类饼图。</w:t>
      </w:r>
    </w:p>
    <w:p w14:paraId="27EF387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5.3.3.2.2.7数据质控统计分析</w:t>
      </w:r>
    </w:p>
    <w:p w14:paraId="2E71F70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依照国家卫健委发布的卒中相关指导规范和指南，对医院各项质控指标进行多维度动态监测，支持质控数据通过柱状图、折线图、饼图形式的可视化展示，显示各个指标的变化趋势。</w:t>
      </w:r>
    </w:p>
    <w:p w14:paraId="622AE87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可查看卒中患者抵达急诊接收NHISS评分的比例。</w:t>
      </w:r>
    </w:p>
    <w:p w14:paraId="1453F11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可查看完成头颅ct&lt;25min 的比例。</w:t>
      </w:r>
    </w:p>
    <w:p w14:paraId="648CFC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可查看卒中病人发病6小时后的溶栓比例。</w:t>
      </w:r>
    </w:p>
    <w:p w14:paraId="68244B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可查看缺血性卒中患者在溶栓时间窗内接受静脉溶栓患者的比例。</w:t>
      </w:r>
    </w:p>
    <w:p w14:paraId="0CCDA95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可查看抵达医院 60 分钟内急性缺血性卒中患者接受静脉溶栓患者的比例。</w:t>
      </w:r>
    </w:p>
    <w:p w14:paraId="584DC30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可查看脑出血手术患者住院死亡率。</w:t>
      </w:r>
    </w:p>
    <w:p w14:paraId="7888EFB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可查看脑出血手术并发症发生率。</w:t>
      </w:r>
    </w:p>
    <w:p w14:paraId="15FE2F1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可查看所有动脉瘤手术并发症发生率。</w:t>
      </w:r>
    </w:p>
    <w:p w14:paraId="55F680B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可查看所有动脉瘤手术患者住院死亡率。</w:t>
      </w:r>
    </w:p>
    <w:p w14:paraId="07199F5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可查看卒中质控内容报表。</w:t>
      </w:r>
    </w:p>
    <w:p w14:paraId="5415B88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5.3.3.2.3创伤中心</w:t>
      </w:r>
    </w:p>
    <w:p w14:paraId="1633542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创伤中心针对各种创伤性伤害（如交通事故、跌倒、暴力伤害等）提供全面的急救和治疗服务，涵盖了急救绿色通道、移动工作站、患者综合档案信息管理、患者档案直报国家平台、浙江省急诊质控平台、大数据可视化大屏、患者随访管理、数据质控统计分析，旨在通过多学科团队的紧密合作，快速稳定创伤患者的生命体征，尽可能减少创伤后遗症，提高患者的康复效果。</w:t>
      </w:r>
    </w:p>
    <w:p w14:paraId="663538F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5.3.3.2.3.1创伤急救绿色通道</w:t>
      </w:r>
    </w:p>
    <w:p w14:paraId="19DE7F7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用户进入预检分诊界面，左侧为患者列表，支持急诊患者查询功能，右侧为患者登记，支持读卡、患者标识、绿通和三无患者标识、保存、保存并打印、新建、暂存、删除、挂号绑定、群体伤事件等功能。</w:t>
      </w:r>
    </w:p>
    <w:p w14:paraId="2A9B95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患者列表中，可选择日期和病人就诊号、姓名进行急诊患者查询。急诊系统内标识胸痛、卒中、创伤、危重孕产妇、危重新生儿的患者将自动导入。</w:t>
      </w:r>
    </w:p>
    <w:p w14:paraId="60E72AA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患者登记分为三部分内容，分别为基本信息，分诊信息、体征及处理，硅胶手环绑定。</w:t>
      </w:r>
    </w:p>
    <w:p w14:paraId="50CED4A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点击读卡，获取创伤患者身份信息并且自动录入到基本信息中。</w:t>
      </w:r>
    </w:p>
    <w:p w14:paraId="173072A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点击分诊信息中的患者标识可对患者标记对应类型，如：</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绿色通道</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三无人员</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胸痛</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卒中</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创伤</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、心衰、</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危重孕产妇</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危重新生儿</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。点击对应标识后可填写针对性分诊信息，如绿通原因、创伤评估、卒中评分等。</w:t>
      </w:r>
    </w:p>
    <w:p w14:paraId="56A3D59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点击三无人员标识，自动生成基本信息处的患者姓名，实现快速登记。</w:t>
      </w:r>
    </w:p>
    <w:p w14:paraId="570B6E8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支持对接第三方院前急救系统，获取院前患者信息。点击分诊信息中的到院方式，选择下拉中的“呼叫（120或其他）出车”，可填写配置好的相关院前信息。点击导入按钮，在弹窗中可通过日期、患者姓名、医生姓名进行院前急救患者查询，选择患者后实现院前急救患者导入。</w:t>
      </w:r>
    </w:p>
    <w:p w14:paraId="56E82AB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接收患者后，点击一键启动呼叫，可选择通知方式，支持与科室值班电话对接、与钉钉对接。在线监视电话语音通报完成，若是占线或者失败，可进行回拨处理。同时支持与钉钉对接，接收患者后，可通过钉钉消息一键通知到创伤急救小组；并在钉钉上建立患者救治群组，便于后续诊疗沟通工作。</w:t>
      </w:r>
    </w:p>
    <w:p w14:paraId="6EB6B82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护士在分诊台为患者佩戴腕带，并通过读写设备的扫描读取腕带，快速登记患者佩戴的手环编号进行绑定，为自动采集质控时间做准备。</w:t>
      </w:r>
    </w:p>
    <w:p w14:paraId="29BC261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点击新增、保存、暂存按钮，可进行患者诊疗流程记录。保存或暂存后对接患者档案建立，实现患者登记。并支持诊疗流程查看。</w:t>
      </w:r>
    </w:p>
    <w:p w14:paraId="7139353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5.3.3.2.3.2创伤移动工作站</w:t>
      </w:r>
    </w:p>
    <w:p w14:paraId="186BDBE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进入登</w:t>
      </w:r>
      <w:r>
        <w:rPr>
          <w:rFonts w:hint="eastAsia" w:ascii="宋体" w:hAnsi="宋体" w:cs="宋体"/>
          <w:color w:val="auto"/>
          <w:sz w:val="22"/>
          <w:szCs w:val="22"/>
          <w:highlight w:val="none"/>
          <w:shd w:val="clear" w:color="auto" w:fill="auto"/>
          <w:lang w:eastAsia="zh-CN"/>
        </w:rPr>
        <w:t>录</w:t>
      </w:r>
      <w:r>
        <w:rPr>
          <w:rFonts w:hint="eastAsia" w:ascii="宋体" w:hAnsi="宋体" w:eastAsia="宋体" w:cs="宋体"/>
          <w:color w:val="auto"/>
          <w:sz w:val="22"/>
          <w:szCs w:val="22"/>
          <w:highlight w:val="none"/>
          <w:shd w:val="clear" w:color="auto" w:fill="auto"/>
        </w:rPr>
        <w:t>界面，点击下方IP配置按钮，可实现IP地址、端口、服务名的配置。</w:t>
      </w:r>
    </w:p>
    <w:p w14:paraId="30F2B9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点击登录按钮，可选择登录院区切换、登录病区切换。</w:t>
      </w:r>
    </w:p>
    <w:p w14:paraId="114099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后点击创伤中心，进入创伤患者列表，列表展示姓名，年龄，性别，预检时间，创伤类型，病情评估，AIS评分，ISS评分，血压，呼吸，心率，床号。并支持检索查询对应创伤患者。诊疗时间轴关键节点随进度进行高亮展示。</w:t>
      </w:r>
    </w:p>
    <w:p w14:paraId="2087DB3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点击新增患者标识，弹出新增创伤患者窗口，录入信息，点击确认后实现新增创伤患者功能。</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点击患者列表的时间轴关键节点，进入该患者的时间轴界面，展示患者创伤急救全流程诊疗流程时间轴，点击刷新按钮实时刷</w:t>
      </w:r>
      <w:r>
        <w:rPr>
          <w:rFonts w:hint="eastAsia" w:ascii="宋体" w:hAnsi="宋体" w:cs="宋体"/>
          <w:color w:val="auto"/>
          <w:sz w:val="22"/>
          <w:szCs w:val="22"/>
          <w:highlight w:val="none"/>
          <w:shd w:val="clear" w:color="auto" w:fill="auto"/>
          <w:lang w:eastAsia="zh-CN"/>
        </w:rPr>
        <w:t>新</w:t>
      </w:r>
      <w:r>
        <w:rPr>
          <w:rFonts w:hint="eastAsia" w:ascii="宋体" w:hAnsi="宋体" w:eastAsia="宋体" w:cs="宋体"/>
          <w:color w:val="auto"/>
          <w:sz w:val="22"/>
          <w:szCs w:val="22"/>
          <w:highlight w:val="none"/>
          <w:shd w:val="clear" w:color="auto" w:fill="auto"/>
        </w:rPr>
        <w:t>患者时间轴。点击扫码按钮进入扫码记录时间点界面，可点击按钮实现实时扫描二维码，下方展示操作事件与操作时间的列表。</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点击选择患者，进入患者诊疗详情界面，以临床路径形式进行分步诊疗，可切换查看院前信息、院内接诊、转归信息。</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诊疗详情界面中，点击患者右侧录音标识，进入知情谈话录音界面，实现知情同意书语音录入、知情同意书语音播放、知情同意书语音删除功能。</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诊疗详情界面中，提供流程路径质控时间节点，节点旁提供时间节点序号标识，点击序号可快速记录时间节点。</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诊疗详情界面中，选择院前信息部分，点击录入院前基本信息。</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诊疗详情界面中，选择院内接诊信息部分，点击录入院内接诊信息。</w:t>
      </w:r>
    </w:p>
    <w:p w14:paraId="7AC6413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院内接诊信息页面，点击生命体征，可进行生命体征录入。点击抢救措施，可进行抢救措施信息录入。点击检验检查，可进行检验检查信息录入，点击选择检查报告、检验报告，弹出该条报告的详情界面，实现实时查看。</w:t>
      </w:r>
    </w:p>
    <w:p w14:paraId="2AC8F4B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诊疗详情界面中，选择转归信息部分，点击录入转归信息。</w:t>
      </w:r>
    </w:p>
    <w:p w14:paraId="0AF8CC7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点击会诊信息部分，支持点击序号记录会诊时间，实现会诊签到功能。点击选择会诊记录，可实现会诊回复功能。</w:t>
      </w:r>
    </w:p>
    <w:p w14:paraId="4E0BADE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5.3.3.2.3.3患者综合档案信息管理</w:t>
      </w:r>
    </w:p>
    <w:p w14:paraId="1B7DE5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进入创伤患者管理界面，左侧为患者列表，右侧为患者诊疗详情。</w:t>
      </w:r>
    </w:p>
    <w:p w14:paraId="05622F4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患者列表，可点击按钮收起，展示患者姓名、性别、年龄、初步诊断、发病时间、首次医疗接触时间、手环绑定情况、数据填报状态、数据填报完成度，可根据日期、患者姓名、就诊号、住院号检索患者。</w:t>
      </w:r>
    </w:p>
    <w:p w14:paraId="600E567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点击新建患者按钮，进入预检分诊界面，实现新建患者功能。</w:t>
      </w:r>
    </w:p>
    <w:p w14:paraId="59E3B3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患者诊疗详情，分为创伤填报、时间轴、MDT会诊、信息查看、文书总览，可切换查看。</w:t>
      </w:r>
    </w:p>
    <w:p w14:paraId="386B78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创伤填报，左侧为创伤时间轴，关键时间节点下方展示该节点质控情况。右侧为创伤填报信息，展示院前信息、院内信息、转归信息，可点击相应按钮进行创伤填报信息查看、创伤填报信息补充、创伤患者档案删除。</w:t>
      </w:r>
    </w:p>
    <w:p w14:paraId="01AABA9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点击时间轴，系统展示创伤时间轴关键时间节点、展示关键时间节点质控情况，可点击选择不同基准。若系统检测时间轴数据异常，弹出时间校验弹窗，可点击修改时间轴信息。</w:t>
      </w:r>
    </w:p>
    <w:p w14:paraId="2EB6D86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点击MDT会诊，展示MDT会诊列表，列表展示邀请时间、会议类型、申请人、签到时间、会诊回复时间、邀请会诊科室、会诊医生、会诊意见、MDT组长回复时间、MDT组长姓名、MDT组长意见。</w:t>
      </w:r>
    </w:p>
    <w:p w14:paraId="511D251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点击按钮，实现MDT会诊登记、MDT会诊修改、MDT会诊删除、MDT会诊签到、MDT会诊回复、MDT打印功能。</w:t>
      </w:r>
    </w:p>
    <w:p w14:paraId="6C4AB6F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点击信息查看，在下拉框中可选择评分总览、检验信息、检查信息进行查看。</w:t>
      </w:r>
    </w:p>
    <w:p w14:paraId="66D0026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选择评分总览查看，左侧默认以基本模式展示患者创伤评分总览，评分根据风险度分级以不同着色进行高亮展示，右侧可点击切换评分浏览模式、点击刷新评分总览界面。</w:t>
      </w:r>
    </w:p>
    <w:p w14:paraId="070D0C1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点击具体评分，跳转该评分详情界面，点击右侧按钮可实现新增评分、修改评分、删除评分功能，可点击“显示列表”按钮返回评分总览界面。</w:t>
      </w:r>
    </w:p>
    <w:p w14:paraId="42FAA04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选择检验信息查看，展示患者检验信息列表，展示报告时间、检验项目、样本类型，可根据日期进行查询。选择某条检验信息，右侧展示检验结果详情，异常数值进行不同颜色标识。</w:t>
      </w:r>
    </w:p>
    <w:p w14:paraId="0E78E06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选择检查信息查看，展示患者检查报告列表，展示检查项目、检查结论、检查描述、报告医生、审核医生、报告时间。</w:t>
      </w:r>
    </w:p>
    <w:p w14:paraId="3B8EABD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点击文书总览，在下拉框中可选择时间管理记录表、知情同意书进行查看，可选择知情同意书拍照。</w:t>
      </w:r>
    </w:p>
    <w:p w14:paraId="52C5E36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选择时间管理记录表查看，系统自动生成时间管理记录表，可点击按钮实现时间节点记录表保存、时间节点记录表打印功能。</w:t>
      </w:r>
    </w:p>
    <w:p w14:paraId="3FAFD31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知情同意书查看，展示知情同意书列表，展示编号、模板号、名称、创建人名称、创建时间、更新时间。可点击新增按钮，在弹窗中选择相应知情同意书模板，实现知情同意书新增功能。可选择某条知情同意书，点击修改按钮，实现知情同意书修改、知情同意书删除功能。</w:t>
      </w:r>
    </w:p>
    <w:p w14:paraId="544D05B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界面右侧列表按钮，进入创伤患者列表界面，可根据登记日期、姓名、上报状态、填报状态、初步诊断进行创伤患者列表查询。点击导出按钮，可实现创伤患者列表导出。点击选择患者时，界面右侧展示该患者的时间轴。</w:t>
      </w:r>
    </w:p>
    <w:p w14:paraId="6BBAB67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点击转归登记按钮，实现创伤患者转归登记。</w:t>
      </w:r>
    </w:p>
    <w:p w14:paraId="459B60C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5.3.3.2.3.4创伤患者档案直报国家平台</w:t>
      </w:r>
    </w:p>
    <w:p w14:paraId="1E2D769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创伤患者档案信息审核上报主要有两类用户，一类用户是数据填报员，可以点击申请审核按钮，发起审核流程；一类是数据审核员，对患者档案信息进行审核处理，点击同意按钮，审核通过；点击驳回按钮，流程回退到数据填报员处理。</w:t>
      </w:r>
    </w:p>
    <w:p w14:paraId="228FB7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当审核通过的患者档案信息可点击上报按钮，上报数据会进行系统的校验与国家创伤中心数据填报平台进行接口对接，实现创伤填报上报功能，展示上报结果。</w:t>
      </w:r>
    </w:p>
    <w:p w14:paraId="34B44BC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已上报的创伤填报数据，可以进行信息补录，点击二次上报按钮，再</w:t>
      </w:r>
      <w:r>
        <w:rPr>
          <w:rFonts w:hint="eastAsia" w:ascii="宋体" w:hAnsi="宋体" w:cs="宋体"/>
          <w:color w:val="auto"/>
          <w:sz w:val="22"/>
          <w:szCs w:val="22"/>
          <w:highlight w:val="none"/>
          <w:shd w:val="clear" w:color="auto" w:fill="auto"/>
          <w:lang w:eastAsia="zh-CN"/>
        </w:rPr>
        <w:t>次与</w:t>
      </w:r>
      <w:r>
        <w:rPr>
          <w:rFonts w:hint="eastAsia" w:ascii="宋体" w:hAnsi="宋体" w:eastAsia="宋体" w:cs="宋体"/>
          <w:color w:val="auto"/>
          <w:sz w:val="22"/>
          <w:szCs w:val="22"/>
          <w:highlight w:val="none"/>
          <w:shd w:val="clear" w:color="auto" w:fill="auto"/>
        </w:rPr>
        <w:t>国家创伤中心数据填报平台进行接口交互，实现创伤填报二次上报功能，展示上报结果。</w:t>
      </w:r>
    </w:p>
    <w:p w14:paraId="441C586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5.3.3.2.3.5浙江省急诊质控平台</w:t>
      </w:r>
    </w:p>
    <w:p w14:paraId="020CCAF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创伤患者档案信息审核上报主要有两类用户，一类用户是数据填报员，可以点击申请审核按钮，发起审核流程；一类是数据审核员，对患者档案信息进行审核处理，点击同意按钮，审核通过；点击驳回按钮，流程回退到数据填报员处理。</w:t>
      </w:r>
    </w:p>
    <w:p w14:paraId="610170A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当审核通过的患者档案信息可点击上报按钮，上报数据会进行系统的校验与浙江省急诊质控平台进行接口对接，实现创伤填报上报功能，展示上报结果。</w:t>
      </w:r>
    </w:p>
    <w:p w14:paraId="15B87D2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已上报的创伤填报数据，可以进行信息补录，点击二次上报按钮，再次浙江省急诊质控平台进行接口交互，实现创伤填报二次上报功能，展示上报结果。</w:t>
      </w:r>
    </w:p>
    <w:p w14:paraId="2FCE78E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5.3.3.2.3.6创伤患者随访管理</w:t>
      </w:r>
    </w:p>
    <w:p w14:paraId="5F8C191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点击进入创伤随访管理界面，可切换查看待随访列表、随访列表、随访概览。</w:t>
      </w:r>
    </w:p>
    <w:p w14:paraId="60EA5F1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选择待随访列表，展示患者id、姓名、性别、年龄、首次医疗接触时间、出院诊断、发病日期、出院时间信息。可根据姓名、出院诊断、出院日期进行待随访列表检索。</w:t>
      </w:r>
    </w:p>
    <w:p w14:paraId="46382CF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w:t>
      </w:r>
    </w:p>
    <w:p w14:paraId="4412527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点击按钮可实现批量进入随访功能。</w:t>
      </w:r>
    </w:p>
    <w:p w14:paraId="14B6834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列表，默认展示全部随访列表，展示患者id、姓名、性别、年龄、出院诊断、出院日期、随访开始时间、随访截止时间、随访日期、随访周期、随访状态、上报状态信息。可根据姓名、出院诊断、出院日期进行随访列表检索。</w:t>
      </w:r>
    </w:p>
    <w:p w14:paraId="1C2150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点击按钮实现新增计划内随访、新增一年后随访、撤销随访功能。</w:t>
      </w:r>
    </w:p>
    <w:p w14:paraId="36C4817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点击按钮进入患者随访界面，实现计划内随访情况展示、查看、保存、上报功能。</w:t>
      </w:r>
    </w:p>
    <w:p w14:paraId="06225FA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点击按钮进入患者创伤病历界面，实现患者创伤病历查看。</w:t>
      </w:r>
    </w:p>
    <w:p w14:paraId="4A079C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选择随访概览，展示随访信息概览、今日随访数量统计、随访趋势图、诊断分类饼图。</w:t>
      </w:r>
    </w:p>
    <w:p w14:paraId="7338453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5.3.3.2.3.7数据质控统计分析</w:t>
      </w:r>
    </w:p>
    <w:p w14:paraId="0A9D6B4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依照国家卫健委发布的创伤相关指导规范和指南，对医院各项质控指标进行多维度动态监测，支持质控数据通过柱状图、折线图、饼图形式的可视化展示，显示各个指标的变化趋势。</w:t>
      </w:r>
    </w:p>
    <w:p w14:paraId="17CE162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可查看创伤患者趋势图。</w:t>
      </w:r>
    </w:p>
    <w:p w14:paraId="378078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可查看创伤患者抢救室滞留时间中位数。</w:t>
      </w:r>
    </w:p>
    <w:p w14:paraId="577C2B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可查看严重创伤患者抢救成功率。</w:t>
      </w:r>
    </w:p>
    <w:p w14:paraId="7F8537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可查看门/急诊停留时间中位数（严重创伤病人）。</w:t>
      </w:r>
    </w:p>
    <w:p w14:paraId="7EA6AAF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可查看创伤患者信息预警比例。</w:t>
      </w:r>
    </w:p>
    <w:p w14:paraId="0BD2897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可查看创伤患者急诊科停留时间中位数。</w:t>
      </w:r>
    </w:p>
    <w:p w14:paraId="0D6A831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可查看创伤患者急诊输血准备时间中位数。</w:t>
      </w:r>
    </w:p>
    <w:p w14:paraId="5536FAF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可查看严重创伤患者数量趋势图。</w:t>
      </w:r>
    </w:p>
    <w:p w14:paraId="54F9A7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可查看严重创伤病人病死率。</w:t>
      </w:r>
    </w:p>
    <w:p w14:paraId="4AA359E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可查看创伤病人数量。</w:t>
      </w:r>
    </w:p>
    <w:p w14:paraId="642482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可查看院前预警比例。</w:t>
      </w:r>
    </w:p>
    <w:p w14:paraId="1743364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可查看接受外院转诊病人比例。</w:t>
      </w:r>
    </w:p>
    <w:p w14:paraId="1FA9D27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可查看转诊治疗的创伤病人比例。</w:t>
      </w:r>
    </w:p>
    <w:p w14:paraId="0CDAD10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可查看TI完成比例。</w:t>
      </w:r>
    </w:p>
    <w:p w14:paraId="466B1A5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可查看GCS完成比例。</w:t>
      </w:r>
    </w:p>
    <w:p w14:paraId="35B9DA6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可查看ISS完成比例。</w:t>
      </w:r>
    </w:p>
    <w:p w14:paraId="5FE2BF3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可查看创伤质控内容报表。</w:t>
      </w:r>
    </w:p>
    <w:p w14:paraId="0C5014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p>
    <w:p w14:paraId="63D5C15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5.3.3.2.4危重孕产妇中心</w:t>
      </w:r>
    </w:p>
    <w:p w14:paraId="70F2E8D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危重孕产妇中心专注于孕产妇在孕期、分娩或产后可能遇到的严重并发症（如孕妇高血压、胎盘早剥等），涵盖了急救绿色通道、移动工作站、患者综合档案信息管理、大数据可视化大屏、患者随访管理、数据质控统计分析，旨在提供全面、专业的急救和护理服务，确保母婴安全，降低母婴死亡率，并优化围产期健康管理。</w:t>
      </w:r>
    </w:p>
    <w:p w14:paraId="0C2AD3C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5.3.3.2.4.1危重孕产妇急救绿色通道</w:t>
      </w:r>
    </w:p>
    <w:p w14:paraId="43E5393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用户进入预检分诊界面，左侧为患者列表，支持急诊患者查询功能，右侧为患者登记，支持读卡、患者标识、绿通和三无患者标识、保存、保存并打印、新建、暂存、删除、挂号绑定、群体伤事件等功能。</w:t>
      </w:r>
    </w:p>
    <w:p w14:paraId="4880CB1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患者列表中，可选择日期和病人就诊号、姓名进行急诊患者查询。急诊系统内标识胸痛、卒中、创伤、危重孕产妇、危重新生儿的患者将自动导入。</w:t>
      </w:r>
    </w:p>
    <w:p w14:paraId="782BBF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患者登记分为三部分内容，分别为基本信息，分诊信息、体征及处理，硅胶手环绑定。</w:t>
      </w:r>
    </w:p>
    <w:p w14:paraId="0260D8F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点击读卡，获取危重孕产妇患者身份信息并且自动录入到基本信息中。</w:t>
      </w:r>
    </w:p>
    <w:p w14:paraId="309ED0A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点击分诊信息中的患者标识可对患者标记对应类型，如：</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绿色通道</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三无人员</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胸痛</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卒中</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创伤</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、心衰、</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危重孕产妇</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危重新生儿</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。点击对应标识后可填写针对性分诊信息，如绿通原因、创伤评估、卒中评分等。</w:t>
      </w:r>
    </w:p>
    <w:p w14:paraId="4239DAE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点击三无人员标识，自动生成基本信息处的患者姓名，实现快速登记。</w:t>
      </w:r>
    </w:p>
    <w:p w14:paraId="23BC5C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支持对接第三方院前急救系统，获取院前患者信息。点击分诊信息中的到院方式，选择下拉中的“呼叫（120或其他）出车”，可填写配置好的相关院前信息。点击导入按钮，在弹窗中可通过日期、患者姓名、医生姓名进行院前急救患者查询，选择患者后实现院前急救患者导入，从而实现院前院内协同救治。</w:t>
      </w:r>
    </w:p>
    <w:p w14:paraId="7112262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接收患者后，点击一键启动呼叫，可选择通知方式，支持与科室值班电话对接、与钉钉对接。在线监视电话语音通报完成，若是占线或者失败，可进行回拨处理。同时支持与钉钉对接，接收患者后，可通过钉钉消息一键通知到危重孕产妇急救小组；并在钉钉上建立患者救治群组，便于后续诊疗沟通工作。</w:t>
      </w:r>
    </w:p>
    <w:p w14:paraId="05FD1C1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护士在分诊台为患者佩戴腕带，并通过读写设备的扫描读取腕带，快速登记患者佩戴的手环编号进行绑定，为自动采集质控时间做准备。</w:t>
      </w:r>
    </w:p>
    <w:p w14:paraId="45C2AE1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点击新增、保存、暂存按钮，可进行患者诊疗流程记录。保存或暂存后对接患者档案建立，实现患者登记。并支持诊疗流程查看。</w:t>
      </w:r>
    </w:p>
    <w:p w14:paraId="3492DA0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5.3.3.2.4.2危重孕产妇移动工作站</w:t>
      </w:r>
    </w:p>
    <w:p w14:paraId="3A535F9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进入登</w:t>
      </w:r>
      <w:r>
        <w:rPr>
          <w:rFonts w:hint="eastAsia" w:ascii="宋体" w:hAnsi="宋体" w:cs="宋体"/>
          <w:color w:val="auto"/>
          <w:sz w:val="22"/>
          <w:szCs w:val="22"/>
          <w:highlight w:val="none"/>
          <w:shd w:val="clear" w:color="auto" w:fill="auto"/>
          <w:lang w:eastAsia="zh-CN"/>
        </w:rPr>
        <w:t>录</w:t>
      </w:r>
      <w:r>
        <w:rPr>
          <w:rFonts w:hint="eastAsia" w:ascii="宋体" w:hAnsi="宋体" w:eastAsia="宋体" w:cs="宋体"/>
          <w:color w:val="auto"/>
          <w:sz w:val="22"/>
          <w:szCs w:val="22"/>
          <w:highlight w:val="none"/>
          <w:shd w:val="clear" w:color="auto" w:fill="auto"/>
        </w:rPr>
        <w:t>界面，点击下方IP配置按钮，可实现IP地址、端口、服务名的配置。</w:t>
      </w:r>
    </w:p>
    <w:p w14:paraId="080CF49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点击登录按钮，可选择登录院区切换、登录病区切换。</w:t>
      </w:r>
    </w:p>
    <w:p w14:paraId="47C833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后点击危重孕产妇中心，进入危重孕产妇患者列表，列表展示姓名、年龄、性别等信息及诊疗时间轴关键节点，当前列表显示近24小时内患者。诊疗时间轴关键节点随进度进行高亮展示。</w:t>
      </w:r>
    </w:p>
    <w:p w14:paraId="09644F2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可根据病人姓名、就诊卡号进行危重孕产妇患者检索。</w:t>
      </w:r>
    </w:p>
    <w:p w14:paraId="6390FF3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点击新增患者标识，弹出新增危重孕产妇患者窗口，录入信息，点击确认后实现新增危重孕产妇患者功能。</w:t>
      </w:r>
    </w:p>
    <w:p w14:paraId="7C833C9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点击患者列表的时间轴按钮，进入该患者的时间轴界面，展示患者危重孕产妇急救全流程诊疗流程时间轴，点击刷新按钮实时刷</w:t>
      </w:r>
      <w:r>
        <w:rPr>
          <w:rFonts w:hint="eastAsia" w:ascii="宋体" w:hAnsi="宋体" w:cs="宋体"/>
          <w:color w:val="auto"/>
          <w:sz w:val="22"/>
          <w:szCs w:val="22"/>
          <w:highlight w:val="none"/>
          <w:shd w:val="clear" w:color="auto" w:fill="auto"/>
          <w:lang w:eastAsia="zh-CN"/>
        </w:rPr>
        <w:t>新</w:t>
      </w:r>
      <w:r>
        <w:rPr>
          <w:rFonts w:hint="eastAsia" w:ascii="宋体" w:hAnsi="宋体" w:eastAsia="宋体" w:cs="宋体"/>
          <w:color w:val="auto"/>
          <w:sz w:val="22"/>
          <w:szCs w:val="22"/>
          <w:highlight w:val="none"/>
          <w:shd w:val="clear" w:color="auto" w:fill="auto"/>
        </w:rPr>
        <w:t>患者时间轴。点击扫码按钮进入扫码记录时间点界面，可点击按钮实现实时扫描二维码，下方展示操作事件与操作时间的列表。</w:t>
      </w:r>
    </w:p>
    <w:p w14:paraId="489611B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点击选择患者，进入患者诊疗详情界面，以临床路径形式进行分步诊疗，可切换查看院前、分诊检、治疗、转归信息。</w:t>
      </w:r>
    </w:p>
    <w:p w14:paraId="53E35B7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诊疗详情界面中，点击患者右侧录音标识，进入知情谈话录音界面，实现知情同意书语音录入、知情同意书语音播放、知情同意书语音删除功能。</w:t>
      </w:r>
    </w:p>
    <w:p w14:paraId="35925F0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诊疗详情界面中，提供流程路径质控时间节点，节点旁提供时间节点序号标识，点击序号可快速记录时间节点。</w:t>
      </w:r>
    </w:p>
    <w:p w14:paraId="5CABF4B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诊疗详情界面中，选择相应部分，点击录入院前信息、院内接诊信息、生命体征信息、抢救措施信息、检查检验信息、转归信息。</w:t>
      </w:r>
    </w:p>
    <w:p w14:paraId="40D4EDD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诊疗详情界面中，点击选择检查报告、检验报告，弹出该条报告的详情界面，实现实时查看。</w:t>
      </w:r>
    </w:p>
    <w:p w14:paraId="245403E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诊疗详情界面中，点击录入会诊信息。点击按钮实现发起会诊功能，支持点击序号记录会诊时间，实现会诊签到功能。点击选择会诊记录，可实现会诊回复功能。</w:t>
      </w:r>
    </w:p>
    <w:p w14:paraId="1262CDB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5.3.3.2.4.3患者综合档案信息管理</w:t>
      </w:r>
    </w:p>
    <w:p w14:paraId="6C22DA0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进入危重孕产妇患者管理界面，左侧为患者列表，右侧为患者诊疗详情。</w:t>
      </w:r>
    </w:p>
    <w:p w14:paraId="1A3ADB6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患者列表，可点击按钮收起，展示患者姓名、性别、年龄、危重情况、数据填报状态、数据填报完成度，可根据日期、患者姓名检索患者。</w:t>
      </w:r>
    </w:p>
    <w:p w14:paraId="67A7A99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患者诊疗详情，分为危重孕产妇填报、时间轴、MDT会诊、信息查看、文书总览，可切换查看。</w:t>
      </w:r>
    </w:p>
    <w:p w14:paraId="5922523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危重孕产妇填报，左侧为危重孕产妇时间轴，右侧为危重孕产妇填报信息，展示基本信息、院前信息、院内信息、患者转归，可点击相应按钮进行危重孕产妇填报信息查看、危重孕产妇填报信息补充、危重孕产妇患者档案删除。</w:t>
      </w:r>
    </w:p>
    <w:p w14:paraId="594FDC6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选择院内信息，实现心电图维护功能。</w:t>
      </w:r>
    </w:p>
    <w:p w14:paraId="36015B0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选择患者转归，实现危重孕产妇患者转归登记功能。</w:t>
      </w:r>
    </w:p>
    <w:p w14:paraId="761F18A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点击时间轴，展示危重孕产妇时间轴与关键时间节点，若系统检测时间轴数据异常，弹出时间校验弹窗，可点击修改时间轴信息。</w:t>
      </w:r>
    </w:p>
    <w:p w14:paraId="6C75554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点击MDT会诊，展示MDT会诊列表，列表展示邀请时间、会议类型、申请人、签到时间、会诊回复时间、邀请会诊科室、会诊医生、会诊意见、MDT组长回复时间、MDT组长姓名、MDT组长意见。</w:t>
      </w:r>
    </w:p>
    <w:p w14:paraId="184B0A6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点击按钮，实现MDT会诊登记、MDT会诊修改、MDT会诊删除、MDT会诊签到、MDT会诊回复、MDT组长回复、MDT打印功能。</w:t>
      </w:r>
    </w:p>
    <w:p w14:paraId="0516AE4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点击信息查看，在下拉框中可选择评分总览、检验信息、检查信息进行查看。</w:t>
      </w:r>
    </w:p>
    <w:p w14:paraId="69CE905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选择评分总览查看，左侧默认以基本模式展示患者危重孕产妇评分总览，评分根据风险度分级以不同着色进行高亮展示，右侧可点击切换评分浏览模式、点击刷新评分总览界面、展示风险度分级与着色标准。</w:t>
      </w:r>
    </w:p>
    <w:p w14:paraId="467ABE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点击具体评分，跳转该评分详情界面，点击右侧按钮可实现新增评分、修改评分、删除评分功能，可点击“显示列表”按钮返回评分总览界面。</w:t>
      </w:r>
    </w:p>
    <w:p w14:paraId="75697A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选择检验信息查看，展示患者检验信息列表，可根据日期进行查询。选择某条检验信息，右侧展示检验结果详情，异常数值进行不同颜色标识。</w:t>
      </w:r>
    </w:p>
    <w:p w14:paraId="6C88B76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选择检查信息查看，展示患者检查报告列表，展示检查项目、检查结论、检查描述、报告医生、审核医生、报告时间。</w:t>
      </w:r>
    </w:p>
    <w:p w14:paraId="408E12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点击文书总览，在下拉框中可选择知情同意书进行查看。</w:t>
      </w:r>
    </w:p>
    <w:p w14:paraId="5596EDC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知情同意书查看，展示知情同意书列表，展示编号、模板号、名称、创建人名称、创建时间、更新时间。可点击新增按钮，在弹窗中选择相应知情同意书模板，实现知情同意书新增功能。可选择某条知情同意书，点击修改按钮，实现知情同意书修改、知情同意书删除功能。支持知情同意书打印功能。</w:t>
      </w:r>
    </w:p>
    <w:p w14:paraId="3D6D12B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界面右侧列表按钮，进入危重孕产妇患者列表界面，可根据登记日期、姓名、上报状态、填报状态、初步诊断进行危重孕产妇患者列表查询。点击导出按钮，可实现危重孕产妇患者列表导出。点击选择患者时，界面右侧展示该患者的时间轴。</w:t>
      </w:r>
    </w:p>
    <w:p w14:paraId="7F4EB1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与LIS系统数据对接，同步展示检验结果数据。</w:t>
      </w:r>
    </w:p>
    <w:p w14:paraId="13A3A0E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与PACS系统数据对接，同步展示检查结果数据。</w:t>
      </w:r>
    </w:p>
    <w:p w14:paraId="0EA093B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5.3.3.2.4.4危重孕产妇患者随访管理</w:t>
      </w:r>
    </w:p>
    <w:p w14:paraId="1985B45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点击进入危重孕产妇随访管理界面，可切换查看待随访列表、随访列表、随访概览。</w:t>
      </w:r>
    </w:p>
    <w:p w14:paraId="2F5BB0D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选择待随访列表，展示患者id、姓名、性别、年龄、首次医疗接触时间、出院诊断、发病日期、出院时间信息。可根据姓名、出院日期进行待随访列表检索。</w:t>
      </w:r>
    </w:p>
    <w:p w14:paraId="576FE1E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w:t>
      </w:r>
    </w:p>
    <w:p w14:paraId="4E8175F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点击按钮可实现批量进入随访功能。</w:t>
      </w:r>
    </w:p>
    <w:p w14:paraId="38EA20D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列表，默认展示全部随访列表，展示患者id、姓名、性别、年龄、出院诊断、出院日期、随访开始时间、随访截止时间、随访日期、随访周期、随访状态、上报状态信息。可根据姓名、出院日期进行随访列表检索。</w:t>
      </w:r>
    </w:p>
    <w:p w14:paraId="597A6F5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点击按钮实现新增计划内随访、新增一年后随访、撤销随访功能。</w:t>
      </w:r>
    </w:p>
    <w:p w14:paraId="4C7C98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点击按钮进入患者随访界面，实现计划内随访情况展示、查看、保存、上报功能。</w:t>
      </w:r>
    </w:p>
    <w:p w14:paraId="30D891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选择随访概览，展示随访信息概览、今日随访数量统计、随访趋势图、诊断分类饼图。</w:t>
      </w:r>
    </w:p>
    <w:p w14:paraId="3DC6E05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5.3.3.2.4.5数据质控统计分析</w:t>
      </w:r>
    </w:p>
    <w:p w14:paraId="04128C6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依照国家卫健委发布的危重孕产妇相关指导规范和指南，对医院各项质控指标进行多维度动态监测，支持质控数据通过柱状图、折线图、饼图形式的可视化展示，显示各个指标的变化趋势。</w:t>
      </w:r>
    </w:p>
    <w:p w14:paraId="360BBEC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可查看孕产妇死亡率。</w:t>
      </w:r>
    </w:p>
    <w:p w14:paraId="396E173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可查看高危孕产妇死亡率。</w:t>
      </w:r>
    </w:p>
    <w:p w14:paraId="6AACB9C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可查看高龄孕产妇死亡率。</w:t>
      </w:r>
    </w:p>
    <w:p w14:paraId="7330081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可查看年分娩量产科医师配比。</w:t>
      </w:r>
    </w:p>
    <w:p w14:paraId="1D6B030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可查看年分娩量助产士配比。</w:t>
      </w:r>
    </w:p>
    <w:p w14:paraId="17AED62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可查看孕产妇妊娠风险筛查评估率。</w:t>
      </w:r>
    </w:p>
    <w:p w14:paraId="3C8AB8A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可查看外院转入孕产妇比例。</w:t>
      </w:r>
    </w:p>
    <w:p w14:paraId="0A90B7A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可查看产科医师床位比。</w:t>
      </w:r>
    </w:p>
    <w:p w14:paraId="0710959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可查看高危孕产妇比例。</w:t>
      </w:r>
    </w:p>
    <w:p w14:paraId="4AB8252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可查看高龄孕产妇比例。</w:t>
      </w:r>
    </w:p>
    <w:p w14:paraId="4D98B7B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可查看产科病例组合指数（CMI）。</w:t>
      </w:r>
    </w:p>
    <w:p w14:paraId="6E30C7D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可查看产科疾病诊断相关分组（DRG）病组覆盖率。</w:t>
      </w:r>
    </w:p>
    <w:p w14:paraId="69DBA53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可查看巨大儿发生率（以外院转入孕产妇比例矫正）。</w:t>
      </w:r>
    </w:p>
    <w:p w14:paraId="169880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可查看早产率（以外院转入孕产妇比例矫正）。</w:t>
      </w:r>
    </w:p>
    <w:p w14:paraId="25930B7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可查看足月新生儿窒息率（以外院转入孕产妇比例矫正）。</w:t>
      </w:r>
    </w:p>
    <w:p w14:paraId="46A5934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br w:type="page"/>
      </w:r>
    </w:p>
    <w:p w14:paraId="51654FB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5.3.3.2.5危重新生儿中心</w:t>
      </w:r>
    </w:p>
    <w:p w14:paraId="309EE45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危重新生儿中心专注于对早产儿、低出生体重儿及其他严重健康问题的新生儿进行紧急救治，涵盖了急救绿色通道、移动工作站、患者综合档案信息管理、大数据可视化大屏、患者随访管理、数据质控统计分析，旨在确保新生儿的生存和健康成长，减少长期健康问题的发生。</w:t>
      </w:r>
    </w:p>
    <w:p w14:paraId="452E6B6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5.3.3.2.5.1危重新生儿急救绿色通道</w:t>
      </w:r>
    </w:p>
    <w:p w14:paraId="3F8675F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用户进入预检分诊界面，左侧为患者列表，支持急诊患者查询功能，右侧为患者登记，支持读卡、患者标识、绿通和三无患者标识、保存、保存并打印、新建、暂存、删除、挂号绑定、群体伤事件等功能。</w:t>
      </w:r>
    </w:p>
    <w:p w14:paraId="2815849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患者列表中，可选择日期和病人就诊号、姓名进行急诊患者查询。急诊系统内标识胸痛、卒中、创伤、危重孕产妇、危重新生儿的患者将自动导入。</w:t>
      </w:r>
    </w:p>
    <w:p w14:paraId="290EE9D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患者登记分为三部分内容，分别为基本信息，分诊信息、体征及处理，硅胶手环绑定。</w:t>
      </w:r>
    </w:p>
    <w:p w14:paraId="4BD570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点击读卡，获取危重新生儿患者身份信息并且自动录入到基本信息中。</w:t>
      </w:r>
    </w:p>
    <w:p w14:paraId="43AE1B2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点击分诊信息中的患者标识可对患者标记对应类型，如：</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绿色通道</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三无人员</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胸痛</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卒中</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创伤</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、心衰、</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危重孕产妇</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HYPERLINK "javascript:;"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危重新生儿</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。点击对应标识后可填写针对性分诊信息，如绿通原因、创伤评估、卒中评分等。</w:t>
      </w:r>
    </w:p>
    <w:p w14:paraId="68E33A8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点击三无人员标识，自动生成基本信息处的患者姓名，实现快速登记。</w:t>
      </w:r>
    </w:p>
    <w:p w14:paraId="4A41C68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系统支持对接第三方院前急救系统，获取院前患者信息。点击分诊信息中的到院方式，选择下拉中的“呼叫（120或其他）出车”，可填写配置好的相关院前信息。点击导入按钮，在弹窗中可通过日期、患者姓名、医生姓名进行院前急救患者查询，选择患者后实现院前急救患者导入。</w:t>
      </w:r>
    </w:p>
    <w:p w14:paraId="527518A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接收患者后，点击一键启动呼叫，可选择通知方式，支持与科室值班电话对接、与钉钉对接。在线监视电话语音通报完成，若是占线或者失败，可进行回拨处理。同时支持与钉钉对接，接收患者后，可通过钉钉消息一键通知到危重新生儿急救小组；并在钉钉上建立患者救治群组，便于后续诊疗沟通工作。</w:t>
      </w:r>
    </w:p>
    <w:p w14:paraId="4B1B749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护士在分诊台为患者佩戴腕带，并通过读写设备的扫描读取腕带，快速登记患者佩戴的手环编号进行绑定，为自动采集质控时间做准备。</w:t>
      </w:r>
    </w:p>
    <w:p w14:paraId="0DACDF8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点击新增、保存、暂存按钮，可进行患者诊疗流程记录。保存或暂存后对接患者档案建立，实现患者登记。并支持诊疗流程查看。</w:t>
      </w:r>
    </w:p>
    <w:p w14:paraId="3FC7F66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5.3.3.2.5.2危重新生儿移动工作站</w:t>
      </w:r>
    </w:p>
    <w:p w14:paraId="77C2C50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进入登</w:t>
      </w:r>
      <w:r>
        <w:rPr>
          <w:rFonts w:hint="eastAsia" w:ascii="宋体" w:hAnsi="宋体" w:cs="宋体"/>
          <w:color w:val="auto"/>
          <w:sz w:val="22"/>
          <w:szCs w:val="22"/>
          <w:highlight w:val="none"/>
          <w:shd w:val="clear" w:color="auto" w:fill="auto"/>
          <w:lang w:eastAsia="zh-CN"/>
        </w:rPr>
        <w:t>录</w:t>
      </w:r>
      <w:r>
        <w:rPr>
          <w:rFonts w:hint="eastAsia" w:ascii="宋体" w:hAnsi="宋体" w:eastAsia="宋体" w:cs="宋体"/>
          <w:color w:val="auto"/>
          <w:sz w:val="22"/>
          <w:szCs w:val="22"/>
          <w:highlight w:val="none"/>
          <w:shd w:val="clear" w:color="auto" w:fill="auto"/>
        </w:rPr>
        <w:t>界面，点击下方IP配置按钮，可实现IP地址、端口、服务名的配置。</w:t>
      </w:r>
    </w:p>
    <w:p w14:paraId="1C39AD3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点击登录按钮，可选择登录院区切换、登录病区切换。</w:t>
      </w:r>
    </w:p>
    <w:p w14:paraId="6A431C8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后点击危重新生儿中心，进入危重新生儿患者列表，列表展示姓名，年龄，性别，病情评估，发病时间，腕带，信息完成度。并支持检索查询对应危重新生儿患者。诊疗时间轴关键节点随进度进行高亮展示。</w:t>
      </w:r>
    </w:p>
    <w:p w14:paraId="36E5EAB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点击新增患者标识，弹出新增危重新生儿患者窗口，录入信息，点击确认后实现新增危重新生儿患者功能。</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点击患者列表的时间轴关键节点，进入该患者的时间轴界面，展示患者危重新生儿急救全流程诊疗流程时间轴，点击刷新按钮实时刷</w:t>
      </w:r>
      <w:r>
        <w:rPr>
          <w:rFonts w:hint="eastAsia" w:ascii="宋体" w:hAnsi="宋体" w:cs="宋体"/>
          <w:color w:val="auto"/>
          <w:sz w:val="22"/>
          <w:szCs w:val="22"/>
          <w:highlight w:val="none"/>
          <w:shd w:val="clear" w:color="auto" w:fill="auto"/>
          <w:lang w:eastAsia="zh-CN"/>
        </w:rPr>
        <w:t>新</w:t>
      </w:r>
      <w:r>
        <w:rPr>
          <w:rFonts w:hint="eastAsia" w:ascii="宋体" w:hAnsi="宋体" w:eastAsia="宋体" w:cs="宋体"/>
          <w:color w:val="auto"/>
          <w:sz w:val="22"/>
          <w:szCs w:val="22"/>
          <w:highlight w:val="none"/>
          <w:shd w:val="clear" w:color="auto" w:fill="auto"/>
        </w:rPr>
        <w:t>患者时间轴。</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点击选择患者，进入患者诊疗详情界面，以临床路径形式进行分步诊疗，可切换查看院前信息、院内接诊、转归信息。</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诊疗详情界面中，点击患者右侧录音标识，进入知情谈话录音界面，实现知情同意书语音录入、知情同意书语音播放、知情同意书语音删除功能。</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诊疗详情界面中，提供流程路径质控时间节点，节点旁提供时间节点序号标识，点击序号可快速记录时间节点。</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诊疗详情界面中，选择院前信息部分，点击录入院前基本信息。</w:t>
      </w:r>
      <w:r>
        <w:rPr>
          <w:rFonts w:hint="eastAsia" w:ascii="宋体" w:hAnsi="宋体" w:eastAsia="宋体" w:cs="宋体"/>
          <w:color w:val="auto"/>
          <w:sz w:val="22"/>
          <w:szCs w:val="22"/>
          <w:highlight w:val="none"/>
          <w:shd w:val="clear" w:color="auto" w:fill="auto"/>
        </w:rPr>
        <w:br w:type="textWrapping"/>
      </w:r>
      <w:r>
        <w:rPr>
          <w:rFonts w:hint="eastAsia" w:ascii="宋体" w:hAnsi="宋体" w:eastAsia="宋体" w:cs="宋体"/>
          <w:color w:val="auto"/>
          <w:sz w:val="22"/>
          <w:szCs w:val="22"/>
          <w:highlight w:val="none"/>
          <w:shd w:val="clear" w:color="auto" w:fill="auto"/>
        </w:rPr>
        <w:t xml:space="preserve">    诊疗详情界面中，选择院内接诊信息部分，点击录入院内接诊信息。</w:t>
      </w:r>
    </w:p>
    <w:p w14:paraId="6052FB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在院内接诊信息页面，点击生命体征，可进行生命体征录入。点击抢救措施，可进行抢救措施信息录入。点击检验检查，可进行检验检查信息录入，点击选择检查报告、检验报告，弹出该条报告的详情界面，实现实时查看。</w:t>
      </w:r>
    </w:p>
    <w:p w14:paraId="6A7516D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诊疗详情界面中，选择转归信息部分，点击录入转归信息。</w:t>
      </w:r>
    </w:p>
    <w:p w14:paraId="71879D2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点击会诊信息部分，点击按钮实现发起会诊功能，支持点击序号记录会诊时间，实现会诊签到功能。点击选择会诊记录，可实现会诊回复功能。</w:t>
      </w:r>
    </w:p>
    <w:p w14:paraId="71F3539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5.3.3.2.5.3患者综合档案信息管理</w:t>
      </w:r>
    </w:p>
    <w:p w14:paraId="639BA88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进入危重新生儿患者管理界面，左侧为患者列表，右侧为患者诊疗详情。</w:t>
      </w:r>
    </w:p>
    <w:p w14:paraId="2F6D525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患者列表，可点击按钮收起，展示患者姓名、性别、年龄、初步诊断、发病时间、首次医疗接触时间、手环绑定情况、数据填报状态、数据填报完成度，可根据日期、患者姓名、就诊号、住院号检索患者。</w:t>
      </w:r>
    </w:p>
    <w:p w14:paraId="681CEF2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点击新建患者按钮，进入预检分诊界面，实现新建患者功能。</w:t>
      </w:r>
    </w:p>
    <w:p w14:paraId="75728EB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患者诊疗详情，分为危重新生儿填报、时间轴、MDT会诊、信息查看、文书总览，可切换查看。</w:t>
      </w:r>
    </w:p>
    <w:p w14:paraId="22E0254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危重新生儿填报，左侧为危重新生儿时间轴，右侧为危重新生儿填报信息，展示院前信息、院内信息、转归信息，可点击相应按钮进行危重新生儿填报信息查看、危重新生儿填报信息补充、危重新生儿患者档案删除。填报信息后。</w:t>
      </w:r>
    </w:p>
    <w:p w14:paraId="3D76BD1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点击时间轴，系统展示危重新生儿时间轴关键时间节点、展示关键时间节点质控情况，可点击选择不同基准。若系统检测时间轴数据异常，弹出时间校验弹窗，可点击修改时间轴信息。</w:t>
      </w:r>
    </w:p>
    <w:p w14:paraId="50D3E93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点击MDT会诊，展示MDT会诊列表，列表展示邀请时间、会议类型、申请人、签到时间、会诊回复时间、邀请会诊科室、会诊医生、会诊意见、MDT组长回复时间、MDT组长姓名、MDT组长意见。</w:t>
      </w:r>
    </w:p>
    <w:p w14:paraId="206640C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点击按钮，实现MDT会诊登记、MDT会诊修改、MDT会诊删除、MDT会诊签到、MDT会诊回复、MDT打印功能。</w:t>
      </w:r>
    </w:p>
    <w:p w14:paraId="209F632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点击信息查看，在下拉框中可选择评分总览、检验信息、检查信息进行查看。</w:t>
      </w:r>
    </w:p>
    <w:p w14:paraId="141F04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选择评分总览查看，左侧默认以基本模式展示患者危重新生儿评分总览，评分根据风险度分级以不同着色进行高亮展示，右侧可点击切换评分浏览模式、点击刷新评分总览界面。</w:t>
      </w:r>
    </w:p>
    <w:p w14:paraId="24D1880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点击具体评分，跳转该评分详情界面，点击右侧按钮可实现新增评分、修改评分、删除评分功能，可点击“显示列表”按钮返回评分总览界面。</w:t>
      </w:r>
    </w:p>
    <w:p w14:paraId="3672AC5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选择检验信息查看，展示患者检验信息列表，展示报告时间、检验项目、样本类型，可根据日期进行查询。选择某条检验信息，右侧展示检验结果详情，异常数值进行不同颜色标识。</w:t>
      </w:r>
    </w:p>
    <w:p w14:paraId="5B38E98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选择检查信息查看，展示患者检查报告列表，展示检查项目、检查结论、检查描述、报告医生、审核医生、报告时间。</w:t>
      </w:r>
    </w:p>
    <w:p w14:paraId="6A33F23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点击文书总览，在下拉框中可选择时间管理记录表、知情同意书进行查看，可选择知情同意书拍照。</w:t>
      </w:r>
    </w:p>
    <w:p w14:paraId="08D938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选择时间管理记录表查看，系统自动生成时间管理记录表，可点击按钮实现时间节点记录表保存、时间节点记录表打印功能。</w:t>
      </w:r>
    </w:p>
    <w:p w14:paraId="16025CC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知情同意书查看，展示知情同意书列表，展示编号、模板号、名称、创建人名称、创建时间、更新时间。可点击新增按钮，在弹窗中选择相应知情同意书模板，实现知情同意书新增功能。可选择某条知情同意书，点击修改按钮，实现知情同意书修改、知情同意书删除功能。</w:t>
      </w:r>
    </w:p>
    <w:p w14:paraId="71A27E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界面右侧列表按钮，进入危重新生儿可根据登记日期、姓名、上报状态、填报状态、初步诊断进行危重新生儿列表查询。点击导出按钮，可实现危重新生儿患者列表导出。点击选择患者时，界面右侧展示该患者的时间轴。</w:t>
      </w:r>
    </w:p>
    <w:p w14:paraId="4AED159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点击转归登记按钮，实现危重新生儿患者转归登记。</w:t>
      </w:r>
    </w:p>
    <w:p w14:paraId="64E267C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5.3.3.2.5.4危重新生儿患者随访管理</w:t>
      </w:r>
    </w:p>
    <w:p w14:paraId="18E9ACF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点击进入危重新生儿随访管理界面，可切换查看待随访列表、随访列表、随访概览。</w:t>
      </w:r>
    </w:p>
    <w:p w14:paraId="4804222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选择待随访列表，展示患者id、姓名、性别、年龄、首次医疗接触时间、出院诊断、发病日期、出院时间信息。可根据姓名、出院诊断、出院日期进行待随访列表检索。</w:t>
      </w:r>
    </w:p>
    <w:p w14:paraId="0FDACC4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w:t>
      </w:r>
    </w:p>
    <w:p w14:paraId="4A294FE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点击按钮可实现批量进入随访功能。</w:t>
      </w:r>
    </w:p>
    <w:p w14:paraId="0E90E6C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列表，默认展示全部随访列表，展示患者id、姓名、性别、年龄、出院诊断、出院日期、随访开始时间、随访截止时间、随访日期、随访周期、随访状态、上报状态信息。可根据姓名、出院诊断、出院日期进行随访列表检索。</w:t>
      </w:r>
    </w:p>
    <w:p w14:paraId="10463A3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点击按钮实现新增计划内随访、新增一年后随访、撤销随访功能。</w:t>
      </w:r>
    </w:p>
    <w:p w14:paraId="4E6218F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点击按钮进入患者随访界面，实现计划内随访情况展示、查看、保存、上报功能。</w:t>
      </w:r>
    </w:p>
    <w:p w14:paraId="2EB5F92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点击按钮进入患者危重新生儿病历界面，实现患者危重新生儿病历查看。</w:t>
      </w:r>
    </w:p>
    <w:p w14:paraId="41562DA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选择随访概览，展示随访信息概览、今日随访数量统计、随访趋势图、诊断分类饼图。</w:t>
      </w:r>
    </w:p>
    <w:p w14:paraId="4075518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5.3.3.2.5.5数据质控统计分析</w:t>
      </w:r>
    </w:p>
    <w:p w14:paraId="7310951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为了医院各项质控指标进行多维度动态监测，支持质控数据通过柱状图、折线图、饼图形式的可视化展示，显示各个指标的变化趋势。</w:t>
      </w:r>
    </w:p>
    <w:p w14:paraId="4D54AFA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可查看床位使用率。</w:t>
      </w:r>
    </w:p>
    <w:p w14:paraId="7D68C72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可查看主动转运比例。</w:t>
      </w:r>
    </w:p>
    <w:p w14:paraId="539ECD7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可查看危重新生儿比例。</w:t>
      </w:r>
    </w:p>
    <w:p w14:paraId="62EDE93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可查看复苏新生儿死亡比例。</w:t>
      </w:r>
    </w:p>
    <w:p w14:paraId="70CA0C3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可查看医院感染发生率。</w:t>
      </w:r>
    </w:p>
    <w:p w14:paraId="4A8D673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可查看新生儿抗菌药物使用强度DDDs。</w:t>
      </w:r>
    </w:p>
    <w:p w14:paraId="726B426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可查看新生儿病死率。</w:t>
      </w:r>
    </w:p>
    <w:p w14:paraId="7EA458D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p>
    <w:p w14:paraId="061DE75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5.3.4外部系统对接</w:t>
      </w:r>
    </w:p>
    <w:p w14:paraId="77EFFA7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5.3.4.1院前院内一体化</w:t>
      </w:r>
    </w:p>
    <w:p w14:paraId="6CCFA38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5.3.4.1.1院前急救事件推送</w:t>
      </w:r>
    </w:p>
    <w:p w14:paraId="47DBB61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数据接口内容：授权码，事件类型，Id，急救任务流水号，业务接口回，调地址，时间戳。</w:t>
      </w:r>
    </w:p>
    <w:p w14:paraId="2BF712B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5.3.4.1.2急救患者完整信息</w:t>
      </w:r>
    </w:p>
    <w:p w14:paraId="3CD5411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任务信息（急救任务流水号，救护车车牌号，呼叫原因，医生姓名，医生电话，出车单位名称，呼入时间，驶向现场时间，到达现场时间，患者上车时间，救护车到达医院时间）；患者基本信息（患者姓名，患者身份证号，患者性别，患者年龄，患者手机号）；现场状况（危重程度，初步诊断，发生时间，主诉及现病史，药物史，既往史，过敏史，流行病学接触史或疫区旅居史）；体格检查（患者意识情况，睁眼反应，语言反应，肢体运动，体温 (℃)，收缩压 （mmHg），舒张压（mmHg），心率（次/分），呼吸（次/分），脉搏（次/分），SpO2（%），瞳孔大小-左（mm），瞳孔大小-右（mm），对光反射-左，对光反射-右，体格检查详情，血糖）；医疗用药（药品名称，用药剂量，给药方式，给药时间）；</w:t>
      </w:r>
    </w:p>
    <w:p w14:paraId="1A635C8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5.3.4.1.3交接单信息推送院内</w:t>
      </w:r>
    </w:p>
    <w:p w14:paraId="1303D98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授权码，急救任务流水号，救护车车牌号，随车医生姓名，随车医生电话，到达医院时间，选择原因，患者姓名，患者性别，患者年龄，年龄单位，联系人电话，联系人姓名，发病地点，危重程度，主诉，初步诊断，治疗及病情变化摘要，备注，院内接诊医生姓名，体温(℃)，收缩压（mmHg），舒张压（mmHg），心率（次/分），呼吸（次/分），脉搏（次/分），意识，生命体征记录时间，联系人签名，院前随车医生签名，院内接诊医生签名，时间戳。</w:t>
      </w:r>
    </w:p>
    <w:p w14:paraId="385F773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5.3.4.1.4急诊床位信息</w:t>
      </w:r>
    </w:p>
    <w:p w14:paraId="78B4793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数据接口内容：急诊科剩余床位数，总床位数。</w:t>
      </w:r>
    </w:p>
    <w:p w14:paraId="32C030B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5.3.4.1.5急救患者转归信息</w:t>
      </w:r>
    </w:p>
    <w:p w14:paraId="5B10A32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数据接口内容：授权码，转归结果集，急救任务流水号，院内患者主 索引，患者姓名，转归结果，转归小结，转归记录时间，时间戳。</w:t>
      </w:r>
    </w:p>
    <w:p w14:paraId="43D2728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  HIS、LIS、PACS信息接口（人民医院、中医医院、区域）</w:t>
      </w:r>
    </w:p>
    <w:p w14:paraId="7B1E94D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5.3.4.2.1患者信息</w:t>
      </w:r>
    </w:p>
    <w:p w14:paraId="7165BD2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数据接口内容：就诊号，姓名，身份证号，性别，出生年月，年龄，社保卡号，平台MPI，联系电话，家庭住址，建档日期，国籍，民族，职业，工作单位，婚姻，关系人，关系，关系人现住址，关系人电话。</w:t>
      </w:r>
    </w:p>
    <w:p w14:paraId="4BB6EC0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5.3.4.2.2挂号信息</w:t>
      </w:r>
    </w:p>
    <w:p w14:paraId="5605E4D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数据接口内容：就诊号，挂号id，姓名，身份证号，性别 ，出生年月，年龄，社保卡号，挂号科室，挂号科室， 挂号时间，挂号状态 ，联系电话，家庭地址， 绿通标志，病区ID。</w:t>
      </w:r>
    </w:p>
    <w:p w14:paraId="016235F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5.3.4.2.3就诊信息</w:t>
      </w:r>
    </w:p>
    <w:p w14:paraId="205A95B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数据接口内容：就诊序号，挂号id，挂号时间，就诊医生号，就诊医生姓名，就诊卡号，就诊开始时间，就诊科室号，患者去向 ，去向备注，去向时间。</w:t>
      </w:r>
    </w:p>
    <w:p w14:paraId="224E4AB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5.3.4.2.4诊断信息</w:t>
      </w:r>
    </w:p>
    <w:p w14:paraId="139809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数据接口内容：挂号id，就诊序号，就诊号，患者姓名，诊断名称，诊断数据类型，诊断类型，ICD10编码，疾病首字码，诊断排序，诊断时间，诊断人员工号，诊断人员姓名。</w:t>
      </w:r>
    </w:p>
    <w:p w14:paraId="40E042C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5.3.4.2.5门诊检查信息</w:t>
      </w:r>
    </w:p>
    <w:p w14:paraId="74666A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数据接口内容：就诊号，病历号，姓名，检查项目，检查结论，检查描述，检查医生，报告时间。</w:t>
      </w:r>
    </w:p>
    <w:p w14:paraId="6F0B4F4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5.3.4.2.6门诊检验信息</w:t>
      </w:r>
    </w:p>
    <w:p w14:paraId="6333E3D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数据接口内容：就诊号，病历号，姓名，样本类型编号（大项），检验结果，报告时间，参考范围高限 ，参考范围低限， 检验名称（子项）， 单位，  样本类型名称(大项) ， 异常标志 ，送检医生名，校验医生名，审核医生名。</w:t>
      </w:r>
    </w:p>
    <w:p w14:paraId="2B11E8B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5.3.4.2.7门诊医嘱信息</w:t>
      </w:r>
    </w:p>
    <w:p w14:paraId="7305C4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数据接口内容：处方唯一键值，处方编号，组别编号，就诊号，开始时间，开立医生姓名，开立医生工号，处方类型，处方内容，剂量，单位，数量，药方单位，给药方式， 频次代码，频次名称，用药天数，平台MPI值，给药方式代码，是否为高危药品，规格，开立时间，就诊序号，病区代码，科室代码，医嘱状态，医嘱类别，副药标识，嘱托，挂号ID，诊断，发票号码，药品批次，备注，姓名，性别，出生年月，身份证号，联系电话，家庭住址。</w:t>
      </w:r>
    </w:p>
    <w:p w14:paraId="28172D6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5.3.4.2.8急门诊病历信息</w:t>
      </w:r>
    </w:p>
    <w:p w14:paraId="138F0B7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数据接口内容：就诊号，挂号id，就诊序号，入院日期， 病历书写医生姓名，留抢病历主诉，现病史，既往史，个人史，过敏史，家族史，查体内容，辅助检查，健康宣教，注意事项，诊疗意见，过敏史，初复诊，收缩压， 舒张压， 体温，病历书写医生工号 。</w:t>
      </w:r>
    </w:p>
    <w:p w14:paraId="6B3C554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5.3.4.2.9住院信息</w:t>
      </w:r>
    </w:p>
    <w:p w14:paraId="6F14DE9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数据接口内容：就诊号，挂号id，就诊序号，住院号， 入院时间， 出院时间，住院费用，入院诊断，出院诊断，出院转归。</w:t>
      </w:r>
    </w:p>
    <w:p w14:paraId="70C1552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5.3.4.2.10输血信息</w:t>
      </w:r>
    </w:p>
    <w:p w14:paraId="49138A9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数据接口内容：就诊号，挂号id，就诊序号，申请输血时间，执行输血时间。</w:t>
      </w:r>
    </w:p>
    <w:p w14:paraId="13E837D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5.3.4.2.11手术信息</w:t>
      </w:r>
    </w:p>
    <w:p w14:paraId="05BCAE1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挂号id，就诊序号，手术申请时间，患者到达手术室时间，开始手术时间，切皮时间，导管室启动时间（PCI），导管室激活时间（PCI），开始穿刺时间，造影开始时间，术中抗凝给药时间，术中抗凝给药物，术中抗凝给药物剂量，术中抗凝给药物单位，球囊扩张时间，PCI入路，手术结束时间，术中并发症。</w:t>
      </w:r>
    </w:p>
    <w:p w14:paraId="08CC5FC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5.3.4.2.12收费信息</w:t>
      </w:r>
    </w:p>
    <w:p w14:paraId="06F14AA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数据接口内容：就诊号，挂号id，就诊序号，收费编号， 提交日期，收费人员，收费日期，收费状态，收费类型代码，收费类型名称，项目名称，金额。</w:t>
      </w:r>
    </w:p>
    <w:p w14:paraId="3ACBD4E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5.3.4.2.13科室信息-一次性</w:t>
      </w:r>
    </w:p>
    <w:p w14:paraId="5770FC0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数据接口内容：给药方式编号，给药方式名称，备注1，备注2，备注3，是否执行输液。</w:t>
      </w:r>
    </w:p>
    <w:p w14:paraId="5ECD573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5.3.4.2.14用户信息-一次性</w:t>
      </w:r>
    </w:p>
    <w:p w14:paraId="0332A57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w:t>
      </w:r>
      <w:r>
        <w:rPr>
          <w:rFonts w:hint="eastAsia" w:ascii="宋体" w:hAnsi="宋体" w:cs="宋体"/>
          <w:color w:val="auto"/>
          <w:sz w:val="22"/>
          <w:szCs w:val="22"/>
          <w:highlight w:val="none"/>
          <w:shd w:val="clear" w:color="auto" w:fill="auto"/>
          <w:lang w:eastAsia="zh-CN"/>
        </w:rPr>
        <w:t>用户账号</w:t>
      </w:r>
      <w:r>
        <w:rPr>
          <w:rFonts w:hint="eastAsia" w:ascii="宋体" w:hAnsi="宋体" w:eastAsia="宋体" w:cs="宋体"/>
          <w:color w:val="auto"/>
          <w:sz w:val="22"/>
          <w:szCs w:val="22"/>
          <w:highlight w:val="none"/>
          <w:shd w:val="clear" w:color="auto" w:fill="auto"/>
        </w:rPr>
        <w:t>，用户名称，拼音简写，所属科室号，用户角色， 用户状态，CAUKey唯一标识。</w:t>
      </w:r>
    </w:p>
    <w:p w14:paraId="0C6A94E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5.3.4.2.15疾病库信息-一次性</w:t>
      </w:r>
    </w:p>
    <w:p w14:paraId="6870DC0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数据接口内容：给药方式编号，给药方式名称，备注1，备注2，备注3，是否执行输液。</w:t>
      </w:r>
    </w:p>
    <w:p w14:paraId="53125BD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5.3.4.2.16手术操作库信息-一次性</w:t>
      </w:r>
    </w:p>
    <w:p w14:paraId="2753743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数据接口内容：id，疾病名，icd10，拼音首写，五笔，备注，疾病类型。</w:t>
      </w:r>
    </w:p>
    <w:p w14:paraId="69246D2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5.3.4.2.17给药方式信息-一次性</w:t>
      </w:r>
    </w:p>
    <w:p w14:paraId="68992EF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数据接口内容：给药方式编号，给药方式名称，备注1，备注2，备注3，是否执行输液。</w:t>
      </w:r>
    </w:p>
    <w:p w14:paraId="6522A5D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5.3.4.2.18输液频次信息-一次性</w:t>
      </w:r>
    </w:p>
    <w:p w14:paraId="219A02B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数据接口内容：频次编码，频次名称，每日次数，执行周期，按天发药 。</w:t>
      </w:r>
    </w:p>
    <w:p w14:paraId="6D9E9BE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5.3.4.3集成平台数据推送</w:t>
      </w:r>
    </w:p>
    <w:p w14:paraId="26592EA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5.3.4.3.1院内预检分诊患者信息</w:t>
      </w:r>
    </w:p>
    <w:p w14:paraId="105A370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卡号、证件号码、患者姓名、患者性别、出生日期、患者年龄、电话号码、患者地址、分诊时间、到院方式、陪送人员、急诊分区、急诊分级、修订分级、主诉症状、分诊人工号、分诊人姓名、分诊去向、急诊分科、胸痛标志、卒中标志、创伤标志、危重孕产妇标志、危重新生儿标志、三无患者标志、胸痛评估、卒中评估、创伤评估、患者ID、院区ID、病区ID、体温、呼吸、脉搏、血压、氧饱和度、血糖、意识。</w:t>
      </w:r>
    </w:p>
    <w:p w14:paraId="7D5D73B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5.3.4.3.2留抢/留观患者信息</w:t>
      </w:r>
    </w:p>
    <w:p w14:paraId="325FCFA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卡号、证件号码、患者姓名、患者性别、出生日期、患者年龄、电话号码、患者地址、绿通标志、绿通原因、分诊时间、到院方式、陪送人员、急诊分区、急诊分级、修订分级、主诉症状、分诊人工号、分诊人姓名、分诊去向、急诊分科、胸痛标志、卒中标志、创伤标志、危重孕产妇标志、危重新生儿标志、三无患者标志、胸痛评估、卒中评估、创伤评估、床位、患者ID、院区ID、病区ID、体温、呼吸、脉搏、血压、氧饱和度、血糖、意识。</w:t>
      </w:r>
    </w:p>
    <w:p w14:paraId="305CC25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5.3.4.3.3留抢/留观患者病历信息</w:t>
      </w:r>
    </w:p>
    <w:p w14:paraId="022509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数据接口内容：就诊卡号、证件号码、患者ID、患者姓名、患者性别、患者年龄、急诊分科、主诉、现病史、既往史、个人</w:t>
      </w:r>
      <w:r>
        <w:rPr>
          <w:rFonts w:hint="eastAsia" w:ascii="宋体" w:hAnsi="宋体" w:cs="宋体"/>
          <w:color w:val="auto"/>
          <w:sz w:val="22"/>
          <w:szCs w:val="22"/>
          <w:highlight w:val="none"/>
          <w:shd w:val="clear" w:color="auto" w:fill="auto"/>
          <w:lang w:eastAsia="zh-CN"/>
        </w:rPr>
        <w:t>史</w:t>
      </w:r>
      <w:r>
        <w:rPr>
          <w:rFonts w:hint="eastAsia" w:ascii="宋体" w:hAnsi="宋体" w:eastAsia="宋体" w:cs="宋体"/>
          <w:color w:val="auto"/>
          <w:sz w:val="22"/>
          <w:szCs w:val="22"/>
          <w:highlight w:val="none"/>
          <w:shd w:val="clear" w:color="auto" w:fill="auto"/>
        </w:rPr>
        <w:t>、家族史、血压、体温、氧饱和度、呼吸、血糖、心率、脉搏、查体内容、辅助检查、初步诊断、诊疗计划、接诊医生工号、接诊医生姓名、病历时间。</w:t>
      </w:r>
    </w:p>
    <w:p w14:paraId="1FA5354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5.3.4.3.4留抢/留观患者输液信息</w:t>
      </w:r>
    </w:p>
    <w:p w14:paraId="76918BA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数据接口内容：处方编号、组别编号、就诊卡号、开单时间、医嘱内容、剂量、频次、给药方式、配药时间、配药护士、配药核对、执行时间、执行护士、执行核对、高危药品标志。</w:t>
      </w:r>
    </w:p>
    <w:p w14:paraId="10CDE14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5.3.4.3.5留抢/留观患者输液巡视信息</w:t>
      </w:r>
    </w:p>
    <w:p w14:paraId="6AF4DE4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数据接口内容：处方编号、组别编号、就诊卡号、开单时间、医嘱内容、剂量、频次、给药方式、配药时间、配药护士、配药核对、执行时间、执行护士、执行核对、滴速、高危药品标志。</w:t>
      </w:r>
    </w:p>
    <w:p w14:paraId="50BF387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5.3.4.3.6留抢/留观患者护理病历信息</w:t>
      </w:r>
    </w:p>
    <w:p w14:paraId="5BC298E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创建时间、体温、心率、血压、呼吸、血糖、意识、基础护理内容、瞳孔左、瞳孔右、瞳孔大小左、瞳孔大小右、Braden、ADL、疼痛评分、GCS、MEWS、单位入量、单位出量、病情护理措施和效果、护理操作护士工号、护理操作护士姓名。</w:t>
      </w:r>
    </w:p>
    <w:p w14:paraId="17BCEC0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5.3.4.3.7胸痛患者信息</w:t>
      </w:r>
    </w:p>
    <w:p w14:paraId="521A683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联系电话、就诊卡号、住院ID、门诊ID、发病时间、绿通标志、首次医疗接触时间、初步诊断、建档时间、审核状态、确诊时间、出院诊断、患者转归。</w:t>
      </w:r>
    </w:p>
    <w:p w14:paraId="3AEB633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5.3.4.3.8卒中患者信息</w:t>
      </w:r>
    </w:p>
    <w:p w14:paraId="7367BC9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数据接口内容：姓名、性别、证件类型、证件号、年龄、出生日期、民族、联系电话、就诊卡号、门诊ID、发病时间、绿通标志、诊断、诊断医生、建档时间、审核状态。</w:t>
      </w:r>
    </w:p>
    <w:p w14:paraId="5D1CE8A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5.3.4.3.9创伤患者信息</w:t>
      </w:r>
    </w:p>
    <w:p w14:paraId="3070084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数据接口内容：姓名、性别、证件类型、证件号、年龄、出生日期、民族、联系电话、就诊卡号、住院ID、门诊ID、发病时间、绿通标志、急诊诊断、建档时间、审核状态。</w:t>
      </w:r>
    </w:p>
    <w:p w14:paraId="4070B4D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5.3.4.3.10危重孕产妇患者信息</w:t>
      </w:r>
    </w:p>
    <w:p w14:paraId="0E546D4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数据接口内容：姓名、性别、证件类型、证件号、年龄、出生日期、民族、联系电话、就诊卡号、门诊ID、绿通标志、病情判断、来院方式、诊断、建档时间。</w:t>
      </w:r>
    </w:p>
    <w:p w14:paraId="17237F1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5.3.4.3.11危重新生儿患者信息</w:t>
      </w:r>
    </w:p>
    <w:p w14:paraId="6CEB3E4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数据接口内容：姓名、性别、年龄、出生日期、民族、联系电话、就诊卡号、门诊ID、绿通标志、病情判断、体重、胎龄、建档时间。</w:t>
      </w:r>
    </w:p>
    <w:p w14:paraId="38E3024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5.3.4.3.12胸痛患者综合档案信息</w:t>
      </w:r>
    </w:p>
    <w:p w14:paraId="5D52DFC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患者姓名、性别、证件类型、证件号码、年龄、出生日期、民族、联系电话、职业、文化程度、婚姻状况、身高、体重、住院号、门诊号、时间段、无法精确到分、发病时间、发病时间无法精确到分钟、发病区间、发病地址（省）、发病地址（市）、发病地址（区/县）、详细地址、医保类型、医保编号、大病医保、病情评估、病情评估明细、到院方式、出车单位、呼救时间、直接转送上级医院、直达导管室、进入抢救室时间、分诊时间、到达医院大门时间、到达医院大门时间、到达医院大门时间、首次医疗接触时间、院内首诊医师接诊时间、医护人员、转院类型、医院名称、转出医院入门时间、决定转院时间、转出医院出门时间、院内接诊时间、发病科室、床位医生接触时间、离开科室时间、意识、呼吸、脉搏、心率、血压、体温、存在禁忌症、未获得原因、远程心电图传输、接收120/网络医院心电图时间、传输方式、传输方式、肌钙蛋白、肌钙蛋白、肌钙蛋白、首次肌钙蛋白、血清肌酐、血清肌酐数值、D-二聚体、D-二聚体数值、D-二聚体单位、BNP、BNP数值、NT-proBNP、NT-proBNP数值、Myo、Myo数值、Myo单位、CKMB、CKMB数值、CKMB单位、心内科会诊、会诊类型、通知会诊时间、会诊到达时间、呼叫会诊时间、会诊时间、心内诊断、初步诊断、留观诊断、患者自愿放弃后续治疗、心内诊断时间、初步诊断时间、留观诊断时间、医生、医生、医生、心功能分级、绕行急诊、绕行CCU、抗血小板治疗、阿司匹林剂量、阿司匹林时间、氯吡格雷剂量、氯吡格雷时间、替格瑞洛剂量、替格瑞洛时间、抗凝、抗凝药物、抗凝药物剂量、抗凝药物单位、抗凝药物时间、他汀治疗、β受体阻滞剂、再灌注溶栓措施、再灌注措施、NYHA、无灌注措施原因、措施、是否终止诊疗、决定行pci医生、决定介入手术时间、是否口服抗凝药物、是否PCSK9、PCSK9、降糖药物、口服抗凝药物、PCSK9单次剂量、是否降糖药物、离开本院大门时间、是否是网络医院、医院名称、转运PCI、直达导管室、实际介入手术开始时间、远程心电图传输、传输心电图至协作单位时间、转科时间、接诊科室、转科原因描述、死亡描述、患者情况备注、启动导管室时间、开始知情同意时间、签署知情同意时间、导管室激活时间、患者到达导管室时间、副介入医师、介入医师、导丝通过时间、抽血时间、POCT报告时间、穿刺成功时间、开始穿刺时间、造影开始时间、术中抗凝给药时间、术中抗凝药物、有无再灌注措施、术中抗凝药物剂量、术中抗凝药物单位、手术结束时间、D-dimer、通知心超时间、心超完成时间、通知CT时间、增强CT开始时间、低危患者去向、复测肌钙蛋白时间、肌钙蛋白复测结果、复测肌钙蛋白报告时间、溶栓后造影时间（院内）、出院诊断、出院诊断确诊时间、合并症、心血管疾病危险因素、出院时间、住院天数、总费用、PCI启动方式、确诊时间、复测心电图时间、溶栓后续（院内）、D2W时间、延误原因、是否分叉病变、是否延误、入路、右冠近段、右冠中段、右冠远段、后降支(右优势型)、左主干、前降支近段、前降支中段、前降支远段、第一对角支、第二对角支、旋支近段、第一钝缘支、旋支远段、左室后支、后降支(左优势型或均衡型)、中间支、第三对角支、第二钝缘支、第三钝缘支、锐缘支、左圆椎支、右圆椎支、室间隔支、左后外侧支、右后外侧支、房室沟动脉、后降支室间支、腔内影像、功能检测、功能检测数值、IABP、临时起搏器、ECMO、左心室辅助装置 、术中并发症、溶栓筛查、溶栓治疗、直达溶栓场所、溶栓场所、开始知情同意时间、签署知情同意书时间、开始溶栓时间、溶栓结束时间、药物、剂量、溶栓再通、PCI、决定介入手术时间、决定CABG时间、开始CABG时间、转运PCI、危险因素、Grace极高危条件、Grace危险分层、再次危险分层、再次危险分层时间、处理策略、侵入性策略、实际介入治疗时间、影像学检查、通知CT室时间、CT室完成准备时间、CT扫描开始时间、CT报告时间、通知彩超室时间、彩超检查时间、彩超出结果时间、通知心外科会诊时间、心外科会诊时间、夹层类型、治疗策略、危险分层、开始抗凝治疗时间、非ACS心源性胸痛类型、非ACS心源性胸痛类型、处理措施、患者情况备注、其它非心源性胸痛类型、其它非心源性胸痛类型、停止诊疗、血氧、室壁瘤、局部室壁活动异常、LVEF%(诊疗过程中最低值)、COVID-19、吸烟、吸烟状态、患者转归、治疗结果、死亡原因、死亡时间、住院期间并发症、离院宣教、NYHA分级、是否ACEI/ARB、是否调脂药物、是否β受体阻滞剂、抗血小板药物-药物名称、是否ARNI、ARNI频次、ARNI频次区间、ARNI单次剂量、ACEI/ARB-药物名称、调脂药物-药物名称、β受体阻滞剂-药物名称、抗血小板药物-服用频次、ACEI/ARB-服用频次、调脂药物-服用频次、β受体阻滞剂-服用频次、抗血小板药物-用药周期、ACEI/ARB-用药周期、调脂药物-用药周期、β受体阻滞剂-用药周期、抗血小板药物-单次剂量、ACEI/ARB-单次剂量、调脂药物-单次剂量、β受体阻滞剂-单次剂量、实际手术时间、院前补救PCI、院前手术地点、首次肌钙蛋白剂量、肌钙蛋白单位、出院带药、是否抗血小板药物、院内新发心力衰竭、高血压、高血脂病、糖尿病、肥胖、早发CVD家族史、冠心病、血运重建史、心房颤动、心房颤动分型、慢性心力衰竭、心脏瓣膜病、脑血管疾病、脑血管疾病描述、外周动脉疾病、主动脉瘤、COPD、慢性肾病、贫血、消化性溃疡、甲状腺功能异常、恶性肿瘤、72小时内积钙蛋白、脑钠肽、脑钠肽类型、脑钠肽最高值、72小时内积钙蛋白最高值、72小时内积钙蛋白类型、72小时内积钙蛋白单位、总胆固醇(TC)、总胆固醇数值、甘油三酯(TG)、甘油三酯数值、高密度脂蛋白(HDL-C)、高密度脂蛋白数值、低密度脂蛋白(LDL-C)、低密度脂蛋白数值、超声心动图。</w:t>
      </w:r>
    </w:p>
    <w:p w14:paraId="4E8888E8">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5.3.4.3.13卒中患者综合档案信息</w:t>
      </w:r>
    </w:p>
    <w:p w14:paraId="0054AF8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数据接口内容：姓名、性别、证件类型、证件号、年龄、出生日期、民族、门诊ID、发病时间、最后正常时间、到达医院大门</w:t>
      </w:r>
      <w:r>
        <w:rPr>
          <w:rFonts w:hint="eastAsia" w:ascii="宋体" w:hAnsi="宋体" w:cs="宋体"/>
          <w:color w:val="auto"/>
          <w:sz w:val="22"/>
          <w:szCs w:val="22"/>
          <w:highlight w:val="none"/>
          <w:shd w:val="clear" w:color="auto" w:fill="auto"/>
          <w:lang w:eastAsia="zh-CN"/>
        </w:rPr>
        <w:t>时间</w:t>
      </w:r>
      <w:r>
        <w:rPr>
          <w:rFonts w:hint="eastAsia" w:ascii="宋体" w:hAnsi="宋体" w:eastAsia="宋体" w:cs="宋体"/>
          <w:color w:val="auto"/>
          <w:sz w:val="22"/>
          <w:szCs w:val="22"/>
          <w:highlight w:val="none"/>
          <w:shd w:val="clear" w:color="auto" w:fill="auto"/>
        </w:rPr>
        <w:t>、发病地址、意识、呼吸、心率、血氧、脉搏、体温、血压、血糖、主要症状、拟诊断时间、拟诊断医生、通知会诊时间、会诊到达时间、通知外勤时间、外勤到达时间、离抢送检时间、返回抢救室时间、检查开始时间、检查结束时间、头颅CT报告时间、检验抽血时间、溶栓前NIHSS评分、溶栓前MRS评分、是否出血、是否阻塞、诊断医生、诊断时间、初步诊断、既往史、过敏史、平时服用药、开始知情谈话时间、签署知情同意时间、溶栓治疗开始时间、溶栓治疗结束时间、是否提前结束、提前结束原因、溶栓药物、体重、药物剂量、并发症、溶栓后CT复查时间、介入知情谈话时间、签署知情同意书时间、决定行介入手术医生、启动导管室时间、导管室激活时间、患者进入导管室时间、麻醉科通知时间、麻醉科到场时间、麻醉完成时间、穿刺开始时间、造影开始时间、取栓完成时间、介入医生。</w:t>
      </w:r>
    </w:p>
    <w:p w14:paraId="4BC7FB4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5.3.4.3.14创伤患者综合档案信息</w:t>
      </w:r>
    </w:p>
    <w:p w14:paraId="3E53908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年龄、年龄值、身份证号、家庭住址、详细地址、紧急联系人、联系电话、卡号、卡类型、住院ID、门诊、发病地址、发病时间、呼救时间、出车时间、到场时间、离场时间、预警时间、到院时间、死亡时间、病情判断、MPDS症状、来院方式、呼叫救护车、跟车医生、跟车护士、自行来院、院前诊断、主诉、现病史、既往史、血压、无法测量、心率、脉搏、呼吸频率、体温、血糖、血氧饱和度、瞳孔、光反射、意识、气道、循环、心律、胸部、腹部、肠鸣、肌张力、骨折、体格检查其他、院前抢救措施、抢救措施说明、治疗药物、心电图、照片、到达急诊科、到达急诊科时间、到院已死亡、接诊时间、急诊诊断、血压、心率、脉搏、呼吸频率、体温、血糖、血氧饱和度、急诊抢救措施、提出放置时间、成功放置时间、申请输血时间、执行输血时间、提出建立时间、成功建立时间、提出手术医嘱时间、开始手术时间、呼吸使用时长、相关肺炎、抢救说明、急诊检验检查、全身快速CT完成时间、胸片X片完成时间、骨盆X片完成时间、FAST完成时间、其他X片类型、其他X片完成时间、检查检验说明、到达抢救室、到达抢救室时间、返回抢救室时间、离开抢救室时间、到达手术室、到达手术室时间、离开手术室时间、病人去向、急诊离院时间、治疗结果、其他离院原因、住院科室、办理住院时间、结束住院时间、住院后死亡、到达ICU、到达ICU时间、离开ICU时间、交接时间、接收医院、死亡原因描述、留观时间、留观后死亡、留观原因描述、转归时间、具体去向、病人去向备注、出院诊断、出入院诊断符合、抢救结果、手术次数、住院费用。</w:t>
      </w:r>
    </w:p>
    <w:p w14:paraId="6D77B46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5.3.4.3.15危重孕产妇患者综合档案信息</w:t>
      </w:r>
    </w:p>
    <w:p w14:paraId="4C67258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联系电话、就诊卡号、门诊ID、危重情况、到达方式、呼救时间、离场时间、GCS评分、GCS评分时间、bishop评分、bishop时间、APACHEII评分、血压、体温、心率、血糖、呼吸、血氧、宫底高度、腹围、胎心率、胎方位、既往史、产次、孕次、妊娠合并病史、妊娠病发病史、末次月经、预产期、纠正预产期、胎动开始时间、妊娠并发症、高危因素、高危标志、高危妊娠等级、妊娠种植方式、产时并发症、产妇结局、胎数、出院诊断、住院天数、费用、出院带药、转送医院、转出时间、转出科室、接诊医生、接诊护士。</w:t>
      </w:r>
    </w:p>
    <w:p w14:paraId="608797F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5.3.4.3.16危重新生儿患者综合档案信息</w:t>
      </w:r>
    </w:p>
    <w:p w14:paraId="6F1907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数据接口内容：姓名、性别、证件类型、证件号、年龄、出生日期、民族、联系电话、就诊卡号、门诊ID、危重情况、血压、羊水量、污染</w:t>
      </w:r>
      <w:r>
        <w:rPr>
          <w:rFonts w:hint="eastAsia" w:ascii="宋体" w:hAnsi="宋体" w:cs="宋体"/>
          <w:color w:val="auto"/>
          <w:sz w:val="22"/>
          <w:szCs w:val="22"/>
          <w:highlight w:val="none"/>
          <w:shd w:val="clear" w:color="auto" w:fill="auto"/>
          <w:lang w:val="en-US" w:eastAsia="zh-CN"/>
        </w:rPr>
        <w:t>度</w:t>
      </w:r>
      <w:r>
        <w:rPr>
          <w:rFonts w:hint="eastAsia" w:ascii="宋体" w:hAnsi="宋体" w:eastAsia="宋体" w:cs="宋体"/>
          <w:color w:val="auto"/>
          <w:sz w:val="22"/>
          <w:szCs w:val="22"/>
          <w:highlight w:val="none"/>
          <w:shd w:val="clear" w:color="auto" w:fill="auto"/>
        </w:rPr>
        <w:t>、胎盘、脐带、产程、Apgar评分、复苏方式、复苏用药、出生体重、胎龄、先天畸形、出生12小时最大碱剩余、出生12小时最小的吸入氧浓度、皮肤颜色、弹足底或插鼻反应、肌张力、呼吸情况、体温。</w:t>
      </w:r>
    </w:p>
    <w:p w14:paraId="25F19B1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  CA电子签名-医护</w:t>
      </w:r>
    </w:p>
    <w:p w14:paraId="01E9617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  OAuth登录-认证请求接口</w:t>
      </w:r>
    </w:p>
    <w:p w14:paraId="27FEE7F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数据接口内容：第三方应用注册ID，授权类型，开启自动签，系统类型，授权自动签会话时间，授权类型，是否授权。</w:t>
      </w:r>
    </w:p>
    <w:p w14:paraId="57E6D05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5.3.4.4.2  OAuth登录-获取用户信息</w:t>
      </w:r>
    </w:p>
    <w:p w14:paraId="67C216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数据接口内容：用户证件号码，用户类型，姓名，用户唯一标识，资格证号，</w:t>
      </w:r>
      <w:r>
        <w:rPr>
          <w:rFonts w:hint="eastAsia" w:ascii="宋体" w:hAnsi="宋体" w:cs="宋体"/>
          <w:color w:val="auto"/>
          <w:sz w:val="22"/>
          <w:szCs w:val="22"/>
          <w:highlight w:val="none"/>
          <w:shd w:val="clear" w:color="auto" w:fill="auto"/>
          <w:lang w:eastAsia="zh-CN"/>
        </w:rPr>
        <w:t>登录</w:t>
      </w:r>
      <w:r>
        <w:rPr>
          <w:rFonts w:hint="eastAsia" w:ascii="宋体" w:hAnsi="宋体" w:eastAsia="宋体" w:cs="宋体"/>
          <w:color w:val="auto"/>
          <w:sz w:val="22"/>
          <w:szCs w:val="22"/>
          <w:highlight w:val="none"/>
          <w:shd w:val="clear" w:color="auto" w:fill="auto"/>
        </w:rPr>
        <w:t>签名值，登录方式，授权人信息。</w:t>
      </w:r>
    </w:p>
    <w:p w14:paraId="3690AD5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5.3.4.4.3  自动签名授权-请求自动签名授权接口</w:t>
      </w:r>
    </w:p>
    <w:p w14:paraId="4657967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数据接口内容：用户标识openId 固定35位，系统类型（不传默认”NULL”;同步签名数据带着此标记才被自动签名）。</w:t>
      </w:r>
    </w:p>
    <w:p w14:paraId="781012F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5.3.4.4.4  自动签名授权-获取授权结果接口</w:t>
      </w:r>
    </w:p>
    <w:p w14:paraId="33B84E8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数据接口内容：用户标识openId 固定35位，系统类型（不传默认”NULL”）。</w:t>
      </w:r>
    </w:p>
    <w:p w14:paraId="73862FD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5.3.4.4.5  自动签名授权-退出授权接口</w:t>
      </w:r>
    </w:p>
    <w:p w14:paraId="7F92568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数据接口内容：用户标识openId 固定35位，系统类型（不传默认”NULL”）。</w:t>
      </w:r>
    </w:p>
    <w:p w14:paraId="7FC9C94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5.3.4.4.6发起院内本地自动签授权请求(CS)</w:t>
      </w:r>
    </w:p>
    <w:p w14:paraId="2095C0D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数据接口内容：用户标识openId 固定35位，系统类型（不传默认”NULL”）。</w:t>
      </w:r>
    </w:p>
    <w:p w14:paraId="5659539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5.3.4.4.7确认院内本地自动签授权(CS)</w:t>
      </w:r>
    </w:p>
    <w:p w14:paraId="7AC0514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数据接口内容：用户标识openId 固定35位，系统类型（不传默认”NULL”），6位动态码。</w:t>
      </w:r>
    </w:p>
    <w:p w14:paraId="6C44AF5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5.3.4.4.8请求院内本地自动签授权(BS)</w:t>
      </w:r>
    </w:p>
    <w:p w14:paraId="16B2909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数据接口内容：第三方账号标识，第三方账号</w:t>
      </w:r>
      <w:r>
        <w:rPr>
          <w:rFonts w:hint="eastAsia" w:ascii="宋体" w:hAnsi="宋体" w:cs="宋体"/>
          <w:color w:val="auto"/>
          <w:sz w:val="22"/>
          <w:szCs w:val="22"/>
          <w:highlight w:val="none"/>
          <w:shd w:val="clear" w:color="auto" w:fill="auto"/>
          <w:lang w:eastAsia="zh-CN"/>
        </w:rPr>
        <w:t>密</w:t>
      </w:r>
      <w:r>
        <w:rPr>
          <w:rFonts w:hint="eastAsia" w:ascii="宋体" w:hAnsi="宋体" w:eastAsia="宋体" w:cs="宋体"/>
          <w:color w:val="auto"/>
          <w:sz w:val="22"/>
          <w:szCs w:val="22"/>
          <w:highlight w:val="none"/>
          <w:shd w:val="clear" w:color="auto" w:fill="auto"/>
        </w:rPr>
        <w:t>钥，医生唯一标识 固定35位，系统标识。</w:t>
      </w:r>
    </w:p>
    <w:p w14:paraId="7B9B9A6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5.3.4.4.9数据哈希计算接口</w:t>
      </w:r>
    </w:p>
    <w:p w14:paraId="25D811B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数据接口内容：要计算摘要的原文 最大10M个字节，加密算法。</w:t>
      </w:r>
    </w:p>
    <w:p w14:paraId="18F4881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5.3.4.4.10数据签名接口</w:t>
      </w:r>
    </w:p>
    <w:p w14:paraId="268ACDF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数据接口内容：签名订单流水ID，医网信医师唯一标识，当存在授权ID，患者姓名，患者年龄，患者性别，证件类型，患者证件号，开具时间，Hash原文，Hash算法，主题 ，数据标签，签名备注。</w:t>
      </w:r>
    </w:p>
    <w:p w14:paraId="601B1DB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5.3.4.4.11商务办公类数据签名接口</w:t>
      </w:r>
    </w:p>
    <w:p w14:paraId="067AD47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数据接口内容：签名订单流水ID,医网信医师唯一标识， 展示姓名,展示时间，pdf文件展示主题， 签名备注。</w:t>
      </w:r>
    </w:p>
    <w:p w14:paraId="76827CE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5.3.4.4.12签名状态查询接口(按订单查询)</w:t>
      </w:r>
    </w:p>
    <w:p w14:paraId="5319917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数据接口内容：签名流水号，签名数据唯一标识，签名数据状态，签名人用户openId，auth签名二维码base64。</w:t>
      </w:r>
    </w:p>
    <w:p w14:paraId="363A984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5.3.4.4.13获取签名结果接口</w:t>
      </w:r>
    </w:p>
    <w:p w14:paraId="58A056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数据接口内容：签名流水号，签名数据唯一标识，p7签名结果，pdf文件base64编码，p1签名结果，用户证书，签名图章的base64字符串，签名时间，失败或拒签原因。</w:t>
      </w:r>
    </w:p>
    <w:p w14:paraId="6B4A8915">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5.3.4.4.14签名状态批量查询接口(按订单id批量查询)</w:t>
      </w:r>
    </w:p>
    <w:p w14:paraId="656D497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数据接口内容：签名流水号，签名数据唯一标识，签名数据状态，签名人用户openId，订单id查询不到时提示。</w:t>
      </w:r>
    </w:p>
    <w:p w14:paraId="33D64AD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5.3.4.4.15签名状态查询接口(按时间查询)</w:t>
      </w:r>
    </w:p>
    <w:p w14:paraId="69DD165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数据接口内容：开始时间，结束时间，页码，页条数，医生唯一标识，签名数据状态。</w:t>
      </w:r>
    </w:p>
    <w:p w14:paraId="1053087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5.3.4.4.16删除待签数据接口</w:t>
      </w:r>
    </w:p>
    <w:p w14:paraId="7A548FD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数据接口内容：签名数据唯一标识。</w:t>
      </w:r>
    </w:p>
    <w:p w14:paraId="01A2B94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5.3.4.4.16.1签名回调接口</w:t>
      </w:r>
    </w:p>
    <w:p w14:paraId="6D58355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数据接口内容：处方ID，医网信处方唯一标识，签名订单状态，处方哈希的 P7签名，pdf文件流，拒绝签名原因，作废时间（仅在作废状态时回调），签名医师openId。</w:t>
      </w:r>
    </w:p>
    <w:p w14:paraId="7DE5939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5.3.4.4.17 pdf签名盖章接口</w:t>
      </w:r>
    </w:p>
    <w:p w14:paraId="1BE7428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部门ID，部门签章授权用户的openId，pdf数组字节的base64编码格式，（关键字盖章）盖章区域定位关键字，（关键字盖章）搜索顺序，指定页内关键字序号。（关键字盖章）印章位置（相对于盖章关键字），（坐标盖章）x坐标 大于50，（坐标盖章）Y坐标 大于50，（坐标盖章）通过坐标定位时，盖章图章大小百分比。</w:t>
      </w:r>
    </w:p>
    <w:p w14:paraId="7D5C039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  CA电子签名-患者</w:t>
      </w:r>
    </w:p>
    <w:p w14:paraId="138B32C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5.3.4.5.1同步签名数据</w:t>
      </w:r>
    </w:p>
    <w:p w14:paraId="42605C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body）：pdf签名在院内系统的唯一标识，账号ID，医生姓名，患者姓名，证件类型，患者身份证号、护照号、患者ID，pdf文件的base64格式，文件名，检索字段，展示字段，签署方式，待展示的勾选内容，业务系统标识，当前同步数据在小程序中是否可查看，签名关键字规则列表，待展示的勾选内容，自定义手写意见图片位置信息。</w:t>
      </w:r>
    </w:p>
    <w:p w14:paraId="60F4716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数据接口内容（suggestList）：带勾选的建议内容，1 默认勾选 0 默认不勾选，1 必须勾选 0 非必须勾选。</w:t>
      </w:r>
    </w:p>
    <w:p w14:paraId="221B191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role）：关键字，关键字批量签名id，坐标定位盖章参数x坐标，坐标定位盖章参数y坐标，（关键字盖章）印章位置，（关键字盖章）搜索顺序，关键字的次序，搜索页，默认不传，自定义签名时间显示位置，跳转类型。</w:t>
      </w:r>
    </w:p>
    <w:p w14:paraId="1181B06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数据接口内容（signTimePosition）：是否隐藏时间，搜索页，坐标定位参数x坐标，坐标定位参数y坐标，签名时间关键字，位置，搜索顺序，寻找第几个时间关键字。</w:t>
      </w:r>
    </w:p>
    <w:p w14:paraId="70ED5FB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数据接口内容（writeOpinion）：图片需要插入到第几页，坐标定位参数x坐标，坐标定位参数y坐标，缩放比例。</w:t>
      </w:r>
    </w:p>
    <w:p w14:paraId="2067F35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5.3.4.5.2医网信患者签名APP（PAD版）签名</w:t>
      </w:r>
    </w:p>
    <w:p w14:paraId="667D0EE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医院各个科室登录医网信患者签名APP（PAD版），并根据患者姓名等关键字查询待签列表， 患者使用医网信患者签名APP（PAD版）进入待签名列表完成签名。</w:t>
      </w:r>
    </w:p>
    <w:p w14:paraId="18943C1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5.3.4.5.3签名结果获取接口</w:t>
      </w:r>
    </w:p>
    <w:p w14:paraId="37A297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签名成功后，医网信提供主动拉取签名结果接口。</w:t>
      </w:r>
    </w:p>
    <w:p w14:paraId="7CC8A6A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5.3.4.5.4同步签名数据接口</w:t>
      </w:r>
    </w:p>
    <w:p w14:paraId="59C53DC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body）：pdf签名在院内系统的唯一标识，账号ID，医生姓名，患者姓名，证件类型，患者身份证号、护照号、患者ID，pdf文件的base64格式，文件名，检索字段，展示字段，签署方式，待展示的勾选内容，业务系统标识，当前同步数据在小程序中是否可查看，签名关键字规则列表，待展示的勾选内容，自定义手写意见图片位置信息。</w:t>
      </w:r>
    </w:p>
    <w:p w14:paraId="32952F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数据接口内容（suggestList）：带勾选的建议内容，1 默认勾选 0 默认不勾选，1 必须勾选 0 非必须勾选。</w:t>
      </w:r>
    </w:p>
    <w:p w14:paraId="73B338F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role）：关键字，关键字批量签名id，坐标定位盖章参数x坐标，坐标定位盖章参数y坐标，（关键字盖章）印章位置，（关键字盖章）搜索顺序，关键字的次序，搜索页，默认不传，自定义签名时间显示位置，跳转类型。</w:t>
      </w:r>
    </w:p>
    <w:p w14:paraId="7EDF284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数据接口内容（signTimePosition）：是否隐藏时间，搜索页，坐标定位参数x坐标，坐标定位参数y坐标，签名时间关键字，位置，搜索顺序，寻找第几个时间关键字。</w:t>
      </w:r>
    </w:p>
    <w:p w14:paraId="07D0DB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数据接口内容（writeOpinion）：图片需要插入到第几页，坐标定位参数x坐标，坐标定位参数y坐标，缩放比例。</w:t>
      </w:r>
    </w:p>
    <w:p w14:paraId="791A54F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5.3.4.5.5获取签名状态接口</w:t>
      </w:r>
    </w:p>
    <w:p w14:paraId="2D6C316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数据接口内容（data）：同步时间,签名状态,签名时间,签名结果列表。</w:t>
      </w:r>
    </w:p>
    <w:p w14:paraId="7E9C479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数据接口内容（signResult中的json格式）：签名关键字，签名关键字ID，签名状态 ，签名时间.</w:t>
      </w:r>
    </w:p>
    <w:p w14:paraId="2740C3D0">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5.3.4.5.6获取签名结果接口</w:t>
      </w:r>
    </w:p>
    <w:p w14:paraId="688BDAA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数据接口内容（data）：同步时间，签名状态，签名时间，签名后pdf文件base64，手写图片base64，签名结果列表，勾选建议，批注图片base64列表。</w:t>
      </w:r>
    </w:p>
    <w:p w14:paraId="533A882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数据接口内容（suggestInfo中的json格式）：是否勾选，勾选建议描述。</w:t>
      </w:r>
    </w:p>
    <w:p w14:paraId="144E0B6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数据接口内容（signResult中的json格式）：签名关键字，签名关键字id，签名状态，签名时间，签章图片base64，签名值，签署人信息。</w:t>
      </w:r>
    </w:p>
    <w:p w14:paraId="3E954F9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5.3.4.5.7 pdf转换工具接口</w:t>
      </w:r>
    </w:p>
    <w:p w14:paraId="5C42270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数据接口内容：html内容字符串，转换类型（1：转换html 2 转换word），word文档base64编码字符串。</w:t>
      </w:r>
    </w:p>
    <w:p w14:paraId="417F069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5.3.4.5.8获取账号Id列表</w:t>
      </w:r>
    </w:p>
    <w:p w14:paraId="61C60B8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数据接口内容：厂商id，账号，每页条数，页码。</w:t>
      </w:r>
    </w:p>
    <w:p w14:paraId="22542DC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5.3.4.5.9添加账号</w:t>
      </w:r>
    </w:p>
    <w:p w14:paraId="45AA3A8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数据接口内容：第三方厂商标识，账号，账号id ，密码 ，强制拍照，强制录音。</w:t>
      </w:r>
    </w:p>
    <w:p w14:paraId="613AEDF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5.3.4.5.10删除待编辑或待签数据</w:t>
      </w:r>
    </w:p>
    <w:p w14:paraId="77DA80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数据接口内容：第三方厂商标识，订单id。</w:t>
      </w:r>
    </w:p>
    <w:p w14:paraId="44947621">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5.3.4.5.11签名状态通知接口</w:t>
      </w:r>
    </w:p>
    <w:p w14:paraId="3DF32ED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数据接口内容（body）：签名数据第三方唯一标识，医网信处方唯一标识，pdf文件流（base64编码，签名结果列表，医生签名信息列表，手写图片base64，勾选建议。</w:t>
      </w:r>
    </w:p>
    <w:p w14:paraId="733DA0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数据接口内容（signResults中的json格式）：签名关键字，签名时间戳，签章图片base64，签名值，签署人信息。</w:t>
      </w:r>
    </w:p>
    <w:p w14:paraId="7C17FCE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p>
    <w:p w14:paraId="4C2128D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5.4终端发布及展示建设内容</w:t>
      </w:r>
    </w:p>
    <w:p w14:paraId="3E8871E3">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5.4.1数据分析平台（数据驾驶舱）</w:t>
      </w:r>
    </w:p>
    <w:p w14:paraId="3C0D974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5.4.1.1概览大屏</w:t>
      </w:r>
    </w:p>
    <w:p w14:paraId="12C9A98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概览大屏，作为数据驾驶舱的延伸与展示窗口，进一步强化了数据可视化的震撼效果与直观性，它通常被部署于医院大厅、监控中心或重要会议室等显眼位置，成为医疗数字化转型的标志性存在。</w:t>
      </w:r>
    </w:p>
    <w:p w14:paraId="606C047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概览大屏可系统的、全面展示区域指挥中心急救和急诊业务数据展示。</w:t>
      </w:r>
    </w:p>
    <w:p w14:paraId="24ECD36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用户点击概览大屏，进入概览大屏页面，可以以图表形式查看近七天急救数据总览，内容包含急救数，生命体征采集数，病历书写率。</w:t>
      </w:r>
    </w:p>
    <w:p w14:paraId="66052DA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可查看近七天急救反应时间，内容包含：出车时间，到达时间。</w:t>
      </w:r>
    </w:p>
    <w:p w14:paraId="05BA136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可查看近七天急救病种排名，内容包含：创伤，胸痛，卒中，危重孕产妇，危重新生儿。</w:t>
      </w:r>
    </w:p>
    <w:p w14:paraId="757D102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可查看新增急诊患者年龄层级柱状图。</w:t>
      </w:r>
    </w:p>
    <w:p w14:paraId="468C82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可查看近七天新增急诊患者性别饼图。</w:t>
      </w:r>
    </w:p>
    <w:p w14:paraId="5132423A">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可查看新增急诊患者趋势图，内容包含：急诊数，ⅠⅡ患者数，Ⅲ，Ⅳ级患者数，留抢患者数，留观患者数。</w:t>
      </w:r>
    </w:p>
    <w:p w14:paraId="556E63B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可查看分时（每2小时）急救数据，内容包含：急诊数，ⅠⅡ患者数，Ⅲ，Ⅳ级患者数，留抢患者数，留观患者数。</w:t>
      </w:r>
    </w:p>
    <w:p w14:paraId="723F0BD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可查看每日急诊五大中心数据，内容包含：胸痛数、卒中数、创伤数，危重孕产妇数，危重新生儿数。</w:t>
      </w:r>
    </w:p>
    <w:p w14:paraId="39B64B72">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5.4.2院内急诊系统</w:t>
      </w:r>
    </w:p>
    <w:p w14:paraId="550AC8B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5.4.2.1急诊智慧屏及系统设置</w:t>
      </w:r>
    </w:p>
    <w:p w14:paraId="0919BBA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5.4.2.1.1急诊智慧屏</w:t>
      </w:r>
    </w:p>
    <w:p w14:paraId="49A6EC1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以大屏方式展示急诊科运行情况，实时清晰呈现急诊医疗资源占用情况、区域内病人一览信息，值班医护基本信息。</w:t>
      </w:r>
      <w:r>
        <w:rPr>
          <w:rFonts w:hint="eastAsia" w:ascii="宋体" w:hAnsi="宋体" w:cs="宋体"/>
          <w:color w:val="auto"/>
          <w:sz w:val="22"/>
          <w:szCs w:val="22"/>
          <w:highlight w:val="none"/>
          <w:shd w:val="clear" w:color="auto" w:fill="auto"/>
          <w:lang w:eastAsia="zh-CN"/>
        </w:rPr>
        <w:t>展示</w:t>
      </w:r>
      <w:r>
        <w:rPr>
          <w:rFonts w:hint="eastAsia" w:ascii="宋体" w:hAnsi="宋体" w:eastAsia="宋体" w:cs="宋体"/>
          <w:color w:val="auto"/>
          <w:sz w:val="22"/>
          <w:szCs w:val="22"/>
          <w:highlight w:val="none"/>
          <w:shd w:val="clear" w:color="auto" w:fill="auto"/>
        </w:rPr>
        <w:t>今日就诊、留抢人数；</w:t>
      </w:r>
      <w:r>
        <w:rPr>
          <w:rFonts w:hint="eastAsia" w:ascii="宋体" w:hAnsi="宋体" w:cs="宋体"/>
          <w:color w:val="auto"/>
          <w:sz w:val="22"/>
          <w:szCs w:val="22"/>
          <w:highlight w:val="none"/>
          <w:shd w:val="clear" w:color="auto" w:fill="auto"/>
          <w:lang w:eastAsia="zh-CN"/>
        </w:rPr>
        <w:t>展示</w:t>
      </w:r>
      <w:r>
        <w:rPr>
          <w:rFonts w:hint="eastAsia" w:ascii="宋体" w:hAnsi="宋体" w:eastAsia="宋体" w:cs="宋体"/>
          <w:color w:val="auto"/>
          <w:sz w:val="22"/>
          <w:szCs w:val="22"/>
          <w:highlight w:val="none"/>
          <w:shd w:val="clear" w:color="auto" w:fill="auto"/>
        </w:rPr>
        <w:t>今日占比数；展示今日各级患者比例图；展示24小时就诊分布图；展示今日就诊科室就诊图；展示今日就诊年龄性别统计图；可以以视频、图片、文字的方式进行健康宣教。</w:t>
      </w:r>
    </w:p>
    <w:p w14:paraId="0BC74A77">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5.4.2.1.2用户管理</w:t>
      </w:r>
    </w:p>
    <w:p w14:paraId="2C9FDD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用户进入系统设置页面，点击用户管理，左侧展示机构数信息，点选某机构，右侧展示对应机构的用户信息列表和用户所属角色列表。</w:t>
      </w:r>
    </w:p>
    <w:p w14:paraId="5F10093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点击新增按钮，弹出用户新增页面，编辑用户信息后点击保存，实现新增用户功能。</w:t>
      </w:r>
    </w:p>
    <w:p w14:paraId="15C8725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选中某用户，点击修改按钮，弹出修改页面，可编辑用户信息，点击保存后，实现用户修改功能。</w:t>
      </w:r>
    </w:p>
    <w:p w14:paraId="43558F1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点击删除按钮，可实现删除用户功能。</w:t>
      </w:r>
    </w:p>
    <w:p w14:paraId="2A7954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点击用户授权按钮，弹出授权页面，左侧显示未授权角色列表，右侧显示已授权角色列表，点击授权，可实现用户授权功能。</w:t>
      </w:r>
    </w:p>
    <w:p w14:paraId="566FC23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点击密码重置按钮，弹出修改密码页面，录入新密码点击保存，实现密码重置功能。</w:t>
      </w:r>
    </w:p>
    <w:p w14:paraId="2865082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点击用户调配按钮，弹出用户调配界面，录入调配科室点击保存，实现用户科室调配功能。</w:t>
      </w:r>
    </w:p>
    <w:p w14:paraId="10195FF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点击禁用按钮，可关闭用户登录权限。</w:t>
      </w:r>
    </w:p>
    <w:p w14:paraId="56C3ADAF">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5.4.2.1.3数据字典配置</w:t>
      </w:r>
    </w:p>
    <w:p w14:paraId="1CCA376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用户进入系统设置页面，点击数据字典配置，左侧显示基础类别列表，点击某类别，右侧显示数据字典子项列表。</w:t>
      </w:r>
    </w:p>
    <w:p w14:paraId="186790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点击新增按钮，弹出数据字典新增页面，编辑数据字典信息后点击保存，实现新增数据字典功能。</w:t>
      </w:r>
    </w:p>
    <w:p w14:paraId="77212F2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选中某数据字典子项信息，点击修改按钮，弹出修改页面，可编辑数据字典信息，点击保存后，实现数据字典修改功能。</w:t>
      </w:r>
    </w:p>
    <w:p w14:paraId="11580F5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点击删除按钮，可实现删除数据字典子项功能。</w:t>
      </w:r>
    </w:p>
    <w:p w14:paraId="4B50D02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通过点击设置启用和禁用按钮，实现数据字典内容设置可用和设置不可用功能。</w:t>
      </w:r>
    </w:p>
    <w:p w14:paraId="202E645C">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5.4.2.1.4系统对接</w:t>
      </w:r>
    </w:p>
    <w:p w14:paraId="6DA216F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通过与第三方系统数据对接，获取第三方系统相关数据，根据用户需要进行数据筛选并展示。</w:t>
      </w:r>
    </w:p>
    <w:p w14:paraId="7F53FE3E">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与PACS系统对接：展示检查信息。</w:t>
      </w:r>
    </w:p>
    <w:p w14:paraId="51AA8C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与LIS系统对接：展示检验信息。</w:t>
      </w:r>
    </w:p>
    <w:p w14:paraId="56B8751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与HIS系统对接：展示医嘱信息。</w:t>
      </w:r>
    </w:p>
    <w:p w14:paraId="159844B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与医院平台单点登录系统对接：实现系统单点登录功能。</w:t>
      </w:r>
    </w:p>
    <w:p w14:paraId="3A810DF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与呼叫系统、呼叫屏及诊间屏数据对接：实现信息同步。</w:t>
      </w:r>
    </w:p>
    <w:p w14:paraId="363338F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5.4.3五大中心</w:t>
      </w:r>
    </w:p>
    <w:p w14:paraId="3C981F5E">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5.4.3.1胸痛中心-大数据可视化大屏</w:t>
      </w:r>
    </w:p>
    <w:p w14:paraId="35FAD77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点击进入胸痛大屏界面，汇总展示关键信息，将胸痛中心当前建设成果直观展示。</w:t>
      </w:r>
    </w:p>
    <w:p w14:paraId="0EFCA34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实现胸痛中心数据总览展示功能。</w:t>
      </w:r>
    </w:p>
    <w:p w14:paraId="334CD8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实现胸痛患者数量统计展示功能。</w:t>
      </w:r>
    </w:p>
    <w:p w14:paraId="596F626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实现胸痛患者趋势图展示功能。</w:t>
      </w:r>
    </w:p>
    <w:p w14:paraId="2291FD0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实现诊断结果统计展示功能。</w:t>
      </w:r>
    </w:p>
    <w:p w14:paraId="138918B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实现来院方式统计展示功能。</w:t>
      </w:r>
    </w:p>
    <w:p w14:paraId="1382697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实现转归情况统计展示功能。</w:t>
      </w:r>
    </w:p>
    <w:p w14:paraId="3563794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实现关键质控趋势图展示功能。</w:t>
      </w:r>
    </w:p>
    <w:p w14:paraId="5208B94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实现网络医院统计展示功能。</w:t>
      </w:r>
    </w:p>
    <w:p w14:paraId="05E5884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5.4.3.2卒中中心-大数据可视化大屏</w:t>
      </w:r>
    </w:p>
    <w:p w14:paraId="30308F6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点击进入卒中大屏界面，汇总展示关键信息，将卒中中心当前建设成果直观展示。</w:t>
      </w:r>
    </w:p>
    <w:p w14:paraId="7B23E77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实现卒中中心数据总览展示功能。</w:t>
      </w:r>
    </w:p>
    <w:p w14:paraId="2943040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实现卒中患者数量统计展示功能。</w:t>
      </w:r>
    </w:p>
    <w:p w14:paraId="3385BE2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实现卒中患者趋势图展示功能。</w:t>
      </w:r>
    </w:p>
    <w:p w14:paraId="244513F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实现诊断结果统计展示功能。</w:t>
      </w:r>
    </w:p>
    <w:p w14:paraId="46CD84C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实现来院方式统计展示功能。</w:t>
      </w:r>
    </w:p>
    <w:p w14:paraId="1CEBCD2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实现转归情况统计展示功能。</w:t>
      </w:r>
    </w:p>
    <w:p w14:paraId="2251A85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实现关键质控趋势图展示功能。</w:t>
      </w:r>
    </w:p>
    <w:p w14:paraId="3C2D54E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实现DNT时间占比统计展示功能。</w:t>
      </w:r>
    </w:p>
    <w:p w14:paraId="51956F14">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5.4.3.3创伤中心-大数据可视化大屏</w:t>
      </w:r>
    </w:p>
    <w:p w14:paraId="35E9F9B8">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点击进入创伤大屏界面，汇总展示关键信息，将创伤中心当前建设成果直观展示。</w:t>
      </w:r>
    </w:p>
    <w:p w14:paraId="2D5DAE4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实现创伤中心数据总览展示。</w:t>
      </w:r>
    </w:p>
    <w:p w14:paraId="708811D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实现创伤评分完成率统计展示。</w:t>
      </w:r>
    </w:p>
    <w:p w14:paraId="19CDB5B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实现ISS评分分布展示。</w:t>
      </w:r>
    </w:p>
    <w:p w14:paraId="0AF51D4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实现创伤抢救措施统计展示。</w:t>
      </w:r>
    </w:p>
    <w:p w14:paraId="79F1C33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实现严重创伤患者抢救成功率展示。</w:t>
      </w:r>
    </w:p>
    <w:p w14:paraId="1F9BA5E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实现关键质控趋势图展示。</w:t>
      </w:r>
    </w:p>
    <w:p w14:paraId="4D7889E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实现MDT启动比例展示。</w:t>
      </w:r>
    </w:p>
    <w:p w14:paraId="42302D2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5.4.3.4危重孕产妇中心-大数据可视化大屏</w:t>
      </w:r>
    </w:p>
    <w:p w14:paraId="3F55D91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点击进入危重孕产妇大屏界面，汇总展示关键信息，将危重孕产妇中心当前建设成果直观展示。</w:t>
      </w:r>
    </w:p>
    <w:p w14:paraId="231C151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实现危重孕产妇中心数据总览展示功能。</w:t>
      </w:r>
    </w:p>
    <w:p w14:paraId="27B18E0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实现危重孕产妇患者数量统计展示功能。</w:t>
      </w:r>
    </w:p>
    <w:p w14:paraId="700C142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实现危重孕产妇患者趋势图展示功能。</w:t>
      </w:r>
    </w:p>
    <w:p w14:paraId="2B473A23">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实现评分完成率统计展示功能。</w:t>
      </w:r>
    </w:p>
    <w:p w14:paraId="4D7BF37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实现抢救措施统计展示功能。</w:t>
      </w:r>
    </w:p>
    <w:p w14:paraId="6B29FD0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实现抢救成功率展示功能。</w:t>
      </w:r>
    </w:p>
    <w:p w14:paraId="1924072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实现死亡率统计展示功能。</w:t>
      </w:r>
    </w:p>
    <w:p w14:paraId="261568CF">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实现外院转入比例展示功能。</w:t>
      </w:r>
    </w:p>
    <w:p w14:paraId="27936FCA">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5.4.3.5危重新生儿中心-大数据可视化大屏</w:t>
      </w:r>
    </w:p>
    <w:p w14:paraId="4907B27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点击进入危重新生儿大屏界面，汇总展示关键信息，将危重新生儿中心当前建设成果直观展示。</w:t>
      </w:r>
    </w:p>
    <w:p w14:paraId="45C5DD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实现危重新生儿中心数据总览展示。</w:t>
      </w:r>
    </w:p>
    <w:p w14:paraId="48D83CD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实现危重新生儿数量统计展示。</w:t>
      </w:r>
    </w:p>
    <w:p w14:paraId="18984B0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实现评分完成率统计展示。</w:t>
      </w:r>
    </w:p>
    <w:p w14:paraId="5D48A67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实现危重新生儿患者趋势图展示。</w:t>
      </w:r>
    </w:p>
    <w:p w14:paraId="2596BD4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实现抢救措施统计展示。</w:t>
      </w:r>
    </w:p>
    <w:p w14:paraId="0BEE4B4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实现抢救成功率展示。</w:t>
      </w:r>
    </w:p>
    <w:p w14:paraId="67D334FB">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实现死亡率统计展示。</w:t>
      </w:r>
    </w:p>
    <w:p w14:paraId="799A5C49">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外院转入比例展示。</w:t>
      </w:r>
    </w:p>
    <w:p w14:paraId="1FE072A6">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5.5网络安全体系建设内容</w:t>
      </w:r>
    </w:p>
    <w:p w14:paraId="7367015D">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5.5.1等保方案</w:t>
      </w:r>
    </w:p>
    <w:p w14:paraId="0A811186">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本项目中涉及的业务系统，需要满足等级保护二级的要求，在利旧使用当前现网等保环境，还需要加强多个方面的安全服务。</w:t>
      </w:r>
    </w:p>
    <w:p w14:paraId="53BBC0E9">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5.5.1.1等级测评</w:t>
      </w:r>
    </w:p>
    <w:p w14:paraId="70B4DBA5">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等保定级咨询：根据等保相关标准的定级方法和指导意见，对系统进行定级对象分析、定级要素分析，初步确定系统保护等级，协助召开定级专家评审会议，确定系统保护等级，协助编制《等级保护定级报告》和《备案表》。协助联络公安机关，完成定级备案工作。</w:t>
      </w:r>
    </w:p>
    <w:p w14:paraId="5082C224">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等保测评：完成系统的基本情况调查、测评实施、工具扫描，对测评发现问题进行风险分析，编制测评报告，完成测评备案。具体内容：根据等保相关标准，对系统开展安全技术测评（包括物理安全、网络安全、主机系统安全、应用安全和数据安全等五个方面的安全测评）和安全管理测评（安全管理机构、安全管理制度、人员安全管理、系统建设管理和系统运维管理等五个方面的安全测评），出具符合信息安全等级保护主管部门要求的信息系统安全等级保护测评报告。要求提交的测评报告符合相应技术规范，并完成信息系统安全保护等级备案工作。</w:t>
      </w:r>
    </w:p>
    <w:p w14:paraId="65ED87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等保整改咨询：针对系统业务需求和部署环境，对等级测评发现的安全问题和漏洞隐患，提供安全整改咨询服务，形成测评问题汇总和整改建议。</w:t>
      </w:r>
    </w:p>
    <w:p w14:paraId="41AFE08B">
      <w:pPr>
        <w:pageBreakBefore w:val="0"/>
        <w:kinsoku/>
        <w:wordWrap/>
        <w:topLinePunct w:val="0"/>
        <w:bidi w:val="0"/>
        <w:snapToGrid/>
        <w:spacing w:line="360" w:lineRule="auto"/>
        <w:ind w:firstLine="442" w:firstLineChars="200"/>
        <w:rPr>
          <w:rFonts w:hint="eastAsia"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5.5.1.2信息系统安全等级定级</w:t>
      </w:r>
    </w:p>
    <w:p w14:paraId="49EBA91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信息安全等级保护，是指对国家秘密信息、公民、法人和其他组织的专有信息、公开信息及存储、传输、处理这些信息的信息系统分等级实行安全保护，对信息系统中使用的信息安全产品实行按等级管理，对信息系统中产生的信息安全事件分等级响应、处置。本方案侧重于实现智慧交管等级安全保护的设计目标。</w:t>
      </w:r>
    </w:p>
    <w:p w14:paraId="0F57E151">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根据等保2.0相关的定级方法和指导意见，对系统进行定级对象分析、定级要素分析，初步确定系统保护等级，协助召开定级专家评审会议，确定系统保护等级，协助编制《等级保护定级报告》和《备案表》。协助联络公安机关，完成定级备案工作。</w:t>
      </w:r>
    </w:p>
    <w:p w14:paraId="5B5098D5">
      <w:pPr>
        <w:pageBreakBefore w:val="0"/>
        <w:numPr>
          <w:ilvl w:val="0"/>
          <w:numId w:val="0"/>
        </w:numPr>
        <w:kinsoku/>
        <w:wordWrap/>
        <w:topLinePunct w:val="0"/>
        <w:bidi w:val="0"/>
        <w:snapToGrid/>
        <w:spacing w:line="360" w:lineRule="auto"/>
        <w:ind w:left="420" w:leftChars="0" w:firstLine="0" w:firstLineChars="0"/>
        <w:outlineLvl w:val="0"/>
        <w:rPr>
          <w:rFonts w:hint="default" w:ascii="宋体" w:hAnsi="宋体" w:cs="宋体"/>
          <w:b/>
          <w:bCs/>
          <w:color w:val="auto"/>
          <w:sz w:val="22"/>
          <w:szCs w:val="22"/>
          <w:highlight w:val="none"/>
          <w:shd w:val="clear" w:color="auto" w:fill="auto"/>
          <w:lang w:val="en-US" w:eastAsia="zh-CN"/>
        </w:rPr>
      </w:pPr>
      <w:r>
        <w:rPr>
          <w:rFonts w:hint="eastAsia" w:ascii="宋体" w:hAnsi="宋体" w:cs="宋体"/>
          <w:b/>
          <w:bCs/>
          <w:color w:val="auto"/>
          <w:sz w:val="22"/>
          <w:szCs w:val="22"/>
          <w:highlight w:val="none"/>
          <w:shd w:val="clear" w:color="auto" w:fill="auto"/>
          <w:lang w:val="en-US" w:eastAsia="zh-CN"/>
        </w:rPr>
        <w:t>5.6软件功能清单</w:t>
      </w:r>
    </w:p>
    <w:tbl>
      <w:tblPr>
        <w:tblStyle w:val="43"/>
        <w:tblpPr w:leftFromText="180" w:rightFromText="180" w:vertAnchor="text" w:horzAnchor="page" w:tblpX="1230" w:tblpY="452"/>
        <w:tblOverlap w:val="never"/>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6"/>
        <w:gridCol w:w="639"/>
        <w:gridCol w:w="694"/>
        <w:gridCol w:w="986"/>
        <w:gridCol w:w="6555"/>
      </w:tblGrid>
      <w:tr w14:paraId="53E8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5" w:hRule="atLeast"/>
        </w:trPr>
        <w:tc>
          <w:tcPr>
            <w:tcW w:w="576" w:type="dxa"/>
            <w:shd w:val="clear" w:color="auto" w:fill="auto"/>
            <w:vAlign w:val="center"/>
          </w:tcPr>
          <w:p w14:paraId="775A18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639" w:type="dxa"/>
            <w:shd w:val="clear" w:color="auto" w:fill="auto"/>
            <w:vAlign w:val="center"/>
          </w:tcPr>
          <w:p w14:paraId="7E563E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系统名称</w:t>
            </w:r>
          </w:p>
        </w:tc>
        <w:tc>
          <w:tcPr>
            <w:tcW w:w="694" w:type="dxa"/>
            <w:shd w:val="clear" w:color="auto" w:fill="auto"/>
            <w:vAlign w:val="center"/>
          </w:tcPr>
          <w:p w14:paraId="537E55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子系统名称</w:t>
            </w:r>
          </w:p>
        </w:tc>
        <w:tc>
          <w:tcPr>
            <w:tcW w:w="986" w:type="dxa"/>
            <w:shd w:val="clear" w:color="auto" w:fill="auto"/>
            <w:vAlign w:val="center"/>
          </w:tcPr>
          <w:p w14:paraId="6C6C3E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子系统功能模块名称</w:t>
            </w:r>
          </w:p>
        </w:tc>
        <w:tc>
          <w:tcPr>
            <w:tcW w:w="6555" w:type="dxa"/>
            <w:shd w:val="clear" w:color="auto" w:fill="auto"/>
            <w:vAlign w:val="center"/>
          </w:tcPr>
          <w:p w14:paraId="221E55D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子系统功能模块描述</w:t>
            </w:r>
          </w:p>
        </w:tc>
      </w:tr>
      <w:tr w14:paraId="3E2A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316AE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39" w:type="dxa"/>
            <w:vMerge w:val="restart"/>
            <w:shd w:val="clear" w:color="auto" w:fill="auto"/>
            <w:vAlign w:val="center"/>
          </w:tcPr>
          <w:p w14:paraId="6FEDD9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数据分析平台</w:t>
            </w:r>
          </w:p>
        </w:tc>
        <w:tc>
          <w:tcPr>
            <w:tcW w:w="1680" w:type="dxa"/>
            <w:gridSpan w:val="2"/>
            <w:vMerge w:val="restart"/>
            <w:shd w:val="clear" w:color="auto" w:fill="auto"/>
            <w:vAlign w:val="center"/>
          </w:tcPr>
          <w:p w14:paraId="0567BF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概览大屏</w:t>
            </w:r>
          </w:p>
        </w:tc>
        <w:tc>
          <w:tcPr>
            <w:tcW w:w="6555" w:type="dxa"/>
            <w:shd w:val="clear" w:color="auto" w:fill="auto"/>
            <w:vAlign w:val="center"/>
          </w:tcPr>
          <w:p w14:paraId="1191A6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支持系统的、全面展示区域指挥中心急救和急诊业务数据展示</w:t>
            </w:r>
          </w:p>
        </w:tc>
      </w:tr>
      <w:tr w14:paraId="16A3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1A96A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39" w:type="dxa"/>
            <w:vMerge w:val="continue"/>
            <w:shd w:val="clear" w:color="auto" w:fill="auto"/>
            <w:vAlign w:val="center"/>
          </w:tcPr>
          <w:p w14:paraId="79E13A5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633B74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BD500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支持近七天急救数据总览展示：急救数，生命体征采集数，病历书写率</w:t>
            </w:r>
          </w:p>
        </w:tc>
      </w:tr>
      <w:tr w14:paraId="112B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FD333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39" w:type="dxa"/>
            <w:vMerge w:val="continue"/>
            <w:shd w:val="clear" w:color="auto" w:fill="auto"/>
            <w:vAlign w:val="center"/>
          </w:tcPr>
          <w:p w14:paraId="05092D6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5C782E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D5353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支持近七天急救反应时间展示：出车时间，到达时间</w:t>
            </w:r>
          </w:p>
        </w:tc>
      </w:tr>
      <w:tr w14:paraId="7D5F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C2C81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39" w:type="dxa"/>
            <w:vMerge w:val="continue"/>
            <w:shd w:val="clear" w:color="auto" w:fill="auto"/>
            <w:vAlign w:val="center"/>
          </w:tcPr>
          <w:p w14:paraId="4BBE9FA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781D29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51B1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支持近七天急救病种排名展示：创伤，胸痛，卒中，危重孕产妇，危重新生儿</w:t>
            </w:r>
          </w:p>
        </w:tc>
      </w:tr>
      <w:tr w14:paraId="252F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4F342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639" w:type="dxa"/>
            <w:vMerge w:val="continue"/>
            <w:shd w:val="clear" w:color="auto" w:fill="auto"/>
            <w:vAlign w:val="center"/>
          </w:tcPr>
          <w:p w14:paraId="74B2C7B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3A581D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8803C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支持近七天新增急诊患者年龄层级柱状图展示</w:t>
            </w:r>
          </w:p>
        </w:tc>
      </w:tr>
      <w:tr w14:paraId="4B30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0C05B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39" w:type="dxa"/>
            <w:vMerge w:val="continue"/>
            <w:shd w:val="clear" w:color="auto" w:fill="auto"/>
            <w:vAlign w:val="center"/>
          </w:tcPr>
          <w:p w14:paraId="3B84A3D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7AEEB4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8B74D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支持近七天新增急诊患者性别饼图展示</w:t>
            </w:r>
          </w:p>
        </w:tc>
      </w:tr>
      <w:tr w14:paraId="21F9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0CB50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639" w:type="dxa"/>
            <w:vMerge w:val="continue"/>
            <w:shd w:val="clear" w:color="auto" w:fill="auto"/>
            <w:vAlign w:val="center"/>
          </w:tcPr>
          <w:p w14:paraId="021B8C1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03EA76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2B797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★支持近七天新增急诊患者趋势图展示：急诊数，ⅠⅡ患者数，Ⅲ，Ⅳ级患者数，留抢患者数，留观患者数</w:t>
            </w:r>
          </w:p>
        </w:tc>
      </w:tr>
      <w:tr w14:paraId="2B0F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FA57A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639" w:type="dxa"/>
            <w:vMerge w:val="continue"/>
            <w:shd w:val="clear" w:color="auto" w:fill="auto"/>
            <w:vAlign w:val="center"/>
          </w:tcPr>
          <w:p w14:paraId="3FC35989">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F0524F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D69A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按照分时（每2小时）急救数据展示：急诊数，ⅠⅡ患者数，Ⅲ，Ⅳ级患者数，留抢患者数，留观患者数</w:t>
            </w:r>
          </w:p>
        </w:tc>
      </w:tr>
      <w:tr w14:paraId="06C0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8E573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639" w:type="dxa"/>
            <w:vMerge w:val="continue"/>
            <w:shd w:val="clear" w:color="auto" w:fill="auto"/>
            <w:vAlign w:val="center"/>
          </w:tcPr>
          <w:p w14:paraId="3EDF5ABC">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9BA825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82093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支持每日急诊五大中心数据展示：胸痛数、卒中数、创伤数，危重孕产妇数，危重新生儿数</w:t>
            </w:r>
          </w:p>
        </w:tc>
      </w:tr>
      <w:tr w14:paraId="45EC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15C2B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39" w:type="dxa"/>
            <w:vMerge w:val="continue"/>
            <w:shd w:val="clear" w:color="auto" w:fill="auto"/>
            <w:vAlign w:val="center"/>
          </w:tcPr>
          <w:p w14:paraId="0094C7B7">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7D8545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院前质控报表</w:t>
            </w:r>
          </w:p>
        </w:tc>
        <w:tc>
          <w:tcPr>
            <w:tcW w:w="6555" w:type="dxa"/>
            <w:shd w:val="clear" w:color="auto" w:fill="auto"/>
            <w:vAlign w:val="center"/>
          </w:tcPr>
          <w:p w14:paraId="74C97A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分医院每日急救数据统计</w:t>
            </w:r>
          </w:p>
        </w:tc>
      </w:tr>
      <w:tr w14:paraId="7B88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888D2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639" w:type="dxa"/>
            <w:vMerge w:val="continue"/>
            <w:shd w:val="clear" w:color="auto" w:fill="auto"/>
            <w:vAlign w:val="center"/>
          </w:tcPr>
          <w:p w14:paraId="2664431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78C0F9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97123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分医院近七天急救数据统计</w:t>
            </w:r>
          </w:p>
        </w:tc>
      </w:tr>
      <w:tr w14:paraId="106E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6BE83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639" w:type="dxa"/>
            <w:vMerge w:val="continue"/>
            <w:shd w:val="clear" w:color="auto" w:fill="auto"/>
            <w:vAlign w:val="center"/>
          </w:tcPr>
          <w:p w14:paraId="75046BF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4CE194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CC39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分医院每日五大中心患者统计</w:t>
            </w:r>
          </w:p>
        </w:tc>
      </w:tr>
      <w:tr w14:paraId="4624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C4467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639" w:type="dxa"/>
            <w:vMerge w:val="continue"/>
            <w:shd w:val="clear" w:color="auto" w:fill="auto"/>
            <w:vAlign w:val="center"/>
          </w:tcPr>
          <w:p w14:paraId="07A21F3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57F3B8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9B98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★分医院近七天五大中心患者统计</w:t>
            </w:r>
          </w:p>
        </w:tc>
      </w:tr>
      <w:tr w14:paraId="4B96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2C43B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639" w:type="dxa"/>
            <w:vMerge w:val="continue"/>
            <w:shd w:val="clear" w:color="auto" w:fill="auto"/>
            <w:vAlign w:val="center"/>
          </w:tcPr>
          <w:p w14:paraId="504F81C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E67032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63C25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分医院急救年龄，性别层级统计</w:t>
            </w:r>
          </w:p>
        </w:tc>
      </w:tr>
      <w:tr w14:paraId="5CC3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498A9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639" w:type="dxa"/>
            <w:vMerge w:val="continue"/>
            <w:shd w:val="clear" w:color="auto" w:fill="auto"/>
            <w:vAlign w:val="center"/>
          </w:tcPr>
          <w:p w14:paraId="5229A28C">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2B7A49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院内质控报表</w:t>
            </w:r>
          </w:p>
        </w:tc>
        <w:tc>
          <w:tcPr>
            <w:tcW w:w="6555" w:type="dxa"/>
            <w:shd w:val="clear" w:color="auto" w:fill="auto"/>
            <w:vAlign w:val="center"/>
          </w:tcPr>
          <w:p w14:paraId="08941B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分医院每日急诊数据统计</w:t>
            </w:r>
          </w:p>
        </w:tc>
      </w:tr>
      <w:tr w14:paraId="4D7D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7BA0A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639" w:type="dxa"/>
            <w:vMerge w:val="continue"/>
            <w:shd w:val="clear" w:color="auto" w:fill="auto"/>
            <w:vAlign w:val="center"/>
          </w:tcPr>
          <w:p w14:paraId="00694AF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15F6B4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A8E61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分医院近七天急诊数据统计</w:t>
            </w:r>
          </w:p>
        </w:tc>
      </w:tr>
      <w:tr w14:paraId="0DF3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44742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639" w:type="dxa"/>
            <w:vMerge w:val="continue"/>
            <w:shd w:val="clear" w:color="auto" w:fill="auto"/>
            <w:vAlign w:val="center"/>
          </w:tcPr>
          <w:p w14:paraId="3FB1419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F252E9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B60DD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分医院每日五大中心患者统计</w:t>
            </w:r>
          </w:p>
        </w:tc>
      </w:tr>
      <w:tr w14:paraId="4E1E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7349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639" w:type="dxa"/>
            <w:vMerge w:val="continue"/>
            <w:shd w:val="clear" w:color="auto" w:fill="auto"/>
            <w:vAlign w:val="center"/>
          </w:tcPr>
          <w:p w14:paraId="65004B1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B4F609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AC241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分医院近七天五大中心患者统计</w:t>
            </w:r>
          </w:p>
        </w:tc>
      </w:tr>
      <w:tr w14:paraId="2CA4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090CD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639" w:type="dxa"/>
            <w:vMerge w:val="continue"/>
            <w:shd w:val="clear" w:color="auto" w:fill="auto"/>
            <w:vAlign w:val="center"/>
          </w:tcPr>
          <w:p w14:paraId="1E64A1E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1DACE4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C6B3E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分医院急诊年龄，性别层级统计</w:t>
            </w:r>
          </w:p>
        </w:tc>
      </w:tr>
      <w:tr w14:paraId="235F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C3A7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39" w:type="dxa"/>
            <w:vMerge w:val="continue"/>
            <w:shd w:val="clear" w:color="auto" w:fill="auto"/>
            <w:vAlign w:val="center"/>
          </w:tcPr>
          <w:p w14:paraId="5D55F369">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2EF1FF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急诊分析</w:t>
            </w:r>
          </w:p>
        </w:tc>
        <w:tc>
          <w:tcPr>
            <w:tcW w:w="6555" w:type="dxa"/>
            <w:shd w:val="clear" w:color="auto" w:fill="auto"/>
            <w:vAlign w:val="center"/>
          </w:tcPr>
          <w:p w14:paraId="77D431B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本院区，区域患者电子病历查询</w:t>
            </w:r>
          </w:p>
        </w:tc>
      </w:tr>
      <w:tr w14:paraId="449D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AFBF2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639" w:type="dxa"/>
            <w:vMerge w:val="continue"/>
            <w:shd w:val="clear" w:color="auto" w:fill="auto"/>
            <w:vAlign w:val="center"/>
          </w:tcPr>
          <w:p w14:paraId="703D406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28FC09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ED06D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本院区，区域患者就诊记录</w:t>
            </w:r>
          </w:p>
        </w:tc>
      </w:tr>
      <w:tr w14:paraId="70F1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8E21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639" w:type="dxa"/>
            <w:vMerge w:val="continue"/>
            <w:shd w:val="clear" w:color="auto" w:fill="auto"/>
            <w:vAlign w:val="center"/>
          </w:tcPr>
          <w:p w14:paraId="5AF4F87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D4094A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BE16F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定制急诊质控数据分析（5张）</w:t>
            </w:r>
          </w:p>
        </w:tc>
      </w:tr>
      <w:tr w14:paraId="16D4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5DECF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639" w:type="dxa"/>
            <w:vMerge w:val="continue"/>
            <w:shd w:val="clear" w:color="auto" w:fill="auto"/>
            <w:vAlign w:val="center"/>
          </w:tcPr>
          <w:p w14:paraId="25516CC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F2154F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F4A9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定制5大中心质控数据分析（5张）</w:t>
            </w:r>
          </w:p>
        </w:tc>
      </w:tr>
      <w:tr w14:paraId="7589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3262D2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639" w:type="dxa"/>
            <w:vMerge w:val="restart"/>
            <w:shd w:val="clear" w:color="auto" w:fill="auto"/>
            <w:vAlign w:val="center"/>
          </w:tcPr>
          <w:p w14:paraId="55EF30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院内急诊系统</w:t>
            </w:r>
          </w:p>
        </w:tc>
        <w:tc>
          <w:tcPr>
            <w:tcW w:w="694" w:type="dxa"/>
            <w:vMerge w:val="restart"/>
            <w:shd w:val="clear" w:color="auto" w:fill="auto"/>
            <w:vAlign w:val="center"/>
          </w:tcPr>
          <w:p w14:paraId="153A48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急诊预检分诊系统</w:t>
            </w:r>
          </w:p>
        </w:tc>
        <w:tc>
          <w:tcPr>
            <w:tcW w:w="986" w:type="dxa"/>
            <w:shd w:val="clear" w:color="auto" w:fill="auto"/>
            <w:vAlign w:val="center"/>
          </w:tcPr>
          <w:p w14:paraId="1BF3BD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院前院内协同救治</w:t>
            </w:r>
          </w:p>
        </w:tc>
        <w:tc>
          <w:tcPr>
            <w:tcW w:w="6555" w:type="dxa"/>
            <w:shd w:val="clear" w:color="auto" w:fill="auto"/>
            <w:vAlign w:val="center"/>
          </w:tcPr>
          <w:p w14:paraId="312D2E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系统支持对接第三方院前急救系统，获取院前患者信息。支持查看院前急救患者列表。支持院前患者弹出框智能提醒，提醒医护人员提前诊疗准备。</w:t>
            </w:r>
          </w:p>
        </w:tc>
      </w:tr>
      <w:tr w14:paraId="1451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47C59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639" w:type="dxa"/>
            <w:vMerge w:val="continue"/>
            <w:shd w:val="clear" w:color="auto" w:fill="auto"/>
            <w:vAlign w:val="center"/>
          </w:tcPr>
          <w:p w14:paraId="3674320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1B8576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830D7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患者登记</w:t>
            </w:r>
          </w:p>
        </w:tc>
        <w:tc>
          <w:tcPr>
            <w:tcW w:w="6555" w:type="dxa"/>
            <w:shd w:val="clear" w:color="auto" w:fill="auto"/>
            <w:vAlign w:val="center"/>
          </w:tcPr>
          <w:p w14:paraId="7654E1D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具备患者登记读卡的功能，能够通过读取身份证、医保卡、就诊卡、电子健康卡、电子医保凭证、永居证、护照、刷脸等途径获取患者姓名、性别、身份证号等身份信息。</w:t>
            </w:r>
          </w:p>
        </w:tc>
      </w:tr>
      <w:tr w14:paraId="7140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1F2D2F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639" w:type="dxa"/>
            <w:vMerge w:val="continue"/>
            <w:shd w:val="clear" w:color="auto" w:fill="auto"/>
            <w:vAlign w:val="center"/>
          </w:tcPr>
          <w:p w14:paraId="5BF9855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712053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1E6174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DD49D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具备直接录入患者身份信息、来院方式、主诉等预检基本内容。数据符合《WS 445-2014 电子病历基本数据集》标准。</w:t>
            </w:r>
          </w:p>
        </w:tc>
      </w:tr>
      <w:tr w14:paraId="084C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1ED59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639" w:type="dxa"/>
            <w:vMerge w:val="continue"/>
            <w:shd w:val="clear" w:color="auto" w:fill="auto"/>
            <w:vAlign w:val="center"/>
          </w:tcPr>
          <w:p w14:paraId="665B002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831DF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BBA18F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79C48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支持患者来院方式、挂号科室、最终去向、物品租借自定义配置。</w:t>
            </w:r>
          </w:p>
        </w:tc>
      </w:tr>
      <w:tr w14:paraId="209A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7E189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639" w:type="dxa"/>
            <w:vMerge w:val="continue"/>
            <w:shd w:val="clear" w:color="auto" w:fill="auto"/>
            <w:vAlign w:val="center"/>
          </w:tcPr>
          <w:p w14:paraId="69685D6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DBAFF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21611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2D623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需与医院绿通病人功能进行对接，支持绿通建档、发放、管理。</w:t>
            </w:r>
          </w:p>
        </w:tc>
      </w:tr>
      <w:tr w14:paraId="5FFB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58288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639" w:type="dxa"/>
            <w:vMerge w:val="continue"/>
            <w:shd w:val="clear" w:color="auto" w:fill="auto"/>
            <w:vAlign w:val="center"/>
          </w:tcPr>
          <w:p w14:paraId="032C8A5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1DA25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0A5BFA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CF222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支持系统自动匹配挂号信息、人工匹配挂号信息两种方式。</w:t>
            </w:r>
          </w:p>
        </w:tc>
      </w:tr>
      <w:tr w14:paraId="7C23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16AF7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639" w:type="dxa"/>
            <w:vMerge w:val="continue"/>
            <w:shd w:val="clear" w:color="auto" w:fill="auto"/>
            <w:vAlign w:val="center"/>
          </w:tcPr>
          <w:p w14:paraId="72F3B54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644271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627A9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2564B0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支持三无患者登记，系统可自动分配预检号进行登记，后期支持人工与挂号信息进行匹配。</w:t>
            </w:r>
          </w:p>
        </w:tc>
      </w:tr>
      <w:tr w14:paraId="7685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22F5E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639" w:type="dxa"/>
            <w:vMerge w:val="continue"/>
            <w:shd w:val="clear" w:color="auto" w:fill="auto"/>
            <w:vAlign w:val="center"/>
          </w:tcPr>
          <w:p w14:paraId="65252C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4FF0E9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0E696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55844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支持绿色通道患者登记，支持绿色通道标识。对于需开通绿色通道的急危重症患者，允许先抢救，利用抢救过程采集的体征对分诊信息进行补录。</w:t>
            </w:r>
          </w:p>
        </w:tc>
      </w:tr>
      <w:tr w14:paraId="506D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83D43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639" w:type="dxa"/>
            <w:vMerge w:val="continue"/>
            <w:shd w:val="clear" w:color="auto" w:fill="auto"/>
            <w:vAlign w:val="center"/>
          </w:tcPr>
          <w:p w14:paraId="3A00BA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965708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85ED6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8941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能够实现特殊人群划分和标识，包括但不限于无名氏、群伤患者、120患者、老人、儿童、孕产妇等，方便患者信息追踪。</w:t>
            </w:r>
          </w:p>
        </w:tc>
      </w:tr>
      <w:tr w14:paraId="57DB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36927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639" w:type="dxa"/>
            <w:vMerge w:val="continue"/>
            <w:shd w:val="clear" w:color="auto" w:fill="auto"/>
            <w:vAlign w:val="center"/>
          </w:tcPr>
          <w:p w14:paraId="30761E0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A3F11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46A69F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214C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允许快速标识急危重症患者特殊病种，如胸痛、卒中、创伤、心脏骤停、休克、气道阻塞等； 支持自定义配置标识，提供统计导出功能。</w:t>
            </w:r>
          </w:p>
        </w:tc>
      </w:tr>
      <w:tr w14:paraId="5920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897F9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639" w:type="dxa"/>
            <w:vMerge w:val="continue"/>
            <w:shd w:val="clear" w:color="auto" w:fill="auto"/>
            <w:vAlign w:val="center"/>
          </w:tcPr>
          <w:p w14:paraId="02494F4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249737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9D2D40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611E05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支持非急诊类的快速分诊，如开药、开单、复诊等。</w:t>
            </w:r>
          </w:p>
        </w:tc>
      </w:tr>
      <w:tr w14:paraId="7766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FDF1B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639" w:type="dxa"/>
            <w:vMerge w:val="continue"/>
            <w:shd w:val="clear" w:color="auto" w:fill="auto"/>
            <w:vAlign w:val="center"/>
          </w:tcPr>
          <w:p w14:paraId="663696C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42276E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0945F4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69939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能够实现群伤患者管理与标识，快速建立群伤患者列表，具备a批量分诊功能，批量分诊完成后可补录患者的详细分诊信息，能够实现事件所属患者关联及群伤事件查询打印。 (针对群伤患者提供特殊标志和统计导出功能)</w:t>
            </w:r>
          </w:p>
        </w:tc>
      </w:tr>
      <w:tr w14:paraId="0B68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8B6C8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639" w:type="dxa"/>
            <w:vMerge w:val="continue"/>
            <w:shd w:val="clear" w:color="auto" w:fill="auto"/>
            <w:vAlign w:val="center"/>
          </w:tcPr>
          <w:p w14:paraId="569C729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63A452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1F1BA7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73D82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支持患者到院方式、陪送人员登记，均可通过系统设置自定义添加。</w:t>
            </w:r>
          </w:p>
        </w:tc>
      </w:tr>
      <w:tr w14:paraId="55CC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797831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639" w:type="dxa"/>
            <w:vMerge w:val="continue"/>
            <w:shd w:val="clear" w:color="auto" w:fill="auto"/>
            <w:vAlign w:val="center"/>
          </w:tcPr>
          <w:p w14:paraId="0464E6F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AC5D64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6801DA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53A69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支持120患者标识管理，支持是否规范录入，支持院内120驾驶员和院前医生信息登记。（针对 120 到院患者提供特殊标志和统计导出功能，120驾驶员和院前医生可提供名单维护功能）</w:t>
            </w:r>
          </w:p>
        </w:tc>
      </w:tr>
      <w:tr w14:paraId="3AC7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0EDA2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639" w:type="dxa"/>
            <w:vMerge w:val="continue"/>
            <w:shd w:val="clear" w:color="auto" w:fill="auto"/>
            <w:vAlign w:val="center"/>
          </w:tcPr>
          <w:p w14:paraId="72C7408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ACEE46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815A47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2E49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提供120到院统计报表、120收住院人数统计报表。 </w:t>
            </w:r>
          </w:p>
        </w:tc>
      </w:tr>
      <w:tr w14:paraId="00BE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5279F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639" w:type="dxa"/>
            <w:vMerge w:val="continue"/>
            <w:shd w:val="clear" w:color="auto" w:fill="auto"/>
            <w:vAlign w:val="center"/>
          </w:tcPr>
          <w:p w14:paraId="393B176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F024C7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5B917F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0857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支持预检患者登记暂存功能</w:t>
            </w:r>
          </w:p>
        </w:tc>
      </w:tr>
      <w:tr w14:paraId="7FCF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C9FC5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639" w:type="dxa"/>
            <w:vMerge w:val="continue"/>
            <w:shd w:val="clear" w:color="auto" w:fill="auto"/>
            <w:vAlign w:val="center"/>
          </w:tcPr>
          <w:p w14:paraId="3AF0797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596E98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CC272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患者分诊</w:t>
            </w:r>
          </w:p>
        </w:tc>
        <w:tc>
          <w:tcPr>
            <w:tcW w:w="6555" w:type="dxa"/>
            <w:shd w:val="clear" w:color="auto" w:fill="auto"/>
            <w:vAlign w:val="center"/>
          </w:tcPr>
          <w:p w14:paraId="1C92E6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遵循卫生部的《急诊患者病情分级试点指导原则（2011 征求意见稿）》进行设计，支持三区四级的分诊模式。</w:t>
            </w:r>
          </w:p>
        </w:tc>
      </w:tr>
      <w:tr w14:paraId="13EE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17A74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639" w:type="dxa"/>
            <w:vMerge w:val="continue"/>
            <w:shd w:val="clear" w:color="auto" w:fill="auto"/>
            <w:vAlign w:val="center"/>
          </w:tcPr>
          <w:p w14:paraId="4518B20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4B109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9BC09B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52006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支持急诊多分诊台功能。</w:t>
            </w:r>
          </w:p>
        </w:tc>
      </w:tr>
      <w:tr w14:paraId="1979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481C3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639" w:type="dxa"/>
            <w:vMerge w:val="continue"/>
            <w:shd w:val="clear" w:color="auto" w:fill="auto"/>
            <w:vAlign w:val="center"/>
          </w:tcPr>
          <w:p w14:paraId="6776DD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84F23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D24570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9C95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支持分诊记录的作废功能。</w:t>
            </w:r>
          </w:p>
        </w:tc>
      </w:tr>
      <w:tr w14:paraId="3AFB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B0F8E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639" w:type="dxa"/>
            <w:vMerge w:val="continue"/>
            <w:shd w:val="clear" w:color="auto" w:fill="auto"/>
            <w:vAlign w:val="center"/>
          </w:tcPr>
          <w:p w14:paraId="21E8B38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36CDFB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41DEC9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780C4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支持患者分诊信息补充完善功能，并需留痕。</w:t>
            </w:r>
          </w:p>
        </w:tc>
      </w:tr>
      <w:tr w14:paraId="161E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37CD0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639" w:type="dxa"/>
            <w:vMerge w:val="continue"/>
            <w:shd w:val="clear" w:color="auto" w:fill="auto"/>
            <w:vAlign w:val="center"/>
          </w:tcPr>
          <w:p w14:paraId="661563E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63443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055F65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1B3A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患者级别更换为三级以上时，需要再次进行评估及短信推送患者及时就医，患者响应时间根据《急诊预检分级分诊标准》有提醒。AI电话提醒</w:t>
            </w:r>
          </w:p>
        </w:tc>
      </w:tr>
      <w:tr w14:paraId="2DB9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1A5A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639" w:type="dxa"/>
            <w:vMerge w:val="continue"/>
            <w:shd w:val="clear" w:color="auto" w:fill="auto"/>
            <w:vAlign w:val="center"/>
          </w:tcPr>
          <w:p w14:paraId="09BC7DA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09CCF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5FC736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C375EE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支持多种查询条件下的分诊记录检索功能；</w:t>
            </w:r>
          </w:p>
        </w:tc>
      </w:tr>
      <w:tr w14:paraId="7E94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4B3DF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639" w:type="dxa"/>
            <w:vMerge w:val="continue"/>
            <w:shd w:val="clear" w:color="auto" w:fill="auto"/>
            <w:vAlign w:val="center"/>
          </w:tcPr>
          <w:p w14:paraId="09C6820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048AA0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5B1F8B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8F578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支持常见病症的快捷分诊（常见病症可配置）；</w:t>
            </w:r>
          </w:p>
        </w:tc>
      </w:tr>
      <w:tr w14:paraId="5748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F5EAD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639" w:type="dxa"/>
            <w:vMerge w:val="continue"/>
            <w:shd w:val="clear" w:color="auto" w:fill="auto"/>
            <w:vAlign w:val="center"/>
          </w:tcPr>
          <w:p w14:paraId="64B8C2F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E1949B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BD3412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5054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支持按患者单项生命体征进行分级；</w:t>
            </w:r>
          </w:p>
        </w:tc>
      </w:tr>
      <w:tr w14:paraId="3958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53CBC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639" w:type="dxa"/>
            <w:vMerge w:val="continue"/>
            <w:shd w:val="clear" w:color="auto" w:fill="auto"/>
            <w:vAlign w:val="center"/>
          </w:tcPr>
          <w:p w14:paraId="185C3F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FA0B17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76A4A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B5D79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支持按危急征象指标智能分级；</w:t>
            </w:r>
          </w:p>
        </w:tc>
      </w:tr>
      <w:tr w14:paraId="75F1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E285E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639" w:type="dxa"/>
            <w:vMerge w:val="continue"/>
            <w:shd w:val="clear" w:color="auto" w:fill="auto"/>
            <w:vAlign w:val="center"/>
          </w:tcPr>
          <w:p w14:paraId="2AE68E6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849024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A0B50E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28B05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支持按分诊知识库进行分级，提供主诉集合。支持根据主诉自动搜索分诊知识库。主诉知识库返回结果可自动定位配置的分级及分诊科室；</w:t>
            </w:r>
          </w:p>
        </w:tc>
      </w:tr>
      <w:tr w14:paraId="2982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471F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39" w:type="dxa"/>
            <w:vMerge w:val="continue"/>
            <w:shd w:val="clear" w:color="auto" w:fill="auto"/>
            <w:vAlign w:val="center"/>
          </w:tcPr>
          <w:p w14:paraId="089CEE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6D6C21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79F56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41EA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支持引入患者评分进行分级；</w:t>
            </w:r>
          </w:p>
        </w:tc>
      </w:tr>
      <w:tr w14:paraId="358B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ED7AC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639" w:type="dxa"/>
            <w:vMerge w:val="continue"/>
            <w:shd w:val="clear" w:color="auto" w:fill="auto"/>
            <w:vAlign w:val="center"/>
          </w:tcPr>
          <w:p w14:paraId="003EA83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023506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0A224F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BFEF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支持多次/连续分诊；</w:t>
            </w:r>
          </w:p>
        </w:tc>
      </w:tr>
      <w:tr w14:paraId="1416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F781B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639" w:type="dxa"/>
            <w:vMerge w:val="continue"/>
            <w:shd w:val="clear" w:color="auto" w:fill="auto"/>
            <w:vAlign w:val="center"/>
          </w:tcPr>
          <w:p w14:paraId="35EFD09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C3F36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38B378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A01E8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支持分诊护士对自动分级进行修正，修正原因需要录入；</w:t>
            </w:r>
          </w:p>
        </w:tc>
      </w:tr>
      <w:tr w14:paraId="2517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0E30C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639" w:type="dxa"/>
            <w:vMerge w:val="continue"/>
            <w:shd w:val="clear" w:color="auto" w:fill="auto"/>
            <w:vAlign w:val="center"/>
          </w:tcPr>
          <w:p w14:paraId="2C09C0F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7A6D2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66796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0D551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支持常用备注内容项录入，如拒测生命体征、拒测部分体征等；（备注项内容可配置）</w:t>
            </w:r>
          </w:p>
        </w:tc>
      </w:tr>
      <w:tr w14:paraId="45E2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6698C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39" w:type="dxa"/>
            <w:vMerge w:val="continue"/>
            <w:shd w:val="clear" w:color="auto" w:fill="auto"/>
            <w:vAlign w:val="center"/>
          </w:tcPr>
          <w:p w14:paraId="48148F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FDC8F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EB2217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FEC5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支持二次分诊，不同级别患者超过规定时间内未接诊，自动提醒；系统能够实现自动分级、每个级别有颜色管理，选择病人流向；</w:t>
            </w:r>
          </w:p>
        </w:tc>
      </w:tr>
      <w:tr w14:paraId="2275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2367B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639" w:type="dxa"/>
            <w:vMerge w:val="continue"/>
            <w:shd w:val="clear" w:color="auto" w:fill="auto"/>
            <w:vAlign w:val="center"/>
          </w:tcPr>
          <w:p w14:paraId="5187F66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C81A9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3024B4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C4872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支持先挂号后分诊、先分诊后挂号、分诊并挂号三种模式。可以根据医院需求进行三种模式配置；</w:t>
            </w:r>
          </w:p>
        </w:tc>
      </w:tr>
      <w:tr w14:paraId="2222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58B03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639" w:type="dxa"/>
            <w:vMerge w:val="continue"/>
            <w:shd w:val="clear" w:color="auto" w:fill="auto"/>
            <w:vAlign w:val="center"/>
          </w:tcPr>
          <w:p w14:paraId="743EAF2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D57822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FDB247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5550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支持分诊各项指标统计，包括：患者分诊科室分布、评分人数、就诊时段、各级人数、患者年龄分布等统计；可根据医院要求定制统计指标；</w:t>
            </w:r>
          </w:p>
        </w:tc>
      </w:tr>
      <w:tr w14:paraId="14A8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69B0E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639" w:type="dxa"/>
            <w:vMerge w:val="continue"/>
            <w:shd w:val="clear" w:color="auto" w:fill="auto"/>
            <w:vAlign w:val="center"/>
          </w:tcPr>
          <w:p w14:paraId="0C75FCC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B96D6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84C2BC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961FE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支持以颜色区分分诊患者挂号就诊情况；</w:t>
            </w:r>
          </w:p>
        </w:tc>
      </w:tr>
      <w:tr w14:paraId="2B35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BF08C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639" w:type="dxa"/>
            <w:vMerge w:val="continue"/>
            <w:shd w:val="clear" w:color="auto" w:fill="auto"/>
            <w:vAlign w:val="center"/>
          </w:tcPr>
          <w:p w14:paraId="79D956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A5DA0F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0B9B45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30BFD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支持发热患者专项登记；</w:t>
            </w:r>
          </w:p>
        </w:tc>
      </w:tr>
      <w:tr w14:paraId="214E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D24B6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639" w:type="dxa"/>
            <w:vMerge w:val="continue"/>
            <w:shd w:val="clear" w:color="auto" w:fill="auto"/>
            <w:vAlign w:val="center"/>
          </w:tcPr>
          <w:p w14:paraId="727E94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D30A7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6AF123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EC2FA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支持就诊关联功能，支持系统自动绑定就诊信息、自定义绑定就诊信息两种模式。</w:t>
            </w:r>
          </w:p>
        </w:tc>
      </w:tr>
      <w:tr w14:paraId="2F86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3EF08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639" w:type="dxa"/>
            <w:vMerge w:val="continue"/>
            <w:shd w:val="clear" w:color="auto" w:fill="auto"/>
            <w:vAlign w:val="center"/>
          </w:tcPr>
          <w:p w14:paraId="26A013B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C25CCF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C03F7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分诊知识库</w:t>
            </w:r>
          </w:p>
        </w:tc>
        <w:tc>
          <w:tcPr>
            <w:tcW w:w="6555" w:type="dxa"/>
            <w:shd w:val="clear" w:color="auto" w:fill="auto"/>
            <w:vAlign w:val="center"/>
          </w:tcPr>
          <w:p w14:paraId="0DFFDF8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知识库需包含所有急诊就诊科室的常用主诉。选择主诉后，系统根据主诉分级、主诉对应科室进行自动分诊；</w:t>
            </w:r>
          </w:p>
        </w:tc>
      </w:tr>
      <w:tr w14:paraId="1D58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5C524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639" w:type="dxa"/>
            <w:vMerge w:val="continue"/>
            <w:shd w:val="clear" w:color="auto" w:fill="auto"/>
            <w:vAlign w:val="center"/>
          </w:tcPr>
          <w:p w14:paraId="5A5829E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7F06CC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8599C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6CFF3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支持分诊护士对自动分级信息进行修正；</w:t>
            </w:r>
          </w:p>
        </w:tc>
      </w:tr>
      <w:tr w14:paraId="16B2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9C36A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639" w:type="dxa"/>
            <w:vMerge w:val="continue"/>
            <w:shd w:val="clear" w:color="auto" w:fill="auto"/>
            <w:vAlign w:val="center"/>
          </w:tcPr>
          <w:p w14:paraId="521FAD9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8F817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863F72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3689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支持对分诊知识库进行自定义配置与维护；</w:t>
            </w:r>
          </w:p>
        </w:tc>
      </w:tr>
      <w:tr w14:paraId="7CEE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47C5E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639" w:type="dxa"/>
            <w:vMerge w:val="continue"/>
            <w:shd w:val="clear" w:color="auto" w:fill="auto"/>
            <w:vAlign w:val="center"/>
          </w:tcPr>
          <w:p w14:paraId="3E81EFA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1E2B90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987BEA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D784F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主诉支持快捷键和关键字快速选择。</w:t>
            </w:r>
          </w:p>
        </w:tc>
      </w:tr>
      <w:tr w14:paraId="6EE9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5EC7B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639" w:type="dxa"/>
            <w:vMerge w:val="continue"/>
            <w:shd w:val="clear" w:color="auto" w:fill="auto"/>
            <w:vAlign w:val="center"/>
          </w:tcPr>
          <w:p w14:paraId="34451F0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C14A89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80AB4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生命体征采集</w:t>
            </w:r>
          </w:p>
        </w:tc>
        <w:tc>
          <w:tcPr>
            <w:tcW w:w="6555" w:type="dxa"/>
            <w:shd w:val="clear" w:color="auto" w:fill="auto"/>
            <w:vAlign w:val="center"/>
          </w:tcPr>
          <w:p w14:paraId="50C003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支持患者生命体征采集录入</w:t>
            </w:r>
          </w:p>
        </w:tc>
      </w:tr>
      <w:tr w14:paraId="6AB4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39F7F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639" w:type="dxa"/>
            <w:vMerge w:val="continue"/>
            <w:shd w:val="clear" w:color="auto" w:fill="auto"/>
            <w:vAlign w:val="center"/>
          </w:tcPr>
          <w:p w14:paraId="51E5B79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B48115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EBFBFD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069DE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支持录入体温、脉搏、呼吸、血压、血氧、血糖、意识</w:t>
            </w:r>
          </w:p>
        </w:tc>
      </w:tr>
      <w:tr w14:paraId="1E63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24B2B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639" w:type="dxa"/>
            <w:vMerge w:val="continue"/>
            <w:shd w:val="clear" w:color="auto" w:fill="auto"/>
            <w:vAlign w:val="center"/>
          </w:tcPr>
          <w:p w14:paraId="3FF2761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3B13C8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96DBC4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BAFB3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支持连接监护仪、臂式血压计等设备完成体征自动采集（设备需开放接口）</w:t>
            </w:r>
          </w:p>
        </w:tc>
      </w:tr>
      <w:tr w14:paraId="12E3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C265B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639" w:type="dxa"/>
            <w:vMerge w:val="continue"/>
            <w:shd w:val="clear" w:color="auto" w:fill="auto"/>
            <w:vAlign w:val="center"/>
          </w:tcPr>
          <w:p w14:paraId="69CF396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F0600B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98CE9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E931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支持通过生命体征自动判定分级分区</w:t>
            </w:r>
          </w:p>
        </w:tc>
      </w:tr>
      <w:tr w14:paraId="5A11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3866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639" w:type="dxa"/>
            <w:vMerge w:val="continue"/>
            <w:shd w:val="clear" w:color="auto" w:fill="auto"/>
            <w:vAlign w:val="center"/>
          </w:tcPr>
          <w:p w14:paraId="042015A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CDEEE7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AC9BB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2ECC4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支持急诊患者进行多次生命体征补录功能。</w:t>
            </w:r>
          </w:p>
        </w:tc>
      </w:tr>
      <w:tr w14:paraId="7E5C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C8B98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639" w:type="dxa"/>
            <w:vMerge w:val="continue"/>
            <w:shd w:val="clear" w:color="auto" w:fill="auto"/>
            <w:vAlign w:val="center"/>
          </w:tcPr>
          <w:p w14:paraId="02369C3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A1131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E88F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患者评分评估</w:t>
            </w:r>
          </w:p>
        </w:tc>
        <w:tc>
          <w:tcPr>
            <w:tcW w:w="6555" w:type="dxa"/>
            <w:shd w:val="clear" w:color="auto" w:fill="auto"/>
            <w:vAlign w:val="center"/>
          </w:tcPr>
          <w:p w14:paraId="44DEBD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支持通过自动采集的体征，引入评分系统（MEWS、REMS评分）</w:t>
            </w:r>
          </w:p>
        </w:tc>
      </w:tr>
      <w:tr w14:paraId="7384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5C5E0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639" w:type="dxa"/>
            <w:vMerge w:val="continue"/>
            <w:shd w:val="clear" w:color="auto" w:fill="auto"/>
            <w:vAlign w:val="center"/>
          </w:tcPr>
          <w:p w14:paraId="35C9C9C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AEC66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E46503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7F923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提供急诊相关医学评分（MEWS评分、NRS评分、GCS评分、创伤TI评分、PEWS评分、RTS评分、门急诊跌倒评分）</w:t>
            </w:r>
          </w:p>
        </w:tc>
      </w:tr>
      <w:tr w14:paraId="1214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12A0A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639" w:type="dxa"/>
            <w:vMerge w:val="continue"/>
            <w:shd w:val="clear" w:color="auto" w:fill="auto"/>
            <w:vAlign w:val="center"/>
          </w:tcPr>
          <w:p w14:paraId="4B19851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F3017A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72B67D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FAE5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提供NRS评分、FPRS评分、FLACC评分3种疼痛评分模式，可根据需求进行选择；</w:t>
            </w:r>
          </w:p>
        </w:tc>
      </w:tr>
      <w:tr w14:paraId="609D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6B7B8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639" w:type="dxa"/>
            <w:vMerge w:val="continue"/>
            <w:shd w:val="clear" w:color="auto" w:fill="auto"/>
            <w:vAlign w:val="center"/>
          </w:tcPr>
          <w:p w14:paraId="280A2CF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6438BA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E9D4FE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03DC6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提供急诊医学相关评分（胸痛评估、创伤评估、卒中评分）</w:t>
            </w:r>
          </w:p>
        </w:tc>
      </w:tr>
      <w:tr w14:paraId="47A0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CCEAD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639" w:type="dxa"/>
            <w:vMerge w:val="continue"/>
            <w:shd w:val="clear" w:color="auto" w:fill="auto"/>
            <w:vAlign w:val="center"/>
          </w:tcPr>
          <w:p w14:paraId="5D5C17F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444DB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92C2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患者标识</w:t>
            </w:r>
          </w:p>
        </w:tc>
        <w:tc>
          <w:tcPr>
            <w:tcW w:w="6555" w:type="dxa"/>
            <w:shd w:val="clear" w:color="auto" w:fill="auto"/>
            <w:vAlign w:val="center"/>
          </w:tcPr>
          <w:p w14:paraId="254A3A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支持分诊单、腕带的打印，针对绿色通道患者，分诊单打印特殊标识（绿色通道）。支持分级分区、特殊患者标志功能。支持电子腕带。</w:t>
            </w:r>
          </w:p>
        </w:tc>
      </w:tr>
      <w:tr w14:paraId="6167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BBED9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639" w:type="dxa"/>
            <w:vMerge w:val="continue"/>
            <w:shd w:val="clear" w:color="auto" w:fill="auto"/>
            <w:vAlign w:val="center"/>
          </w:tcPr>
          <w:p w14:paraId="56ED032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786BE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813690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4897A7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支持医院个性化定制打印信息</w:t>
            </w:r>
          </w:p>
        </w:tc>
      </w:tr>
      <w:tr w14:paraId="7FB1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8EE2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639" w:type="dxa"/>
            <w:vMerge w:val="continue"/>
            <w:shd w:val="clear" w:color="auto" w:fill="auto"/>
            <w:vAlign w:val="center"/>
          </w:tcPr>
          <w:p w14:paraId="5D24E6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5D32F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733F7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患者去向</w:t>
            </w:r>
          </w:p>
        </w:tc>
        <w:tc>
          <w:tcPr>
            <w:tcW w:w="6555" w:type="dxa"/>
            <w:shd w:val="clear" w:color="auto" w:fill="auto"/>
            <w:vAlign w:val="center"/>
          </w:tcPr>
          <w:p w14:paraId="3E5C1D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支持分诊后智能跟踪患者去向并自动记录、收集患者去向和手动更改去向信息；支持患者最终去向自定义配置；</w:t>
            </w:r>
          </w:p>
        </w:tc>
      </w:tr>
      <w:tr w14:paraId="67C8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D7DEF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w:t>
            </w:r>
          </w:p>
        </w:tc>
        <w:tc>
          <w:tcPr>
            <w:tcW w:w="639" w:type="dxa"/>
            <w:vMerge w:val="continue"/>
            <w:shd w:val="clear" w:color="auto" w:fill="auto"/>
            <w:vAlign w:val="center"/>
          </w:tcPr>
          <w:p w14:paraId="7DCCE03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137E5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97EE98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E17F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支持分配空余留抢床位</w:t>
            </w:r>
          </w:p>
        </w:tc>
      </w:tr>
      <w:tr w14:paraId="2F7D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263E3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639" w:type="dxa"/>
            <w:vMerge w:val="continue"/>
            <w:shd w:val="clear" w:color="auto" w:fill="auto"/>
            <w:vAlign w:val="center"/>
          </w:tcPr>
          <w:p w14:paraId="038564F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203B5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BFEECC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4C2F82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支持自定义配置留观室。如果医院有开放留观室，则参数配置后，自动展示空余留观床位</w:t>
            </w:r>
          </w:p>
        </w:tc>
      </w:tr>
      <w:tr w14:paraId="50D7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F19E2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639" w:type="dxa"/>
            <w:vMerge w:val="continue"/>
            <w:shd w:val="clear" w:color="auto" w:fill="auto"/>
            <w:vAlign w:val="center"/>
          </w:tcPr>
          <w:p w14:paraId="38578A4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9AFFDA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622B9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4AF76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支持对接手续手术系统、住院系统；</w:t>
            </w:r>
          </w:p>
        </w:tc>
      </w:tr>
      <w:tr w14:paraId="74CF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1FF8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w:t>
            </w:r>
          </w:p>
        </w:tc>
        <w:tc>
          <w:tcPr>
            <w:tcW w:w="639" w:type="dxa"/>
            <w:vMerge w:val="continue"/>
            <w:shd w:val="clear" w:color="auto" w:fill="auto"/>
            <w:vAlign w:val="center"/>
          </w:tcPr>
          <w:p w14:paraId="5963FAE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679F75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BE9CD0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B1EBD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通过预检分诊后送入抢救室的患者信息能自动传送到抢救室内</w:t>
            </w:r>
          </w:p>
        </w:tc>
      </w:tr>
      <w:tr w14:paraId="1872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9B08B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639" w:type="dxa"/>
            <w:vMerge w:val="continue"/>
            <w:shd w:val="clear" w:color="auto" w:fill="auto"/>
            <w:vAlign w:val="center"/>
          </w:tcPr>
          <w:p w14:paraId="41A131B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FD7753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6A153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患者信息</w:t>
            </w:r>
          </w:p>
        </w:tc>
        <w:tc>
          <w:tcPr>
            <w:tcW w:w="6555" w:type="dxa"/>
            <w:shd w:val="clear" w:color="auto" w:fill="auto"/>
            <w:vAlign w:val="center"/>
          </w:tcPr>
          <w:p w14:paraId="1D404B5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支持查看分诊患者医嘱信息</w:t>
            </w:r>
          </w:p>
        </w:tc>
      </w:tr>
      <w:tr w14:paraId="783F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34F82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w:t>
            </w:r>
          </w:p>
        </w:tc>
        <w:tc>
          <w:tcPr>
            <w:tcW w:w="639" w:type="dxa"/>
            <w:vMerge w:val="continue"/>
            <w:shd w:val="clear" w:color="auto" w:fill="auto"/>
            <w:vAlign w:val="center"/>
          </w:tcPr>
          <w:p w14:paraId="36ADDB6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706497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FCA53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684B8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支持查看分诊患者检验信息</w:t>
            </w:r>
          </w:p>
        </w:tc>
      </w:tr>
      <w:tr w14:paraId="3A23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7E56A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c>
          <w:tcPr>
            <w:tcW w:w="639" w:type="dxa"/>
            <w:vMerge w:val="continue"/>
            <w:shd w:val="clear" w:color="auto" w:fill="auto"/>
            <w:vAlign w:val="center"/>
          </w:tcPr>
          <w:p w14:paraId="184BD2F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AAD09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8EA02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297F2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支持查看分诊患者检查信息</w:t>
            </w:r>
          </w:p>
        </w:tc>
      </w:tr>
      <w:tr w14:paraId="02EA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EAD67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w:t>
            </w:r>
          </w:p>
        </w:tc>
        <w:tc>
          <w:tcPr>
            <w:tcW w:w="639" w:type="dxa"/>
            <w:vMerge w:val="continue"/>
            <w:shd w:val="clear" w:color="auto" w:fill="auto"/>
            <w:vAlign w:val="center"/>
          </w:tcPr>
          <w:p w14:paraId="77586A2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8D895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1CFB22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94278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支持查看分诊患者时间轴</w:t>
            </w:r>
          </w:p>
        </w:tc>
      </w:tr>
      <w:tr w14:paraId="58CF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5C58E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w:t>
            </w:r>
          </w:p>
        </w:tc>
        <w:tc>
          <w:tcPr>
            <w:tcW w:w="639" w:type="dxa"/>
            <w:vMerge w:val="continue"/>
            <w:shd w:val="clear" w:color="auto" w:fill="auto"/>
            <w:vAlign w:val="center"/>
          </w:tcPr>
          <w:p w14:paraId="77CF5C24">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7ED122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急诊医护一体化工作站</w:t>
            </w:r>
          </w:p>
        </w:tc>
        <w:tc>
          <w:tcPr>
            <w:tcW w:w="986" w:type="dxa"/>
            <w:vMerge w:val="restart"/>
            <w:shd w:val="clear" w:color="auto" w:fill="auto"/>
            <w:vAlign w:val="center"/>
          </w:tcPr>
          <w:p w14:paraId="19C5FD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基本信息</w:t>
            </w:r>
          </w:p>
        </w:tc>
        <w:tc>
          <w:tcPr>
            <w:tcW w:w="6555" w:type="dxa"/>
            <w:shd w:val="clear" w:color="auto" w:fill="auto"/>
            <w:vAlign w:val="center"/>
          </w:tcPr>
          <w:p w14:paraId="199A2C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支持患者信息查询功能，可根据日期范围、门诊号、预检等级、姓名、急诊科室等条件自定义查询</w:t>
            </w:r>
          </w:p>
        </w:tc>
      </w:tr>
      <w:tr w14:paraId="65F2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A9040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639" w:type="dxa"/>
            <w:vMerge w:val="continue"/>
            <w:shd w:val="clear" w:color="auto" w:fill="auto"/>
            <w:vAlign w:val="center"/>
          </w:tcPr>
          <w:p w14:paraId="08950ED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D3798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61EA0C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A009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抢救室患者支持列表和床位卡模式显示</w:t>
            </w:r>
          </w:p>
        </w:tc>
      </w:tr>
      <w:tr w14:paraId="61D1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B5C62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w:t>
            </w:r>
          </w:p>
        </w:tc>
        <w:tc>
          <w:tcPr>
            <w:tcW w:w="639" w:type="dxa"/>
            <w:vMerge w:val="continue"/>
            <w:shd w:val="clear" w:color="auto" w:fill="auto"/>
            <w:vAlign w:val="center"/>
          </w:tcPr>
          <w:p w14:paraId="6CBE5D5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07D37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FE6E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A2E5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支持床位卡上显示患者关键提示信息</w:t>
            </w:r>
          </w:p>
        </w:tc>
      </w:tr>
      <w:tr w14:paraId="3F00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E6EE8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w:t>
            </w:r>
          </w:p>
        </w:tc>
        <w:tc>
          <w:tcPr>
            <w:tcW w:w="639" w:type="dxa"/>
            <w:vMerge w:val="continue"/>
            <w:shd w:val="clear" w:color="auto" w:fill="auto"/>
            <w:vAlign w:val="center"/>
          </w:tcPr>
          <w:p w14:paraId="5F2870E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76E69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57B6FD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551C4F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支持空床位右键新病人转入功能</w:t>
            </w:r>
          </w:p>
        </w:tc>
      </w:tr>
      <w:tr w14:paraId="5F0B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E5110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639" w:type="dxa"/>
            <w:vMerge w:val="continue"/>
            <w:shd w:val="clear" w:color="auto" w:fill="auto"/>
            <w:vAlign w:val="center"/>
          </w:tcPr>
          <w:p w14:paraId="6B75C66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C8705A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C5305F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EDFFD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支持患者信息补录和修改功能</w:t>
            </w:r>
          </w:p>
        </w:tc>
      </w:tr>
      <w:tr w14:paraId="6042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64085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w:t>
            </w:r>
          </w:p>
        </w:tc>
        <w:tc>
          <w:tcPr>
            <w:tcW w:w="639" w:type="dxa"/>
            <w:vMerge w:val="continue"/>
            <w:shd w:val="clear" w:color="auto" w:fill="auto"/>
            <w:vAlign w:val="center"/>
          </w:tcPr>
          <w:p w14:paraId="5E728A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6C8A0A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3D880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7B50A1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支持患者补打分诊单、腕带功能</w:t>
            </w:r>
          </w:p>
        </w:tc>
      </w:tr>
      <w:tr w14:paraId="31D4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241C0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w:t>
            </w:r>
          </w:p>
        </w:tc>
        <w:tc>
          <w:tcPr>
            <w:tcW w:w="639" w:type="dxa"/>
            <w:vMerge w:val="continue"/>
            <w:shd w:val="clear" w:color="auto" w:fill="auto"/>
            <w:vAlign w:val="center"/>
          </w:tcPr>
          <w:p w14:paraId="6193CBD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18B20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034BED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E0964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参数配置留观室后，支持抢救室和留观室床位上下分布，统一管理在床患者信息</w:t>
            </w:r>
          </w:p>
        </w:tc>
      </w:tr>
      <w:tr w14:paraId="1436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F4C9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w:t>
            </w:r>
          </w:p>
        </w:tc>
        <w:tc>
          <w:tcPr>
            <w:tcW w:w="639" w:type="dxa"/>
            <w:vMerge w:val="continue"/>
            <w:shd w:val="clear" w:color="auto" w:fill="auto"/>
            <w:vAlign w:val="center"/>
          </w:tcPr>
          <w:p w14:paraId="0E64E27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E25602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E0D4D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候诊超时提醒</w:t>
            </w:r>
          </w:p>
        </w:tc>
        <w:tc>
          <w:tcPr>
            <w:tcW w:w="6555" w:type="dxa"/>
            <w:shd w:val="clear" w:color="auto" w:fill="auto"/>
            <w:vAlign w:val="center"/>
          </w:tcPr>
          <w:p w14:paraId="0CCBC48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支持诊间患者候诊超时提醒功能</w:t>
            </w:r>
          </w:p>
        </w:tc>
      </w:tr>
      <w:tr w14:paraId="1F40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503ED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92</w:t>
            </w:r>
          </w:p>
        </w:tc>
        <w:tc>
          <w:tcPr>
            <w:tcW w:w="639" w:type="dxa"/>
            <w:vMerge w:val="continue"/>
            <w:shd w:val="clear" w:color="auto" w:fill="auto"/>
            <w:vAlign w:val="center"/>
          </w:tcPr>
          <w:p w14:paraId="7684D61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21CEC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781CF4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30830C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支持候诊超时患者的快速查询功能，支持录入超时原因</w:t>
            </w:r>
          </w:p>
        </w:tc>
      </w:tr>
      <w:tr w14:paraId="74B3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6EC35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w:t>
            </w:r>
          </w:p>
        </w:tc>
        <w:tc>
          <w:tcPr>
            <w:tcW w:w="639" w:type="dxa"/>
            <w:vMerge w:val="continue"/>
            <w:shd w:val="clear" w:color="auto" w:fill="auto"/>
            <w:vAlign w:val="center"/>
          </w:tcPr>
          <w:p w14:paraId="547DC07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ACAC9A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32164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床位管理</w:t>
            </w:r>
          </w:p>
        </w:tc>
        <w:tc>
          <w:tcPr>
            <w:tcW w:w="6555" w:type="dxa"/>
            <w:shd w:val="clear" w:color="auto" w:fill="auto"/>
            <w:vAlign w:val="center"/>
          </w:tcPr>
          <w:p w14:paraId="1ADE537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支持患者床位管理功能，可配置抢救室、留观室床位</w:t>
            </w:r>
          </w:p>
        </w:tc>
      </w:tr>
      <w:tr w14:paraId="551C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CB285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w:t>
            </w:r>
          </w:p>
        </w:tc>
        <w:tc>
          <w:tcPr>
            <w:tcW w:w="639" w:type="dxa"/>
            <w:vMerge w:val="continue"/>
            <w:shd w:val="clear" w:color="auto" w:fill="auto"/>
            <w:vAlign w:val="center"/>
          </w:tcPr>
          <w:p w14:paraId="79D2618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3F9EA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EB21F5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A3976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支持新增、修改、删除床位</w:t>
            </w:r>
          </w:p>
        </w:tc>
      </w:tr>
      <w:tr w14:paraId="386D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6AF6E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w:t>
            </w:r>
          </w:p>
        </w:tc>
        <w:tc>
          <w:tcPr>
            <w:tcW w:w="639" w:type="dxa"/>
            <w:vMerge w:val="continue"/>
            <w:shd w:val="clear" w:color="auto" w:fill="auto"/>
            <w:vAlign w:val="center"/>
          </w:tcPr>
          <w:p w14:paraId="464DA35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F88971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B0CF1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C2CEC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支持查看床位使用情况</w:t>
            </w:r>
          </w:p>
        </w:tc>
      </w:tr>
      <w:tr w14:paraId="07F4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1EB59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w:t>
            </w:r>
          </w:p>
        </w:tc>
        <w:tc>
          <w:tcPr>
            <w:tcW w:w="639" w:type="dxa"/>
            <w:vMerge w:val="continue"/>
            <w:shd w:val="clear" w:color="auto" w:fill="auto"/>
            <w:vAlign w:val="center"/>
          </w:tcPr>
          <w:p w14:paraId="748F9D9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95CAD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31334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患者首页</w:t>
            </w:r>
          </w:p>
        </w:tc>
        <w:tc>
          <w:tcPr>
            <w:tcW w:w="6555" w:type="dxa"/>
            <w:shd w:val="clear" w:color="auto" w:fill="auto"/>
            <w:vAlign w:val="center"/>
          </w:tcPr>
          <w:p w14:paraId="1CD703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支持快速查看患者留抢病历、检查信息、检验信息、医嘱信息、会诊信息、转归记录信息</w:t>
            </w:r>
          </w:p>
        </w:tc>
      </w:tr>
      <w:tr w14:paraId="59C0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1DA89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639" w:type="dxa"/>
            <w:vMerge w:val="continue"/>
            <w:shd w:val="clear" w:color="auto" w:fill="auto"/>
            <w:vAlign w:val="center"/>
          </w:tcPr>
          <w:p w14:paraId="6278AEE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21ECC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FB5324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CF10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病情基本信息需要包含分诊信息、体征数据、流转信息并允许修改</w:t>
            </w:r>
          </w:p>
        </w:tc>
      </w:tr>
      <w:tr w14:paraId="6EB6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7909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639" w:type="dxa"/>
            <w:vMerge w:val="continue"/>
            <w:shd w:val="clear" w:color="auto" w:fill="auto"/>
            <w:vAlign w:val="center"/>
          </w:tcPr>
          <w:p w14:paraId="58B682B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AD48C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7494B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A6C343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提供检查，检验报告调阅，支持调阅查看检查报告</w:t>
            </w:r>
          </w:p>
        </w:tc>
      </w:tr>
      <w:tr w14:paraId="6295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723E0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99</w:t>
            </w:r>
          </w:p>
        </w:tc>
        <w:tc>
          <w:tcPr>
            <w:tcW w:w="639" w:type="dxa"/>
            <w:vMerge w:val="continue"/>
            <w:shd w:val="clear" w:color="auto" w:fill="auto"/>
            <w:vAlign w:val="center"/>
          </w:tcPr>
          <w:p w14:paraId="23C2B29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139FDB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EBD87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患者时间轴</w:t>
            </w:r>
          </w:p>
        </w:tc>
        <w:tc>
          <w:tcPr>
            <w:tcW w:w="6555" w:type="dxa"/>
            <w:shd w:val="clear" w:color="auto" w:fill="auto"/>
            <w:vAlign w:val="center"/>
          </w:tcPr>
          <w:p w14:paraId="1B23E5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★支持自动抓取患者的入抢、护理记录等操作的时间节点，智能生成患者就诊时间轴。</w:t>
            </w:r>
          </w:p>
        </w:tc>
      </w:tr>
      <w:tr w14:paraId="10D3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03828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639" w:type="dxa"/>
            <w:vMerge w:val="continue"/>
            <w:shd w:val="clear" w:color="auto" w:fill="auto"/>
            <w:vAlign w:val="center"/>
          </w:tcPr>
          <w:p w14:paraId="1A99737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153DE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338195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5AF50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支持查看患者从分诊、就诊、留抢、出观的整个含就诊信息过程的时间轴</w:t>
            </w:r>
          </w:p>
        </w:tc>
      </w:tr>
      <w:tr w14:paraId="4E7F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829BF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101</w:t>
            </w:r>
          </w:p>
        </w:tc>
        <w:tc>
          <w:tcPr>
            <w:tcW w:w="639" w:type="dxa"/>
            <w:vMerge w:val="continue"/>
            <w:shd w:val="clear" w:color="auto" w:fill="auto"/>
            <w:vAlign w:val="center"/>
          </w:tcPr>
          <w:p w14:paraId="02627E1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B5D13FF">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1B3D51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调配床位</w:t>
            </w:r>
          </w:p>
        </w:tc>
        <w:tc>
          <w:tcPr>
            <w:tcW w:w="6555" w:type="dxa"/>
            <w:shd w:val="clear" w:color="auto" w:fill="auto"/>
            <w:vAlign w:val="center"/>
          </w:tcPr>
          <w:p w14:paraId="1EF4A6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支持患者变更床位</w:t>
            </w:r>
          </w:p>
        </w:tc>
      </w:tr>
      <w:tr w14:paraId="242B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BB809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w:t>
            </w:r>
          </w:p>
        </w:tc>
        <w:tc>
          <w:tcPr>
            <w:tcW w:w="639" w:type="dxa"/>
            <w:vMerge w:val="continue"/>
            <w:shd w:val="clear" w:color="auto" w:fill="auto"/>
            <w:vAlign w:val="center"/>
          </w:tcPr>
          <w:p w14:paraId="7383AFF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1615544">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4A999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门药、门球时间录入</w:t>
            </w:r>
          </w:p>
        </w:tc>
        <w:tc>
          <w:tcPr>
            <w:tcW w:w="6555" w:type="dxa"/>
            <w:shd w:val="clear" w:color="auto" w:fill="auto"/>
            <w:vAlign w:val="center"/>
          </w:tcPr>
          <w:p w14:paraId="6F1845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支持门药、门球时间和时长信息录入。</w:t>
            </w:r>
          </w:p>
        </w:tc>
      </w:tr>
      <w:tr w14:paraId="2567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1374D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w:t>
            </w:r>
          </w:p>
        </w:tc>
        <w:tc>
          <w:tcPr>
            <w:tcW w:w="639" w:type="dxa"/>
            <w:vMerge w:val="continue"/>
            <w:shd w:val="clear" w:color="auto" w:fill="auto"/>
            <w:vAlign w:val="center"/>
          </w:tcPr>
          <w:p w14:paraId="7D66436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FC46E0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72EFE2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0B19B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提供门药时间报表和门球时间报表</w:t>
            </w:r>
          </w:p>
        </w:tc>
      </w:tr>
      <w:tr w14:paraId="75B0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056D0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104</w:t>
            </w:r>
          </w:p>
        </w:tc>
        <w:tc>
          <w:tcPr>
            <w:tcW w:w="639" w:type="dxa"/>
            <w:vMerge w:val="continue"/>
            <w:shd w:val="clear" w:color="auto" w:fill="auto"/>
            <w:vAlign w:val="center"/>
          </w:tcPr>
          <w:p w14:paraId="61C8A83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3B45A6">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4FF914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空输液单</w:t>
            </w:r>
          </w:p>
        </w:tc>
        <w:tc>
          <w:tcPr>
            <w:tcW w:w="6555" w:type="dxa"/>
            <w:shd w:val="clear" w:color="auto" w:fill="auto"/>
            <w:vAlign w:val="center"/>
          </w:tcPr>
          <w:p w14:paraId="027297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支持空输液单打印，可自定义打印信息，便于危重患者抢救手工填写输液信息。</w:t>
            </w:r>
          </w:p>
        </w:tc>
      </w:tr>
      <w:tr w14:paraId="1800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3B9E5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w:t>
            </w:r>
          </w:p>
        </w:tc>
        <w:tc>
          <w:tcPr>
            <w:tcW w:w="639" w:type="dxa"/>
            <w:vMerge w:val="continue"/>
            <w:shd w:val="clear" w:color="auto" w:fill="auto"/>
            <w:vAlign w:val="center"/>
          </w:tcPr>
          <w:p w14:paraId="2D72052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11B2B5">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0759D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患者转归</w:t>
            </w:r>
          </w:p>
        </w:tc>
        <w:tc>
          <w:tcPr>
            <w:tcW w:w="6555" w:type="dxa"/>
            <w:shd w:val="clear" w:color="auto" w:fill="auto"/>
            <w:vAlign w:val="center"/>
          </w:tcPr>
          <w:p w14:paraId="2C8C05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支持录入患者转归信息（转抢救区/转留观区/转住院/转离院/转输液室/转院）</w:t>
            </w:r>
          </w:p>
        </w:tc>
      </w:tr>
      <w:tr w14:paraId="0EEF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B22C2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106</w:t>
            </w:r>
          </w:p>
        </w:tc>
        <w:tc>
          <w:tcPr>
            <w:tcW w:w="639" w:type="dxa"/>
            <w:vMerge w:val="continue"/>
            <w:shd w:val="clear" w:color="auto" w:fill="auto"/>
            <w:vAlign w:val="center"/>
          </w:tcPr>
          <w:p w14:paraId="0695FE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119EF8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D46828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A445D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支持修改诊间患者、抢救室患者、留观室患者转归信息</w:t>
            </w:r>
          </w:p>
        </w:tc>
      </w:tr>
      <w:tr w14:paraId="287A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7BEFF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107</w:t>
            </w:r>
          </w:p>
        </w:tc>
        <w:tc>
          <w:tcPr>
            <w:tcW w:w="639" w:type="dxa"/>
            <w:vMerge w:val="continue"/>
            <w:shd w:val="clear" w:color="auto" w:fill="auto"/>
            <w:vAlign w:val="center"/>
          </w:tcPr>
          <w:p w14:paraId="1AC4FF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28CF224">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0711A2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健康宣教</w:t>
            </w:r>
          </w:p>
        </w:tc>
        <w:tc>
          <w:tcPr>
            <w:tcW w:w="6555" w:type="dxa"/>
            <w:shd w:val="clear" w:color="auto" w:fill="auto"/>
            <w:vAlign w:val="center"/>
          </w:tcPr>
          <w:p w14:paraId="5FD3296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支持患者健康教育功能，提供健康宣教模板</w:t>
            </w:r>
          </w:p>
        </w:tc>
      </w:tr>
      <w:tr w14:paraId="7F48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2834A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w:t>
            </w:r>
          </w:p>
        </w:tc>
        <w:tc>
          <w:tcPr>
            <w:tcW w:w="639" w:type="dxa"/>
            <w:vMerge w:val="continue"/>
            <w:shd w:val="clear" w:color="auto" w:fill="auto"/>
            <w:vAlign w:val="center"/>
          </w:tcPr>
          <w:p w14:paraId="2A56FE0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A7AFBF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983E4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交接班</w:t>
            </w:r>
          </w:p>
        </w:tc>
        <w:tc>
          <w:tcPr>
            <w:tcW w:w="6555" w:type="dxa"/>
            <w:shd w:val="clear" w:color="auto" w:fill="auto"/>
            <w:vAlign w:val="center"/>
          </w:tcPr>
          <w:p w14:paraId="0D4CECE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支持科室交班快速汇总急诊抢救间、急诊留观等区域病人信息，记录交班日志。</w:t>
            </w:r>
          </w:p>
        </w:tc>
      </w:tr>
      <w:tr w14:paraId="6442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C15CA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109</w:t>
            </w:r>
          </w:p>
        </w:tc>
        <w:tc>
          <w:tcPr>
            <w:tcW w:w="639" w:type="dxa"/>
            <w:vMerge w:val="continue"/>
            <w:shd w:val="clear" w:color="auto" w:fill="auto"/>
            <w:vAlign w:val="center"/>
          </w:tcPr>
          <w:p w14:paraId="6E555DF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BC4529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E8B0D4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D242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支持患者病情交班快速提取病人病情信息、诊断信息，按需调阅病人完整病历信息。</w:t>
            </w:r>
          </w:p>
        </w:tc>
      </w:tr>
      <w:tr w14:paraId="7553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AAD36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w:t>
            </w:r>
          </w:p>
        </w:tc>
        <w:tc>
          <w:tcPr>
            <w:tcW w:w="639" w:type="dxa"/>
            <w:vMerge w:val="continue"/>
            <w:shd w:val="clear" w:color="auto" w:fill="auto"/>
            <w:vAlign w:val="center"/>
          </w:tcPr>
          <w:p w14:paraId="6001F35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B9BA5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583753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983446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支持汇总显示每班次患者流转情况，如入科患者人数、出科患者人数、死亡患者人数。</w:t>
            </w:r>
          </w:p>
        </w:tc>
      </w:tr>
      <w:tr w14:paraId="5687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ECCD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w:t>
            </w:r>
          </w:p>
        </w:tc>
        <w:tc>
          <w:tcPr>
            <w:tcW w:w="639" w:type="dxa"/>
            <w:vMerge w:val="continue"/>
            <w:shd w:val="clear" w:color="auto" w:fill="auto"/>
            <w:vAlign w:val="center"/>
          </w:tcPr>
          <w:p w14:paraId="2A243CA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C8FAE6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6373D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8483F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支持在交接班内容中，插入患者本班次的生命体征情况。</w:t>
            </w:r>
          </w:p>
        </w:tc>
      </w:tr>
      <w:tr w14:paraId="4332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69BEA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112</w:t>
            </w:r>
          </w:p>
        </w:tc>
        <w:tc>
          <w:tcPr>
            <w:tcW w:w="639" w:type="dxa"/>
            <w:vMerge w:val="continue"/>
            <w:shd w:val="clear" w:color="auto" w:fill="auto"/>
            <w:vAlign w:val="center"/>
          </w:tcPr>
          <w:p w14:paraId="22A3A28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1465E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8A0F5B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646D27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支持在交接班内容中，导入患者的病情记录、观察项、出入量、医嘱。</w:t>
            </w:r>
          </w:p>
        </w:tc>
      </w:tr>
      <w:tr w14:paraId="2268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7EB75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113</w:t>
            </w:r>
          </w:p>
        </w:tc>
        <w:tc>
          <w:tcPr>
            <w:tcW w:w="639" w:type="dxa"/>
            <w:vMerge w:val="continue"/>
            <w:shd w:val="clear" w:color="auto" w:fill="auto"/>
            <w:vAlign w:val="center"/>
          </w:tcPr>
          <w:p w14:paraId="49231EC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51FC1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07BFAB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9CADB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支持按医生、护士2种角色进行交接班。</w:t>
            </w:r>
          </w:p>
        </w:tc>
      </w:tr>
      <w:tr w14:paraId="533E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D6D2E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w:t>
            </w:r>
          </w:p>
        </w:tc>
        <w:tc>
          <w:tcPr>
            <w:tcW w:w="639" w:type="dxa"/>
            <w:vMerge w:val="continue"/>
            <w:shd w:val="clear" w:color="auto" w:fill="auto"/>
            <w:vAlign w:val="center"/>
          </w:tcPr>
          <w:p w14:paraId="31583E4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FF10F2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AED26D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39C5A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支持按危重症患者、普通患者两种患者类型进行交接班</w:t>
            </w:r>
          </w:p>
        </w:tc>
      </w:tr>
      <w:tr w14:paraId="0B50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4540A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w:t>
            </w:r>
          </w:p>
        </w:tc>
        <w:tc>
          <w:tcPr>
            <w:tcW w:w="639" w:type="dxa"/>
            <w:vMerge w:val="continue"/>
            <w:shd w:val="clear" w:color="auto" w:fill="auto"/>
            <w:vAlign w:val="center"/>
          </w:tcPr>
          <w:p w14:paraId="6B3CC2D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11648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B62B8A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ADB2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支持交接班报表查询打印功能。</w:t>
            </w:r>
          </w:p>
        </w:tc>
      </w:tr>
      <w:tr w14:paraId="77EE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72665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w:t>
            </w:r>
          </w:p>
        </w:tc>
        <w:tc>
          <w:tcPr>
            <w:tcW w:w="639" w:type="dxa"/>
            <w:vMerge w:val="continue"/>
            <w:shd w:val="clear" w:color="auto" w:fill="auto"/>
            <w:vAlign w:val="center"/>
          </w:tcPr>
          <w:p w14:paraId="295FA76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29DE51">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B0BE7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查对病历</w:t>
            </w:r>
          </w:p>
        </w:tc>
        <w:tc>
          <w:tcPr>
            <w:tcW w:w="6555" w:type="dxa"/>
            <w:shd w:val="clear" w:color="auto" w:fill="auto"/>
            <w:vAlign w:val="center"/>
          </w:tcPr>
          <w:p w14:paraId="3CCDA0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提供查对审核标识，支持质控护士对患者护理病历审核查对。</w:t>
            </w:r>
          </w:p>
        </w:tc>
      </w:tr>
      <w:tr w14:paraId="69AC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D3034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117</w:t>
            </w:r>
          </w:p>
        </w:tc>
        <w:tc>
          <w:tcPr>
            <w:tcW w:w="639" w:type="dxa"/>
            <w:vMerge w:val="continue"/>
            <w:shd w:val="clear" w:color="auto" w:fill="auto"/>
            <w:vAlign w:val="center"/>
          </w:tcPr>
          <w:p w14:paraId="00C57B8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476E37">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842C1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在床评分查询</w:t>
            </w:r>
          </w:p>
        </w:tc>
        <w:tc>
          <w:tcPr>
            <w:tcW w:w="6555" w:type="dxa"/>
            <w:shd w:val="clear" w:color="auto" w:fill="auto"/>
            <w:vAlign w:val="center"/>
          </w:tcPr>
          <w:p w14:paraId="25EB7A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支持在床患者压力性损伤危险、转运风险评分查询</w:t>
            </w:r>
          </w:p>
        </w:tc>
      </w:tr>
      <w:tr w14:paraId="03F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CF997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118</w:t>
            </w:r>
          </w:p>
        </w:tc>
        <w:tc>
          <w:tcPr>
            <w:tcW w:w="639" w:type="dxa"/>
            <w:vMerge w:val="continue"/>
            <w:shd w:val="clear" w:color="auto" w:fill="auto"/>
            <w:vAlign w:val="center"/>
          </w:tcPr>
          <w:p w14:paraId="6100CCD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534CB55">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EDCE2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压疮护理会诊查询</w:t>
            </w:r>
          </w:p>
        </w:tc>
        <w:tc>
          <w:tcPr>
            <w:tcW w:w="6555" w:type="dxa"/>
            <w:shd w:val="clear" w:color="auto" w:fill="auto"/>
            <w:vAlign w:val="center"/>
          </w:tcPr>
          <w:p w14:paraId="07F563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支持根据时间范围、就诊号、患者姓名、会诊护士、会诊医生、会诊类型等条件查询压疮护理会诊。</w:t>
            </w:r>
          </w:p>
        </w:tc>
      </w:tr>
      <w:tr w14:paraId="4DEE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20DD0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119</w:t>
            </w:r>
          </w:p>
        </w:tc>
        <w:tc>
          <w:tcPr>
            <w:tcW w:w="639" w:type="dxa"/>
            <w:vMerge w:val="continue"/>
            <w:shd w:val="clear" w:color="auto" w:fill="auto"/>
            <w:vAlign w:val="center"/>
          </w:tcPr>
          <w:p w14:paraId="634DEB6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68B02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8F287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80CEE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支持会诊回复功能。</w:t>
            </w:r>
          </w:p>
        </w:tc>
      </w:tr>
      <w:tr w14:paraId="360C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5422C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w:t>
            </w:r>
          </w:p>
        </w:tc>
        <w:tc>
          <w:tcPr>
            <w:tcW w:w="639" w:type="dxa"/>
            <w:vMerge w:val="continue"/>
            <w:shd w:val="clear" w:color="auto" w:fill="auto"/>
            <w:vAlign w:val="center"/>
          </w:tcPr>
          <w:p w14:paraId="0A49AA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363D0C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FDF8B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物资管理</w:t>
            </w:r>
          </w:p>
        </w:tc>
        <w:tc>
          <w:tcPr>
            <w:tcW w:w="6555" w:type="dxa"/>
            <w:shd w:val="clear" w:color="auto" w:fill="auto"/>
            <w:vAlign w:val="center"/>
          </w:tcPr>
          <w:p w14:paraId="1A0ED1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支持自定义的轮椅、被服、平车等物资情况展示。</w:t>
            </w:r>
          </w:p>
        </w:tc>
      </w:tr>
      <w:tr w14:paraId="2839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B0E24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w:t>
            </w:r>
          </w:p>
        </w:tc>
        <w:tc>
          <w:tcPr>
            <w:tcW w:w="639" w:type="dxa"/>
            <w:vMerge w:val="continue"/>
            <w:shd w:val="clear" w:color="auto" w:fill="auto"/>
            <w:vAlign w:val="center"/>
          </w:tcPr>
          <w:p w14:paraId="5AD6256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1918A6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97B238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3491C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★支持物资借出、归还、维护、回复使用等功能。</w:t>
            </w:r>
          </w:p>
        </w:tc>
      </w:tr>
      <w:tr w14:paraId="17D4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3DB78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w:t>
            </w:r>
          </w:p>
        </w:tc>
        <w:tc>
          <w:tcPr>
            <w:tcW w:w="639" w:type="dxa"/>
            <w:vMerge w:val="continue"/>
            <w:shd w:val="clear" w:color="auto" w:fill="auto"/>
            <w:vAlign w:val="center"/>
          </w:tcPr>
          <w:p w14:paraId="14172C8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A6ED2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65150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FC79D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支持查看物资使用记录。</w:t>
            </w:r>
          </w:p>
        </w:tc>
      </w:tr>
      <w:tr w14:paraId="22C3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CC456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w:t>
            </w:r>
          </w:p>
        </w:tc>
        <w:tc>
          <w:tcPr>
            <w:tcW w:w="639" w:type="dxa"/>
            <w:vMerge w:val="continue"/>
            <w:shd w:val="clear" w:color="auto" w:fill="auto"/>
            <w:vAlign w:val="center"/>
          </w:tcPr>
          <w:p w14:paraId="3C2B8032">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361C07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急诊护理系统</w:t>
            </w:r>
          </w:p>
        </w:tc>
        <w:tc>
          <w:tcPr>
            <w:tcW w:w="986" w:type="dxa"/>
            <w:vMerge w:val="restart"/>
            <w:shd w:val="clear" w:color="auto" w:fill="auto"/>
            <w:vAlign w:val="center"/>
          </w:tcPr>
          <w:p w14:paraId="51F0EA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患者首页</w:t>
            </w:r>
          </w:p>
        </w:tc>
        <w:tc>
          <w:tcPr>
            <w:tcW w:w="6555" w:type="dxa"/>
            <w:shd w:val="clear" w:color="auto" w:fill="auto"/>
            <w:vAlign w:val="center"/>
          </w:tcPr>
          <w:p w14:paraId="02ACEC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★提供急诊患者首页功能，支持快速查看患者时间轴、生命体征趋势图（如：体温、心率、呼吸、血压和血氧等）、评分总览、医嘱、检查检验和会诊信息。</w:t>
            </w:r>
          </w:p>
        </w:tc>
      </w:tr>
      <w:tr w14:paraId="548A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E5CBD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124</w:t>
            </w:r>
          </w:p>
        </w:tc>
        <w:tc>
          <w:tcPr>
            <w:tcW w:w="639" w:type="dxa"/>
            <w:vMerge w:val="continue"/>
            <w:shd w:val="clear" w:color="auto" w:fill="auto"/>
            <w:vAlign w:val="center"/>
          </w:tcPr>
          <w:p w14:paraId="599D71B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3CB05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8B1C5A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1A8D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支持时间轴自定义筛选任意数量节点展示。</w:t>
            </w:r>
          </w:p>
        </w:tc>
      </w:tr>
      <w:tr w14:paraId="572E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1DF42B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125</w:t>
            </w:r>
          </w:p>
        </w:tc>
        <w:tc>
          <w:tcPr>
            <w:tcW w:w="639" w:type="dxa"/>
            <w:vMerge w:val="continue"/>
            <w:shd w:val="clear" w:color="auto" w:fill="auto"/>
            <w:vAlign w:val="center"/>
          </w:tcPr>
          <w:p w14:paraId="7691861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0288B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E631B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894E6D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评分总览提供患者各类评分趋势图，含BRADEN评分、ADL评分、NRS评分、儿童跌倒风险量表、疼痛评分、GCS评分、安全转运风险评估单、镇静评分、MEWS评分、MORSE评分、VTE评分等。</w:t>
            </w:r>
          </w:p>
        </w:tc>
      </w:tr>
      <w:tr w14:paraId="4967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6EF98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126</w:t>
            </w:r>
          </w:p>
        </w:tc>
        <w:tc>
          <w:tcPr>
            <w:tcW w:w="639" w:type="dxa"/>
            <w:vMerge w:val="continue"/>
            <w:shd w:val="clear" w:color="auto" w:fill="auto"/>
            <w:vAlign w:val="center"/>
          </w:tcPr>
          <w:p w14:paraId="0866BD8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16AE3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EAE6A4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EABEA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支持评分总览自定义筛选任意评分展示。</w:t>
            </w:r>
          </w:p>
        </w:tc>
      </w:tr>
      <w:tr w14:paraId="6562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B548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127</w:t>
            </w:r>
          </w:p>
        </w:tc>
        <w:tc>
          <w:tcPr>
            <w:tcW w:w="639" w:type="dxa"/>
            <w:vMerge w:val="continue"/>
            <w:shd w:val="clear" w:color="auto" w:fill="auto"/>
            <w:vAlign w:val="center"/>
          </w:tcPr>
          <w:p w14:paraId="1561A7E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077DB3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82E95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护理评估</w:t>
            </w:r>
          </w:p>
        </w:tc>
        <w:tc>
          <w:tcPr>
            <w:tcW w:w="6555" w:type="dxa"/>
            <w:shd w:val="clear" w:color="auto" w:fill="auto"/>
            <w:vAlign w:val="center"/>
          </w:tcPr>
          <w:p w14:paraId="14D088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支持提供一般患者入院护理评估模板</w:t>
            </w:r>
          </w:p>
        </w:tc>
      </w:tr>
      <w:tr w14:paraId="2999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E566F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128</w:t>
            </w:r>
          </w:p>
        </w:tc>
        <w:tc>
          <w:tcPr>
            <w:tcW w:w="639" w:type="dxa"/>
            <w:vMerge w:val="continue"/>
            <w:shd w:val="clear" w:color="auto" w:fill="auto"/>
            <w:vAlign w:val="center"/>
          </w:tcPr>
          <w:p w14:paraId="1244A2E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1214E7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0D745C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BB5FCA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支持提供急诊创伤患者入院护理评估模板</w:t>
            </w:r>
          </w:p>
        </w:tc>
      </w:tr>
      <w:tr w14:paraId="328D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470B4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w:t>
            </w:r>
          </w:p>
        </w:tc>
        <w:tc>
          <w:tcPr>
            <w:tcW w:w="639" w:type="dxa"/>
            <w:vMerge w:val="continue"/>
            <w:shd w:val="clear" w:color="auto" w:fill="auto"/>
            <w:vAlign w:val="center"/>
          </w:tcPr>
          <w:p w14:paraId="7750CD1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93934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40DA8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6A0C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支持提供急诊创伤记录表模板</w:t>
            </w:r>
          </w:p>
        </w:tc>
      </w:tr>
      <w:tr w14:paraId="5A20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18E89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639" w:type="dxa"/>
            <w:vMerge w:val="continue"/>
            <w:shd w:val="clear" w:color="auto" w:fill="auto"/>
            <w:vAlign w:val="center"/>
          </w:tcPr>
          <w:p w14:paraId="7726D5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375C9E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6053E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护理记录</w:t>
            </w:r>
          </w:p>
        </w:tc>
        <w:tc>
          <w:tcPr>
            <w:tcW w:w="6555" w:type="dxa"/>
            <w:shd w:val="clear" w:color="auto" w:fill="auto"/>
            <w:vAlign w:val="center"/>
          </w:tcPr>
          <w:p w14:paraId="4558ED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提供病情护理记录单模板，支持录入患者生命体征、评分、基础护理出入量、病情观察情况</w:t>
            </w:r>
          </w:p>
        </w:tc>
      </w:tr>
      <w:tr w14:paraId="6C41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8C8BE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131</w:t>
            </w:r>
          </w:p>
        </w:tc>
        <w:tc>
          <w:tcPr>
            <w:tcW w:w="639" w:type="dxa"/>
            <w:vMerge w:val="continue"/>
            <w:shd w:val="clear" w:color="auto" w:fill="auto"/>
            <w:vAlign w:val="center"/>
          </w:tcPr>
          <w:p w14:paraId="1689E97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4F9B6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5BB7DF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ECBC9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支持导入二次预检数据；支持导入预检补录的生命体征数据；支持导入护理评估体征；支持导入创伤入院护理评估体征；支持生命体征自动导入体温单</w:t>
            </w:r>
          </w:p>
        </w:tc>
      </w:tr>
      <w:tr w14:paraId="42E6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0E0F8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132</w:t>
            </w:r>
          </w:p>
        </w:tc>
        <w:tc>
          <w:tcPr>
            <w:tcW w:w="639" w:type="dxa"/>
            <w:vMerge w:val="continue"/>
            <w:shd w:val="clear" w:color="auto" w:fill="auto"/>
            <w:vAlign w:val="center"/>
          </w:tcPr>
          <w:p w14:paraId="48324F9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8EC8F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2D599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1C63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提供多种患者抢救措施、基础护理措施以及宣教，支持将护士选择的措施在时间轴上生成时间节点；</w:t>
            </w:r>
          </w:p>
        </w:tc>
      </w:tr>
      <w:tr w14:paraId="3DB4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52AB0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133</w:t>
            </w:r>
          </w:p>
        </w:tc>
        <w:tc>
          <w:tcPr>
            <w:tcW w:w="639" w:type="dxa"/>
            <w:vMerge w:val="continue"/>
            <w:shd w:val="clear" w:color="auto" w:fill="auto"/>
            <w:vAlign w:val="center"/>
          </w:tcPr>
          <w:p w14:paraId="2CDF7D4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D22CE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DC0033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56BE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支持导入常用护理书写内容模板（模板内容可配置）</w:t>
            </w:r>
          </w:p>
        </w:tc>
      </w:tr>
      <w:tr w14:paraId="0F94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26A65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134</w:t>
            </w:r>
          </w:p>
        </w:tc>
        <w:tc>
          <w:tcPr>
            <w:tcW w:w="639" w:type="dxa"/>
            <w:vMerge w:val="continue"/>
            <w:shd w:val="clear" w:color="auto" w:fill="auto"/>
            <w:vAlign w:val="center"/>
          </w:tcPr>
          <w:p w14:paraId="15FB765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1E4073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A723B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E9668C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支持导入患者检验、检查、药疗医嘱结果提高护士书写效率（需要第三方厂家开放对接接口）</w:t>
            </w:r>
          </w:p>
        </w:tc>
      </w:tr>
      <w:tr w14:paraId="0C43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1F7C9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w:t>
            </w:r>
          </w:p>
        </w:tc>
        <w:tc>
          <w:tcPr>
            <w:tcW w:w="639" w:type="dxa"/>
            <w:vMerge w:val="continue"/>
            <w:shd w:val="clear" w:color="auto" w:fill="auto"/>
            <w:vAlign w:val="center"/>
          </w:tcPr>
          <w:p w14:paraId="3CDB5EF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0937C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692490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FDB75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支持检验信息异常项导入。</w:t>
            </w:r>
          </w:p>
        </w:tc>
      </w:tr>
      <w:tr w14:paraId="1746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7467E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136</w:t>
            </w:r>
          </w:p>
        </w:tc>
        <w:tc>
          <w:tcPr>
            <w:tcW w:w="639" w:type="dxa"/>
            <w:vMerge w:val="continue"/>
            <w:shd w:val="clear" w:color="auto" w:fill="auto"/>
            <w:vAlign w:val="center"/>
          </w:tcPr>
          <w:p w14:paraId="444BC00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4C210F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FB9D6E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06224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支持导入入院护理评估表、创伤入院评估表、特殊符号、会诊意见、系统评估内容，以便提高护士书写效率。</w:t>
            </w:r>
          </w:p>
        </w:tc>
      </w:tr>
      <w:tr w14:paraId="08E3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59EC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137</w:t>
            </w:r>
          </w:p>
        </w:tc>
        <w:tc>
          <w:tcPr>
            <w:tcW w:w="639" w:type="dxa"/>
            <w:vMerge w:val="continue"/>
            <w:shd w:val="clear" w:color="auto" w:fill="auto"/>
            <w:vAlign w:val="center"/>
          </w:tcPr>
          <w:p w14:paraId="1404F6F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B6BE3C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4DB9C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40904C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支持护理记录单痕迹比对功能。</w:t>
            </w:r>
          </w:p>
        </w:tc>
      </w:tr>
      <w:tr w14:paraId="7DC9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AB476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138</w:t>
            </w:r>
          </w:p>
        </w:tc>
        <w:tc>
          <w:tcPr>
            <w:tcW w:w="639" w:type="dxa"/>
            <w:vMerge w:val="continue"/>
            <w:shd w:val="clear" w:color="auto" w:fill="auto"/>
            <w:vAlign w:val="center"/>
          </w:tcPr>
          <w:p w14:paraId="556C232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D9871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86C793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1DB73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支持护理记录单续打功能。</w:t>
            </w:r>
          </w:p>
        </w:tc>
      </w:tr>
      <w:tr w14:paraId="3DCD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E64B2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w:t>
            </w:r>
          </w:p>
        </w:tc>
        <w:tc>
          <w:tcPr>
            <w:tcW w:w="639" w:type="dxa"/>
            <w:vMerge w:val="continue"/>
            <w:shd w:val="clear" w:color="auto" w:fill="auto"/>
            <w:vAlign w:val="center"/>
          </w:tcPr>
          <w:p w14:paraId="074BECB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075E3C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90F76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出入量管理</w:t>
            </w:r>
          </w:p>
        </w:tc>
        <w:tc>
          <w:tcPr>
            <w:tcW w:w="6555" w:type="dxa"/>
            <w:shd w:val="clear" w:color="auto" w:fill="auto"/>
            <w:vAlign w:val="center"/>
          </w:tcPr>
          <w:p w14:paraId="34F5C5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支持录入患者出量和入量信息，默认可配置常用出入量类型、性质及量值。</w:t>
            </w:r>
          </w:p>
        </w:tc>
      </w:tr>
      <w:tr w14:paraId="5995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79D4A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w:t>
            </w:r>
          </w:p>
        </w:tc>
        <w:tc>
          <w:tcPr>
            <w:tcW w:w="639" w:type="dxa"/>
            <w:vMerge w:val="continue"/>
            <w:shd w:val="clear" w:color="auto" w:fill="auto"/>
            <w:vAlign w:val="center"/>
          </w:tcPr>
          <w:p w14:paraId="3C8F6FE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B78136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7E446D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7222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支持入量项名称常用药物配置，可直接下拉选择进行入量登记。</w:t>
            </w:r>
          </w:p>
        </w:tc>
      </w:tr>
      <w:tr w14:paraId="1D07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86094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141</w:t>
            </w:r>
          </w:p>
        </w:tc>
        <w:tc>
          <w:tcPr>
            <w:tcW w:w="639" w:type="dxa"/>
            <w:vMerge w:val="continue"/>
            <w:shd w:val="clear" w:color="auto" w:fill="auto"/>
            <w:vAlign w:val="center"/>
          </w:tcPr>
          <w:p w14:paraId="12486DA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161B0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ECF9B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1E00C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支持入量项名称导入医疗医嘱内容，便捷快速登记入量。</w:t>
            </w:r>
          </w:p>
        </w:tc>
      </w:tr>
      <w:tr w14:paraId="2970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8DECE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w:t>
            </w:r>
          </w:p>
        </w:tc>
        <w:tc>
          <w:tcPr>
            <w:tcW w:w="639" w:type="dxa"/>
            <w:vMerge w:val="continue"/>
            <w:shd w:val="clear" w:color="auto" w:fill="auto"/>
            <w:vAlign w:val="center"/>
          </w:tcPr>
          <w:p w14:paraId="6CE5A05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2337D3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278A32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65072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支持统计24小时或入院后指定时间内总出入量，总尿量</w:t>
            </w:r>
          </w:p>
        </w:tc>
      </w:tr>
      <w:tr w14:paraId="7204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300A1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143</w:t>
            </w:r>
          </w:p>
        </w:tc>
        <w:tc>
          <w:tcPr>
            <w:tcW w:w="639" w:type="dxa"/>
            <w:vMerge w:val="continue"/>
            <w:shd w:val="clear" w:color="auto" w:fill="auto"/>
            <w:vAlign w:val="center"/>
          </w:tcPr>
          <w:p w14:paraId="55FFA7C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FB248D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B7A78A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3736F4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出入量统计值可导入体温单</w:t>
            </w:r>
          </w:p>
        </w:tc>
      </w:tr>
      <w:tr w14:paraId="7A60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2F4A0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144</w:t>
            </w:r>
          </w:p>
        </w:tc>
        <w:tc>
          <w:tcPr>
            <w:tcW w:w="639" w:type="dxa"/>
            <w:vMerge w:val="continue"/>
            <w:shd w:val="clear" w:color="auto" w:fill="auto"/>
            <w:vAlign w:val="center"/>
          </w:tcPr>
          <w:p w14:paraId="549DA01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99DA9EB">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FA86D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时间窗管理</w:t>
            </w:r>
          </w:p>
        </w:tc>
        <w:tc>
          <w:tcPr>
            <w:tcW w:w="6555" w:type="dxa"/>
            <w:shd w:val="clear" w:color="auto" w:fill="auto"/>
            <w:vAlign w:val="center"/>
          </w:tcPr>
          <w:p w14:paraId="6CE1A6E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提供患者时间窗管理，可在任意时间添加节点记录时间，并同步展示在患者时间轴上。</w:t>
            </w:r>
          </w:p>
        </w:tc>
      </w:tr>
      <w:tr w14:paraId="0573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C3F77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145</w:t>
            </w:r>
          </w:p>
        </w:tc>
        <w:tc>
          <w:tcPr>
            <w:tcW w:w="639" w:type="dxa"/>
            <w:vMerge w:val="continue"/>
            <w:shd w:val="clear" w:color="auto" w:fill="auto"/>
            <w:vAlign w:val="center"/>
          </w:tcPr>
          <w:p w14:paraId="5ECCDF7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04F86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460C2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958B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提供时间窗后台维护功能，可自定义时间窗节点内容。</w:t>
            </w:r>
          </w:p>
        </w:tc>
      </w:tr>
      <w:tr w14:paraId="7D8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6AD93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146</w:t>
            </w:r>
          </w:p>
        </w:tc>
        <w:tc>
          <w:tcPr>
            <w:tcW w:w="639" w:type="dxa"/>
            <w:vMerge w:val="continue"/>
            <w:shd w:val="clear" w:color="auto" w:fill="auto"/>
            <w:vAlign w:val="center"/>
          </w:tcPr>
          <w:p w14:paraId="21367F1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6D06BF">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4A547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特殊护理记录</w:t>
            </w:r>
          </w:p>
        </w:tc>
        <w:tc>
          <w:tcPr>
            <w:tcW w:w="6555" w:type="dxa"/>
            <w:shd w:val="clear" w:color="auto" w:fill="auto"/>
            <w:vAlign w:val="center"/>
          </w:tcPr>
          <w:p w14:paraId="3C6C66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支持提供心肺复苏记录单模板</w:t>
            </w:r>
          </w:p>
        </w:tc>
      </w:tr>
      <w:tr w14:paraId="3D6C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205DC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147</w:t>
            </w:r>
          </w:p>
        </w:tc>
        <w:tc>
          <w:tcPr>
            <w:tcW w:w="639" w:type="dxa"/>
            <w:vMerge w:val="continue"/>
            <w:shd w:val="clear" w:color="auto" w:fill="auto"/>
            <w:vAlign w:val="center"/>
          </w:tcPr>
          <w:p w14:paraId="6502BE2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B7FA0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AB80C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7B6C4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支持提供洗胃护理记录单模板</w:t>
            </w:r>
          </w:p>
        </w:tc>
      </w:tr>
      <w:tr w14:paraId="59AD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CC7EB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148</w:t>
            </w:r>
          </w:p>
        </w:tc>
        <w:tc>
          <w:tcPr>
            <w:tcW w:w="639" w:type="dxa"/>
            <w:vMerge w:val="continue"/>
            <w:shd w:val="clear" w:color="auto" w:fill="auto"/>
            <w:vAlign w:val="center"/>
          </w:tcPr>
          <w:p w14:paraId="568FD2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E245E7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98EF34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68D78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支持提供机械通气护理记录模板</w:t>
            </w:r>
          </w:p>
        </w:tc>
      </w:tr>
      <w:tr w14:paraId="680B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9FB11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149</w:t>
            </w:r>
          </w:p>
        </w:tc>
        <w:tc>
          <w:tcPr>
            <w:tcW w:w="639" w:type="dxa"/>
            <w:vMerge w:val="continue"/>
            <w:shd w:val="clear" w:color="auto" w:fill="auto"/>
            <w:vAlign w:val="center"/>
          </w:tcPr>
          <w:p w14:paraId="0FD4F0B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7F98E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CAFC8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C10AE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支持提供口头医嘱护理记录单（打印单）模板</w:t>
            </w:r>
          </w:p>
        </w:tc>
      </w:tr>
      <w:tr w14:paraId="4A07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B5396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639" w:type="dxa"/>
            <w:vMerge w:val="continue"/>
            <w:shd w:val="clear" w:color="auto" w:fill="auto"/>
            <w:vAlign w:val="center"/>
          </w:tcPr>
          <w:p w14:paraId="740448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EA2B7E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30C7A6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600E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支持血糖POCT报告</w:t>
            </w:r>
          </w:p>
        </w:tc>
      </w:tr>
      <w:tr w14:paraId="195F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58728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151</w:t>
            </w:r>
          </w:p>
        </w:tc>
        <w:tc>
          <w:tcPr>
            <w:tcW w:w="639" w:type="dxa"/>
            <w:vMerge w:val="continue"/>
            <w:shd w:val="clear" w:color="auto" w:fill="auto"/>
            <w:vAlign w:val="center"/>
          </w:tcPr>
          <w:p w14:paraId="1BBEE14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A5A29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641770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B0AADA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支持压疮监控记录单</w:t>
            </w:r>
          </w:p>
        </w:tc>
      </w:tr>
      <w:tr w14:paraId="635E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5C84D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152</w:t>
            </w:r>
          </w:p>
        </w:tc>
        <w:tc>
          <w:tcPr>
            <w:tcW w:w="639" w:type="dxa"/>
            <w:vMerge w:val="continue"/>
            <w:shd w:val="clear" w:color="auto" w:fill="auto"/>
            <w:vAlign w:val="center"/>
          </w:tcPr>
          <w:p w14:paraId="3F5A3C8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D0B8C5">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9EFA7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体温单</w:t>
            </w:r>
          </w:p>
        </w:tc>
        <w:tc>
          <w:tcPr>
            <w:tcW w:w="6555" w:type="dxa"/>
            <w:shd w:val="clear" w:color="auto" w:fill="auto"/>
            <w:vAlign w:val="center"/>
          </w:tcPr>
          <w:p w14:paraId="10DAAC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支持护理记录生命体征直接导入体温单趋势图，支持体温单数据导入护理记录单。</w:t>
            </w:r>
          </w:p>
        </w:tc>
      </w:tr>
      <w:tr w14:paraId="7BAD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69C59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153</w:t>
            </w:r>
          </w:p>
        </w:tc>
        <w:tc>
          <w:tcPr>
            <w:tcW w:w="639" w:type="dxa"/>
            <w:vMerge w:val="continue"/>
            <w:shd w:val="clear" w:color="auto" w:fill="auto"/>
            <w:vAlign w:val="center"/>
          </w:tcPr>
          <w:p w14:paraId="3DA5476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9BC510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67994C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0FC8C8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具备编辑及打印体温单功能</w:t>
            </w:r>
          </w:p>
        </w:tc>
      </w:tr>
      <w:tr w14:paraId="532A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1CB68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154</w:t>
            </w:r>
          </w:p>
        </w:tc>
        <w:tc>
          <w:tcPr>
            <w:tcW w:w="639" w:type="dxa"/>
            <w:vMerge w:val="continue"/>
            <w:shd w:val="clear" w:color="auto" w:fill="auto"/>
            <w:vAlign w:val="center"/>
          </w:tcPr>
          <w:p w14:paraId="04A3F3C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1B85A54">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2C977A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系统评估</w:t>
            </w:r>
          </w:p>
        </w:tc>
        <w:tc>
          <w:tcPr>
            <w:tcW w:w="6555" w:type="dxa"/>
            <w:shd w:val="clear" w:color="auto" w:fill="auto"/>
            <w:vAlign w:val="center"/>
          </w:tcPr>
          <w:p w14:paraId="19C038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提供系统评估（包括神经系统、呼吸系统、消化系统等十余种评估）</w:t>
            </w:r>
          </w:p>
        </w:tc>
      </w:tr>
      <w:tr w14:paraId="5124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815EE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w:t>
            </w:r>
          </w:p>
        </w:tc>
        <w:tc>
          <w:tcPr>
            <w:tcW w:w="639" w:type="dxa"/>
            <w:vMerge w:val="continue"/>
            <w:shd w:val="clear" w:color="auto" w:fill="auto"/>
            <w:vAlign w:val="center"/>
          </w:tcPr>
          <w:p w14:paraId="022B0B6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52CE65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CBAB2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评分管理</w:t>
            </w:r>
          </w:p>
        </w:tc>
        <w:tc>
          <w:tcPr>
            <w:tcW w:w="6555" w:type="dxa"/>
            <w:shd w:val="clear" w:color="auto" w:fill="auto"/>
            <w:vAlign w:val="center"/>
          </w:tcPr>
          <w:p w14:paraId="2056C1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提供跌倒评分、BRADEN评分、ADL评分、NRS评分、成人/儿童坠床评分、MORSE评分、约翰霍普金斯评分、MEWS评分、镇静评分、转运风险评分、VTE评分等评估患者情况</w:t>
            </w:r>
          </w:p>
        </w:tc>
      </w:tr>
      <w:tr w14:paraId="1DAE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BC421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156</w:t>
            </w:r>
          </w:p>
        </w:tc>
        <w:tc>
          <w:tcPr>
            <w:tcW w:w="639" w:type="dxa"/>
            <w:vMerge w:val="continue"/>
            <w:shd w:val="clear" w:color="auto" w:fill="auto"/>
            <w:vAlign w:val="center"/>
          </w:tcPr>
          <w:p w14:paraId="110407B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6830FB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3F35DD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DAB6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允许新增单个指定评分或修改文书内关联评分</w:t>
            </w:r>
          </w:p>
        </w:tc>
      </w:tr>
      <w:tr w14:paraId="093A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A5440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w:t>
            </w:r>
          </w:p>
        </w:tc>
        <w:tc>
          <w:tcPr>
            <w:tcW w:w="639" w:type="dxa"/>
            <w:vMerge w:val="continue"/>
            <w:shd w:val="clear" w:color="auto" w:fill="auto"/>
            <w:vAlign w:val="center"/>
          </w:tcPr>
          <w:p w14:paraId="738D814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958A52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B7F98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导管评估</w:t>
            </w:r>
          </w:p>
        </w:tc>
        <w:tc>
          <w:tcPr>
            <w:tcW w:w="6555" w:type="dxa"/>
            <w:shd w:val="clear" w:color="auto" w:fill="auto"/>
            <w:vAlign w:val="center"/>
          </w:tcPr>
          <w:p w14:paraId="192B636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能够实现患者导管记录：提供插管时间、重置及拔管时间，记录导管的类型、规格、引流液的颜色、性质及量，穿刺部位的皮肤情况，并最终形成统计信息。</w:t>
            </w:r>
          </w:p>
        </w:tc>
      </w:tr>
      <w:tr w14:paraId="48F4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617CA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158</w:t>
            </w:r>
          </w:p>
        </w:tc>
        <w:tc>
          <w:tcPr>
            <w:tcW w:w="639" w:type="dxa"/>
            <w:vMerge w:val="continue"/>
            <w:shd w:val="clear" w:color="auto" w:fill="auto"/>
            <w:vAlign w:val="center"/>
          </w:tcPr>
          <w:p w14:paraId="36C7DB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D8DC3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3A561B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DCD93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支持置管、拔管信息同步导入到护理记录单中。</w:t>
            </w:r>
          </w:p>
        </w:tc>
      </w:tr>
      <w:tr w14:paraId="5E14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022CD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159</w:t>
            </w:r>
          </w:p>
        </w:tc>
        <w:tc>
          <w:tcPr>
            <w:tcW w:w="639" w:type="dxa"/>
            <w:vMerge w:val="continue"/>
            <w:shd w:val="clear" w:color="auto" w:fill="auto"/>
            <w:vAlign w:val="center"/>
          </w:tcPr>
          <w:p w14:paraId="5EB3612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4982D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FA0F7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护理文书</w:t>
            </w:r>
          </w:p>
        </w:tc>
        <w:tc>
          <w:tcPr>
            <w:tcW w:w="6555" w:type="dxa"/>
            <w:shd w:val="clear" w:color="auto" w:fill="auto"/>
            <w:vAlign w:val="center"/>
          </w:tcPr>
          <w:p w14:paraId="54274F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支持个性化定制急诊抢救室内常用护理文书</w:t>
            </w:r>
          </w:p>
        </w:tc>
      </w:tr>
      <w:tr w14:paraId="4C36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A6B1B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w:t>
            </w:r>
          </w:p>
        </w:tc>
        <w:tc>
          <w:tcPr>
            <w:tcW w:w="639" w:type="dxa"/>
            <w:vMerge w:val="continue"/>
            <w:shd w:val="clear" w:color="auto" w:fill="auto"/>
            <w:vAlign w:val="center"/>
          </w:tcPr>
          <w:p w14:paraId="2736268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4C961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34CF2E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8348A0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提供护理文书模板（包含急诊科脑卒中溶栓流程核查表、保护性约束知情同意书、胸痛时间管理记录表、住院须知、坠床/跌倒告知、留置管胃知情同意书等十余张模板</w:t>
            </w:r>
          </w:p>
        </w:tc>
      </w:tr>
      <w:tr w14:paraId="716F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A8F5D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161</w:t>
            </w:r>
          </w:p>
        </w:tc>
        <w:tc>
          <w:tcPr>
            <w:tcW w:w="639" w:type="dxa"/>
            <w:vMerge w:val="continue"/>
            <w:shd w:val="clear" w:color="auto" w:fill="auto"/>
            <w:vAlign w:val="center"/>
          </w:tcPr>
          <w:p w14:paraId="3A147AD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DC6874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EC85A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急诊交接单</w:t>
            </w:r>
          </w:p>
        </w:tc>
        <w:tc>
          <w:tcPr>
            <w:tcW w:w="6555" w:type="dxa"/>
            <w:shd w:val="clear" w:color="auto" w:fill="auto"/>
            <w:vAlign w:val="center"/>
          </w:tcPr>
          <w:p w14:paraId="4A6553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支持个性化定制急诊抢救室内常用交接单</w:t>
            </w:r>
          </w:p>
        </w:tc>
      </w:tr>
      <w:tr w14:paraId="1EBC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4A0083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162</w:t>
            </w:r>
          </w:p>
        </w:tc>
        <w:tc>
          <w:tcPr>
            <w:tcW w:w="639" w:type="dxa"/>
            <w:vMerge w:val="continue"/>
            <w:shd w:val="clear" w:color="auto" w:fill="auto"/>
            <w:vAlign w:val="center"/>
          </w:tcPr>
          <w:p w14:paraId="485FB12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F018A3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3DB2F0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36E3EA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交接单模板（包括危重患者转运交接单、手术患者交接单、一般患者转科交接单、介入患者护理交接单、内镜患者转运交接单、血透患者转运交接单、产房产妇患者转运交接单、新生儿患者转运交接单、门急诊患者转运交接单、日间手术患者转运交接单等模板）</w:t>
            </w:r>
          </w:p>
        </w:tc>
      </w:tr>
      <w:tr w14:paraId="0902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235204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163</w:t>
            </w:r>
          </w:p>
        </w:tc>
        <w:tc>
          <w:tcPr>
            <w:tcW w:w="639" w:type="dxa"/>
            <w:vMerge w:val="continue"/>
            <w:shd w:val="clear" w:color="auto" w:fill="auto"/>
            <w:vAlign w:val="center"/>
          </w:tcPr>
          <w:p w14:paraId="61C081F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829257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C5CC4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压疮护理会诊</w:t>
            </w:r>
          </w:p>
        </w:tc>
        <w:tc>
          <w:tcPr>
            <w:tcW w:w="6555" w:type="dxa"/>
            <w:shd w:val="clear" w:color="auto" w:fill="auto"/>
            <w:vAlign w:val="center"/>
          </w:tcPr>
          <w:p w14:paraId="29FD86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压疮护理会诊登记功能，会诊申请包括申请科室、申请时间、会诊类型、护理病史、申请病区、会诊要求及目的等会诊申请内容。护理病史可导入主诉、现病史、体格检查、检验、检查、护理记录等信息，方便护士书</w:t>
            </w:r>
            <w:r>
              <w:rPr>
                <w:rFonts w:hint="eastAsia" w:ascii="宋体" w:hAnsi="宋体" w:cs="宋体"/>
                <w:i w:val="0"/>
                <w:iCs w:val="0"/>
                <w:color w:val="auto"/>
                <w:kern w:val="0"/>
                <w:sz w:val="22"/>
                <w:szCs w:val="22"/>
                <w:highlight w:val="none"/>
                <w:u w:val="none"/>
                <w:lang w:val="en-US" w:eastAsia="zh-CN" w:bidi="ar"/>
              </w:rPr>
              <w:t>写</w:t>
            </w:r>
            <w:r>
              <w:rPr>
                <w:rFonts w:hint="eastAsia" w:ascii="宋体" w:hAnsi="宋体" w:eastAsia="宋体" w:cs="宋体"/>
                <w:i w:val="0"/>
                <w:iCs w:val="0"/>
                <w:color w:val="auto"/>
                <w:kern w:val="0"/>
                <w:sz w:val="22"/>
                <w:szCs w:val="22"/>
                <w:highlight w:val="none"/>
                <w:u w:val="none"/>
                <w:lang w:val="en-US" w:eastAsia="zh-CN" w:bidi="ar"/>
              </w:rPr>
              <w:t>。</w:t>
            </w:r>
          </w:p>
        </w:tc>
      </w:tr>
      <w:tr w14:paraId="5BD2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5BD5D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164</w:t>
            </w:r>
          </w:p>
        </w:tc>
        <w:tc>
          <w:tcPr>
            <w:tcW w:w="639" w:type="dxa"/>
            <w:vMerge w:val="continue"/>
            <w:shd w:val="clear" w:color="auto" w:fill="auto"/>
            <w:vAlign w:val="center"/>
          </w:tcPr>
          <w:p w14:paraId="04DBF68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60EE1C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D42F3D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2E89C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支持会诊意见录入系统。</w:t>
            </w:r>
          </w:p>
        </w:tc>
      </w:tr>
      <w:tr w14:paraId="0D7F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32343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w:t>
            </w:r>
          </w:p>
        </w:tc>
        <w:tc>
          <w:tcPr>
            <w:tcW w:w="639" w:type="dxa"/>
            <w:vMerge w:val="continue"/>
            <w:shd w:val="clear" w:color="auto" w:fill="auto"/>
            <w:vAlign w:val="center"/>
          </w:tcPr>
          <w:p w14:paraId="15F5B19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E42E7D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ACA168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E6BDAD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提供压疮护理会诊统计报表。</w:t>
            </w:r>
          </w:p>
        </w:tc>
      </w:tr>
      <w:tr w14:paraId="4CC2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8CE2D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w:t>
            </w:r>
          </w:p>
        </w:tc>
        <w:tc>
          <w:tcPr>
            <w:tcW w:w="639" w:type="dxa"/>
            <w:vMerge w:val="continue"/>
            <w:shd w:val="clear" w:color="auto" w:fill="auto"/>
            <w:vAlign w:val="center"/>
          </w:tcPr>
          <w:p w14:paraId="3FCF3F2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04F7D1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0030E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口头医嘱单</w:t>
            </w:r>
          </w:p>
        </w:tc>
        <w:tc>
          <w:tcPr>
            <w:tcW w:w="6555" w:type="dxa"/>
            <w:shd w:val="clear" w:color="auto" w:fill="auto"/>
            <w:vAlign w:val="center"/>
          </w:tcPr>
          <w:p w14:paraId="7AF0E0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提供护士口头医嘱单登记功能，核心元素：开立时间、医嘱内容（药物名称、计量、给药途径）、护士复述、医生确认、开立医嘱医生签名、接收医嘱护士签名。</w:t>
            </w:r>
          </w:p>
        </w:tc>
      </w:tr>
      <w:tr w14:paraId="1013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02B9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167</w:t>
            </w:r>
          </w:p>
        </w:tc>
        <w:tc>
          <w:tcPr>
            <w:tcW w:w="639" w:type="dxa"/>
            <w:vMerge w:val="continue"/>
            <w:shd w:val="clear" w:color="auto" w:fill="auto"/>
            <w:vAlign w:val="center"/>
          </w:tcPr>
          <w:p w14:paraId="672C14A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3A9C2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E5BF3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416F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★口头医嘱录入包括文本录入和选择套餐快速录入。其中套餐可自定义维护。</w:t>
            </w:r>
          </w:p>
        </w:tc>
      </w:tr>
      <w:tr w14:paraId="15D1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F62E6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168</w:t>
            </w:r>
          </w:p>
        </w:tc>
        <w:tc>
          <w:tcPr>
            <w:tcW w:w="639" w:type="dxa"/>
            <w:vMerge w:val="continue"/>
            <w:shd w:val="clear" w:color="auto" w:fill="auto"/>
            <w:vAlign w:val="center"/>
          </w:tcPr>
          <w:p w14:paraId="18A8066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B9618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08E1F4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B0970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口头医嘱单内容可导入护理记录单功能。</w:t>
            </w:r>
          </w:p>
        </w:tc>
      </w:tr>
      <w:tr w14:paraId="6FBD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DC2F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w:t>
            </w:r>
          </w:p>
        </w:tc>
        <w:tc>
          <w:tcPr>
            <w:tcW w:w="639" w:type="dxa"/>
            <w:vMerge w:val="continue"/>
            <w:shd w:val="clear" w:color="auto" w:fill="auto"/>
            <w:vAlign w:val="center"/>
          </w:tcPr>
          <w:p w14:paraId="7A3360E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FDB02B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93AC18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B682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口头医嘱单可修改完善，导出待收费医嘱清单，由医护人员录入HIS系统中进行计费处理。</w:t>
            </w:r>
          </w:p>
        </w:tc>
      </w:tr>
      <w:tr w14:paraId="032A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D68A4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170</w:t>
            </w:r>
          </w:p>
        </w:tc>
        <w:tc>
          <w:tcPr>
            <w:tcW w:w="639" w:type="dxa"/>
            <w:vMerge w:val="continue"/>
            <w:shd w:val="clear" w:color="auto" w:fill="auto"/>
            <w:vAlign w:val="center"/>
          </w:tcPr>
          <w:p w14:paraId="391E93E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1F803F">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C10A6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脓毒血症专项质控</w:t>
            </w:r>
          </w:p>
        </w:tc>
        <w:tc>
          <w:tcPr>
            <w:tcW w:w="6555" w:type="dxa"/>
            <w:shd w:val="clear" w:color="auto" w:fill="auto"/>
            <w:vAlign w:val="center"/>
          </w:tcPr>
          <w:p w14:paraId="2076EC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★支持系统自动生成qSOFA评分。</w:t>
            </w:r>
          </w:p>
        </w:tc>
      </w:tr>
      <w:tr w14:paraId="1911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19065E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171</w:t>
            </w:r>
          </w:p>
        </w:tc>
        <w:tc>
          <w:tcPr>
            <w:tcW w:w="639" w:type="dxa"/>
            <w:vMerge w:val="continue"/>
            <w:shd w:val="clear" w:color="auto" w:fill="auto"/>
            <w:vAlign w:val="center"/>
          </w:tcPr>
          <w:p w14:paraId="091BA80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D6B9A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DDA7B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F3204B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支持疑似脓毒血症专项护理评估，并提供系统自动弹框预警提醒，医生可直接点击预警信息进行诊断修正；支持移动端扫码采集脓毒血症事件节点，系统支持自定义筛选事件时间，形成脓毒血症专项时间轴。</w:t>
            </w:r>
          </w:p>
        </w:tc>
      </w:tr>
      <w:tr w14:paraId="6D3F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05BA03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172</w:t>
            </w:r>
          </w:p>
        </w:tc>
        <w:tc>
          <w:tcPr>
            <w:tcW w:w="639" w:type="dxa"/>
            <w:vMerge w:val="continue"/>
            <w:shd w:val="clear" w:color="auto" w:fill="auto"/>
            <w:vAlign w:val="center"/>
          </w:tcPr>
          <w:p w14:paraId="53F6488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67F8F52">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6EEA1D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新医嘱提醒</w:t>
            </w:r>
          </w:p>
        </w:tc>
        <w:tc>
          <w:tcPr>
            <w:tcW w:w="6555" w:type="dxa"/>
            <w:shd w:val="clear" w:color="auto" w:fill="auto"/>
            <w:vAlign w:val="center"/>
          </w:tcPr>
          <w:p w14:paraId="4DDA0B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支持新医嘱信息弹出框智能提醒，可直接进入移动输液系统中医嘱核对功能页面，进行医嘱核对、医嘱拆分、执行单打印等工作</w:t>
            </w:r>
          </w:p>
        </w:tc>
      </w:tr>
      <w:tr w14:paraId="11B9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434219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173</w:t>
            </w:r>
          </w:p>
        </w:tc>
        <w:tc>
          <w:tcPr>
            <w:tcW w:w="639" w:type="dxa"/>
            <w:vMerge w:val="continue"/>
            <w:shd w:val="clear" w:color="auto" w:fill="auto"/>
            <w:vAlign w:val="center"/>
          </w:tcPr>
          <w:p w14:paraId="423A54B7">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700576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急诊留观留抢电子病历系统</w:t>
            </w:r>
          </w:p>
        </w:tc>
        <w:tc>
          <w:tcPr>
            <w:tcW w:w="986" w:type="dxa"/>
            <w:shd w:val="clear" w:color="auto" w:fill="auto"/>
            <w:vAlign w:val="center"/>
          </w:tcPr>
          <w:p w14:paraId="1BE1A5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病程录列表</w:t>
            </w:r>
          </w:p>
        </w:tc>
        <w:tc>
          <w:tcPr>
            <w:tcW w:w="6555" w:type="dxa"/>
            <w:shd w:val="clear" w:color="auto" w:fill="auto"/>
            <w:vAlign w:val="center"/>
          </w:tcPr>
          <w:p w14:paraId="449ADAF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提供病程录列表，可查看患者入抢、入观期间所有已书写的病历</w:t>
            </w:r>
          </w:p>
        </w:tc>
      </w:tr>
      <w:tr w14:paraId="2B9B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C7864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174</w:t>
            </w:r>
          </w:p>
        </w:tc>
        <w:tc>
          <w:tcPr>
            <w:tcW w:w="639" w:type="dxa"/>
            <w:vMerge w:val="continue"/>
            <w:shd w:val="clear" w:color="auto" w:fill="auto"/>
            <w:vAlign w:val="center"/>
          </w:tcPr>
          <w:p w14:paraId="7C312FF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19B95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9B729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病历模板</w:t>
            </w:r>
          </w:p>
        </w:tc>
        <w:tc>
          <w:tcPr>
            <w:tcW w:w="6555" w:type="dxa"/>
            <w:shd w:val="clear" w:color="auto" w:fill="auto"/>
            <w:vAlign w:val="center"/>
          </w:tcPr>
          <w:p w14:paraId="0E280F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提供首次病历记录、手术病程记录、危急值病程记录等知识库模板配置功能</w:t>
            </w:r>
          </w:p>
        </w:tc>
      </w:tr>
      <w:tr w14:paraId="334A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1DB2C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w:t>
            </w:r>
          </w:p>
        </w:tc>
        <w:tc>
          <w:tcPr>
            <w:tcW w:w="639" w:type="dxa"/>
            <w:vMerge w:val="continue"/>
            <w:shd w:val="clear" w:color="auto" w:fill="auto"/>
            <w:vAlign w:val="center"/>
          </w:tcPr>
          <w:p w14:paraId="61CD0D8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3CF28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D74C0F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159B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支持全局病历模板（例如科室模板、个人模板）的多种保存模式；</w:t>
            </w:r>
          </w:p>
        </w:tc>
      </w:tr>
      <w:tr w14:paraId="3E05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2604C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176</w:t>
            </w:r>
          </w:p>
        </w:tc>
        <w:tc>
          <w:tcPr>
            <w:tcW w:w="639" w:type="dxa"/>
            <w:vMerge w:val="continue"/>
            <w:shd w:val="clear" w:color="auto" w:fill="auto"/>
            <w:vAlign w:val="center"/>
          </w:tcPr>
          <w:p w14:paraId="66616B1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869297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7A3545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33645B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支持全局病历模板（例如科室模板、个人模板）的导入功能；</w:t>
            </w:r>
          </w:p>
        </w:tc>
      </w:tr>
      <w:tr w14:paraId="402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EFF94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177</w:t>
            </w:r>
          </w:p>
        </w:tc>
        <w:tc>
          <w:tcPr>
            <w:tcW w:w="639" w:type="dxa"/>
            <w:vMerge w:val="continue"/>
            <w:shd w:val="clear" w:color="auto" w:fill="auto"/>
            <w:vAlign w:val="center"/>
          </w:tcPr>
          <w:p w14:paraId="4594941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1468E3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A36242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BE2E64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支持导入单个模块内容模板（模板内容可配置）；</w:t>
            </w:r>
          </w:p>
        </w:tc>
      </w:tr>
      <w:tr w14:paraId="01B8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E632F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178</w:t>
            </w:r>
          </w:p>
        </w:tc>
        <w:tc>
          <w:tcPr>
            <w:tcW w:w="639" w:type="dxa"/>
            <w:vMerge w:val="continue"/>
            <w:shd w:val="clear" w:color="auto" w:fill="auto"/>
            <w:vAlign w:val="center"/>
          </w:tcPr>
          <w:p w14:paraId="6CDF33C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6C8B8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FBB914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E4DBF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支持将现有知识库模板内容一键导入至已配置模板对应的病历中</w:t>
            </w:r>
          </w:p>
        </w:tc>
      </w:tr>
      <w:tr w14:paraId="3F13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60778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179</w:t>
            </w:r>
          </w:p>
        </w:tc>
        <w:tc>
          <w:tcPr>
            <w:tcW w:w="639" w:type="dxa"/>
            <w:vMerge w:val="continue"/>
            <w:shd w:val="clear" w:color="auto" w:fill="auto"/>
            <w:vAlign w:val="center"/>
          </w:tcPr>
          <w:p w14:paraId="6DC6168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6F6CE3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1F27E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患者诊断</w:t>
            </w:r>
          </w:p>
        </w:tc>
        <w:tc>
          <w:tcPr>
            <w:tcW w:w="6555" w:type="dxa"/>
            <w:shd w:val="clear" w:color="auto" w:fill="auto"/>
            <w:vAlign w:val="center"/>
          </w:tcPr>
          <w:p w14:paraId="769372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支持获取HIS系统开立的初步诊断（需要第三方厂家开放对接接口）</w:t>
            </w:r>
          </w:p>
        </w:tc>
      </w:tr>
      <w:tr w14:paraId="5917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0F8BE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c>
          <w:tcPr>
            <w:tcW w:w="639" w:type="dxa"/>
            <w:vMerge w:val="continue"/>
            <w:shd w:val="clear" w:color="auto" w:fill="auto"/>
            <w:vAlign w:val="center"/>
          </w:tcPr>
          <w:p w14:paraId="50BEC7F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428FE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9D472C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1C8C27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支持快速录入诊断。提供国家标准ICD-10诊断字典，诊断类型包括主诊断、其他诊断</w:t>
            </w:r>
          </w:p>
        </w:tc>
      </w:tr>
      <w:tr w14:paraId="154D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D1FFE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181</w:t>
            </w:r>
          </w:p>
        </w:tc>
        <w:tc>
          <w:tcPr>
            <w:tcW w:w="639" w:type="dxa"/>
            <w:vMerge w:val="continue"/>
            <w:shd w:val="clear" w:color="auto" w:fill="auto"/>
            <w:vAlign w:val="center"/>
          </w:tcPr>
          <w:p w14:paraId="0405B4D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003FA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262F08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9360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支持录入的诊断回写到病案首页、首次病历记录、抢救记录、死亡记录、死亡病历讨论记录、抢救室小结中</w:t>
            </w:r>
          </w:p>
        </w:tc>
      </w:tr>
      <w:tr w14:paraId="50AA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F34DD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182</w:t>
            </w:r>
          </w:p>
        </w:tc>
        <w:tc>
          <w:tcPr>
            <w:tcW w:w="639" w:type="dxa"/>
            <w:vMerge w:val="continue"/>
            <w:shd w:val="clear" w:color="auto" w:fill="auto"/>
            <w:vAlign w:val="center"/>
          </w:tcPr>
          <w:p w14:paraId="6DEFA5C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EA6608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536BA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导入功能</w:t>
            </w:r>
          </w:p>
        </w:tc>
        <w:tc>
          <w:tcPr>
            <w:tcW w:w="6555" w:type="dxa"/>
            <w:shd w:val="clear" w:color="auto" w:fill="auto"/>
            <w:vAlign w:val="center"/>
          </w:tcPr>
          <w:p w14:paraId="6FB52C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支持临床数据“一处输入，全程共享”，自动导入和选择导入相结合的方式，实现各病历项间数据的充分衔接。</w:t>
            </w:r>
          </w:p>
        </w:tc>
      </w:tr>
      <w:tr w14:paraId="1980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AC2E5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183</w:t>
            </w:r>
          </w:p>
        </w:tc>
        <w:tc>
          <w:tcPr>
            <w:tcW w:w="639" w:type="dxa"/>
            <w:vMerge w:val="continue"/>
            <w:shd w:val="clear" w:color="auto" w:fill="auto"/>
            <w:vAlign w:val="center"/>
          </w:tcPr>
          <w:p w14:paraId="3383C7E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43EF7E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95BD7F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FA93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具备调阅门诊历史病历记录并导入到留抢病历记录中</w:t>
            </w:r>
          </w:p>
        </w:tc>
      </w:tr>
      <w:tr w14:paraId="4288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8F87D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w:t>
            </w:r>
          </w:p>
        </w:tc>
        <w:tc>
          <w:tcPr>
            <w:tcW w:w="639" w:type="dxa"/>
            <w:vMerge w:val="continue"/>
            <w:shd w:val="clear" w:color="auto" w:fill="auto"/>
            <w:vAlign w:val="center"/>
          </w:tcPr>
          <w:p w14:paraId="64E3B6A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3B6E90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BF689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1628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支持同一患者病历的内部复制。</w:t>
            </w:r>
          </w:p>
        </w:tc>
      </w:tr>
      <w:tr w14:paraId="7C49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E98AB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185</w:t>
            </w:r>
          </w:p>
        </w:tc>
        <w:tc>
          <w:tcPr>
            <w:tcW w:w="639" w:type="dxa"/>
            <w:vMerge w:val="continue"/>
            <w:shd w:val="clear" w:color="auto" w:fill="auto"/>
            <w:vAlign w:val="center"/>
          </w:tcPr>
          <w:p w14:paraId="5B4D772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E37C5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72BDA6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F2C5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支持与LIS、PACS系统对接，能够将检验、检查报告插入到病历文书，医生可根据病情描述需要，自主选择检查、检验报告数据直接将准确的数据插入病历文书</w:t>
            </w:r>
          </w:p>
        </w:tc>
      </w:tr>
      <w:tr w14:paraId="38D9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5F1C6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186</w:t>
            </w:r>
          </w:p>
        </w:tc>
        <w:tc>
          <w:tcPr>
            <w:tcW w:w="639" w:type="dxa"/>
            <w:vMerge w:val="continue"/>
            <w:shd w:val="clear" w:color="auto" w:fill="auto"/>
            <w:vAlign w:val="center"/>
          </w:tcPr>
          <w:p w14:paraId="2A41B25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CF289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D2B2C1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F704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支持医嘱、生命体征、病情记录等内容插入病历文书。</w:t>
            </w:r>
          </w:p>
        </w:tc>
      </w:tr>
      <w:tr w14:paraId="791E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3C562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187</w:t>
            </w:r>
          </w:p>
        </w:tc>
        <w:tc>
          <w:tcPr>
            <w:tcW w:w="639" w:type="dxa"/>
            <w:vMerge w:val="continue"/>
            <w:shd w:val="clear" w:color="auto" w:fill="auto"/>
            <w:vAlign w:val="center"/>
          </w:tcPr>
          <w:p w14:paraId="2EE5151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65C9B2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D0D51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ADAD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支持不同病历模板中常用语配置和导入，如：手术病程记录、诊疗计划、病情告知、查体内容、抢救人员、危急值病程、死亡病例讨论具体意见等。</w:t>
            </w:r>
          </w:p>
        </w:tc>
      </w:tr>
      <w:tr w14:paraId="6FA1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D7A0F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188</w:t>
            </w:r>
          </w:p>
        </w:tc>
        <w:tc>
          <w:tcPr>
            <w:tcW w:w="639" w:type="dxa"/>
            <w:vMerge w:val="continue"/>
            <w:shd w:val="clear" w:color="auto" w:fill="auto"/>
            <w:vAlign w:val="center"/>
          </w:tcPr>
          <w:p w14:paraId="5E82A27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8B9AD7">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6E44C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病案首页</w:t>
            </w:r>
          </w:p>
        </w:tc>
        <w:tc>
          <w:tcPr>
            <w:tcW w:w="6555" w:type="dxa"/>
            <w:shd w:val="clear" w:color="auto" w:fill="auto"/>
            <w:vAlign w:val="center"/>
          </w:tcPr>
          <w:p w14:paraId="2CC7264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提供病案首页模板，并支持修改、增加、删减内容项目、变更格式等自定义排版功能；</w:t>
            </w:r>
          </w:p>
        </w:tc>
      </w:tr>
      <w:tr w14:paraId="6541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97A49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189</w:t>
            </w:r>
          </w:p>
        </w:tc>
        <w:tc>
          <w:tcPr>
            <w:tcW w:w="639" w:type="dxa"/>
            <w:vMerge w:val="continue"/>
            <w:shd w:val="clear" w:color="auto" w:fill="auto"/>
            <w:vAlign w:val="center"/>
          </w:tcPr>
          <w:p w14:paraId="4F5CA0A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65451B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788AC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6D459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支持自动导入患者基本信息和诊疗信息。</w:t>
            </w:r>
          </w:p>
        </w:tc>
      </w:tr>
      <w:tr w14:paraId="75D0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E53A2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190</w:t>
            </w:r>
          </w:p>
        </w:tc>
        <w:tc>
          <w:tcPr>
            <w:tcW w:w="639" w:type="dxa"/>
            <w:vMerge w:val="continue"/>
            <w:shd w:val="clear" w:color="auto" w:fill="auto"/>
            <w:vAlign w:val="center"/>
          </w:tcPr>
          <w:p w14:paraId="39FA482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647D0E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781721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0E3DA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支持快速录入手术操作。提供国家标准ICD-9手术字典</w:t>
            </w:r>
          </w:p>
        </w:tc>
      </w:tr>
      <w:tr w14:paraId="0C4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93A1D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191</w:t>
            </w:r>
          </w:p>
        </w:tc>
        <w:tc>
          <w:tcPr>
            <w:tcW w:w="639" w:type="dxa"/>
            <w:vMerge w:val="continue"/>
            <w:shd w:val="clear" w:color="auto" w:fill="auto"/>
            <w:vAlign w:val="center"/>
          </w:tcPr>
          <w:p w14:paraId="153C990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E36AB9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707DA6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D4213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病案首页自动导入预检信息</w:t>
            </w:r>
          </w:p>
        </w:tc>
      </w:tr>
      <w:tr w14:paraId="2B83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FE811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192</w:t>
            </w:r>
          </w:p>
        </w:tc>
        <w:tc>
          <w:tcPr>
            <w:tcW w:w="639" w:type="dxa"/>
            <w:vMerge w:val="continue"/>
            <w:shd w:val="clear" w:color="auto" w:fill="auto"/>
            <w:vAlign w:val="center"/>
          </w:tcPr>
          <w:p w14:paraId="6D16080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216677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972B3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504C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支持对接HIS系统，将患者基本信息导入至病案首页</w:t>
            </w:r>
          </w:p>
        </w:tc>
      </w:tr>
      <w:tr w14:paraId="1400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201DA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193</w:t>
            </w:r>
          </w:p>
        </w:tc>
        <w:tc>
          <w:tcPr>
            <w:tcW w:w="639" w:type="dxa"/>
            <w:vMerge w:val="continue"/>
            <w:shd w:val="clear" w:color="auto" w:fill="auto"/>
            <w:vAlign w:val="center"/>
          </w:tcPr>
          <w:p w14:paraId="78E09B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544F54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86E085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E75DB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支持录入病种、操作步骤并提供对应报表</w:t>
            </w:r>
          </w:p>
        </w:tc>
      </w:tr>
      <w:tr w14:paraId="2B5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94730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194</w:t>
            </w:r>
          </w:p>
        </w:tc>
        <w:tc>
          <w:tcPr>
            <w:tcW w:w="639" w:type="dxa"/>
            <w:vMerge w:val="continue"/>
            <w:shd w:val="clear" w:color="auto" w:fill="auto"/>
            <w:vAlign w:val="center"/>
          </w:tcPr>
          <w:p w14:paraId="0BAC00E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213B2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E45BCA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2A30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支持病历打印及病历痕迹比对功能</w:t>
            </w:r>
          </w:p>
        </w:tc>
      </w:tr>
      <w:tr w14:paraId="4E35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32A9A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195</w:t>
            </w:r>
          </w:p>
        </w:tc>
        <w:tc>
          <w:tcPr>
            <w:tcW w:w="639" w:type="dxa"/>
            <w:vMerge w:val="continue"/>
            <w:shd w:val="clear" w:color="auto" w:fill="auto"/>
            <w:vAlign w:val="center"/>
          </w:tcPr>
          <w:p w14:paraId="5AEB9CA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74C028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7B604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首次病历记录</w:t>
            </w:r>
          </w:p>
        </w:tc>
        <w:tc>
          <w:tcPr>
            <w:tcW w:w="6555" w:type="dxa"/>
            <w:shd w:val="clear" w:color="auto" w:fill="auto"/>
            <w:vAlign w:val="center"/>
          </w:tcPr>
          <w:p w14:paraId="66E5A4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遵循SOAP的病历书写规范</w:t>
            </w:r>
          </w:p>
        </w:tc>
      </w:tr>
      <w:tr w14:paraId="5E95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C465C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196</w:t>
            </w:r>
          </w:p>
        </w:tc>
        <w:tc>
          <w:tcPr>
            <w:tcW w:w="639" w:type="dxa"/>
            <w:vMerge w:val="continue"/>
            <w:shd w:val="clear" w:color="auto" w:fill="auto"/>
            <w:vAlign w:val="center"/>
          </w:tcPr>
          <w:p w14:paraId="7AE94D8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D6AED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FDB400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433810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提供首次病历记录模板</w:t>
            </w:r>
          </w:p>
        </w:tc>
      </w:tr>
      <w:tr w14:paraId="2016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04BC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197</w:t>
            </w:r>
          </w:p>
        </w:tc>
        <w:tc>
          <w:tcPr>
            <w:tcW w:w="639" w:type="dxa"/>
            <w:vMerge w:val="continue"/>
            <w:shd w:val="clear" w:color="auto" w:fill="auto"/>
            <w:vAlign w:val="center"/>
          </w:tcPr>
          <w:p w14:paraId="495C249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D3E8D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2B936C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093A0F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支持急诊门诊病历记录、急诊历史病历、导入至首次病历记录中</w:t>
            </w:r>
          </w:p>
        </w:tc>
      </w:tr>
      <w:tr w14:paraId="30CF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F5D37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198</w:t>
            </w:r>
          </w:p>
        </w:tc>
        <w:tc>
          <w:tcPr>
            <w:tcW w:w="639" w:type="dxa"/>
            <w:vMerge w:val="continue"/>
            <w:shd w:val="clear" w:color="auto" w:fill="auto"/>
            <w:vAlign w:val="center"/>
          </w:tcPr>
          <w:p w14:paraId="1F5D442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37435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F1E8FB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FE57D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支持病历打印及病历痕迹比对功能</w:t>
            </w:r>
          </w:p>
        </w:tc>
      </w:tr>
      <w:tr w14:paraId="2331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E176A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199</w:t>
            </w:r>
          </w:p>
        </w:tc>
        <w:tc>
          <w:tcPr>
            <w:tcW w:w="639" w:type="dxa"/>
            <w:vMerge w:val="continue"/>
            <w:shd w:val="clear" w:color="auto" w:fill="auto"/>
            <w:vAlign w:val="center"/>
          </w:tcPr>
          <w:p w14:paraId="20D4D9D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E302FD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98BBF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病程记录</w:t>
            </w:r>
          </w:p>
        </w:tc>
        <w:tc>
          <w:tcPr>
            <w:tcW w:w="6555" w:type="dxa"/>
            <w:shd w:val="clear" w:color="auto" w:fill="auto"/>
            <w:vAlign w:val="center"/>
          </w:tcPr>
          <w:p w14:paraId="73AA32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提供日常病程记录模板</w:t>
            </w:r>
          </w:p>
        </w:tc>
      </w:tr>
      <w:tr w14:paraId="4077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DFC2D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639" w:type="dxa"/>
            <w:vMerge w:val="continue"/>
            <w:shd w:val="clear" w:color="auto" w:fill="auto"/>
            <w:vAlign w:val="center"/>
          </w:tcPr>
          <w:p w14:paraId="36F473E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F81C9B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27D47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2C3DB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支持修改、增加、删减所有病程记录类型中内容项目、变更格式等自定义排版功能；</w:t>
            </w:r>
          </w:p>
        </w:tc>
      </w:tr>
      <w:tr w14:paraId="55BC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3F193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201</w:t>
            </w:r>
          </w:p>
        </w:tc>
        <w:tc>
          <w:tcPr>
            <w:tcW w:w="639" w:type="dxa"/>
            <w:vMerge w:val="continue"/>
            <w:shd w:val="clear" w:color="auto" w:fill="auto"/>
            <w:vAlign w:val="center"/>
          </w:tcPr>
          <w:p w14:paraId="0DB06CC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8041EB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F8B08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20400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提供首次病程记录模板；</w:t>
            </w:r>
          </w:p>
        </w:tc>
      </w:tr>
      <w:tr w14:paraId="47D1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2301B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202</w:t>
            </w:r>
          </w:p>
        </w:tc>
        <w:tc>
          <w:tcPr>
            <w:tcW w:w="639" w:type="dxa"/>
            <w:vMerge w:val="continue"/>
            <w:shd w:val="clear" w:color="auto" w:fill="auto"/>
            <w:vAlign w:val="center"/>
          </w:tcPr>
          <w:p w14:paraId="58E981A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733C9C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13CA7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97B50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提供会诊记录模板；</w:t>
            </w:r>
          </w:p>
        </w:tc>
      </w:tr>
      <w:tr w14:paraId="5013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2AE1A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203</w:t>
            </w:r>
          </w:p>
        </w:tc>
        <w:tc>
          <w:tcPr>
            <w:tcW w:w="639" w:type="dxa"/>
            <w:vMerge w:val="continue"/>
            <w:shd w:val="clear" w:color="auto" w:fill="auto"/>
            <w:vAlign w:val="center"/>
          </w:tcPr>
          <w:p w14:paraId="74753AD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0F9D85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55A11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37001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提供家属谈话记录模板</w:t>
            </w:r>
          </w:p>
        </w:tc>
      </w:tr>
      <w:tr w14:paraId="6E7F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6ECF3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204</w:t>
            </w:r>
          </w:p>
        </w:tc>
        <w:tc>
          <w:tcPr>
            <w:tcW w:w="639" w:type="dxa"/>
            <w:vMerge w:val="continue"/>
            <w:shd w:val="clear" w:color="auto" w:fill="auto"/>
            <w:vAlign w:val="center"/>
          </w:tcPr>
          <w:p w14:paraId="5908A98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097CB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3F7A47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765074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提供疑难、危重病历讨论记录模板</w:t>
            </w:r>
          </w:p>
        </w:tc>
      </w:tr>
      <w:tr w14:paraId="4EC9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1A5BB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205</w:t>
            </w:r>
          </w:p>
        </w:tc>
        <w:tc>
          <w:tcPr>
            <w:tcW w:w="639" w:type="dxa"/>
            <w:vMerge w:val="continue"/>
            <w:shd w:val="clear" w:color="auto" w:fill="auto"/>
            <w:vAlign w:val="center"/>
          </w:tcPr>
          <w:p w14:paraId="10F0206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F20272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2472DC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76F407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提供手术记录、有创操作记录模板</w:t>
            </w:r>
          </w:p>
        </w:tc>
      </w:tr>
      <w:tr w14:paraId="406E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59C78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206</w:t>
            </w:r>
          </w:p>
        </w:tc>
        <w:tc>
          <w:tcPr>
            <w:tcW w:w="639" w:type="dxa"/>
            <w:vMerge w:val="continue"/>
            <w:shd w:val="clear" w:color="auto" w:fill="auto"/>
            <w:vAlign w:val="center"/>
          </w:tcPr>
          <w:p w14:paraId="635D734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C4750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E9EC16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E54A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提供术后首次病程记录模板</w:t>
            </w:r>
          </w:p>
        </w:tc>
      </w:tr>
      <w:tr w14:paraId="454B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99E20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207</w:t>
            </w:r>
          </w:p>
        </w:tc>
        <w:tc>
          <w:tcPr>
            <w:tcW w:w="639" w:type="dxa"/>
            <w:vMerge w:val="continue"/>
            <w:shd w:val="clear" w:color="auto" w:fill="auto"/>
            <w:vAlign w:val="center"/>
          </w:tcPr>
          <w:p w14:paraId="1D977A2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C8415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A9B61E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9D06BD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提供交接班记录模板</w:t>
            </w:r>
          </w:p>
        </w:tc>
      </w:tr>
      <w:tr w14:paraId="46FA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98DCE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208</w:t>
            </w:r>
          </w:p>
        </w:tc>
        <w:tc>
          <w:tcPr>
            <w:tcW w:w="639" w:type="dxa"/>
            <w:vMerge w:val="continue"/>
            <w:shd w:val="clear" w:color="auto" w:fill="auto"/>
            <w:vAlign w:val="center"/>
          </w:tcPr>
          <w:p w14:paraId="4A4C0C1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546E5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6026AB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044C6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提供手术操作病程模板</w:t>
            </w:r>
          </w:p>
        </w:tc>
      </w:tr>
      <w:tr w14:paraId="7DB6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E140A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209</w:t>
            </w:r>
          </w:p>
        </w:tc>
        <w:tc>
          <w:tcPr>
            <w:tcW w:w="639" w:type="dxa"/>
            <w:vMerge w:val="continue"/>
            <w:shd w:val="clear" w:color="auto" w:fill="auto"/>
            <w:vAlign w:val="center"/>
          </w:tcPr>
          <w:p w14:paraId="07088BC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54BC4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7BB61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884BF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提供危急值病程模板</w:t>
            </w:r>
          </w:p>
        </w:tc>
      </w:tr>
      <w:tr w14:paraId="427F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3276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w:t>
            </w:r>
          </w:p>
        </w:tc>
        <w:tc>
          <w:tcPr>
            <w:tcW w:w="639" w:type="dxa"/>
            <w:vMerge w:val="continue"/>
            <w:shd w:val="clear" w:color="auto" w:fill="auto"/>
            <w:vAlign w:val="center"/>
          </w:tcPr>
          <w:p w14:paraId="4099A79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1770C9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B74FE7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05D8E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提供输血(血制品)模板</w:t>
            </w:r>
          </w:p>
        </w:tc>
      </w:tr>
      <w:tr w14:paraId="6F9D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FB555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211</w:t>
            </w:r>
          </w:p>
        </w:tc>
        <w:tc>
          <w:tcPr>
            <w:tcW w:w="639" w:type="dxa"/>
            <w:vMerge w:val="continue"/>
            <w:shd w:val="clear" w:color="auto" w:fill="auto"/>
            <w:vAlign w:val="center"/>
          </w:tcPr>
          <w:p w14:paraId="54C26AD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D5ACFE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E8A65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6F69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提供主治医生、副主任医生、主任医生查房记录模板</w:t>
            </w:r>
          </w:p>
        </w:tc>
      </w:tr>
      <w:tr w14:paraId="3009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B4A52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212</w:t>
            </w:r>
          </w:p>
        </w:tc>
        <w:tc>
          <w:tcPr>
            <w:tcW w:w="639" w:type="dxa"/>
            <w:vMerge w:val="continue"/>
            <w:shd w:val="clear" w:color="auto" w:fill="auto"/>
            <w:vAlign w:val="center"/>
          </w:tcPr>
          <w:p w14:paraId="6A8C875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3F41EB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26460A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7D7EFB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提供抢救记录模板</w:t>
            </w:r>
          </w:p>
        </w:tc>
      </w:tr>
      <w:tr w14:paraId="4768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BA56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213</w:t>
            </w:r>
          </w:p>
        </w:tc>
        <w:tc>
          <w:tcPr>
            <w:tcW w:w="639" w:type="dxa"/>
            <w:vMerge w:val="continue"/>
            <w:shd w:val="clear" w:color="auto" w:fill="auto"/>
            <w:vAlign w:val="center"/>
          </w:tcPr>
          <w:p w14:paraId="33A97A4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F632BD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96CF75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2B828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提供自定义可编辑抬头模板</w:t>
            </w:r>
          </w:p>
        </w:tc>
      </w:tr>
      <w:tr w14:paraId="78EB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ED865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214</w:t>
            </w:r>
          </w:p>
        </w:tc>
        <w:tc>
          <w:tcPr>
            <w:tcW w:w="639" w:type="dxa"/>
            <w:vMerge w:val="continue"/>
            <w:shd w:val="clear" w:color="auto" w:fill="auto"/>
            <w:vAlign w:val="center"/>
          </w:tcPr>
          <w:p w14:paraId="554B64F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09CA0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8BE3F8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DD5BC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支持病程记录的续写功能</w:t>
            </w:r>
          </w:p>
        </w:tc>
      </w:tr>
      <w:tr w14:paraId="710C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52227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w:t>
            </w:r>
          </w:p>
        </w:tc>
        <w:tc>
          <w:tcPr>
            <w:tcW w:w="639" w:type="dxa"/>
            <w:vMerge w:val="continue"/>
            <w:shd w:val="clear" w:color="auto" w:fill="auto"/>
            <w:vAlign w:val="center"/>
          </w:tcPr>
          <w:p w14:paraId="749C891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AC1E28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C9EEF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9817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支持病程记录的续打功能</w:t>
            </w:r>
          </w:p>
        </w:tc>
      </w:tr>
      <w:tr w14:paraId="3824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DE64E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216</w:t>
            </w:r>
          </w:p>
        </w:tc>
        <w:tc>
          <w:tcPr>
            <w:tcW w:w="639" w:type="dxa"/>
            <w:vMerge w:val="continue"/>
            <w:shd w:val="clear" w:color="auto" w:fill="auto"/>
            <w:vAlign w:val="center"/>
          </w:tcPr>
          <w:p w14:paraId="1B31750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CF0A3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9FF5BA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30F4E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支持病程记录的合并打印功能</w:t>
            </w:r>
          </w:p>
        </w:tc>
      </w:tr>
      <w:tr w14:paraId="6E7F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9C443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217</w:t>
            </w:r>
          </w:p>
        </w:tc>
        <w:tc>
          <w:tcPr>
            <w:tcW w:w="639" w:type="dxa"/>
            <w:vMerge w:val="continue"/>
            <w:shd w:val="clear" w:color="auto" w:fill="auto"/>
            <w:vAlign w:val="center"/>
          </w:tcPr>
          <w:p w14:paraId="0CB966F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CC13A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6A7078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3412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支持病历痕迹比对功能</w:t>
            </w:r>
          </w:p>
        </w:tc>
      </w:tr>
      <w:tr w14:paraId="7C93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42693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218</w:t>
            </w:r>
          </w:p>
        </w:tc>
        <w:tc>
          <w:tcPr>
            <w:tcW w:w="639" w:type="dxa"/>
            <w:vMerge w:val="continue"/>
            <w:shd w:val="clear" w:color="auto" w:fill="auto"/>
            <w:vAlign w:val="center"/>
          </w:tcPr>
          <w:p w14:paraId="16F5FD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CD8303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386BA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死亡记录</w:t>
            </w:r>
          </w:p>
        </w:tc>
        <w:tc>
          <w:tcPr>
            <w:tcW w:w="6555" w:type="dxa"/>
            <w:shd w:val="clear" w:color="auto" w:fill="auto"/>
            <w:vAlign w:val="center"/>
          </w:tcPr>
          <w:p w14:paraId="556CD7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提供死亡记录模板</w:t>
            </w:r>
          </w:p>
        </w:tc>
      </w:tr>
      <w:tr w14:paraId="38DD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B02D1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219</w:t>
            </w:r>
          </w:p>
        </w:tc>
        <w:tc>
          <w:tcPr>
            <w:tcW w:w="639" w:type="dxa"/>
            <w:vMerge w:val="continue"/>
            <w:shd w:val="clear" w:color="auto" w:fill="auto"/>
            <w:vAlign w:val="center"/>
          </w:tcPr>
          <w:p w14:paraId="14D9AE7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D94C8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21584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EC795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支持上级医师审核修改签字</w:t>
            </w:r>
          </w:p>
        </w:tc>
      </w:tr>
      <w:tr w14:paraId="20FC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7A3B8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w:t>
            </w:r>
          </w:p>
        </w:tc>
        <w:tc>
          <w:tcPr>
            <w:tcW w:w="639" w:type="dxa"/>
            <w:vMerge w:val="continue"/>
            <w:shd w:val="clear" w:color="auto" w:fill="auto"/>
            <w:vAlign w:val="center"/>
          </w:tcPr>
          <w:p w14:paraId="2386E3A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4C732B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77466C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5B894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提供死亡证明书模板，支持死亡证明记录并对接上传给公卫防保科</w:t>
            </w:r>
          </w:p>
        </w:tc>
      </w:tr>
      <w:tr w14:paraId="480F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2BB5B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221</w:t>
            </w:r>
          </w:p>
        </w:tc>
        <w:tc>
          <w:tcPr>
            <w:tcW w:w="639" w:type="dxa"/>
            <w:vMerge w:val="continue"/>
            <w:shd w:val="clear" w:color="auto" w:fill="auto"/>
            <w:vAlign w:val="center"/>
          </w:tcPr>
          <w:p w14:paraId="140D85D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535B5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8140F2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921D3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支持病历打印及病历痕迹比对功能</w:t>
            </w:r>
          </w:p>
        </w:tc>
      </w:tr>
      <w:tr w14:paraId="7540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A7F26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222</w:t>
            </w:r>
          </w:p>
        </w:tc>
        <w:tc>
          <w:tcPr>
            <w:tcW w:w="639" w:type="dxa"/>
            <w:vMerge w:val="continue"/>
            <w:shd w:val="clear" w:color="auto" w:fill="auto"/>
            <w:vAlign w:val="center"/>
          </w:tcPr>
          <w:p w14:paraId="14EADF9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375B0D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15C0D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死亡病例讨论</w:t>
            </w:r>
          </w:p>
        </w:tc>
        <w:tc>
          <w:tcPr>
            <w:tcW w:w="6555" w:type="dxa"/>
            <w:shd w:val="clear" w:color="auto" w:fill="auto"/>
            <w:vAlign w:val="center"/>
          </w:tcPr>
          <w:p w14:paraId="29692C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提供死亡病例讨论模板</w:t>
            </w:r>
          </w:p>
        </w:tc>
      </w:tr>
      <w:tr w14:paraId="48CD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271B5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223</w:t>
            </w:r>
          </w:p>
        </w:tc>
        <w:tc>
          <w:tcPr>
            <w:tcW w:w="639" w:type="dxa"/>
            <w:vMerge w:val="continue"/>
            <w:shd w:val="clear" w:color="auto" w:fill="auto"/>
            <w:vAlign w:val="center"/>
          </w:tcPr>
          <w:p w14:paraId="7114285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CFAB1F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FD8AF3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BA0F4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支持讨论主持人审核修改签字；</w:t>
            </w:r>
          </w:p>
        </w:tc>
      </w:tr>
      <w:tr w14:paraId="2333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BE474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224</w:t>
            </w:r>
          </w:p>
        </w:tc>
        <w:tc>
          <w:tcPr>
            <w:tcW w:w="639" w:type="dxa"/>
            <w:vMerge w:val="continue"/>
            <w:shd w:val="clear" w:color="auto" w:fill="auto"/>
            <w:vAlign w:val="center"/>
          </w:tcPr>
          <w:p w14:paraId="5FDAA7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93B2F0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64532C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3165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支持病历打印及病历痕迹比对功能</w:t>
            </w:r>
          </w:p>
        </w:tc>
      </w:tr>
      <w:tr w14:paraId="4EED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68365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225</w:t>
            </w:r>
          </w:p>
        </w:tc>
        <w:tc>
          <w:tcPr>
            <w:tcW w:w="639" w:type="dxa"/>
            <w:vMerge w:val="continue"/>
            <w:shd w:val="clear" w:color="auto" w:fill="auto"/>
            <w:vAlign w:val="center"/>
          </w:tcPr>
          <w:p w14:paraId="763BA3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EA685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478CD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疑难病例讨论记录</w:t>
            </w:r>
          </w:p>
        </w:tc>
        <w:tc>
          <w:tcPr>
            <w:tcW w:w="6555" w:type="dxa"/>
            <w:shd w:val="clear" w:color="auto" w:fill="auto"/>
            <w:vAlign w:val="center"/>
          </w:tcPr>
          <w:p w14:paraId="63A0C3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提供疑难病例讨论记录模板</w:t>
            </w:r>
          </w:p>
        </w:tc>
      </w:tr>
      <w:tr w14:paraId="07A7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F00D5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226</w:t>
            </w:r>
          </w:p>
        </w:tc>
        <w:tc>
          <w:tcPr>
            <w:tcW w:w="639" w:type="dxa"/>
            <w:vMerge w:val="continue"/>
            <w:shd w:val="clear" w:color="auto" w:fill="auto"/>
            <w:vAlign w:val="center"/>
          </w:tcPr>
          <w:p w14:paraId="629C1EB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7A568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72A6C1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303C6B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提供疑难病例讨论具体意见常用语模板</w:t>
            </w:r>
          </w:p>
        </w:tc>
      </w:tr>
      <w:tr w14:paraId="38B3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8D594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227</w:t>
            </w:r>
          </w:p>
        </w:tc>
        <w:tc>
          <w:tcPr>
            <w:tcW w:w="639" w:type="dxa"/>
            <w:vMerge w:val="continue"/>
            <w:shd w:val="clear" w:color="auto" w:fill="auto"/>
            <w:vAlign w:val="center"/>
          </w:tcPr>
          <w:p w14:paraId="5F2EA6A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266852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67C2F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E2B3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支持讨论主持人审核修改签字；</w:t>
            </w:r>
          </w:p>
        </w:tc>
      </w:tr>
      <w:tr w14:paraId="7B96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BA012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228</w:t>
            </w:r>
          </w:p>
        </w:tc>
        <w:tc>
          <w:tcPr>
            <w:tcW w:w="639" w:type="dxa"/>
            <w:vMerge w:val="continue"/>
            <w:shd w:val="clear" w:color="auto" w:fill="auto"/>
            <w:vAlign w:val="center"/>
          </w:tcPr>
          <w:p w14:paraId="4945F0E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22854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8A1F71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3DFB5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支持病历打印及病历痕迹比对功能</w:t>
            </w:r>
          </w:p>
        </w:tc>
      </w:tr>
      <w:tr w14:paraId="47C2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530E4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229</w:t>
            </w:r>
          </w:p>
        </w:tc>
        <w:tc>
          <w:tcPr>
            <w:tcW w:w="639" w:type="dxa"/>
            <w:vMerge w:val="continue"/>
            <w:shd w:val="clear" w:color="auto" w:fill="auto"/>
            <w:vAlign w:val="center"/>
          </w:tcPr>
          <w:p w14:paraId="406483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B0075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9C48F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抢救室小结</w:t>
            </w:r>
          </w:p>
        </w:tc>
        <w:tc>
          <w:tcPr>
            <w:tcW w:w="6555" w:type="dxa"/>
            <w:shd w:val="clear" w:color="auto" w:fill="auto"/>
            <w:vAlign w:val="center"/>
          </w:tcPr>
          <w:p w14:paraId="752A70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提供抢救室小结模板</w:t>
            </w:r>
          </w:p>
        </w:tc>
      </w:tr>
      <w:tr w14:paraId="3BBF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6E832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w:t>
            </w:r>
          </w:p>
        </w:tc>
        <w:tc>
          <w:tcPr>
            <w:tcW w:w="639" w:type="dxa"/>
            <w:vMerge w:val="continue"/>
            <w:shd w:val="clear" w:color="auto" w:fill="auto"/>
            <w:vAlign w:val="center"/>
          </w:tcPr>
          <w:p w14:paraId="08B2545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A3956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996CC7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E33B4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支持病历打印及病历痕迹比对功能</w:t>
            </w:r>
          </w:p>
        </w:tc>
      </w:tr>
      <w:tr w14:paraId="268C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A20D6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231</w:t>
            </w:r>
          </w:p>
        </w:tc>
        <w:tc>
          <w:tcPr>
            <w:tcW w:w="639" w:type="dxa"/>
            <w:vMerge w:val="continue"/>
            <w:shd w:val="clear" w:color="auto" w:fill="auto"/>
            <w:vAlign w:val="center"/>
          </w:tcPr>
          <w:p w14:paraId="4E189AC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A449CE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38E5B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知情同意书</w:t>
            </w:r>
          </w:p>
        </w:tc>
        <w:tc>
          <w:tcPr>
            <w:tcW w:w="6555" w:type="dxa"/>
            <w:shd w:val="clear" w:color="auto" w:fill="auto"/>
            <w:vAlign w:val="center"/>
          </w:tcPr>
          <w:p w14:paraId="4832E5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提供病情告知书模板。病情告知书可导入二十余种常见病情模板内容，如脑梗死、心力衰竭等。模板内容可定义配置</w:t>
            </w:r>
          </w:p>
        </w:tc>
      </w:tr>
      <w:tr w14:paraId="6E35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37846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232</w:t>
            </w:r>
          </w:p>
        </w:tc>
        <w:tc>
          <w:tcPr>
            <w:tcW w:w="639" w:type="dxa"/>
            <w:vMerge w:val="continue"/>
            <w:shd w:val="clear" w:color="auto" w:fill="auto"/>
            <w:vAlign w:val="center"/>
          </w:tcPr>
          <w:p w14:paraId="59BB623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94B9A4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B6A077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071D7F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提供病危病重告知书。选择病危或病重后，患者床卡会有病危或病重明显标识。医嘱单自动生成病危或病重通知的嘱托内容。</w:t>
            </w:r>
          </w:p>
        </w:tc>
      </w:tr>
      <w:tr w14:paraId="51F2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90CA5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233</w:t>
            </w:r>
          </w:p>
        </w:tc>
        <w:tc>
          <w:tcPr>
            <w:tcW w:w="639" w:type="dxa"/>
            <w:vMerge w:val="continue"/>
            <w:shd w:val="clear" w:color="auto" w:fill="auto"/>
            <w:vAlign w:val="center"/>
          </w:tcPr>
          <w:p w14:paraId="1C3E22F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15693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1AFC25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6FBE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提供四十余张知情同意书模板</w:t>
            </w:r>
          </w:p>
        </w:tc>
      </w:tr>
      <w:tr w14:paraId="153F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EBDB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234</w:t>
            </w:r>
          </w:p>
        </w:tc>
        <w:tc>
          <w:tcPr>
            <w:tcW w:w="639" w:type="dxa"/>
            <w:vMerge w:val="continue"/>
            <w:shd w:val="clear" w:color="auto" w:fill="auto"/>
            <w:vAlign w:val="center"/>
          </w:tcPr>
          <w:p w14:paraId="7C05C29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ED22EC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EB8E5B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C3CD9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支持个性化定制医院知情同意书</w:t>
            </w:r>
          </w:p>
        </w:tc>
      </w:tr>
      <w:tr w14:paraId="5F7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D30B7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235</w:t>
            </w:r>
          </w:p>
        </w:tc>
        <w:tc>
          <w:tcPr>
            <w:tcW w:w="639" w:type="dxa"/>
            <w:vMerge w:val="continue"/>
            <w:shd w:val="clear" w:color="auto" w:fill="auto"/>
            <w:vAlign w:val="center"/>
          </w:tcPr>
          <w:p w14:paraId="1C40A8D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B9EA38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6DDF5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医嘱信息</w:t>
            </w:r>
          </w:p>
        </w:tc>
        <w:tc>
          <w:tcPr>
            <w:tcW w:w="6555" w:type="dxa"/>
            <w:shd w:val="clear" w:color="auto" w:fill="auto"/>
            <w:vAlign w:val="center"/>
          </w:tcPr>
          <w:p w14:paraId="44D7BF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支持查看并打印患者入抢期间的所有医嘱信息（需要第三方厂家开放对接接口）</w:t>
            </w:r>
          </w:p>
        </w:tc>
      </w:tr>
      <w:tr w14:paraId="40B7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924FA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236</w:t>
            </w:r>
          </w:p>
        </w:tc>
        <w:tc>
          <w:tcPr>
            <w:tcW w:w="639" w:type="dxa"/>
            <w:vMerge w:val="continue"/>
            <w:shd w:val="clear" w:color="auto" w:fill="auto"/>
            <w:vAlign w:val="center"/>
          </w:tcPr>
          <w:p w14:paraId="4B655E8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BC44A2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3EA46EF">
            <w:pPr>
              <w:jc w:val="center"/>
              <w:rPr>
                <w:rFonts w:hint="eastAsia" w:ascii="宋体" w:hAnsi="宋体" w:eastAsia="宋体" w:cs="宋体"/>
                <w:i w:val="0"/>
                <w:iCs w:val="0"/>
                <w:color w:val="auto"/>
                <w:sz w:val="22"/>
                <w:szCs w:val="22"/>
                <w:highlight w:val="none"/>
                <w:u w:val="none"/>
              </w:rPr>
            </w:pPr>
          </w:p>
        </w:tc>
        <w:tc>
          <w:tcPr>
            <w:tcW w:w="6555" w:type="dxa"/>
            <w:vMerge w:val="restart"/>
            <w:shd w:val="clear" w:color="auto" w:fill="auto"/>
            <w:vAlign w:val="center"/>
          </w:tcPr>
          <w:p w14:paraId="02F189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支持新增、删除文本医嘱功能，可手工录入或套餐选择录入文本医嘱功能。其中套餐可自定义维护。支持修改医嘱开立时间功能，打印的医嘱单开立时间以修改的为准。</w:t>
            </w:r>
          </w:p>
        </w:tc>
      </w:tr>
      <w:tr w14:paraId="3AF1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8A5D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237</w:t>
            </w:r>
          </w:p>
        </w:tc>
        <w:tc>
          <w:tcPr>
            <w:tcW w:w="639" w:type="dxa"/>
            <w:vMerge w:val="continue"/>
            <w:shd w:val="clear" w:color="auto" w:fill="auto"/>
            <w:vAlign w:val="center"/>
          </w:tcPr>
          <w:p w14:paraId="650708B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63036E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8A29A6">
            <w:pPr>
              <w:jc w:val="center"/>
              <w:rPr>
                <w:rFonts w:hint="eastAsia" w:ascii="宋体" w:hAnsi="宋体" w:eastAsia="宋体" w:cs="宋体"/>
                <w:i w:val="0"/>
                <w:iCs w:val="0"/>
                <w:color w:val="auto"/>
                <w:sz w:val="22"/>
                <w:szCs w:val="22"/>
                <w:highlight w:val="none"/>
                <w:u w:val="none"/>
              </w:rPr>
            </w:pPr>
          </w:p>
        </w:tc>
        <w:tc>
          <w:tcPr>
            <w:tcW w:w="6555" w:type="dxa"/>
            <w:vMerge w:val="continue"/>
            <w:shd w:val="clear" w:color="auto" w:fill="auto"/>
            <w:vAlign w:val="center"/>
          </w:tcPr>
          <w:p w14:paraId="02183A59">
            <w:pPr>
              <w:jc w:val="left"/>
              <w:rPr>
                <w:rFonts w:hint="eastAsia" w:ascii="宋体" w:hAnsi="宋体" w:eastAsia="宋体" w:cs="宋体"/>
                <w:i w:val="0"/>
                <w:iCs w:val="0"/>
                <w:color w:val="auto"/>
                <w:sz w:val="22"/>
                <w:szCs w:val="22"/>
                <w:highlight w:val="none"/>
                <w:u w:val="none"/>
              </w:rPr>
            </w:pPr>
          </w:p>
        </w:tc>
      </w:tr>
      <w:tr w14:paraId="293C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273B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238</w:t>
            </w:r>
          </w:p>
        </w:tc>
        <w:tc>
          <w:tcPr>
            <w:tcW w:w="639" w:type="dxa"/>
            <w:vMerge w:val="continue"/>
            <w:shd w:val="clear" w:color="auto" w:fill="auto"/>
            <w:vAlign w:val="center"/>
          </w:tcPr>
          <w:p w14:paraId="035DC93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600F0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03241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会诊管理</w:t>
            </w:r>
          </w:p>
        </w:tc>
        <w:tc>
          <w:tcPr>
            <w:tcW w:w="6555" w:type="dxa"/>
            <w:shd w:val="clear" w:color="auto" w:fill="auto"/>
            <w:vAlign w:val="center"/>
          </w:tcPr>
          <w:p w14:paraId="44EAEA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支持急会诊和普通会诊、MDT会诊标识，支持会诊申请、会诊签到、会诊回复功能</w:t>
            </w:r>
          </w:p>
        </w:tc>
      </w:tr>
      <w:tr w14:paraId="4124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2516E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239</w:t>
            </w:r>
          </w:p>
        </w:tc>
        <w:tc>
          <w:tcPr>
            <w:tcW w:w="639" w:type="dxa"/>
            <w:vMerge w:val="continue"/>
            <w:shd w:val="clear" w:color="auto" w:fill="auto"/>
            <w:vAlign w:val="center"/>
          </w:tcPr>
          <w:p w14:paraId="621B483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EFA47F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73932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12BB6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急诊留观会诊记录功能和普通住院病人的会诊记录融合</w:t>
            </w:r>
          </w:p>
        </w:tc>
      </w:tr>
      <w:tr w14:paraId="6DB2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AE875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w:t>
            </w:r>
          </w:p>
        </w:tc>
        <w:tc>
          <w:tcPr>
            <w:tcW w:w="639" w:type="dxa"/>
            <w:vMerge w:val="continue"/>
            <w:shd w:val="clear" w:color="auto" w:fill="auto"/>
            <w:vAlign w:val="center"/>
          </w:tcPr>
          <w:p w14:paraId="28D937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0EED39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EDF7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02045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支持会诊医生到达急诊科时间记录</w:t>
            </w:r>
          </w:p>
        </w:tc>
      </w:tr>
      <w:tr w14:paraId="1937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C2A21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241</w:t>
            </w:r>
          </w:p>
        </w:tc>
        <w:tc>
          <w:tcPr>
            <w:tcW w:w="639" w:type="dxa"/>
            <w:vMerge w:val="continue"/>
            <w:shd w:val="clear" w:color="auto" w:fill="auto"/>
            <w:vAlign w:val="center"/>
          </w:tcPr>
          <w:p w14:paraId="598C08E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0398F7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5A739D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C3A57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支持会诊意见录入系统</w:t>
            </w:r>
          </w:p>
        </w:tc>
      </w:tr>
      <w:tr w14:paraId="2F6A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85C92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242</w:t>
            </w:r>
          </w:p>
        </w:tc>
        <w:tc>
          <w:tcPr>
            <w:tcW w:w="639" w:type="dxa"/>
            <w:vMerge w:val="continue"/>
            <w:shd w:val="clear" w:color="auto" w:fill="auto"/>
            <w:vAlign w:val="center"/>
          </w:tcPr>
          <w:p w14:paraId="2FEEC3C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F5F2A8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87D1A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E0B1C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支持临床数据导入功能，含检验、检查、药疗医嘱、留抢病历和护理记录内容。</w:t>
            </w:r>
          </w:p>
        </w:tc>
      </w:tr>
      <w:tr w14:paraId="06ED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17245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243</w:t>
            </w:r>
          </w:p>
        </w:tc>
        <w:tc>
          <w:tcPr>
            <w:tcW w:w="639" w:type="dxa"/>
            <w:vMerge w:val="continue"/>
            <w:shd w:val="clear" w:color="auto" w:fill="auto"/>
            <w:vAlign w:val="center"/>
          </w:tcPr>
          <w:p w14:paraId="754F394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4C2F5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C1B301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019B8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支持会诊记录打印及会诊记录痕迹比对功能</w:t>
            </w:r>
          </w:p>
        </w:tc>
      </w:tr>
      <w:tr w14:paraId="052E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C10B4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w:t>
            </w:r>
          </w:p>
        </w:tc>
        <w:tc>
          <w:tcPr>
            <w:tcW w:w="639" w:type="dxa"/>
            <w:vMerge w:val="continue"/>
            <w:shd w:val="clear" w:color="auto" w:fill="auto"/>
            <w:vAlign w:val="center"/>
          </w:tcPr>
          <w:p w14:paraId="1E0BCD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8C20B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0B8CF4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0D3C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提供会诊统计报表</w:t>
            </w:r>
          </w:p>
        </w:tc>
      </w:tr>
      <w:tr w14:paraId="7BFD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39C422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w:t>
            </w:r>
          </w:p>
        </w:tc>
        <w:tc>
          <w:tcPr>
            <w:tcW w:w="639" w:type="dxa"/>
            <w:vMerge w:val="continue"/>
            <w:shd w:val="clear" w:color="auto" w:fill="auto"/>
            <w:vAlign w:val="center"/>
          </w:tcPr>
          <w:p w14:paraId="291F43B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7B537AA">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0627F6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评分表</w:t>
            </w:r>
          </w:p>
        </w:tc>
        <w:tc>
          <w:tcPr>
            <w:tcW w:w="6555" w:type="dxa"/>
            <w:shd w:val="clear" w:color="auto" w:fill="auto"/>
            <w:vAlign w:val="center"/>
          </w:tcPr>
          <w:p w14:paraId="43DCE1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提供评分表功能，含出血风险评估单、VTE风险评估单、静脉血栓风险因素评估表、ISS评分、Killip心功能分级、NIHSS评分、MRS评分、急诊外科创伤TI评分、TASH评分</w:t>
            </w:r>
          </w:p>
        </w:tc>
      </w:tr>
      <w:tr w14:paraId="3125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370A3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246</w:t>
            </w:r>
          </w:p>
        </w:tc>
        <w:tc>
          <w:tcPr>
            <w:tcW w:w="639" w:type="dxa"/>
            <w:vMerge w:val="continue"/>
            <w:shd w:val="clear" w:color="auto" w:fill="auto"/>
            <w:vAlign w:val="center"/>
          </w:tcPr>
          <w:p w14:paraId="73356EC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8F80C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CFB75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护理文书调用</w:t>
            </w:r>
          </w:p>
        </w:tc>
        <w:tc>
          <w:tcPr>
            <w:tcW w:w="6555" w:type="dxa"/>
            <w:shd w:val="clear" w:color="auto" w:fill="auto"/>
            <w:vAlign w:val="center"/>
          </w:tcPr>
          <w:p w14:paraId="361E4E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护理评估采用结构化方式、心肺复苏、五大中心专用护理表单。</w:t>
            </w:r>
          </w:p>
        </w:tc>
      </w:tr>
      <w:tr w14:paraId="6A56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BFD37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247</w:t>
            </w:r>
          </w:p>
        </w:tc>
        <w:tc>
          <w:tcPr>
            <w:tcW w:w="639" w:type="dxa"/>
            <w:vMerge w:val="continue"/>
            <w:shd w:val="clear" w:color="auto" w:fill="auto"/>
            <w:vAlign w:val="center"/>
          </w:tcPr>
          <w:p w14:paraId="5142561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CAEFEA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77D09A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F546F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支持急诊护理文书的调用(入院护理评估单、病情护理记录单、体温单)</w:t>
            </w:r>
          </w:p>
        </w:tc>
      </w:tr>
      <w:tr w14:paraId="4B30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71B6B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248</w:t>
            </w:r>
          </w:p>
        </w:tc>
        <w:tc>
          <w:tcPr>
            <w:tcW w:w="639" w:type="dxa"/>
            <w:vMerge w:val="continue"/>
            <w:shd w:val="clear" w:color="auto" w:fill="auto"/>
            <w:vAlign w:val="center"/>
          </w:tcPr>
          <w:p w14:paraId="6E6C050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60CE1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57E9E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出观记录</w:t>
            </w:r>
          </w:p>
        </w:tc>
        <w:tc>
          <w:tcPr>
            <w:tcW w:w="6555" w:type="dxa"/>
            <w:shd w:val="clear" w:color="auto" w:fill="auto"/>
            <w:vAlign w:val="center"/>
          </w:tcPr>
          <w:p w14:paraId="79A63D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提供出观记录模板；病人去向标记</w:t>
            </w:r>
          </w:p>
        </w:tc>
      </w:tr>
      <w:tr w14:paraId="0834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BB7C1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249</w:t>
            </w:r>
          </w:p>
        </w:tc>
        <w:tc>
          <w:tcPr>
            <w:tcW w:w="639" w:type="dxa"/>
            <w:vMerge w:val="continue"/>
            <w:shd w:val="clear" w:color="auto" w:fill="auto"/>
            <w:vAlign w:val="center"/>
          </w:tcPr>
          <w:p w14:paraId="6E9ABBA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9DA91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E031A1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F93E3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支持上级医师审核修改签字</w:t>
            </w:r>
          </w:p>
        </w:tc>
      </w:tr>
      <w:tr w14:paraId="249E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EF9DB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w:t>
            </w:r>
          </w:p>
        </w:tc>
        <w:tc>
          <w:tcPr>
            <w:tcW w:w="639" w:type="dxa"/>
            <w:vMerge w:val="continue"/>
            <w:shd w:val="clear" w:color="auto" w:fill="auto"/>
            <w:vAlign w:val="center"/>
          </w:tcPr>
          <w:p w14:paraId="05C28D2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38596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C11590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AEBF7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支持出观记录打印及病历痕迹比对功能</w:t>
            </w:r>
          </w:p>
        </w:tc>
      </w:tr>
      <w:tr w14:paraId="4DA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0681D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251</w:t>
            </w:r>
          </w:p>
        </w:tc>
        <w:tc>
          <w:tcPr>
            <w:tcW w:w="639" w:type="dxa"/>
            <w:vMerge w:val="continue"/>
            <w:shd w:val="clear" w:color="auto" w:fill="auto"/>
            <w:vAlign w:val="center"/>
          </w:tcPr>
          <w:p w14:paraId="3DABB6D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686195">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3D798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离抢记录</w:t>
            </w:r>
          </w:p>
        </w:tc>
        <w:tc>
          <w:tcPr>
            <w:tcW w:w="6555" w:type="dxa"/>
            <w:shd w:val="clear" w:color="auto" w:fill="auto"/>
            <w:vAlign w:val="center"/>
          </w:tcPr>
          <w:p w14:paraId="0207A8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提供离抢记录模板；</w:t>
            </w:r>
          </w:p>
        </w:tc>
      </w:tr>
      <w:tr w14:paraId="35C4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9A5C0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252</w:t>
            </w:r>
          </w:p>
        </w:tc>
        <w:tc>
          <w:tcPr>
            <w:tcW w:w="639" w:type="dxa"/>
            <w:vMerge w:val="continue"/>
            <w:shd w:val="clear" w:color="auto" w:fill="auto"/>
            <w:vAlign w:val="center"/>
          </w:tcPr>
          <w:p w14:paraId="1B75BE3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4BF581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4A73E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F841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支持上级医师审核修改签字；</w:t>
            </w:r>
          </w:p>
        </w:tc>
      </w:tr>
      <w:tr w14:paraId="2079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27F98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253</w:t>
            </w:r>
          </w:p>
        </w:tc>
        <w:tc>
          <w:tcPr>
            <w:tcW w:w="639" w:type="dxa"/>
            <w:vMerge w:val="continue"/>
            <w:shd w:val="clear" w:color="auto" w:fill="auto"/>
            <w:vAlign w:val="center"/>
          </w:tcPr>
          <w:p w14:paraId="1E557BD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D460D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E31E3A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2CA1F5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支持离抢记录打印及病历痕迹比对功能。</w:t>
            </w:r>
          </w:p>
        </w:tc>
      </w:tr>
      <w:tr w14:paraId="37C1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F563D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254</w:t>
            </w:r>
          </w:p>
        </w:tc>
        <w:tc>
          <w:tcPr>
            <w:tcW w:w="639" w:type="dxa"/>
            <w:vMerge w:val="continue"/>
            <w:shd w:val="clear" w:color="auto" w:fill="auto"/>
            <w:vAlign w:val="center"/>
          </w:tcPr>
          <w:p w14:paraId="6FA596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81A525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C2E96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输血记录</w:t>
            </w:r>
          </w:p>
        </w:tc>
        <w:tc>
          <w:tcPr>
            <w:tcW w:w="6555" w:type="dxa"/>
            <w:shd w:val="clear" w:color="auto" w:fill="auto"/>
            <w:vAlign w:val="center"/>
          </w:tcPr>
          <w:p w14:paraId="7695BD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支持填写输血申请单</w:t>
            </w:r>
          </w:p>
        </w:tc>
      </w:tr>
      <w:tr w14:paraId="490B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D91F4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255</w:t>
            </w:r>
          </w:p>
        </w:tc>
        <w:tc>
          <w:tcPr>
            <w:tcW w:w="639" w:type="dxa"/>
            <w:vMerge w:val="continue"/>
            <w:shd w:val="clear" w:color="auto" w:fill="auto"/>
            <w:vAlign w:val="center"/>
          </w:tcPr>
          <w:p w14:paraId="76B162C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F5370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E280B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05A2E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支持查看输血申请单列表</w:t>
            </w:r>
          </w:p>
        </w:tc>
      </w:tr>
      <w:tr w14:paraId="33EA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DDE2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256</w:t>
            </w:r>
          </w:p>
        </w:tc>
        <w:tc>
          <w:tcPr>
            <w:tcW w:w="639" w:type="dxa"/>
            <w:vMerge w:val="continue"/>
            <w:shd w:val="clear" w:color="auto" w:fill="auto"/>
            <w:vAlign w:val="center"/>
          </w:tcPr>
          <w:p w14:paraId="27148D5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11507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506A08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9FF1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支持查看输血闭环</w:t>
            </w:r>
          </w:p>
        </w:tc>
      </w:tr>
      <w:tr w14:paraId="1A3B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9D6CF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257</w:t>
            </w:r>
          </w:p>
        </w:tc>
        <w:tc>
          <w:tcPr>
            <w:tcW w:w="639" w:type="dxa"/>
            <w:vMerge w:val="continue"/>
            <w:shd w:val="clear" w:color="auto" w:fill="auto"/>
            <w:vAlign w:val="center"/>
          </w:tcPr>
          <w:p w14:paraId="45D07EC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B7C3E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1472E2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A034F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支持输血病程录依据相关执行结果自动产生</w:t>
            </w:r>
          </w:p>
        </w:tc>
      </w:tr>
      <w:tr w14:paraId="53E0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AE3D6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258</w:t>
            </w:r>
          </w:p>
        </w:tc>
        <w:tc>
          <w:tcPr>
            <w:tcW w:w="639" w:type="dxa"/>
            <w:vMerge w:val="continue"/>
            <w:shd w:val="clear" w:color="auto" w:fill="auto"/>
            <w:vAlign w:val="center"/>
          </w:tcPr>
          <w:p w14:paraId="750CA3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3C7D0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43B47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手术记录</w:t>
            </w:r>
          </w:p>
        </w:tc>
        <w:tc>
          <w:tcPr>
            <w:tcW w:w="6555" w:type="dxa"/>
            <w:shd w:val="clear" w:color="auto" w:fill="auto"/>
            <w:vAlign w:val="center"/>
          </w:tcPr>
          <w:p w14:paraId="5C4D7A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支持填写手术申请单</w:t>
            </w:r>
          </w:p>
        </w:tc>
      </w:tr>
      <w:tr w14:paraId="1646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91A1B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259</w:t>
            </w:r>
          </w:p>
        </w:tc>
        <w:tc>
          <w:tcPr>
            <w:tcW w:w="639" w:type="dxa"/>
            <w:vMerge w:val="continue"/>
            <w:shd w:val="clear" w:color="auto" w:fill="auto"/>
            <w:vAlign w:val="center"/>
          </w:tcPr>
          <w:p w14:paraId="343673A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66AB3C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D9A261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B1A4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支持查看手术申请单列表</w:t>
            </w:r>
          </w:p>
        </w:tc>
      </w:tr>
      <w:tr w14:paraId="6E1C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73A4C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w:t>
            </w:r>
          </w:p>
        </w:tc>
        <w:tc>
          <w:tcPr>
            <w:tcW w:w="639" w:type="dxa"/>
            <w:vMerge w:val="continue"/>
            <w:shd w:val="clear" w:color="auto" w:fill="auto"/>
            <w:vAlign w:val="center"/>
          </w:tcPr>
          <w:p w14:paraId="7FA1DFB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B7E8E3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9D38F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出观/抢评估</w:t>
            </w:r>
          </w:p>
        </w:tc>
        <w:tc>
          <w:tcPr>
            <w:tcW w:w="6555" w:type="dxa"/>
            <w:shd w:val="clear" w:color="auto" w:fill="auto"/>
            <w:vAlign w:val="center"/>
          </w:tcPr>
          <w:p w14:paraId="22DBCC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支持出观/抢评估记录功能</w:t>
            </w:r>
          </w:p>
        </w:tc>
      </w:tr>
      <w:tr w14:paraId="5900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616D4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261</w:t>
            </w:r>
          </w:p>
        </w:tc>
        <w:tc>
          <w:tcPr>
            <w:tcW w:w="639" w:type="dxa"/>
            <w:vMerge w:val="continue"/>
            <w:shd w:val="clear" w:color="auto" w:fill="auto"/>
            <w:vAlign w:val="center"/>
          </w:tcPr>
          <w:p w14:paraId="595D224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D74410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A9CC8B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82A2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支持提供查看、打印功能</w:t>
            </w:r>
          </w:p>
        </w:tc>
      </w:tr>
      <w:tr w14:paraId="0341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7FE7C5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262</w:t>
            </w:r>
          </w:p>
        </w:tc>
        <w:tc>
          <w:tcPr>
            <w:tcW w:w="639" w:type="dxa"/>
            <w:vMerge w:val="continue"/>
            <w:shd w:val="clear" w:color="auto" w:fill="auto"/>
            <w:vAlign w:val="center"/>
          </w:tcPr>
          <w:p w14:paraId="3B57C7D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B78EF98">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D97E5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检验检查信息</w:t>
            </w:r>
          </w:p>
        </w:tc>
        <w:tc>
          <w:tcPr>
            <w:tcW w:w="6555" w:type="dxa"/>
            <w:shd w:val="clear" w:color="auto" w:fill="auto"/>
            <w:vAlign w:val="center"/>
          </w:tcPr>
          <w:p w14:paraId="20C6E9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支持检验信息、检查报告调阅</w:t>
            </w:r>
          </w:p>
        </w:tc>
      </w:tr>
      <w:tr w14:paraId="120E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D25C5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263</w:t>
            </w:r>
          </w:p>
        </w:tc>
        <w:tc>
          <w:tcPr>
            <w:tcW w:w="639" w:type="dxa"/>
            <w:vMerge w:val="continue"/>
            <w:shd w:val="clear" w:color="auto" w:fill="auto"/>
            <w:vAlign w:val="center"/>
          </w:tcPr>
          <w:p w14:paraId="4D406F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870FEE">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4D3D13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病历核查</w:t>
            </w:r>
          </w:p>
        </w:tc>
        <w:tc>
          <w:tcPr>
            <w:tcW w:w="6555" w:type="dxa"/>
            <w:shd w:val="clear" w:color="auto" w:fill="auto"/>
            <w:vAlign w:val="center"/>
          </w:tcPr>
          <w:p w14:paraId="6F42CC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支持医生进行患者病历核查登记</w:t>
            </w:r>
          </w:p>
        </w:tc>
      </w:tr>
      <w:tr w14:paraId="71D3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A803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264</w:t>
            </w:r>
          </w:p>
        </w:tc>
        <w:tc>
          <w:tcPr>
            <w:tcW w:w="639" w:type="dxa"/>
            <w:vMerge w:val="continue"/>
            <w:shd w:val="clear" w:color="auto" w:fill="auto"/>
            <w:vAlign w:val="center"/>
          </w:tcPr>
          <w:p w14:paraId="4494556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50784EF">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6FB2D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知识库</w:t>
            </w:r>
          </w:p>
        </w:tc>
        <w:tc>
          <w:tcPr>
            <w:tcW w:w="6555" w:type="dxa"/>
            <w:shd w:val="clear" w:color="auto" w:fill="auto"/>
            <w:vAlign w:val="center"/>
          </w:tcPr>
          <w:p w14:paraId="52ECB7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支持急诊历史就诊病历调阅</w:t>
            </w:r>
          </w:p>
        </w:tc>
      </w:tr>
      <w:tr w14:paraId="119E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4D842E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265</w:t>
            </w:r>
          </w:p>
        </w:tc>
        <w:tc>
          <w:tcPr>
            <w:tcW w:w="639" w:type="dxa"/>
            <w:vMerge w:val="continue"/>
            <w:shd w:val="clear" w:color="auto" w:fill="auto"/>
            <w:vAlign w:val="center"/>
          </w:tcPr>
          <w:p w14:paraId="6227430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0B9D15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A20020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2E49C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支持科室和个人两种模式的自定义常用语维护，含手术病程记录、诊疗计划、病情告知、查体内容、抢救人员等，书写病历时可双击输入框直接调用导入。</w:t>
            </w:r>
          </w:p>
        </w:tc>
      </w:tr>
      <w:tr w14:paraId="3172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1EEFE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266</w:t>
            </w:r>
          </w:p>
        </w:tc>
        <w:tc>
          <w:tcPr>
            <w:tcW w:w="639" w:type="dxa"/>
            <w:vMerge w:val="continue"/>
            <w:shd w:val="clear" w:color="auto" w:fill="auto"/>
            <w:vAlign w:val="center"/>
          </w:tcPr>
          <w:p w14:paraId="7259D62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DD663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6FA1CA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220DEE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支持科室和个人两种模式的自定义首次病历模板维护。</w:t>
            </w:r>
          </w:p>
        </w:tc>
      </w:tr>
      <w:tr w14:paraId="0C5A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25E626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267</w:t>
            </w:r>
          </w:p>
        </w:tc>
        <w:tc>
          <w:tcPr>
            <w:tcW w:w="639" w:type="dxa"/>
            <w:vMerge w:val="continue"/>
            <w:shd w:val="clear" w:color="auto" w:fill="auto"/>
            <w:vAlign w:val="center"/>
          </w:tcPr>
          <w:p w14:paraId="0803DA9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0980AD1">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BF7A7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内嵌病历链接</w:t>
            </w:r>
          </w:p>
        </w:tc>
        <w:tc>
          <w:tcPr>
            <w:tcW w:w="6555" w:type="dxa"/>
            <w:shd w:val="clear" w:color="auto" w:fill="auto"/>
            <w:vAlign w:val="center"/>
          </w:tcPr>
          <w:p w14:paraId="010F44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支持提供急诊留抢病历URL链接，可供第三方系统查看指定患者急诊留抢病历信息</w:t>
            </w:r>
          </w:p>
        </w:tc>
      </w:tr>
      <w:tr w14:paraId="2B3A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209B79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268</w:t>
            </w:r>
          </w:p>
        </w:tc>
        <w:tc>
          <w:tcPr>
            <w:tcW w:w="639" w:type="dxa"/>
            <w:vMerge w:val="continue"/>
            <w:shd w:val="clear" w:color="auto" w:fill="auto"/>
            <w:vAlign w:val="center"/>
          </w:tcPr>
          <w:p w14:paraId="02864E1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D69A8F6">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9AD78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病历统计报表</w:t>
            </w:r>
          </w:p>
        </w:tc>
        <w:tc>
          <w:tcPr>
            <w:tcW w:w="6555" w:type="dxa"/>
            <w:shd w:val="clear" w:color="auto" w:fill="auto"/>
            <w:vAlign w:val="center"/>
          </w:tcPr>
          <w:p w14:paraId="2380F7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提供留抢病历质控检查统计报表</w:t>
            </w:r>
          </w:p>
        </w:tc>
      </w:tr>
      <w:tr w14:paraId="2676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308B7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269</w:t>
            </w:r>
          </w:p>
        </w:tc>
        <w:tc>
          <w:tcPr>
            <w:tcW w:w="639" w:type="dxa"/>
            <w:vMerge w:val="continue"/>
            <w:shd w:val="clear" w:color="auto" w:fill="auto"/>
            <w:vAlign w:val="center"/>
          </w:tcPr>
          <w:p w14:paraId="51E9ACA0">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23EAA7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移动护理（急诊科）</w:t>
            </w:r>
          </w:p>
        </w:tc>
        <w:tc>
          <w:tcPr>
            <w:tcW w:w="986" w:type="dxa"/>
            <w:vMerge w:val="restart"/>
            <w:shd w:val="clear" w:color="auto" w:fill="auto"/>
            <w:vAlign w:val="center"/>
          </w:tcPr>
          <w:p w14:paraId="290DB8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医嘱核对</w:t>
            </w:r>
          </w:p>
        </w:tc>
        <w:tc>
          <w:tcPr>
            <w:tcW w:w="6555" w:type="dxa"/>
            <w:shd w:val="clear" w:color="auto" w:fill="auto"/>
            <w:vAlign w:val="center"/>
          </w:tcPr>
          <w:p w14:paraId="72A01A2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医生在HIS下达医嘱后，系统自动同步医嘱。</w:t>
            </w:r>
          </w:p>
        </w:tc>
      </w:tr>
      <w:tr w14:paraId="476D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2E841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639" w:type="dxa"/>
            <w:vMerge w:val="continue"/>
            <w:shd w:val="clear" w:color="auto" w:fill="auto"/>
            <w:vAlign w:val="center"/>
          </w:tcPr>
          <w:p w14:paraId="21F0DB3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C1AD5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A35991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55246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护士对医嘱做医嘱核对功能，核对时间会同步至医嘱单</w:t>
            </w:r>
          </w:p>
        </w:tc>
      </w:tr>
      <w:tr w14:paraId="38A9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E769F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271</w:t>
            </w:r>
          </w:p>
        </w:tc>
        <w:tc>
          <w:tcPr>
            <w:tcW w:w="639" w:type="dxa"/>
            <w:vMerge w:val="continue"/>
            <w:shd w:val="clear" w:color="auto" w:fill="auto"/>
            <w:vAlign w:val="center"/>
          </w:tcPr>
          <w:p w14:paraId="6804091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E697D81">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03C61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撤销核对</w:t>
            </w:r>
          </w:p>
        </w:tc>
        <w:tc>
          <w:tcPr>
            <w:tcW w:w="6555" w:type="dxa"/>
            <w:shd w:val="clear" w:color="auto" w:fill="auto"/>
            <w:vAlign w:val="center"/>
          </w:tcPr>
          <w:p w14:paraId="1AF4B9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支持撤销已核对的医嘱信息。医生在HIS下达医嘱并且护士医嘱拆分后，医生又对医嘱做作废动作，此时护士可撤销核对</w:t>
            </w:r>
          </w:p>
        </w:tc>
      </w:tr>
      <w:tr w14:paraId="355F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160B1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272</w:t>
            </w:r>
          </w:p>
        </w:tc>
        <w:tc>
          <w:tcPr>
            <w:tcW w:w="639" w:type="dxa"/>
            <w:vMerge w:val="continue"/>
            <w:shd w:val="clear" w:color="auto" w:fill="auto"/>
            <w:vAlign w:val="center"/>
          </w:tcPr>
          <w:p w14:paraId="7CB8479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14CA2B">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39B78A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医嘱拆分</w:t>
            </w:r>
          </w:p>
        </w:tc>
        <w:tc>
          <w:tcPr>
            <w:tcW w:w="6555" w:type="dxa"/>
            <w:shd w:val="clear" w:color="auto" w:fill="auto"/>
            <w:vAlign w:val="center"/>
          </w:tcPr>
          <w:p w14:paraId="77B65A4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支持医嘱拆分功能。根据频次和用药天数对下达药疗医嘱做拆分</w:t>
            </w:r>
          </w:p>
        </w:tc>
      </w:tr>
      <w:tr w14:paraId="7375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6E4DB7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273</w:t>
            </w:r>
          </w:p>
        </w:tc>
        <w:tc>
          <w:tcPr>
            <w:tcW w:w="639" w:type="dxa"/>
            <w:vMerge w:val="continue"/>
            <w:shd w:val="clear" w:color="auto" w:fill="auto"/>
            <w:vAlign w:val="center"/>
          </w:tcPr>
          <w:p w14:paraId="589162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BAA1340">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4FDE4D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执行单打印</w:t>
            </w:r>
          </w:p>
        </w:tc>
        <w:tc>
          <w:tcPr>
            <w:tcW w:w="6555" w:type="dxa"/>
            <w:shd w:val="clear" w:color="auto" w:fill="auto"/>
            <w:vAlign w:val="center"/>
          </w:tcPr>
          <w:p w14:paraId="56A090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支持拆分后的执行单全部打印、单个打印、不打印标识操作</w:t>
            </w:r>
          </w:p>
        </w:tc>
      </w:tr>
      <w:tr w14:paraId="73C6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B5B9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274</w:t>
            </w:r>
          </w:p>
        </w:tc>
        <w:tc>
          <w:tcPr>
            <w:tcW w:w="639" w:type="dxa"/>
            <w:vMerge w:val="continue"/>
            <w:shd w:val="clear" w:color="auto" w:fill="auto"/>
            <w:vAlign w:val="center"/>
          </w:tcPr>
          <w:p w14:paraId="337C98F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14DE65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DFB60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医嘱执行记录</w:t>
            </w:r>
          </w:p>
        </w:tc>
        <w:tc>
          <w:tcPr>
            <w:tcW w:w="6555" w:type="dxa"/>
            <w:shd w:val="clear" w:color="auto" w:fill="auto"/>
            <w:vAlign w:val="center"/>
          </w:tcPr>
          <w:p w14:paraId="54F613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支持查看所有执行单的执行情况</w:t>
            </w:r>
          </w:p>
        </w:tc>
      </w:tr>
      <w:tr w14:paraId="3AEF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AD911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275</w:t>
            </w:r>
          </w:p>
        </w:tc>
        <w:tc>
          <w:tcPr>
            <w:tcW w:w="639" w:type="dxa"/>
            <w:vMerge w:val="continue"/>
            <w:shd w:val="clear" w:color="auto" w:fill="auto"/>
            <w:vAlign w:val="center"/>
          </w:tcPr>
          <w:p w14:paraId="2349C45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BB765B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A00DFA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622D7D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支持人工录入和修改执行记录，开放配药时间、执行时间、结束时间等关键时间节点的修改功能</w:t>
            </w:r>
          </w:p>
        </w:tc>
      </w:tr>
      <w:tr w14:paraId="2592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A7F21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276</w:t>
            </w:r>
          </w:p>
        </w:tc>
        <w:tc>
          <w:tcPr>
            <w:tcW w:w="639" w:type="dxa"/>
            <w:vMerge w:val="continue"/>
            <w:shd w:val="clear" w:color="auto" w:fill="auto"/>
            <w:vAlign w:val="center"/>
          </w:tcPr>
          <w:p w14:paraId="015E5DB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5333E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046D67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1710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支持修改权限控制，由护理组长角色（可配置）才能修改关键时间节点</w:t>
            </w:r>
          </w:p>
        </w:tc>
      </w:tr>
      <w:tr w14:paraId="5111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6DC48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277</w:t>
            </w:r>
          </w:p>
        </w:tc>
        <w:tc>
          <w:tcPr>
            <w:tcW w:w="639" w:type="dxa"/>
            <w:vMerge w:val="continue"/>
            <w:shd w:val="clear" w:color="auto" w:fill="auto"/>
            <w:vAlign w:val="center"/>
          </w:tcPr>
          <w:p w14:paraId="6A7B442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0FC467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99083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医嘱单</w:t>
            </w:r>
          </w:p>
        </w:tc>
        <w:tc>
          <w:tcPr>
            <w:tcW w:w="6555" w:type="dxa"/>
            <w:shd w:val="clear" w:color="auto" w:fill="auto"/>
            <w:vAlign w:val="center"/>
          </w:tcPr>
          <w:p w14:paraId="2C7A6D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支持医嘱单的查看和打印</w:t>
            </w:r>
          </w:p>
        </w:tc>
      </w:tr>
      <w:tr w14:paraId="3B49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B971C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278</w:t>
            </w:r>
          </w:p>
        </w:tc>
        <w:tc>
          <w:tcPr>
            <w:tcW w:w="639" w:type="dxa"/>
            <w:vMerge w:val="continue"/>
            <w:shd w:val="clear" w:color="auto" w:fill="auto"/>
            <w:vAlign w:val="center"/>
          </w:tcPr>
          <w:p w14:paraId="1A0CB01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71D96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4AB6CE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9F14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医嘱单的执行人、执行时间自动关联显示</w:t>
            </w:r>
          </w:p>
        </w:tc>
      </w:tr>
      <w:tr w14:paraId="4101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F590F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279</w:t>
            </w:r>
          </w:p>
        </w:tc>
        <w:tc>
          <w:tcPr>
            <w:tcW w:w="639" w:type="dxa"/>
            <w:vMerge w:val="continue"/>
            <w:shd w:val="clear" w:color="auto" w:fill="auto"/>
            <w:vAlign w:val="center"/>
          </w:tcPr>
          <w:p w14:paraId="7109D08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DBF9CC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6681D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4509F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支持口头医嘱单的PDA录入</w:t>
            </w:r>
          </w:p>
        </w:tc>
      </w:tr>
      <w:tr w14:paraId="4298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7CED1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280</w:t>
            </w:r>
          </w:p>
        </w:tc>
        <w:tc>
          <w:tcPr>
            <w:tcW w:w="639" w:type="dxa"/>
            <w:vMerge w:val="continue"/>
            <w:shd w:val="clear" w:color="auto" w:fill="auto"/>
            <w:vAlign w:val="center"/>
          </w:tcPr>
          <w:p w14:paraId="0A490F3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92430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3B63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巡视单查看</w:t>
            </w:r>
          </w:p>
        </w:tc>
        <w:tc>
          <w:tcPr>
            <w:tcW w:w="6555" w:type="dxa"/>
            <w:shd w:val="clear" w:color="auto" w:fill="auto"/>
            <w:vAlign w:val="center"/>
          </w:tcPr>
          <w:p w14:paraId="597A2D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支持查看所有执行单的巡视情况</w:t>
            </w:r>
          </w:p>
        </w:tc>
      </w:tr>
      <w:tr w14:paraId="0662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30077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281</w:t>
            </w:r>
          </w:p>
        </w:tc>
        <w:tc>
          <w:tcPr>
            <w:tcW w:w="639" w:type="dxa"/>
            <w:vMerge w:val="continue"/>
            <w:shd w:val="clear" w:color="auto" w:fill="auto"/>
            <w:vAlign w:val="center"/>
          </w:tcPr>
          <w:p w14:paraId="5DFB841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4CE4A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21B53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7774F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支持巡视单的打印功能</w:t>
            </w:r>
          </w:p>
        </w:tc>
      </w:tr>
      <w:tr w14:paraId="28AF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6D51DC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282</w:t>
            </w:r>
          </w:p>
        </w:tc>
        <w:tc>
          <w:tcPr>
            <w:tcW w:w="639" w:type="dxa"/>
            <w:vMerge w:val="continue"/>
            <w:shd w:val="clear" w:color="auto" w:fill="auto"/>
            <w:vAlign w:val="center"/>
          </w:tcPr>
          <w:p w14:paraId="3753B26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F762415">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198E51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患者列表（PDA）</w:t>
            </w:r>
          </w:p>
        </w:tc>
        <w:tc>
          <w:tcPr>
            <w:tcW w:w="6555" w:type="dxa"/>
            <w:shd w:val="clear" w:color="auto" w:fill="auto"/>
            <w:vAlign w:val="center"/>
          </w:tcPr>
          <w:p w14:paraId="19960E9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支持查询在床、离抢患者基本信息</w:t>
            </w:r>
          </w:p>
        </w:tc>
      </w:tr>
      <w:tr w14:paraId="1DF7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2B90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283</w:t>
            </w:r>
          </w:p>
        </w:tc>
        <w:tc>
          <w:tcPr>
            <w:tcW w:w="639" w:type="dxa"/>
            <w:vMerge w:val="continue"/>
            <w:shd w:val="clear" w:color="auto" w:fill="auto"/>
            <w:vAlign w:val="center"/>
          </w:tcPr>
          <w:p w14:paraId="712F108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A8B6A53">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1E66B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患者信息（PDA）</w:t>
            </w:r>
          </w:p>
        </w:tc>
        <w:tc>
          <w:tcPr>
            <w:tcW w:w="6555" w:type="dxa"/>
            <w:shd w:val="clear" w:color="auto" w:fill="auto"/>
            <w:vAlign w:val="center"/>
          </w:tcPr>
          <w:p w14:paraId="1A9630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点击查看患者预检基本信息</w:t>
            </w:r>
          </w:p>
        </w:tc>
      </w:tr>
      <w:tr w14:paraId="0D65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0FE51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284</w:t>
            </w:r>
          </w:p>
        </w:tc>
        <w:tc>
          <w:tcPr>
            <w:tcW w:w="639" w:type="dxa"/>
            <w:vMerge w:val="continue"/>
            <w:shd w:val="clear" w:color="auto" w:fill="auto"/>
            <w:vAlign w:val="center"/>
          </w:tcPr>
          <w:p w14:paraId="6A48ADA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C780C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B66CB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EBE71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扫描患者腕带，快速准确的识别出患者身份信息</w:t>
            </w:r>
          </w:p>
        </w:tc>
      </w:tr>
      <w:tr w14:paraId="04DC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338F6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285</w:t>
            </w:r>
          </w:p>
        </w:tc>
        <w:tc>
          <w:tcPr>
            <w:tcW w:w="639" w:type="dxa"/>
            <w:vMerge w:val="continue"/>
            <w:shd w:val="clear" w:color="auto" w:fill="auto"/>
            <w:vAlign w:val="center"/>
          </w:tcPr>
          <w:p w14:paraId="2657C6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77619E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87969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配药（PDA）</w:t>
            </w:r>
          </w:p>
        </w:tc>
        <w:tc>
          <w:tcPr>
            <w:tcW w:w="6555" w:type="dxa"/>
            <w:shd w:val="clear" w:color="auto" w:fill="auto"/>
            <w:vAlign w:val="center"/>
          </w:tcPr>
          <w:p w14:paraId="358089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支持查看待配药药品列表</w:t>
            </w:r>
          </w:p>
        </w:tc>
      </w:tr>
      <w:tr w14:paraId="55C6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32065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286</w:t>
            </w:r>
          </w:p>
        </w:tc>
        <w:tc>
          <w:tcPr>
            <w:tcW w:w="639" w:type="dxa"/>
            <w:vMerge w:val="continue"/>
            <w:shd w:val="clear" w:color="auto" w:fill="auto"/>
            <w:vAlign w:val="center"/>
          </w:tcPr>
          <w:p w14:paraId="482C5E3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62118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630A93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9BD1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支持人工配药或扫码配药功能</w:t>
            </w:r>
          </w:p>
        </w:tc>
      </w:tr>
      <w:tr w14:paraId="6AB3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F7037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287</w:t>
            </w:r>
          </w:p>
        </w:tc>
        <w:tc>
          <w:tcPr>
            <w:tcW w:w="639" w:type="dxa"/>
            <w:vMerge w:val="continue"/>
            <w:shd w:val="clear" w:color="auto" w:fill="auto"/>
            <w:vAlign w:val="center"/>
          </w:tcPr>
          <w:p w14:paraId="571E19E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F238B0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9E18E5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9343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支持高危药品双护士核对操作</w:t>
            </w:r>
          </w:p>
        </w:tc>
      </w:tr>
      <w:tr w14:paraId="3F43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25948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288</w:t>
            </w:r>
          </w:p>
        </w:tc>
        <w:tc>
          <w:tcPr>
            <w:tcW w:w="639" w:type="dxa"/>
            <w:vMerge w:val="continue"/>
            <w:shd w:val="clear" w:color="auto" w:fill="auto"/>
            <w:vAlign w:val="center"/>
          </w:tcPr>
          <w:p w14:paraId="57E6EEC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2A1D85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F929A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输液（PDA）</w:t>
            </w:r>
          </w:p>
        </w:tc>
        <w:tc>
          <w:tcPr>
            <w:tcW w:w="6555" w:type="dxa"/>
            <w:shd w:val="clear" w:color="auto" w:fill="auto"/>
            <w:vAlign w:val="center"/>
          </w:tcPr>
          <w:p w14:paraId="6A78C1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支持查看输液执行明细情况</w:t>
            </w:r>
          </w:p>
        </w:tc>
      </w:tr>
      <w:tr w14:paraId="117A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937FA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289</w:t>
            </w:r>
          </w:p>
        </w:tc>
        <w:tc>
          <w:tcPr>
            <w:tcW w:w="639" w:type="dxa"/>
            <w:vMerge w:val="continue"/>
            <w:shd w:val="clear" w:color="auto" w:fill="auto"/>
            <w:vAlign w:val="center"/>
          </w:tcPr>
          <w:p w14:paraId="43E6C9C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5210DE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163D1A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8F5B2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支持药品执行功能。扫描患者腕带和输液标签，进行核对，减少医疗差错</w:t>
            </w:r>
          </w:p>
        </w:tc>
      </w:tr>
      <w:tr w14:paraId="26AE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43D41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290</w:t>
            </w:r>
          </w:p>
        </w:tc>
        <w:tc>
          <w:tcPr>
            <w:tcW w:w="639" w:type="dxa"/>
            <w:vMerge w:val="continue"/>
            <w:shd w:val="clear" w:color="auto" w:fill="auto"/>
            <w:vAlign w:val="center"/>
          </w:tcPr>
          <w:p w14:paraId="4D6F55A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DF159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7C5E6A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C7D7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支持高危药品双护士核对操作</w:t>
            </w:r>
          </w:p>
        </w:tc>
      </w:tr>
      <w:tr w14:paraId="2B42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FB00A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w:t>
            </w:r>
          </w:p>
        </w:tc>
        <w:tc>
          <w:tcPr>
            <w:tcW w:w="639" w:type="dxa"/>
            <w:vMerge w:val="continue"/>
            <w:shd w:val="clear" w:color="auto" w:fill="auto"/>
            <w:vAlign w:val="center"/>
          </w:tcPr>
          <w:p w14:paraId="329BBD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011D05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E1D07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8B4F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支持输液结束操作，结束的同时系统提示是否存在未结束的药品，可自动结束上一笔输液中的药品</w:t>
            </w:r>
          </w:p>
        </w:tc>
      </w:tr>
      <w:tr w14:paraId="06DF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576" w:type="dxa"/>
            <w:shd w:val="clear" w:color="auto" w:fill="auto"/>
            <w:vAlign w:val="center"/>
          </w:tcPr>
          <w:p w14:paraId="2F7569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292</w:t>
            </w:r>
          </w:p>
        </w:tc>
        <w:tc>
          <w:tcPr>
            <w:tcW w:w="639" w:type="dxa"/>
            <w:vMerge w:val="continue"/>
            <w:shd w:val="clear" w:color="auto" w:fill="auto"/>
            <w:vAlign w:val="center"/>
          </w:tcPr>
          <w:p w14:paraId="49846DD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72E1E19">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6DCF91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输血、口服药、检验全流程（PDA）</w:t>
            </w:r>
          </w:p>
        </w:tc>
        <w:tc>
          <w:tcPr>
            <w:tcW w:w="6555" w:type="dxa"/>
            <w:shd w:val="clear" w:color="auto" w:fill="auto"/>
            <w:vAlign w:val="center"/>
          </w:tcPr>
          <w:p w14:paraId="7B8ABF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系统支持与医院现有输血、HIS、LIS等系统对接，实现输血、口服药及检验信息闭环展示以及导入护理记录单的功能。</w:t>
            </w:r>
          </w:p>
        </w:tc>
      </w:tr>
      <w:tr w14:paraId="287B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7AF7ED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293</w:t>
            </w:r>
          </w:p>
        </w:tc>
        <w:tc>
          <w:tcPr>
            <w:tcW w:w="639" w:type="dxa"/>
            <w:vMerge w:val="continue"/>
            <w:shd w:val="clear" w:color="auto" w:fill="auto"/>
            <w:vAlign w:val="center"/>
          </w:tcPr>
          <w:p w14:paraId="1CB156A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C0D931E">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490C48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巡视（PDA）</w:t>
            </w:r>
          </w:p>
        </w:tc>
        <w:tc>
          <w:tcPr>
            <w:tcW w:w="6555" w:type="dxa"/>
            <w:shd w:val="clear" w:color="auto" w:fill="auto"/>
            <w:vAlign w:val="center"/>
          </w:tcPr>
          <w:p w14:paraId="7373E7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支持巡视功能，记录输液状态、余液量、滴速等信息</w:t>
            </w:r>
          </w:p>
        </w:tc>
      </w:tr>
      <w:tr w14:paraId="7919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576" w:type="dxa"/>
            <w:shd w:val="clear" w:color="auto" w:fill="auto"/>
            <w:vAlign w:val="center"/>
          </w:tcPr>
          <w:p w14:paraId="787271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294</w:t>
            </w:r>
          </w:p>
        </w:tc>
        <w:tc>
          <w:tcPr>
            <w:tcW w:w="639" w:type="dxa"/>
            <w:vMerge w:val="continue"/>
            <w:shd w:val="clear" w:color="auto" w:fill="auto"/>
            <w:vAlign w:val="center"/>
          </w:tcPr>
          <w:p w14:paraId="6167405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63F3539">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0E2E6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快速巡视（PDA）</w:t>
            </w:r>
          </w:p>
        </w:tc>
        <w:tc>
          <w:tcPr>
            <w:tcW w:w="6555" w:type="dxa"/>
            <w:shd w:val="clear" w:color="auto" w:fill="auto"/>
            <w:vAlign w:val="center"/>
          </w:tcPr>
          <w:p w14:paraId="45E353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支持快速巡视功能</w:t>
            </w:r>
          </w:p>
        </w:tc>
      </w:tr>
      <w:tr w14:paraId="7628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1CC600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295</w:t>
            </w:r>
          </w:p>
        </w:tc>
        <w:tc>
          <w:tcPr>
            <w:tcW w:w="639" w:type="dxa"/>
            <w:vMerge w:val="continue"/>
            <w:shd w:val="clear" w:color="auto" w:fill="auto"/>
            <w:vAlign w:val="center"/>
          </w:tcPr>
          <w:p w14:paraId="5688665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E66C30">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857E6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医嘱查询（PDA）</w:t>
            </w:r>
          </w:p>
        </w:tc>
        <w:tc>
          <w:tcPr>
            <w:tcW w:w="6555" w:type="dxa"/>
            <w:shd w:val="clear" w:color="auto" w:fill="auto"/>
            <w:vAlign w:val="center"/>
          </w:tcPr>
          <w:p w14:paraId="5A0A58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支持查询指定患者新开的医嘱，以及医嘱执行情况</w:t>
            </w:r>
          </w:p>
        </w:tc>
      </w:tr>
      <w:tr w14:paraId="47AA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576" w:type="dxa"/>
            <w:shd w:val="clear" w:color="auto" w:fill="auto"/>
            <w:vAlign w:val="center"/>
          </w:tcPr>
          <w:p w14:paraId="50CF2F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296</w:t>
            </w:r>
          </w:p>
        </w:tc>
        <w:tc>
          <w:tcPr>
            <w:tcW w:w="639" w:type="dxa"/>
            <w:vMerge w:val="continue"/>
            <w:shd w:val="clear" w:color="auto" w:fill="auto"/>
            <w:vAlign w:val="center"/>
          </w:tcPr>
          <w:p w14:paraId="161F90A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CE1FFD9">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19B49E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导入护理记录单（PDA）</w:t>
            </w:r>
          </w:p>
        </w:tc>
        <w:tc>
          <w:tcPr>
            <w:tcW w:w="6555" w:type="dxa"/>
            <w:shd w:val="clear" w:color="auto" w:fill="auto"/>
            <w:vAlign w:val="center"/>
          </w:tcPr>
          <w:p w14:paraId="6500104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支持将执行药品自动导入并生成护理记录单</w:t>
            </w:r>
          </w:p>
        </w:tc>
      </w:tr>
      <w:tr w14:paraId="37D3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28EE1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297</w:t>
            </w:r>
          </w:p>
        </w:tc>
        <w:tc>
          <w:tcPr>
            <w:tcW w:w="639" w:type="dxa"/>
            <w:vMerge w:val="continue"/>
            <w:shd w:val="clear" w:color="auto" w:fill="auto"/>
            <w:vAlign w:val="center"/>
          </w:tcPr>
          <w:p w14:paraId="7EEA133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6421DF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DFCEB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护理文书</w:t>
            </w:r>
          </w:p>
        </w:tc>
        <w:tc>
          <w:tcPr>
            <w:tcW w:w="6555" w:type="dxa"/>
            <w:shd w:val="clear" w:color="auto" w:fill="auto"/>
            <w:vAlign w:val="center"/>
          </w:tcPr>
          <w:p w14:paraId="2947B5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支持病情护理记录单护理文书录入功能</w:t>
            </w:r>
          </w:p>
        </w:tc>
      </w:tr>
      <w:tr w14:paraId="51D9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65DAE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298</w:t>
            </w:r>
          </w:p>
        </w:tc>
        <w:tc>
          <w:tcPr>
            <w:tcW w:w="639" w:type="dxa"/>
            <w:vMerge w:val="continue"/>
            <w:shd w:val="clear" w:color="auto" w:fill="auto"/>
            <w:vAlign w:val="center"/>
          </w:tcPr>
          <w:p w14:paraId="1A9E28E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A2787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6A97F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B4816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文书内容与急诊系统护理系统互通</w:t>
            </w:r>
          </w:p>
        </w:tc>
      </w:tr>
      <w:tr w14:paraId="6060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C37A4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299</w:t>
            </w:r>
          </w:p>
        </w:tc>
        <w:tc>
          <w:tcPr>
            <w:tcW w:w="639" w:type="dxa"/>
            <w:vMerge w:val="continue"/>
            <w:shd w:val="clear" w:color="auto" w:fill="auto"/>
            <w:vAlign w:val="center"/>
          </w:tcPr>
          <w:p w14:paraId="7ACADB7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3126F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28698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各项评分</w:t>
            </w:r>
          </w:p>
        </w:tc>
        <w:tc>
          <w:tcPr>
            <w:tcW w:w="6555" w:type="dxa"/>
            <w:shd w:val="clear" w:color="auto" w:fill="auto"/>
            <w:vAlign w:val="center"/>
          </w:tcPr>
          <w:p w14:paraId="417BC3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支持提供跌倒评分、BRADEN评分、ADL评分、NRS评分、成人/儿童坠床评分评估患者情况</w:t>
            </w:r>
          </w:p>
        </w:tc>
      </w:tr>
      <w:tr w14:paraId="55FC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CDA00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w:t>
            </w:r>
          </w:p>
        </w:tc>
        <w:tc>
          <w:tcPr>
            <w:tcW w:w="639" w:type="dxa"/>
            <w:vMerge w:val="continue"/>
            <w:shd w:val="clear" w:color="auto" w:fill="auto"/>
            <w:vAlign w:val="center"/>
          </w:tcPr>
          <w:p w14:paraId="4106D12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22F5C2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2DB6E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A075B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评分评估内容与急诊系统护理系统互通</w:t>
            </w:r>
          </w:p>
        </w:tc>
      </w:tr>
      <w:tr w14:paraId="567A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9D0B6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301</w:t>
            </w:r>
          </w:p>
        </w:tc>
        <w:tc>
          <w:tcPr>
            <w:tcW w:w="639" w:type="dxa"/>
            <w:vMerge w:val="continue"/>
            <w:shd w:val="clear" w:color="auto" w:fill="auto"/>
            <w:vAlign w:val="center"/>
          </w:tcPr>
          <w:p w14:paraId="5CCD30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0D48CA0">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ED164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体征录入</w:t>
            </w:r>
          </w:p>
        </w:tc>
        <w:tc>
          <w:tcPr>
            <w:tcW w:w="6555" w:type="dxa"/>
            <w:shd w:val="clear" w:color="auto" w:fill="auto"/>
            <w:vAlign w:val="center"/>
          </w:tcPr>
          <w:p w14:paraId="3D91A3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提供体征、出入量、健康、其他模块的记录 数据与急诊护理系统体温单数据互通</w:t>
            </w:r>
          </w:p>
        </w:tc>
      </w:tr>
      <w:tr w14:paraId="10E2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2A42F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302</w:t>
            </w:r>
          </w:p>
        </w:tc>
        <w:tc>
          <w:tcPr>
            <w:tcW w:w="639" w:type="dxa"/>
            <w:vMerge w:val="continue"/>
            <w:shd w:val="clear" w:color="auto" w:fill="auto"/>
            <w:vAlign w:val="center"/>
          </w:tcPr>
          <w:p w14:paraId="4C638D4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5F826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730F5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转归</w:t>
            </w:r>
          </w:p>
        </w:tc>
        <w:tc>
          <w:tcPr>
            <w:tcW w:w="6555" w:type="dxa"/>
            <w:shd w:val="clear" w:color="auto" w:fill="auto"/>
            <w:vAlign w:val="center"/>
          </w:tcPr>
          <w:p w14:paraId="5101AE9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支持患者转归操作</w:t>
            </w:r>
          </w:p>
        </w:tc>
      </w:tr>
      <w:tr w14:paraId="677E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405E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303</w:t>
            </w:r>
          </w:p>
        </w:tc>
        <w:tc>
          <w:tcPr>
            <w:tcW w:w="639" w:type="dxa"/>
            <w:vMerge w:val="continue"/>
            <w:shd w:val="clear" w:color="auto" w:fill="auto"/>
            <w:vAlign w:val="center"/>
          </w:tcPr>
          <w:p w14:paraId="280080E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A064FF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7BF52C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C9F87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数据与急诊系统转归数据互通</w:t>
            </w:r>
          </w:p>
        </w:tc>
      </w:tr>
      <w:tr w14:paraId="587B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31EF4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304</w:t>
            </w:r>
          </w:p>
        </w:tc>
        <w:tc>
          <w:tcPr>
            <w:tcW w:w="639" w:type="dxa"/>
            <w:vMerge w:val="continue"/>
            <w:shd w:val="clear" w:color="auto" w:fill="auto"/>
            <w:vAlign w:val="center"/>
          </w:tcPr>
          <w:p w14:paraId="1E74315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5A7A49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5C05D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口头医嘱录入</w:t>
            </w:r>
          </w:p>
        </w:tc>
        <w:tc>
          <w:tcPr>
            <w:tcW w:w="6555" w:type="dxa"/>
            <w:shd w:val="clear" w:color="auto" w:fill="auto"/>
            <w:vAlign w:val="center"/>
          </w:tcPr>
          <w:p w14:paraId="3E3AC0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支持口头医嘱单文本录入</w:t>
            </w:r>
          </w:p>
        </w:tc>
      </w:tr>
      <w:tr w14:paraId="1CB2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4A644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305</w:t>
            </w:r>
          </w:p>
        </w:tc>
        <w:tc>
          <w:tcPr>
            <w:tcW w:w="639" w:type="dxa"/>
            <w:vMerge w:val="continue"/>
            <w:shd w:val="clear" w:color="auto" w:fill="auto"/>
            <w:vAlign w:val="center"/>
          </w:tcPr>
          <w:p w14:paraId="7867B42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E9DE6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D60B35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9BEC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支持医嘱套餐勾选快捷录入</w:t>
            </w:r>
          </w:p>
        </w:tc>
      </w:tr>
      <w:tr w14:paraId="3C0F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D274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306</w:t>
            </w:r>
          </w:p>
        </w:tc>
        <w:tc>
          <w:tcPr>
            <w:tcW w:w="639" w:type="dxa"/>
            <w:vMerge w:val="continue"/>
            <w:shd w:val="clear" w:color="auto" w:fill="auto"/>
            <w:vAlign w:val="center"/>
          </w:tcPr>
          <w:p w14:paraId="79130CA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57F2D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C2752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时间窗扫描</w:t>
            </w:r>
          </w:p>
        </w:tc>
        <w:tc>
          <w:tcPr>
            <w:tcW w:w="6555" w:type="dxa"/>
            <w:shd w:val="clear" w:color="auto" w:fill="auto"/>
            <w:vAlign w:val="center"/>
          </w:tcPr>
          <w:p w14:paraId="53495E9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支持点选自定义的时间窗时间节点，并扫描患者腕带记录时间点</w:t>
            </w:r>
          </w:p>
        </w:tc>
      </w:tr>
      <w:tr w14:paraId="3F1F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5E2E0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307</w:t>
            </w:r>
          </w:p>
        </w:tc>
        <w:tc>
          <w:tcPr>
            <w:tcW w:w="639" w:type="dxa"/>
            <w:vMerge w:val="continue"/>
            <w:shd w:val="clear" w:color="auto" w:fill="auto"/>
            <w:vAlign w:val="center"/>
          </w:tcPr>
          <w:p w14:paraId="332A18B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5E5A1D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9FDE53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A8814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支持查看历史数据</w:t>
            </w:r>
          </w:p>
        </w:tc>
      </w:tr>
      <w:tr w14:paraId="5227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C6C86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308</w:t>
            </w:r>
          </w:p>
        </w:tc>
        <w:tc>
          <w:tcPr>
            <w:tcW w:w="639" w:type="dxa"/>
            <w:vMerge w:val="continue"/>
            <w:shd w:val="clear" w:color="auto" w:fill="auto"/>
            <w:vAlign w:val="center"/>
          </w:tcPr>
          <w:p w14:paraId="04F35A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59126A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FBC007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CF5E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支持PC端患者时间轴上展示PDA点选节点</w:t>
            </w:r>
          </w:p>
        </w:tc>
      </w:tr>
      <w:tr w14:paraId="11E8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6228D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309</w:t>
            </w:r>
          </w:p>
        </w:tc>
        <w:tc>
          <w:tcPr>
            <w:tcW w:w="639" w:type="dxa"/>
            <w:vMerge w:val="continue"/>
            <w:shd w:val="clear" w:color="auto" w:fill="auto"/>
            <w:vAlign w:val="center"/>
          </w:tcPr>
          <w:p w14:paraId="79AE4B3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77C585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3A89BB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E5B25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支持PC端自定义时间窗节点内容</w:t>
            </w:r>
          </w:p>
        </w:tc>
      </w:tr>
      <w:tr w14:paraId="1704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D9F52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310</w:t>
            </w:r>
          </w:p>
        </w:tc>
        <w:tc>
          <w:tcPr>
            <w:tcW w:w="639" w:type="dxa"/>
            <w:vMerge w:val="continue"/>
            <w:shd w:val="clear" w:color="auto" w:fill="auto"/>
            <w:vAlign w:val="center"/>
          </w:tcPr>
          <w:p w14:paraId="45CA8D1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205C65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D1915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病情巡视</w:t>
            </w:r>
          </w:p>
        </w:tc>
        <w:tc>
          <w:tcPr>
            <w:tcW w:w="6555" w:type="dxa"/>
            <w:vMerge w:val="restart"/>
            <w:shd w:val="clear" w:color="auto" w:fill="auto"/>
            <w:vAlign w:val="center"/>
          </w:tcPr>
          <w:p w14:paraId="51523A9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★支持扫描患者腕带后进入病情巡视登记页面；支持记录生命体征，病情记录；支持进行各项评分，含Braden评分、ADL评分、疼痛评分、GCS评分、约翰霍普金斯评估、MEWS评分</w:t>
            </w:r>
          </w:p>
        </w:tc>
      </w:tr>
      <w:tr w14:paraId="6DC4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B0BFE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311</w:t>
            </w:r>
          </w:p>
        </w:tc>
        <w:tc>
          <w:tcPr>
            <w:tcW w:w="639" w:type="dxa"/>
            <w:vMerge w:val="continue"/>
            <w:shd w:val="clear" w:color="auto" w:fill="auto"/>
            <w:vAlign w:val="center"/>
          </w:tcPr>
          <w:p w14:paraId="690335B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A10B6D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4F36E8">
            <w:pPr>
              <w:jc w:val="center"/>
              <w:rPr>
                <w:rFonts w:hint="eastAsia" w:ascii="宋体" w:hAnsi="宋体" w:eastAsia="宋体" w:cs="宋体"/>
                <w:i w:val="0"/>
                <w:iCs w:val="0"/>
                <w:color w:val="auto"/>
                <w:sz w:val="22"/>
                <w:szCs w:val="22"/>
                <w:highlight w:val="none"/>
                <w:u w:val="none"/>
              </w:rPr>
            </w:pPr>
          </w:p>
        </w:tc>
        <w:tc>
          <w:tcPr>
            <w:tcW w:w="6555" w:type="dxa"/>
            <w:vMerge w:val="continue"/>
            <w:shd w:val="clear" w:color="auto" w:fill="auto"/>
            <w:vAlign w:val="center"/>
          </w:tcPr>
          <w:p w14:paraId="22F7ABEB">
            <w:pPr>
              <w:jc w:val="left"/>
              <w:rPr>
                <w:rFonts w:hint="eastAsia" w:ascii="宋体" w:hAnsi="宋体" w:eastAsia="宋体" w:cs="宋体"/>
                <w:i w:val="0"/>
                <w:iCs w:val="0"/>
                <w:color w:val="auto"/>
                <w:sz w:val="22"/>
                <w:szCs w:val="22"/>
                <w:highlight w:val="none"/>
                <w:u w:val="none"/>
              </w:rPr>
            </w:pPr>
          </w:p>
        </w:tc>
      </w:tr>
      <w:tr w14:paraId="4B30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105CA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312</w:t>
            </w:r>
          </w:p>
        </w:tc>
        <w:tc>
          <w:tcPr>
            <w:tcW w:w="639" w:type="dxa"/>
            <w:vMerge w:val="continue"/>
            <w:shd w:val="clear" w:color="auto" w:fill="auto"/>
            <w:vAlign w:val="center"/>
          </w:tcPr>
          <w:p w14:paraId="73C751C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DFD80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434080E">
            <w:pPr>
              <w:jc w:val="center"/>
              <w:rPr>
                <w:rFonts w:hint="eastAsia" w:ascii="宋体" w:hAnsi="宋体" w:eastAsia="宋体" w:cs="宋体"/>
                <w:i w:val="0"/>
                <w:iCs w:val="0"/>
                <w:color w:val="auto"/>
                <w:sz w:val="22"/>
                <w:szCs w:val="22"/>
                <w:highlight w:val="none"/>
                <w:u w:val="none"/>
              </w:rPr>
            </w:pPr>
          </w:p>
        </w:tc>
        <w:tc>
          <w:tcPr>
            <w:tcW w:w="6555" w:type="dxa"/>
            <w:vMerge w:val="continue"/>
            <w:shd w:val="clear" w:color="auto" w:fill="auto"/>
            <w:vAlign w:val="center"/>
          </w:tcPr>
          <w:p w14:paraId="3FC18856">
            <w:pPr>
              <w:jc w:val="left"/>
              <w:rPr>
                <w:rFonts w:hint="eastAsia" w:ascii="宋体" w:hAnsi="宋体" w:eastAsia="宋体" w:cs="宋体"/>
                <w:i w:val="0"/>
                <w:iCs w:val="0"/>
                <w:color w:val="auto"/>
                <w:sz w:val="22"/>
                <w:szCs w:val="22"/>
                <w:highlight w:val="none"/>
                <w:u w:val="none"/>
              </w:rPr>
            </w:pPr>
          </w:p>
        </w:tc>
      </w:tr>
      <w:tr w14:paraId="4C59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B2F34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639" w:type="dxa"/>
            <w:vMerge w:val="continue"/>
            <w:shd w:val="clear" w:color="auto" w:fill="auto"/>
            <w:vAlign w:val="center"/>
          </w:tcPr>
          <w:p w14:paraId="31B497F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65B4A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A3F1DC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C8A5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支持自动同步生成对应的护理记录单。</w:t>
            </w:r>
          </w:p>
        </w:tc>
      </w:tr>
      <w:tr w14:paraId="1ED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31F62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314</w:t>
            </w:r>
          </w:p>
        </w:tc>
        <w:tc>
          <w:tcPr>
            <w:tcW w:w="639" w:type="dxa"/>
            <w:vMerge w:val="continue"/>
            <w:shd w:val="clear" w:color="auto" w:fill="auto"/>
            <w:vAlign w:val="center"/>
          </w:tcPr>
          <w:p w14:paraId="77AEF43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5769D9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79821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检查执行</w:t>
            </w:r>
          </w:p>
        </w:tc>
        <w:tc>
          <w:tcPr>
            <w:tcW w:w="6555" w:type="dxa"/>
            <w:shd w:val="clear" w:color="auto" w:fill="auto"/>
            <w:noWrap/>
            <w:vAlign w:val="center"/>
          </w:tcPr>
          <w:p w14:paraId="4EEBCA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支持患者检查信息列表显示</w:t>
            </w:r>
          </w:p>
        </w:tc>
      </w:tr>
      <w:tr w14:paraId="72BC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E5578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315</w:t>
            </w:r>
          </w:p>
        </w:tc>
        <w:tc>
          <w:tcPr>
            <w:tcW w:w="639" w:type="dxa"/>
            <w:vMerge w:val="continue"/>
            <w:shd w:val="clear" w:color="auto" w:fill="auto"/>
            <w:vAlign w:val="center"/>
          </w:tcPr>
          <w:p w14:paraId="138161A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8C839A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39DD10">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1CA1378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支持单条检查进行手动执行操作</w:t>
            </w:r>
          </w:p>
        </w:tc>
      </w:tr>
      <w:tr w14:paraId="55E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FC49F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316</w:t>
            </w:r>
          </w:p>
        </w:tc>
        <w:tc>
          <w:tcPr>
            <w:tcW w:w="639" w:type="dxa"/>
            <w:vMerge w:val="continue"/>
            <w:shd w:val="clear" w:color="auto" w:fill="auto"/>
            <w:vAlign w:val="center"/>
          </w:tcPr>
          <w:p w14:paraId="5FA5C6F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E656E7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7AB0327">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40CC88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支持检查执行后自动生成护理记录单</w:t>
            </w:r>
          </w:p>
        </w:tc>
      </w:tr>
      <w:tr w14:paraId="6BF9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5C228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317</w:t>
            </w:r>
          </w:p>
        </w:tc>
        <w:tc>
          <w:tcPr>
            <w:tcW w:w="639" w:type="dxa"/>
            <w:vMerge w:val="continue"/>
            <w:shd w:val="clear" w:color="auto" w:fill="auto"/>
            <w:vAlign w:val="center"/>
          </w:tcPr>
          <w:p w14:paraId="649F6E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56860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6F081F">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206A5A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支持PC端检查执行数据在展示、打印、手动修改、补录操作。</w:t>
            </w:r>
          </w:p>
        </w:tc>
      </w:tr>
      <w:tr w14:paraId="2D75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5827B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318</w:t>
            </w:r>
          </w:p>
        </w:tc>
        <w:tc>
          <w:tcPr>
            <w:tcW w:w="639" w:type="dxa"/>
            <w:vMerge w:val="continue"/>
            <w:shd w:val="clear" w:color="auto" w:fill="auto"/>
            <w:vAlign w:val="center"/>
          </w:tcPr>
          <w:p w14:paraId="04674B0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166F287">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4BC0A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检验执行</w:t>
            </w:r>
          </w:p>
        </w:tc>
        <w:tc>
          <w:tcPr>
            <w:tcW w:w="6555" w:type="dxa"/>
            <w:shd w:val="clear" w:color="auto" w:fill="auto"/>
            <w:noWrap/>
            <w:vAlign w:val="center"/>
          </w:tcPr>
          <w:p w14:paraId="68AB045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支持患者检验信息列表显示</w:t>
            </w:r>
          </w:p>
        </w:tc>
      </w:tr>
      <w:tr w14:paraId="0A52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314E1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319</w:t>
            </w:r>
          </w:p>
        </w:tc>
        <w:tc>
          <w:tcPr>
            <w:tcW w:w="639" w:type="dxa"/>
            <w:vMerge w:val="continue"/>
            <w:shd w:val="clear" w:color="auto" w:fill="auto"/>
            <w:vAlign w:val="center"/>
          </w:tcPr>
          <w:p w14:paraId="4465BAE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3899C0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ACC1E9">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2533F4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支持单条检验进行扫检验条码执行或者手动执行操作</w:t>
            </w:r>
          </w:p>
        </w:tc>
      </w:tr>
      <w:tr w14:paraId="658C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A2025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320</w:t>
            </w:r>
          </w:p>
        </w:tc>
        <w:tc>
          <w:tcPr>
            <w:tcW w:w="639" w:type="dxa"/>
            <w:vMerge w:val="continue"/>
            <w:shd w:val="clear" w:color="auto" w:fill="auto"/>
            <w:vAlign w:val="center"/>
          </w:tcPr>
          <w:p w14:paraId="1D9091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1416C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9A729FA">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53C80A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支持检验执行后自动生成护理记录单</w:t>
            </w:r>
          </w:p>
        </w:tc>
      </w:tr>
      <w:tr w14:paraId="48AA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246AE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321</w:t>
            </w:r>
          </w:p>
        </w:tc>
        <w:tc>
          <w:tcPr>
            <w:tcW w:w="639" w:type="dxa"/>
            <w:vMerge w:val="continue"/>
            <w:shd w:val="clear" w:color="auto" w:fill="auto"/>
            <w:vAlign w:val="center"/>
          </w:tcPr>
          <w:p w14:paraId="0110EF5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FDEB4E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783C4EE">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33FC362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支持PC端检验执行数据在展示、打印、手动修改、补录操作。</w:t>
            </w:r>
          </w:p>
        </w:tc>
      </w:tr>
      <w:tr w14:paraId="4E75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982BA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322</w:t>
            </w:r>
          </w:p>
        </w:tc>
        <w:tc>
          <w:tcPr>
            <w:tcW w:w="639" w:type="dxa"/>
            <w:vMerge w:val="continue"/>
            <w:shd w:val="clear" w:color="auto" w:fill="auto"/>
            <w:vAlign w:val="center"/>
          </w:tcPr>
          <w:p w14:paraId="066FFB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56359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615B1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治疗执行</w:t>
            </w:r>
          </w:p>
        </w:tc>
        <w:tc>
          <w:tcPr>
            <w:tcW w:w="6555" w:type="dxa"/>
            <w:shd w:val="clear" w:color="auto" w:fill="auto"/>
            <w:noWrap/>
            <w:vAlign w:val="center"/>
          </w:tcPr>
          <w:p w14:paraId="112D4DE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支持患者治疗信息列表显示</w:t>
            </w:r>
          </w:p>
        </w:tc>
      </w:tr>
      <w:tr w14:paraId="039D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99BA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323</w:t>
            </w:r>
          </w:p>
        </w:tc>
        <w:tc>
          <w:tcPr>
            <w:tcW w:w="639" w:type="dxa"/>
            <w:vMerge w:val="continue"/>
            <w:shd w:val="clear" w:color="auto" w:fill="auto"/>
            <w:vAlign w:val="center"/>
          </w:tcPr>
          <w:p w14:paraId="2198DB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5F5C2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E98110">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7C840C9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支持单条治疗进行手动执行操作</w:t>
            </w:r>
          </w:p>
        </w:tc>
      </w:tr>
      <w:tr w14:paraId="04C6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E4514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324</w:t>
            </w:r>
          </w:p>
        </w:tc>
        <w:tc>
          <w:tcPr>
            <w:tcW w:w="639" w:type="dxa"/>
            <w:vMerge w:val="continue"/>
            <w:shd w:val="clear" w:color="auto" w:fill="auto"/>
            <w:vAlign w:val="center"/>
          </w:tcPr>
          <w:p w14:paraId="1B762B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257C6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549C51F">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5F832C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支持治疗执行后自动生成护理记录单</w:t>
            </w:r>
          </w:p>
        </w:tc>
      </w:tr>
      <w:tr w14:paraId="3C69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129F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325</w:t>
            </w:r>
          </w:p>
        </w:tc>
        <w:tc>
          <w:tcPr>
            <w:tcW w:w="639" w:type="dxa"/>
            <w:vMerge w:val="continue"/>
            <w:shd w:val="clear" w:color="auto" w:fill="auto"/>
            <w:vAlign w:val="center"/>
          </w:tcPr>
          <w:p w14:paraId="7CFFA8D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298CC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8EA3D22">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541FBE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支持PC端治疗执行数据在展示、打印、手动修改、补录操作。</w:t>
            </w:r>
          </w:p>
        </w:tc>
      </w:tr>
      <w:tr w14:paraId="212B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6C6D76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326</w:t>
            </w:r>
          </w:p>
        </w:tc>
        <w:tc>
          <w:tcPr>
            <w:tcW w:w="639" w:type="dxa"/>
            <w:vMerge w:val="continue"/>
            <w:shd w:val="clear" w:color="auto" w:fill="auto"/>
            <w:vAlign w:val="center"/>
          </w:tcPr>
          <w:p w14:paraId="781E630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9A3CF6">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BF636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设置（PDA）</w:t>
            </w:r>
          </w:p>
        </w:tc>
        <w:tc>
          <w:tcPr>
            <w:tcW w:w="6555" w:type="dxa"/>
            <w:shd w:val="clear" w:color="auto" w:fill="auto"/>
            <w:vAlign w:val="center"/>
          </w:tcPr>
          <w:p w14:paraId="132348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系统升级，检测是否有最新版本，可自动下载更新</w:t>
            </w:r>
          </w:p>
        </w:tc>
      </w:tr>
      <w:tr w14:paraId="6D6C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56E48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327</w:t>
            </w:r>
          </w:p>
        </w:tc>
        <w:tc>
          <w:tcPr>
            <w:tcW w:w="639" w:type="dxa"/>
            <w:vMerge w:val="continue"/>
            <w:shd w:val="clear" w:color="auto" w:fill="auto"/>
            <w:vAlign w:val="center"/>
          </w:tcPr>
          <w:p w14:paraId="3B96A9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2EB1A2F">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CE02C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系统对接</w:t>
            </w:r>
          </w:p>
        </w:tc>
        <w:tc>
          <w:tcPr>
            <w:tcW w:w="6555" w:type="dxa"/>
            <w:shd w:val="clear" w:color="auto" w:fill="auto"/>
            <w:vAlign w:val="center"/>
          </w:tcPr>
          <w:p w14:paraId="720E76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支持与HIS系统对接，可通过数据接口对接医嘱信息并将医嘱按要求进行分类（需要第三方厂家开放对接接口）</w:t>
            </w:r>
          </w:p>
        </w:tc>
      </w:tr>
      <w:tr w14:paraId="4E54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F5FE7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328</w:t>
            </w:r>
          </w:p>
        </w:tc>
        <w:tc>
          <w:tcPr>
            <w:tcW w:w="639" w:type="dxa"/>
            <w:vMerge w:val="continue"/>
            <w:shd w:val="clear" w:color="auto" w:fill="auto"/>
            <w:vAlign w:val="center"/>
          </w:tcPr>
          <w:p w14:paraId="2428E23A">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7AF0CA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急诊统计报表</w:t>
            </w:r>
          </w:p>
        </w:tc>
        <w:tc>
          <w:tcPr>
            <w:tcW w:w="6555" w:type="dxa"/>
            <w:shd w:val="clear" w:color="auto" w:fill="auto"/>
            <w:vAlign w:val="center"/>
          </w:tcPr>
          <w:p w14:paraId="6A3465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支持急诊患者趋势图报表</w:t>
            </w:r>
          </w:p>
        </w:tc>
      </w:tr>
      <w:tr w14:paraId="27B2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D0FBD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329</w:t>
            </w:r>
          </w:p>
        </w:tc>
        <w:tc>
          <w:tcPr>
            <w:tcW w:w="639" w:type="dxa"/>
            <w:vMerge w:val="continue"/>
            <w:shd w:val="clear" w:color="auto" w:fill="auto"/>
            <w:vAlign w:val="center"/>
          </w:tcPr>
          <w:p w14:paraId="09306028">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255417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B89A5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支持就诊时间分布统计图报表</w:t>
            </w:r>
          </w:p>
        </w:tc>
      </w:tr>
      <w:tr w14:paraId="6026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C86C4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w:t>
            </w:r>
          </w:p>
        </w:tc>
        <w:tc>
          <w:tcPr>
            <w:tcW w:w="639" w:type="dxa"/>
            <w:vMerge w:val="continue"/>
            <w:shd w:val="clear" w:color="auto" w:fill="auto"/>
            <w:vAlign w:val="center"/>
          </w:tcPr>
          <w:p w14:paraId="0495BC09">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60FB22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EB3322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支持急诊科住院人数统计报表</w:t>
            </w:r>
          </w:p>
        </w:tc>
      </w:tr>
      <w:tr w14:paraId="5137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294D2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331</w:t>
            </w:r>
          </w:p>
        </w:tc>
        <w:tc>
          <w:tcPr>
            <w:tcW w:w="639" w:type="dxa"/>
            <w:vMerge w:val="continue"/>
            <w:shd w:val="clear" w:color="auto" w:fill="auto"/>
            <w:vAlign w:val="center"/>
          </w:tcPr>
          <w:p w14:paraId="6D98720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C98BD4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9D497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支持住院科室收住人数统计报表</w:t>
            </w:r>
          </w:p>
        </w:tc>
      </w:tr>
      <w:tr w14:paraId="712E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97EDD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332</w:t>
            </w:r>
          </w:p>
        </w:tc>
        <w:tc>
          <w:tcPr>
            <w:tcW w:w="639" w:type="dxa"/>
            <w:vMerge w:val="continue"/>
            <w:shd w:val="clear" w:color="auto" w:fill="auto"/>
            <w:vAlign w:val="center"/>
          </w:tcPr>
          <w:p w14:paraId="2A39138E">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2B7166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A1CD9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支持急诊科患者就诊统计图报表</w:t>
            </w:r>
          </w:p>
        </w:tc>
      </w:tr>
      <w:tr w14:paraId="089A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E3DD9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333</w:t>
            </w:r>
          </w:p>
        </w:tc>
        <w:tc>
          <w:tcPr>
            <w:tcW w:w="639" w:type="dxa"/>
            <w:vMerge w:val="continue"/>
            <w:shd w:val="clear" w:color="auto" w:fill="auto"/>
            <w:vAlign w:val="center"/>
          </w:tcPr>
          <w:p w14:paraId="70ED84D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9B9677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35800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支持急诊科会诊院内统计报表</w:t>
            </w:r>
          </w:p>
        </w:tc>
      </w:tr>
      <w:tr w14:paraId="2A8E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9B776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334</w:t>
            </w:r>
          </w:p>
        </w:tc>
        <w:tc>
          <w:tcPr>
            <w:tcW w:w="639" w:type="dxa"/>
            <w:vMerge w:val="continue"/>
            <w:shd w:val="clear" w:color="auto" w:fill="auto"/>
            <w:vAlign w:val="center"/>
          </w:tcPr>
          <w:p w14:paraId="7F946B6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2813C1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DE6B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支持转院汇总统计报表</w:t>
            </w:r>
          </w:p>
        </w:tc>
      </w:tr>
      <w:tr w14:paraId="52D6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C0DDC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w:t>
            </w:r>
          </w:p>
        </w:tc>
        <w:tc>
          <w:tcPr>
            <w:tcW w:w="639" w:type="dxa"/>
            <w:vMerge w:val="continue"/>
            <w:shd w:val="clear" w:color="auto" w:fill="auto"/>
            <w:vAlign w:val="center"/>
          </w:tcPr>
          <w:p w14:paraId="09E132E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7169C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29C98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支持病情汇总统计报表</w:t>
            </w:r>
          </w:p>
        </w:tc>
      </w:tr>
      <w:tr w14:paraId="2563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4C3FD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336</w:t>
            </w:r>
          </w:p>
        </w:tc>
        <w:tc>
          <w:tcPr>
            <w:tcW w:w="639" w:type="dxa"/>
            <w:vMerge w:val="continue"/>
            <w:shd w:val="clear" w:color="auto" w:fill="auto"/>
            <w:vAlign w:val="center"/>
          </w:tcPr>
          <w:p w14:paraId="243DE8F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D9FEBA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EE6C6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支持分诊人员统计报表</w:t>
            </w:r>
          </w:p>
        </w:tc>
      </w:tr>
      <w:tr w14:paraId="32DB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B0316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337</w:t>
            </w:r>
          </w:p>
        </w:tc>
        <w:tc>
          <w:tcPr>
            <w:tcW w:w="639" w:type="dxa"/>
            <w:vMerge w:val="continue"/>
            <w:shd w:val="clear" w:color="auto" w:fill="auto"/>
            <w:vAlign w:val="center"/>
          </w:tcPr>
          <w:p w14:paraId="5B9D91B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D218B0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43B32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支持抢救室滞留时间统计报表</w:t>
            </w:r>
          </w:p>
        </w:tc>
      </w:tr>
      <w:tr w14:paraId="21B3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B5E52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338</w:t>
            </w:r>
          </w:p>
        </w:tc>
        <w:tc>
          <w:tcPr>
            <w:tcW w:w="639" w:type="dxa"/>
            <w:vMerge w:val="continue"/>
            <w:shd w:val="clear" w:color="auto" w:fill="auto"/>
            <w:vAlign w:val="center"/>
          </w:tcPr>
          <w:p w14:paraId="40E9AF9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16CF8E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ED555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支持病种及操作技术统计报表</w:t>
            </w:r>
          </w:p>
        </w:tc>
      </w:tr>
      <w:tr w14:paraId="1EAE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85B6B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339</w:t>
            </w:r>
          </w:p>
        </w:tc>
        <w:tc>
          <w:tcPr>
            <w:tcW w:w="639" w:type="dxa"/>
            <w:vMerge w:val="continue"/>
            <w:shd w:val="clear" w:color="auto" w:fill="auto"/>
            <w:vAlign w:val="center"/>
          </w:tcPr>
          <w:p w14:paraId="26CACB6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AE4A0A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CFBC4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支持120收住院人数统计报表</w:t>
            </w:r>
          </w:p>
        </w:tc>
      </w:tr>
      <w:tr w14:paraId="2316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5307B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w:t>
            </w:r>
          </w:p>
        </w:tc>
        <w:tc>
          <w:tcPr>
            <w:tcW w:w="639" w:type="dxa"/>
            <w:vMerge w:val="continue"/>
            <w:shd w:val="clear" w:color="auto" w:fill="auto"/>
            <w:vAlign w:val="center"/>
          </w:tcPr>
          <w:p w14:paraId="08BC278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453712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D6DA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支持120到院统计报表</w:t>
            </w:r>
          </w:p>
        </w:tc>
      </w:tr>
      <w:tr w14:paraId="36FD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46927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341</w:t>
            </w:r>
          </w:p>
        </w:tc>
        <w:tc>
          <w:tcPr>
            <w:tcW w:w="639" w:type="dxa"/>
            <w:vMerge w:val="continue"/>
            <w:shd w:val="clear" w:color="auto" w:fill="auto"/>
            <w:vAlign w:val="center"/>
          </w:tcPr>
          <w:p w14:paraId="27295C8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4C5014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8353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支持手术操作统计报表</w:t>
            </w:r>
          </w:p>
        </w:tc>
      </w:tr>
      <w:tr w14:paraId="5C91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3A497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342</w:t>
            </w:r>
          </w:p>
        </w:tc>
        <w:tc>
          <w:tcPr>
            <w:tcW w:w="639" w:type="dxa"/>
            <w:vMerge w:val="continue"/>
            <w:shd w:val="clear" w:color="auto" w:fill="auto"/>
            <w:vAlign w:val="center"/>
          </w:tcPr>
          <w:p w14:paraId="291670E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7ECCFA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41911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支持分诊目标反应时间报表</w:t>
            </w:r>
          </w:p>
        </w:tc>
      </w:tr>
      <w:tr w14:paraId="7C52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69C86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343</w:t>
            </w:r>
          </w:p>
        </w:tc>
        <w:tc>
          <w:tcPr>
            <w:tcW w:w="639" w:type="dxa"/>
            <w:vMerge w:val="continue"/>
            <w:shd w:val="clear" w:color="auto" w:fill="auto"/>
            <w:vAlign w:val="center"/>
          </w:tcPr>
          <w:p w14:paraId="0B67DC1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FC613F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D735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支持病人预检信息变动统计</w:t>
            </w:r>
          </w:p>
        </w:tc>
      </w:tr>
      <w:tr w14:paraId="6BF0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DA494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344</w:t>
            </w:r>
          </w:p>
        </w:tc>
        <w:tc>
          <w:tcPr>
            <w:tcW w:w="639" w:type="dxa"/>
            <w:vMerge w:val="continue"/>
            <w:shd w:val="clear" w:color="auto" w:fill="auto"/>
            <w:vAlign w:val="center"/>
          </w:tcPr>
          <w:p w14:paraId="1ECDA95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597CB4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EFD73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支持科室流量统计报表</w:t>
            </w:r>
          </w:p>
        </w:tc>
      </w:tr>
      <w:tr w14:paraId="7797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E129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345</w:t>
            </w:r>
          </w:p>
        </w:tc>
        <w:tc>
          <w:tcPr>
            <w:tcW w:w="639" w:type="dxa"/>
            <w:vMerge w:val="continue"/>
            <w:shd w:val="clear" w:color="auto" w:fill="auto"/>
            <w:vAlign w:val="center"/>
          </w:tcPr>
          <w:p w14:paraId="31D4DC59">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875DBB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06FCB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支持去向流量统计报表</w:t>
            </w:r>
          </w:p>
        </w:tc>
      </w:tr>
      <w:tr w14:paraId="10C1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094B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346</w:t>
            </w:r>
          </w:p>
        </w:tc>
        <w:tc>
          <w:tcPr>
            <w:tcW w:w="639" w:type="dxa"/>
            <w:vMerge w:val="continue"/>
            <w:shd w:val="clear" w:color="auto" w:fill="auto"/>
            <w:vAlign w:val="center"/>
          </w:tcPr>
          <w:p w14:paraId="5F5D19C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4574F0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3D313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支持留抢病历质控检查统计报表</w:t>
            </w:r>
          </w:p>
        </w:tc>
      </w:tr>
      <w:tr w14:paraId="7EB3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079DE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347</w:t>
            </w:r>
          </w:p>
        </w:tc>
        <w:tc>
          <w:tcPr>
            <w:tcW w:w="639" w:type="dxa"/>
            <w:vMerge w:val="continue"/>
            <w:shd w:val="clear" w:color="auto" w:fill="auto"/>
            <w:vAlign w:val="center"/>
          </w:tcPr>
          <w:p w14:paraId="6772BCF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718F55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0F06B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支持分诊级别符合率统计报表</w:t>
            </w:r>
          </w:p>
        </w:tc>
      </w:tr>
      <w:tr w14:paraId="6029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508C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348</w:t>
            </w:r>
          </w:p>
        </w:tc>
        <w:tc>
          <w:tcPr>
            <w:tcW w:w="639" w:type="dxa"/>
            <w:vMerge w:val="continue"/>
            <w:shd w:val="clear" w:color="auto" w:fill="auto"/>
            <w:vAlign w:val="center"/>
          </w:tcPr>
          <w:p w14:paraId="7D5D3D1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DA7165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89BB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支持危重病种统计报表</w:t>
            </w:r>
          </w:p>
        </w:tc>
      </w:tr>
      <w:tr w14:paraId="6864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4602B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349</w:t>
            </w:r>
          </w:p>
        </w:tc>
        <w:tc>
          <w:tcPr>
            <w:tcW w:w="639" w:type="dxa"/>
            <w:vMerge w:val="continue"/>
            <w:shd w:val="clear" w:color="auto" w:fill="auto"/>
            <w:vAlign w:val="center"/>
          </w:tcPr>
          <w:p w14:paraId="7D6B4EF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8CFD78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3ADD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支持按照医院需求自定义</w:t>
            </w:r>
          </w:p>
        </w:tc>
      </w:tr>
      <w:tr w14:paraId="6B19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54898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w:t>
            </w:r>
          </w:p>
        </w:tc>
        <w:tc>
          <w:tcPr>
            <w:tcW w:w="639" w:type="dxa"/>
            <w:vMerge w:val="continue"/>
            <w:shd w:val="clear" w:color="auto" w:fill="auto"/>
            <w:vAlign w:val="center"/>
          </w:tcPr>
          <w:p w14:paraId="50D2587D">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7B7F51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急诊质控报表</w:t>
            </w:r>
          </w:p>
        </w:tc>
        <w:tc>
          <w:tcPr>
            <w:tcW w:w="6555" w:type="dxa"/>
            <w:shd w:val="clear" w:color="auto" w:fill="auto"/>
            <w:vAlign w:val="center"/>
          </w:tcPr>
          <w:p w14:paraId="3371BC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根据国家《急诊专业医疗质量质控指标 2024》进行统计</w:t>
            </w:r>
          </w:p>
        </w:tc>
      </w:tr>
      <w:tr w14:paraId="3BCA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48A5F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351</w:t>
            </w:r>
          </w:p>
        </w:tc>
        <w:tc>
          <w:tcPr>
            <w:tcW w:w="639" w:type="dxa"/>
            <w:vMerge w:val="continue"/>
            <w:shd w:val="clear" w:color="auto" w:fill="auto"/>
            <w:vAlign w:val="center"/>
          </w:tcPr>
          <w:p w14:paraId="3570AA8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7F4A69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C863E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支持急诊各级患者比例报表</w:t>
            </w:r>
          </w:p>
        </w:tc>
      </w:tr>
      <w:tr w14:paraId="436A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F8694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352</w:t>
            </w:r>
          </w:p>
        </w:tc>
        <w:tc>
          <w:tcPr>
            <w:tcW w:w="639" w:type="dxa"/>
            <w:vMerge w:val="continue"/>
            <w:shd w:val="clear" w:color="auto" w:fill="auto"/>
            <w:vAlign w:val="center"/>
          </w:tcPr>
          <w:p w14:paraId="3D70790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7E5E19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93AF1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支持抢救室滞留时间中位数报表</w:t>
            </w:r>
          </w:p>
        </w:tc>
      </w:tr>
      <w:tr w14:paraId="23FE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12D89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353</w:t>
            </w:r>
          </w:p>
        </w:tc>
        <w:tc>
          <w:tcPr>
            <w:tcW w:w="639" w:type="dxa"/>
            <w:vMerge w:val="continue"/>
            <w:shd w:val="clear" w:color="auto" w:fill="auto"/>
            <w:vAlign w:val="center"/>
          </w:tcPr>
          <w:p w14:paraId="5AD66C4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C253B2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5C59E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支持急诊抢救室患者死亡率报表</w:t>
            </w:r>
          </w:p>
        </w:tc>
      </w:tr>
      <w:tr w14:paraId="6198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F5090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354</w:t>
            </w:r>
          </w:p>
        </w:tc>
        <w:tc>
          <w:tcPr>
            <w:tcW w:w="639" w:type="dxa"/>
            <w:vMerge w:val="continue"/>
            <w:shd w:val="clear" w:color="auto" w:fill="auto"/>
            <w:vAlign w:val="center"/>
          </w:tcPr>
          <w:p w14:paraId="685693E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F77782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A043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支持急诊医患比/护患比报表</w:t>
            </w:r>
          </w:p>
        </w:tc>
      </w:tr>
      <w:tr w14:paraId="7CB9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24B59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355</w:t>
            </w:r>
          </w:p>
        </w:tc>
        <w:tc>
          <w:tcPr>
            <w:tcW w:w="639" w:type="dxa"/>
            <w:vMerge w:val="continue"/>
            <w:shd w:val="clear" w:color="auto" w:fill="auto"/>
            <w:vAlign w:val="center"/>
          </w:tcPr>
          <w:p w14:paraId="332C2EA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05729B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7AE7F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支持非计划重返抢救室率报表</w:t>
            </w:r>
          </w:p>
        </w:tc>
      </w:tr>
      <w:tr w14:paraId="0345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FCF1C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356</w:t>
            </w:r>
          </w:p>
        </w:tc>
        <w:tc>
          <w:tcPr>
            <w:tcW w:w="639" w:type="dxa"/>
            <w:vMerge w:val="continue"/>
            <w:shd w:val="clear" w:color="auto" w:fill="auto"/>
            <w:vAlign w:val="center"/>
          </w:tcPr>
          <w:p w14:paraId="7FD29B2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A5051F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1AF1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支持门球时间报表</w:t>
            </w:r>
          </w:p>
        </w:tc>
      </w:tr>
      <w:tr w14:paraId="5F56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45F55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357</w:t>
            </w:r>
          </w:p>
        </w:tc>
        <w:tc>
          <w:tcPr>
            <w:tcW w:w="639" w:type="dxa"/>
            <w:vMerge w:val="continue"/>
            <w:shd w:val="clear" w:color="auto" w:fill="auto"/>
            <w:vAlign w:val="center"/>
          </w:tcPr>
          <w:p w14:paraId="00460178">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7870CD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5E0C0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支持门药时间报表</w:t>
            </w:r>
          </w:p>
        </w:tc>
      </w:tr>
      <w:tr w14:paraId="0E41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C63E9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358</w:t>
            </w:r>
          </w:p>
        </w:tc>
        <w:tc>
          <w:tcPr>
            <w:tcW w:w="639" w:type="dxa"/>
            <w:vMerge w:val="continue"/>
            <w:shd w:val="clear" w:color="auto" w:fill="auto"/>
            <w:vAlign w:val="center"/>
          </w:tcPr>
          <w:p w14:paraId="1A48E9D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F65823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CADB43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支持ROSC成功率报表</w:t>
            </w:r>
          </w:p>
        </w:tc>
      </w:tr>
      <w:tr w14:paraId="170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C87B1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359</w:t>
            </w:r>
          </w:p>
        </w:tc>
        <w:tc>
          <w:tcPr>
            <w:tcW w:w="639" w:type="dxa"/>
            <w:vMerge w:val="continue"/>
            <w:shd w:val="clear" w:color="auto" w:fill="auto"/>
            <w:vAlign w:val="center"/>
          </w:tcPr>
          <w:p w14:paraId="58FB8B2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BB1DC1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D85D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支持手术患者死亡率报表</w:t>
            </w:r>
          </w:p>
        </w:tc>
      </w:tr>
      <w:tr w14:paraId="110B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50A15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w:t>
            </w:r>
          </w:p>
        </w:tc>
        <w:tc>
          <w:tcPr>
            <w:tcW w:w="639" w:type="dxa"/>
            <w:vMerge w:val="continue"/>
            <w:shd w:val="clear" w:color="auto" w:fill="auto"/>
            <w:vAlign w:val="center"/>
          </w:tcPr>
          <w:p w14:paraId="67DB560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32FC54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059E1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支持以图形式、表格形式统计数据</w:t>
            </w:r>
          </w:p>
        </w:tc>
      </w:tr>
      <w:tr w14:paraId="4561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FE0CA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361</w:t>
            </w:r>
          </w:p>
        </w:tc>
        <w:tc>
          <w:tcPr>
            <w:tcW w:w="639" w:type="dxa"/>
            <w:vMerge w:val="continue"/>
            <w:shd w:val="clear" w:color="auto" w:fill="auto"/>
            <w:vAlign w:val="center"/>
          </w:tcPr>
          <w:p w14:paraId="61F7118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2851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F9421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支持导出单个质控指标图、表的数据内容</w:t>
            </w:r>
          </w:p>
        </w:tc>
      </w:tr>
      <w:tr w14:paraId="1234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F532E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362</w:t>
            </w:r>
          </w:p>
        </w:tc>
        <w:tc>
          <w:tcPr>
            <w:tcW w:w="639" w:type="dxa"/>
            <w:vMerge w:val="continue"/>
            <w:shd w:val="clear" w:color="auto" w:fill="auto"/>
            <w:vAlign w:val="center"/>
          </w:tcPr>
          <w:p w14:paraId="0E7CD6C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8E5C67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51FB6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支持导出时间区间内整个数据内容</w:t>
            </w:r>
          </w:p>
        </w:tc>
      </w:tr>
      <w:tr w14:paraId="31E2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231C1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363</w:t>
            </w:r>
          </w:p>
        </w:tc>
        <w:tc>
          <w:tcPr>
            <w:tcW w:w="639" w:type="dxa"/>
            <w:vMerge w:val="continue"/>
            <w:shd w:val="clear" w:color="auto" w:fill="auto"/>
            <w:vAlign w:val="center"/>
          </w:tcPr>
          <w:p w14:paraId="4D9BBC29">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582C85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急诊智慧屏及系统设置</w:t>
            </w:r>
          </w:p>
        </w:tc>
        <w:tc>
          <w:tcPr>
            <w:tcW w:w="986" w:type="dxa"/>
            <w:vMerge w:val="restart"/>
            <w:shd w:val="clear" w:color="auto" w:fill="auto"/>
            <w:vAlign w:val="center"/>
          </w:tcPr>
          <w:p w14:paraId="11CA32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急诊智慧屏</w:t>
            </w:r>
          </w:p>
        </w:tc>
        <w:tc>
          <w:tcPr>
            <w:tcW w:w="6555" w:type="dxa"/>
            <w:shd w:val="clear" w:color="auto" w:fill="auto"/>
            <w:vAlign w:val="center"/>
          </w:tcPr>
          <w:p w14:paraId="24EC0F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以大屏方式展示急诊科运行情况，实时清晰呈现急诊医疗资源占用情况、区域内病人一览信息，值班医护基本信息</w:t>
            </w:r>
          </w:p>
        </w:tc>
      </w:tr>
      <w:tr w14:paraId="5B23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AA41D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364</w:t>
            </w:r>
          </w:p>
        </w:tc>
        <w:tc>
          <w:tcPr>
            <w:tcW w:w="639" w:type="dxa"/>
            <w:vMerge w:val="continue"/>
            <w:shd w:val="clear" w:color="auto" w:fill="auto"/>
            <w:vAlign w:val="center"/>
          </w:tcPr>
          <w:p w14:paraId="1A87127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3D504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5698AF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A5A3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支持视频、图片、文字的方式进行健康宣教。</w:t>
            </w:r>
          </w:p>
        </w:tc>
      </w:tr>
      <w:tr w14:paraId="2C1B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C4B2D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365</w:t>
            </w:r>
          </w:p>
        </w:tc>
        <w:tc>
          <w:tcPr>
            <w:tcW w:w="639" w:type="dxa"/>
            <w:vMerge w:val="continue"/>
            <w:shd w:val="clear" w:color="auto" w:fill="auto"/>
            <w:vAlign w:val="center"/>
          </w:tcPr>
          <w:p w14:paraId="4D887C9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22D331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3B454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用户管理</w:t>
            </w:r>
          </w:p>
        </w:tc>
        <w:tc>
          <w:tcPr>
            <w:tcW w:w="6555" w:type="dxa"/>
            <w:shd w:val="clear" w:color="auto" w:fill="auto"/>
            <w:vAlign w:val="center"/>
          </w:tcPr>
          <w:p w14:paraId="7B7303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系统支持用户新增、修改、删除、启动、禁用等功能。</w:t>
            </w:r>
          </w:p>
        </w:tc>
      </w:tr>
      <w:tr w14:paraId="55B8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2F8B5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366</w:t>
            </w:r>
          </w:p>
        </w:tc>
        <w:tc>
          <w:tcPr>
            <w:tcW w:w="639" w:type="dxa"/>
            <w:vMerge w:val="continue"/>
            <w:shd w:val="clear" w:color="auto" w:fill="auto"/>
            <w:vAlign w:val="center"/>
          </w:tcPr>
          <w:p w14:paraId="7CC40C1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AD2BF8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761B7A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14DEA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支持用户密码重置、用户授权等相关功能；</w:t>
            </w:r>
          </w:p>
        </w:tc>
      </w:tr>
      <w:tr w14:paraId="79A1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5540E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367</w:t>
            </w:r>
          </w:p>
        </w:tc>
        <w:tc>
          <w:tcPr>
            <w:tcW w:w="639" w:type="dxa"/>
            <w:vMerge w:val="continue"/>
            <w:shd w:val="clear" w:color="auto" w:fill="auto"/>
            <w:vAlign w:val="center"/>
          </w:tcPr>
          <w:p w14:paraId="35F29DB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468FF0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98BEA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2395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支持用户数据通过集成平台下发获取；</w:t>
            </w:r>
          </w:p>
        </w:tc>
      </w:tr>
      <w:tr w14:paraId="7B5A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DD59A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368</w:t>
            </w:r>
          </w:p>
        </w:tc>
        <w:tc>
          <w:tcPr>
            <w:tcW w:w="639" w:type="dxa"/>
            <w:vMerge w:val="continue"/>
            <w:shd w:val="clear" w:color="auto" w:fill="auto"/>
            <w:vAlign w:val="center"/>
          </w:tcPr>
          <w:p w14:paraId="0C65BEA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269F8F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C51B30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8F9A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支持接入医院的统一用户管理系统，实现和医院现有单点登录功能。</w:t>
            </w:r>
          </w:p>
        </w:tc>
      </w:tr>
      <w:tr w14:paraId="1561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1652F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369</w:t>
            </w:r>
          </w:p>
        </w:tc>
        <w:tc>
          <w:tcPr>
            <w:tcW w:w="639" w:type="dxa"/>
            <w:vMerge w:val="continue"/>
            <w:shd w:val="clear" w:color="auto" w:fill="auto"/>
            <w:vAlign w:val="center"/>
          </w:tcPr>
          <w:p w14:paraId="14410D1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B8F27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DCC8D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数据字典配置</w:t>
            </w:r>
          </w:p>
        </w:tc>
        <w:tc>
          <w:tcPr>
            <w:tcW w:w="6555" w:type="dxa"/>
            <w:shd w:val="clear" w:color="auto" w:fill="auto"/>
            <w:vAlign w:val="center"/>
          </w:tcPr>
          <w:p w14:paraId="4FE613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支持数据字典内容的新增、修改、删除功能</w:t>
            </w:r>
          </w:p>
        </w:tc>
      </w:tr>
      <w:tr w14:paraId="382C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5FFB7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370</w:t>
            </w:r>
          </w:p>
        </w:tc>
        <w:tc>
          <w:tcPr>
            <w:tcW w:w="639" w:type="dxa"/>
            <w:vMerge w:val="continue"/>
            <w:shd w:val="clear" w:color="auto" w:fill="auto"/>
            <w:vAlign w:val="center"/>
          </w:tcPr>
          <w:p w14:paraId="548C971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F08234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8C0B2B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56863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支持数据字典内容设置可用和禁用功能</w:t>
            </w:r>
          </w:p>
        </w:tc>
      </w:tr>
      <w:tr w14:paraId="0890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422EF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371</w:t>
            </w:r>
          </w:p>
        </w:tc>
        <w:tc>
          <w:tcPr>
            <w:tcW w:w="639" w:type="dxa"/>
            <w:vMerge w:val="continue"/>
            <w:shd w:val="clear" w:color="auto" w:fill="auto"/>
            <w:vAlign w:val="center"/>
          </w:tcPr>
          <w:p w14:paraId="5DE7C46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E0E08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D1D344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D856F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支持系统功能数据节点根据配置显示。实现部分节点内容的自定义，可配置化</w:t>
            </w:r>
          </w:p>
        </w:tc>
      </w:tr>
      <w:tr w14:paraId="5349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5CFAC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372</w:t>
            </w:r>
          </w:p>
        </w:tc>
        <w:tc>
          <w:tcPr>
            <w:tcW w:w="639" w:type="dxa"/>
            <w:vMerge w:val="continue"/>
            <w:shd w:val="clear" w:color="auto" w:fill="auto"/>
            <w:vAlign w:val="center"/>
          </w:tcPr>
          <w:p w14:paraId="3B4EEA0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68955A6">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2C48A5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权限配置</w:t>
            </w:r>
          </w:p>
        </w:tc>
        <w:tc>
          <w:tcPr>
            <w:tcW w:w="6555" w:type="dxa"/>
            <w:shd w:val="clear" w:color="auto" w:fill="auto"/>
            <w:vAlign w:val="center"/>
          </w:tcPr>
          <w:p w14:paraId="530E38A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登录</w:t>
            </w:r>
            <w:r>
              <w:rPr>
                <w:rFonts w:hint="eastAsia" w:ascii="宋体" w:hAnsi="宋体" w:eastAsia="宋体" w:cs="宋体"/>
                <w:i w:val="0"/>
                <w:iCs w:val="0"/>
                <w:color w:val="auto"/>
                <w:kern w:val="0"/>
                <w:sz w:val="22"/>
                <w:szCs w:val="22"/>
                <w:highlight w:val="none"/>
                <w:u w:val="none"/>
                <w:lang w:val="en-US" w:eastAsia="zh-CN" w:bidi="ar"/>
              </w:rPr>
              <w:t>人员的权限进行管理，不同的人员拥有不同的权限，权限按照人员角色进行管理，通过不同的角色，采用医护一体化的方式进行管理，通过角色的切换，方便</w:t>
            </w:r>
            <w:r>
              <w:rPr>
                <w:rFonts w:hint="eastAsia" w:ascii="宋体" w:hAnsi="宋体" w:cs="宋体"/>
                <w:i w:val="0"/>
                <w:iCs w:val="0"/>
                <w:color w:val="auto"/>
                <w:kern w:val="0"/>
                <w:sz w:val="22"/>
                <w:szCs w:val="22"/>
                <w:highlight w:val="none"/>
                <w:u w:val="none"/>
                <w:lang w:val="en-US" w:eastAsia="zh-CN" w:bidi="ar"/>
              </w:rPr>
              <w:t>登录</w:t>
            </w:r>
            <w:r>
              <w:rPr>
                <w:rFonts w:hint="eastAsia" w:ascii="宋体" w:hAnsi="宋体" w:eastAsia="宋体" w:cs="宋体"/>
                <w:i w:val="0"/>
                <w:iCs w:val="0"/>
                <w:color w:val="auto"/>
                <w:kern w:val="0"/>
                <w:sz w:val="22"/>
                <w:szCs w:val="22"/>
                <w:highlight w:val="none"/>
                <w:u w:val="none"/>
                <w:lang w:val="en-US" w:eastAsia="zh-CN" w:bidi="ar"/>
              </w:rPr>
              <w:t>人员适应不同的工作场景。</w:t>
            </w:r>
          </w:p>
        </w:tc>
      </w:tr>
      <w:tr w14:paraId="3677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95D38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373</w:t>
            </w:r>
          </w:p>
        </w:tc>
        <w:tc>
          <w:tcPr>
            <w:tcW w:w="639" w:type="dxa"/>
            <w:vMerge w:val="continue"/>
            <w:shd w:val="clear" w:color="auto" w:fill="auto"/>
            <w:vAlign w:val="center"/>
          </w:tcPr>
          <w:p w14:paraId="25E75D5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A3741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FA6F9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系统对接</w:t>
            </w:r>
          </w:p>
        </w:tc>
        <w:tc>
          <w:tcPr>
            <w:tcW w:w="6555" w:type="dxa"/>
            <w:shd w:val="clear" w:color="auto" w:fill="auto"/>
            <w:vAlign w:val="center"/>
          </w:tcPr>
          <w:p w14:paraId="567CE1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系统与医院现有的HIS、LIS、PACS等系统的改造和对接；</w:t>
            </w:r>
          </w:p>
        </w:tc>
      </w:tr>
      <w:tr w14:paraId="59CF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5E15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374</w:t>
            </w:r>
          </w:p>
        </w:tc>
        <w:tc>
          <w:tcPr>
            <w:tcW w:w="639" w:type="dxa"/>
            <w:vMerge w:val="continue"/>
            <w:shd w:val="clear" w:color="auto" w:fill="auto"/>
            <w:vAlign w:val="center"/>
          </w:tcPr>
          <w:p w14:paraId="0C40D94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58053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15DADB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88D06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支持与医院现有分诊呼叫系统、呼叫屏及诊间屏进行数据对接；</w:t>
            </w:r>
          </w:p>
        </w:tc>
      </w:tr>
      <w:tr w14:paraId="74B9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1433D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375</w:t>
            </w:r>
          </w:p>
        </w:tc>
        <w:tc>
          <w:tcPr>
            <w:tcW w:w="639" w:type="dxa"/>
            <w:vMerge w:val="continue"/>
            <w:shd w:val="clear" w:color="auto" w:fill="auto"/>
            <w:vAlign w:val="center"/>
          </w:tcPr>
          <w:p w14:paraId="40EC177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2C9E8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2B118C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71E22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支持与医院现有的医嘱录入功能进行嵌入对接，需第三方厂商支持。</w:t>
            </w:r>
          </w:p>
        </w:tc>
      </w:tr>
      <w:tr w14:paraId="4593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5C1E17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376</w:t>
            </w:r>
          </w:p>
        </w:tc>
        <w:tc>
          <w:tcPr>
            <w:tcW w:w="639" w:type="dxa"/>
            <w:vMerge w:val="continue"/>
            <w:shd w:val="clear" w:color="auto" w:fill="auto"/>
            <w:vAlign w:val="center"/>
          </w:tcPr>
          <w:p w14:paraId="731DDBBE">
            <w:pPr>
              <w:jc w:val="center"/>
              <w:rPr>
                <w:rFonts w:hint="eastAsia" w:ascii="宋体" w:hAnsi="宋体" w:eastAsia="宋体" w:cs="宋体"/>
                <w:i w:val="0"/>
                <w:iCs w:val="0"/>
                <w:color w:val="auto"/>
                <w:sz w:val="22"/>
                <w:szCs w:val="22"/>
                <w:highlight w:val="none"/>
                <w:u w:val="none"/>
              </w:rPr>
            </w:pPr>
          </w:p>
        </w:tc>
        <w:tc>
          <w:tcPr>
            <w:tcW w:w="1680" w:type="dxa"/>
            <w:gridSpan w:val="2"/>
            <w:shd w:val="clear" w:color="auto" w:fill="auto"/>
            <w:vAlign w:val="center"/>
          </w:tcPr>
          <w:p w14:paraId="521979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急诊危急值管理与消息提醒模块</w:t>
            </w:r>
          </w:p>
        </w:tc>
        <w:tc>
          <w:tcPr>
            <w:tcW w:w="6555" w:type="dxa"/>
            <w:shd w:val="clear" w:color="auto" w:fill="auto"/>
            <w:vAlign w:val="center"/>
          </w:tcPr>
          <w:p w14:paraId="7480F60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危急值自动弹框提醒功能，提醒当前区域患者危急值状态和数值，为临床医疗和护理提供诊疗决策数据支持，支持新医嘱弹框提醒功能，支持对消息内容进行处理记录并将处理记录回传给院内其他系统。实现与其它危急值系统形成联动管理，实现院内危急值管理闭环。</w:t>
            </w:r>
          </w:p>
        </w:tc>
      </w:tr>
      <w:tr w14:paraId="7F3C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576" w:type="dxa"/>
            <w:shd w:val="clear" w:color="auto" w:fill="auto"/>
            <w:vAlign w:val="center"/>
          </w:tcPr>
          <w:p w14:paraId="4E7092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377</w:t>
            </w:r>
          </w:p>
        </w:tc>
        <w:tc>
          <w:tcPr>
            <w:tcW w:w="639" w:type="dxa"/>
            <w:vMerge w:val="continue"/>
            <w:shd w:val="clear" w:color="auto" w:fill="auto"/>
            <w:vAlign w:val="center"/>
          </w:tcPr>
          <w:p w14:paraId="286263D2">
            <w:pPr>
              <w:jc w:val="center"/>
              <w:rPr>
                <w:rFonts w:hint="eastAsia" w:ascii="宋体" w:hAnsi="宋体" w:eastAsia="宋体" w:cs="宋体"/>
                <w:i w:val="0"/>
                <w:iCs w:val="0"/>
                <w:color w:val="auto"/>
                <w:sz w:val="22"/>
                <w:szCs w:val="22"/>
                <w:highlight w:val="none"/>
                <w:u w:val="none"/>
              </w:rPr>
            </w:pPr>
          </w:p>
        </w:tc>
        <w:tc>
          <w:tcPr>
            <w:tcW w:w="1680" w:type="dxa"/>
            <w:gridSpan w:val="2"/>
            <w:shd w:val="clear" w:color="auto" w:fill="auto"/>
            <w:vAlign w:val="center"/>
          </w:tcPr>
          <w:p w14:paraId="01544C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急诊仪器及信息系统连接</w:t>
            </w:r>
          </w:p>
        </w:tc>
        <w:tc>
          <w:tcPr>
            <w:tcW w:w="6555" w:type="dxa"/>
            <w:shd w:val="clear" w:color="auto" w:fill="auto"/>
            <w:vAlign w:val="center"/>
          </w:tcPr>
          <w:p w14:paraId="7745C7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1)支持信息系统集成网关：采用独立信息系统集成网关，以存储过程、视图、Web Service及其他数据同步机制，按需访问HIS、PACS、RIS、LIS、EMR等服务器，选择性的同步患者基本信息、住院信息、医嘱信息、检查信息、检验信息、病历等数据到数据库服务器。支持HL7等多种标准和非标准接口，支持二次开发。</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2)支持监护数据集成：自动采集床边监护设备的数据，服务器同步数据存储，自动记录期间所有体征趋势。提供多种设备接口的内置支持，支持网络、串口等多种数据采集方式，支持二次开发；</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①接入主流品牌监护仪。</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②接入主流品牌呼吸机。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③接入主流品牌血气</w:t>
            </w:r>
            <w:r>
              <w:rPr>
                <w:rFonts w:hint="eastAsia" w:ascii="宋体" w:hAnsi="宋体" w:cs="宋体"/>
                <w:i w:val="0"/>
                <w:iCs w:val="0"/>
                <w:color w:val="auto"/>
                <w:kern w:val="0"/>
                <w:sz w:val="22"/>
                <w:szCs w:val="22"/>
                <w:highlight w:val="none"/>
                <w:u w:val="none"/>
                <w:lang w:val="en-US" w:eastAsia="zh-CN" w:bidi="ar"/>
              </w:rPr>
              <w:t>分析仪</w:t>
            </w:r>
            <w:r>
              <w:rPr>
                <w:rFonts w:hint="eastAsia" w:ascii="宋体" w:hAnsi="宋体" w:eastAsia="宋体" w:cs="宋体"/>
                <w:i w:val="0"/>
                <w:iCs w:val="0"/>
                <w:color w:val="auto"/>
                <w:kern w:val="0"/>
                <w:sz w:val="22"/>
                <w:szCs w:val="22"/>
                <w:highlight w:val="none"/>
                <w:u w:val="none"/>
                <w:lang w:val="en-US" w:eastAsia="zh-CN" w:bidi="ar"/>
              </w:rPr>
              <w:t>（需要提供协议和具备输出端口）。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④接入主流品牌心肌标志物POCT。</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3)支持采集的设备数据同时存储到多个数据库中。</w:t>
            </w:r>
          </w:p>
        </w:tc>
      </w:tr>
      <w:tr w14:paraId="5212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97636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378</w:t>
            </w:r>
          </w:p>
        </w:tc>
        <w:tc>
          <w:tcPr>
            <w:tcW w:w="639" w:type="dxa"/>
            <w:vMerge w:val="restart"/>
            <w:shd w:val="clear" w:color="auto" w:fill="auto"/>
            <w:vAlign w:val="center"/>
          </w:tcPr>
          <w:p w14:paraId="734C2FEE">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2BFA1E4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F9AC0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HIS系统-患者信息</w:t>
            </w:r>
          </w:p>
        </w:tc>
      </w:tr>
      <w:tr w14:paraId="0E47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9EAD3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379</w:t>
            </w:r>
          </w:p>
        </w:tc>
        <w:tc>
          <w:tcPr>
            <w:tcW w:w="639" w:type="dxa"/>
            <w:vMerge w:val="continue"/>
            <w:shd w:val="clear" w:color="auto" w:fill="auto"/>
            <w:vAlign w:val="center"/>
          </w:tcPr>
          <w:p w14:paraId="30E23E5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C3E613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D8A73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HIS系统-挂号信息</w:t>
            </w:r>
          </w:p>
        </w:tc>
      </w:tr>
      <w:tr w14:paraId="52BB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4FD4E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380</w:t>
            </w:r>
          </w:p>
        </w:tc>
        <w:tc>
          <w:tcPr>
            <w:tcW w:w="639" w:type="dxa"/>
            <w:vMerge w:val="continue"/>
            <w:shd w:val="clear" w:color="auto" w:fill="auto"/>
            <w:vAlign w:val="center"/>
          </w:tcPr>
          <w:p w14:paraId="390581BE">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820F85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980C5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HIS系统-就诊信息</w:t>
            </w:r>
          </w:p>
        </w:tc>
      </w:tr>
      <w:tr w14:paraId="1CB5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3ADBD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381</w:t>
            </w:r>
          </w:p>
        </w:tc>
        <w:tc>
          <w:tcPr>
            <w:tcW w:w="639" w:type="dxa"/>
            <w:vMerge w:val="continue"/>
            <w:shd w:val="clear" w:color="auto" w:fill="auto"/>
            <w:vAlign w:val="center"/>
          </w:tcPr>
          <w:p w14:paraId="4EF52B4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EA3D2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3D54D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HIS系统-诊断信息</w:t>
            </w:r>
          </w:p>
        </w:tc>
      </w:tr>
      <w:tr w14:paraId="30AB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21A7E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382</w:t>
            </w:r>
          </w:p>
        </w:tc>
        <w:tc>
          <w:tcPr>
            <w:tcW w:w="639" w:type="dxa"/>
            <w:vMerge w:val="continue"/>
            <w:shd w:val="clear" w:color="auto" w:fill="auto"/>
            <w:vAlign w:val="center"/>
          </w:tcPr>
          <w:p w14:paraId="1137599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EBF887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0EFBD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HIS系统-门诊检查信息</w:t>
            </w:r>
          </w:p>
        </w:tc>
      </w:tr>
      <w:tr w14:paraId="426E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F742F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383</w:t>
            </w:r>
          </w:p>
        </w:tc>
        <w:tc>
          <w:tcPr>
            <w:tcW w:w="639" w:type="dxa"/>
            <w:vMerge w:val="continue"/>
            <w:shd w:val="clear" w:color="auto" w:fill="auto"/>
            <w:vAlign w:val="center"/>
          </w:tcPr>
          <w:p w14:paraId="24B82BB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2C87F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C31F9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HIS系统-门诊检验信息</w:t>
            </w:r>
          </w:p>
        </w:tc>
      </w:tr>
      <w:tr w14:paraId="510B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18F47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384</w:t>
            </w:r>
          </w:p>
        </w:tc>
        <w:tc>
          <w:tcPr>
            <w:tcW w:w="639" w:type="dxa"/>
            <w:vMerge w:val="continue"/>
            <w:shd w:val="clear" w:color="auto" w:fill="auto"/>
            <w:vAlign w:val="center"/>
          </w:tcPr>
          <w:p w14:paraId="6A21B3B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C00770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E3074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HIS系统-门诊医嘱信息</w:t>
            </w:r>
          </w:p>
        </w:tc>
      </w:tr>
      <w:tr w14:paraId="651D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74673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385</w:t>
            </w:r>
          </w:p>
        </w:tc>
        <w:tc>
          <w:tcPr>
            <w:tcW w:w="639" w:type="dxa"/>
            <w:vMerge w:val="continue"/>
            <w:shd w:val="clear" w:color="auto" w:fill="auto"/>
            <w:vAlign w:val="center"/>
          </w:tcPr>
          <w:p w14:paraId="293C62A9">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30D541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C872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HIS系统-急门诊病历信息</w:t>
            </w:r>
          </w:p>
        </w:tc>
      </w:tr>
      <w:tr w14:paraId="0050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E180B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386</w:t>
            </w:r>
          </w:p>
        </w:tc>
        <w:tc>
          <w:tcPr>
            <w:tcW w:w="639" w:type="dxa"/>
            <w:vMerge w:val="continue"/>
            <w:shd w:val="clear" w:color="auto" w:fill="auto"/>
            <w:vAlign w:val="center"/>
          </w:tcPr>
          <w:p w14:paraId="78ACDAC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5EA46C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D175B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HIS系统-住院信息</w:t>
            </w:r>
          </w:p>
        </w:tc>
      </w:tr>
      <w:tr w14:paraId="1689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88193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387</w:t>
            </w:r>
          </w:p>
        </w:tc>
        <w:tc>
          <w:tcPr>
            <w:tcW w:w="639" w:type="dxa"/>
            <w:vMerge w:val="continue"/>
            <w:shd w:val="clear" w:color="auto" w:fill="auto"/>
            <w:vAlign w:val="center"/>
          </w:tcPr>
          <w:p w14:paraId="3952313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52406A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4CA3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HIS系统-输血信息</w:t>
            </w:r>
          </w:p>
        </w:tc>
      </w:tr>
      <w:tr w14:paraId="575B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C6AB1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388</w:t>
            </w:r>
          </w:p>
        </w:tc>
        <w:tc>
          <w:tcPr>
            <w:tcW w:w="639" w:type="dxa"/>
            <w:vMerge w:val="continue"/>
            <w:shd w:val="clear" w:color="auto" w:fill="auto"/>
            <w:vAlign w:val="center"/>
          </w:tcPr>
          <w:p w14:paraId="65409A0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AAE93B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0221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HIS系统-手术信息</w:t>
            </w:r>
          </w:p>
        </w:tc>
      </w:tr>
      <w:tr w14:paraId="4A67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C6FB7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389</w:t>
            </w:r>
          </w:p>
        </w:tc>
        <w:tc>
          <w:tcPr>
            <w:tcW w:w="639" w:type="dxa"/>
            <w:vMerge w:val="continue"/>
            <w:shd w:val="clear" w:color="auto" w:fill="auto"/>
            <w:vAlign w:val="center"/>
          </w:tcPr>
          <w:p w14:paraId="203845D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74D74E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C42CD3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HIS系统-收费信息</w:t>
            </w:r>
          </w:p>
        </w:tc>
      </w:tr>
      <w:tr w14:paraId="6024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A4D72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390</w:t>
            </w:r>
          </w:p>
        </w:tc>
        <w:tc>
          <w:tcPr>
            <w:tcW w:w="639" w:type="dxa"/>
            <w:vMerge w:val="continue"/>
            <w:shd w:val="clear" w:color="auto" w:fill="auto"/>
            <w:vAlign w:val="center"/>
          </w:tcPr>
          <w:p w14:paraId="5C77E3F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4C20C4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9705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CA签名-医护签名-OAuth登</w:t>
            </w:r>
            <w:r>
              <w:rPr>
                <w:rFonts w:hint="eastAsia" w:ascii="宋体" w:hAnsi="宋体" w:cs="宋体"/>
                <w:i w:val="0"/>
                <w:iCs w:val="0"/>
                <w:color w:val="auto"/>
                <w:kern w:val="0"/>
                <w:sz w:val="22"/>
                <w:szCs w:val="22"/>
                <w:highlight w:val="none"/>
                <w:u w:val="none"/>
                <w:lang w:val="en-US" w:eastAsia="zh-CN" w:bidi="ar"/>
              </w:rPr>
              <w:t>录</w:t>
            </w:r>
            <w:r>
              <w:rPr>
                <w:rFonts w:hint="eastAsia" w:ascii="宋体" w:hAnsi="宋体" w:eastAsia="宋体" w:cs="宋体"/>
                <w:i w:val="0"/>
                <w:iCs w:val="0"/>
                <w:color w:val="auto"/>
                <w:kern w:val="0"/>
                <w:sz w:val="22"/>
                <w:szCs w:val="22"/>
                <w:highlight w:val="none"/>
                <w:u w:val="none"/>
                <w:lang w:val="en-US" w:eastAsia="zh-CN" w:bidi="ar"/>
              </w:rPr>
              <w:t>-认证请求接口</w:t>
            </w:r>
          </w:p>
        </w:tc>
      </w:tr>
      <w:tr w14:paraId="4A14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4BB8D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391</w:t>
            </w:r>
          </w:p>
        </w:tc>
        <w:tc>
          <w:tcPr>
            <w:tcW w:w="639" w:type="dxa"/>
            <w:vMerge w:val="continue"/>
            <w:shd w:val="clear" w:color="auto" w:fill="auto"/>
            <w:vAlign w:val="center"/>
          </w:tcPr>
          <w:p w14:paraId="7087D884">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29ECB3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C6CF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CA签名-医护签名-OAuth登</w:t>
            </w:r>
            <w:r>
              <w:rPr>
                <w:rFonts w:hint="eastAsia" w:ascii="宋体" w:hAnsi="宋体" w:cs="宋体"/>
                <w:i w:val="0"/>
                <w:iCs w:val="0"/>
                <w:color w:val="auto"/>
                <w:kern w:val="0"/>
                <w:sz w:val="22"/>
                <w:szCs w:val="22"/>
                <w:highlight w:val="none"/>
                <w:u w:val="none"/>
                <w:lang w:val="en-US" w:eastAsia="zh-CN" w:bidi="ar"/>
              </w:rPr>
              <w:t>录</w:t>
            </w:r>
            <w:r>
              <w:rPr>
                <w:rFonts w:hint="eastAsia" w:ascii="宋体" w:hAnsi="宋体" w:eastAsia="宋体" w:cs="宋体"/>
                <w:i w:val="0"/>
                <w:iCs w:val="0"/>
                <w:color w:val="auto"/>
                <w:kern w:val="0"/>
                <w:sz w:val="22"/>
                <w:szCs w:val="22"/>
                <w:highlight w:val="none"/>
                <w:u w:val="none"/>
                <w:lang w:val="en-US" w:eastAsia="zh-CN" w:bidi="ar"/>
              </w:rPr>
              <w:t>-获取用户信息</w:t>
            </w:r>
          </w:p>
        </w:tc>
      </w:tr>
      <w:tr w14:paraId="6A87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142AC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392</w:t>
            </w:r>
          </w:p>
        </w:tc>
        <w:tc>
          <w:tcPr>
            <w:tcW w:w="639" w:type="dxa"/>
            <w:vMerge w:val="continue"/>
            <w:shd w:val="clear" w:color="auto" w:fill="auto"/>
            <w:vAlign w:val="center"/>
          </w:tcPr>
          <w:p w14:paraId="77A41045">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FE4CF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EC2D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CA签名-医护签名-自动签名授权-请求自动签名授权接口</w:t>
            </w:r>
          </w:p>
        </w:tc>
      </w:tr>
      <w:tr w14:paraId="57C0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EA4AD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393</w:t>
            </w:r>
          </w:p>
        </w:tc>
        <w:tc>
          <w:tcPr>
            <w:tcW w:w="639" w:type="dxa"/>
            <w:vMerge w:val="continue"/>
            <w:shd w:val="clear" w:color="auto" w:fill="auto"/>
            <w:vAlign w:val="center"/>
          </w:tcPr>
          <w:p w14:paraId="33582665">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D994A7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86A98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CA签名-医护签名-自动签名授权-获取授权结果接口</w:t>
            </w:r>
          </w:p>
        </w:tc>
      </w:tr>
      <w:tr w14:paraId="1666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E52B6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394</w:t>
            </w:r>
          </w:p>
        </w:tc>
        <w:tc>
          <w:tcPr>
            <w:tcW w:w="639" w:type="dxa"/>
            <w:vMerge w:val="continue"/>
            <w:shd w:val="clear" w:color="auto" w:fill="auto"/>
            <w:vAlign w:val="center"/>
          </w:tcPr>
          <w:p w14:paraId="55396324">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D995A5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81AB3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CA签名-医护签名-自动签名授权 - 退出授权接口</w:t>
            </w:r>
          </w:p>
        </w:tc>
      </w:tr>
      <w:tr w14:paraId="2B33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8176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395</w:t>
            </w:r>
          </w:p>
        </w:tc>
        <w:tc>
          <w:tcPr>
            <w:tcW w:w="639" w:type="dxa"/>
            <w:vMerge w:val="continue"/>
            <w:shd w:val="clear" w:color="auto" w:fill="auto"/>
            <w:vAlign w:val="center"/>
          </w:tcPr>
          <w:p w14:paraId="694117C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2E5AA9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C08763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CA签名-医护签名-发起院内本地自动签授权请求(CS)</w:t>
            </w:r>
          </w:p>
        </w:tc>
      </w:tr>
      <w:tr w14:paraId="38D7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E737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396</w:t>
            </w:r>
          </w:p>
        </w:tc>
        <w:tc>
          <w:tcPr>
            <w:tcW w:w="639" w:type="dxa"/>
            <w:vMerge w:val="continue"/>
            <w:shd w:val="clear" w:color="auto" w:fill="auto"/>
            <w:vAlign w:val="center"/>
          </w:tcPr>
          <w:p w14:paraId="03DC122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C94855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9DFD0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CA签名-医护签名-确认院内本地自动签授权(CS)</w:t>
            </w:r>
          </w:p>
        </w:tc>
      </w:tr>
      <w:tr w14:paraId="15B4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26EDA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397</w:t>
            </w:r>
          </w:p>
        </w:tc>
        <w:tc>
          <w:tcPr>
            <w:tcW w:w="639" w:type="dxa"/>
            <w:vMerge w:val="continue"/>
            <w:shd w:val="clear" w:color="auto" w:fill="auto"/>
            <w:vAlign w:val="center"/>
          </w:tcPr>
          <w:p w14:paraId="1C57FAAA">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406FC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0C387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CA签名-医护签名-请求院内本地自动签授权(BS)</w:t>
            </w:r>
          </w:p>
        </w:tc>
      </w:tr>
      <w:tr w14:paraId="3668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26B17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398</w:t>
            </w:r>
          </w:p>
        </w:tc>
        <w:tc>
          <w:tcPr>
            <w:tcW w:w="639" w:type="dxa"/>
            <w:vMerge w:val="continue"/>
            <w:shd w:val="clear" w:color="auto" w:fill="auto"/>
            <w:vAlign w:val="center"/>
          </w:tcPr>
          <w:p w14:paraId="3595541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8B1B87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2B8D3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CA签名-医护签名-数据哈希计算接口</w:t>
            </w:r>
          </w:p>
        </w:tc>
      </w:tr>
      <w:tr w14:paraId="02FD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D8C34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399</w:t>
            </w:r>
          </w:p>
        </w:tc>
        <w:tc>
          <w:tcPr>
            <w:tcW w:w="639" w:type="dxa"/>
            <w:vMerge w:val="continue"/>
            <w:shd w:val="clear" w:color="auto" w:fill="auto"/>
            <w:vAlign w:val="center"/>
          </w:tcPr>
          <w:p w14:paraId="3F360EF4">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8E9F80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F7160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CA签名-医护签名-数据签名接口</w:t>
            </w:r>
          </w:p>
        </w:tc>
      </w:tr>
      <w:tr w14:paraId="2CE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B1044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639" w:type="dxa"/>
            <w:vMerge w:val="continue"/>
            <w:shd w:val="clear" w:color="auto" w:fill="auto"/>
            <w:vAlign w:val="center"/>
          </w:tcPr>
          <w:p w14:paraId="6831960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14A13A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A0C99B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CA签名-医护签名-商务办公类数据签名接口</w:t>
            </w:r>
          </w:p>
        </w:tc>
      </w:tr>
      <w:tr w14:paraId="2DBC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211AB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401</w:t>
            </w:r>
          </w:p>
        </w:tc>
        <w:tc>
          <w:tcPr>
            <w:tcW w:w="639" w:type="dxa"/>
            <w:vMerge w:val="continue"/>
            <w:shd w:val="clear" w:color="auto" w:fill="auto"/>
            <w:vAlign w:val="center"/>
          </w:tcPr>
          <w:p w14:paraId="7968E30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1F75BC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5A8C9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CA签名-医护签名-签名状态查询接口(按订单查询)</w:t>
            </w:r>
          </w:p>
        </w:tc>
      </w:tr>
      <w:tr w14:paraId="6013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7DC50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402</w:t>
            </w:r>
          </w:p>
        </w:tc>
        <w:tc>
          <w:tcPr>
            <w:tcW w:w="639" w:type="dxa"/>
            <w:vMerge w:val="continue"/>
            <w:shd w:val="clear" w:color="auto" w:fill="auto"/>
            <w:vAlign w:val="center"/>
          </w:tcPr>
          <w:p w14:paraId="3AD9CAB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19B6A2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86F9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CA签名-医护签名-签名状态批量查询接口(按订单id批量查询)</w:t>
            </w:r>
          </w:p>
        </w:tc>
      </w:tr>
      <w:tr w14:paraId="6355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A6614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403</w:t>
            </w:r>
          </w:p>
        </w:tc>
        <w:tc>
          <w:tcPr>
            <w:tcW w:w="639" w:type="dxa"/>
            <w:vMerge w:val="continue"/>
            <w:shd w:val="clear" w:color="auto" w:fill="auto"/>
            <w:vAlign w:val="center"/>
          </w:tcPr>
          <w:p w14:paraId="334865E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68F65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D3FD0A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CA签名-医护签名-签名状态查询接口(按时间查询)</w:t>
            </w:r>
          </w:p>
        </w:tc>
      </w:tr>
      <w:tr w14:paraId="2705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579ED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404</w:t>
            </w:r>
          </w:p>
        </w:tc>
        <w:tc>
          <w:tcPr>
            <w:tcW w:w="639" w:type="dxa"/>
            <w:vMerge w:val="continue"/>
            <w:shd w:val="clear" w:color="auto" w:fill="auto"/>
            <w:vAlign w:val="center"/>
          </w:tcPr>
          <w:p w14:paraId="41088FF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A79E53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06AAA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CA签名-医护签名-获取签名结果接口</w:t>
            </w:r>
          </w:p>
        </w:tc>
      </w:tr>
      <w:tr w14:paraId="5CF7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D9D4B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405</w:t>
            </w:r>
          </w:p>
        </w:tc>
        <w:tc>
          <w:tcPr>
            <w:tcW w:w="639" w:type="dxa"/>
            <w:vMerge w:val="continue"/>
            <w:shd w:val="clear" w:color="auto" w:fill="auto"/>
            <w:vAlign w:val="center"/>
          </w:tcPr>
          <w:p w14:paraId="1D40B9E9">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0E5DB9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352CB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CA签名-医护签名-删除待签数据接口</w:t>
            </w:r>
          </w:p>
        </w:tc>
      </w:tr>
      <w:tr w14:paraId="58A1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79C1C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406</w:t>
            </w:r>
          </w:p>
        </w:tc>
        <w:tc>
          <w:tcPr>
            <w:tcW w:w="639" w:type="dxa"/>
            <w:vMerge w:val="continue"/>
            <w:shd w:val="clear" w:color="auto" w:fill="auto"/>
            <w:vAlign w:val="center"/>
          </w:tcPr>
          <w:p w14:paraId="182ADA2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61FDEC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40D4E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CA签名-医护签名-签名回调接口【集成系统实现】</w:t>
            </w:r>
          </w:p>
        </w:tc>
      </w:tr>
      <w:tr w14:paraId="24A2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9F15B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407</w:t>
            </w:r>
          </w:p>
        </w:tc>
        <w:tc>
          <w:tcPr>
            <w:tcW w:w="639" w:type="dxa"/>
            <w:vMerge w:val="continue"/>
            <w:shd w:val="clear" w:color="auto" w:fill="auto"/>
            <w:vAlign w:val="center"/>
          </w:tcPr>
          <w:p w14:paraId="7565EDE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C84F83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A081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CA签名-医护签名-pdf签名盖章接口</w:t>
            </w:r>
          </w:p>
        </w:tc>
      </w:tr>
      <w:tr w14:paraId="7C31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42081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408</w:t>
            </w:r>
          </w:p>
        </w:tc>
        <w:tc>
          <w:tcPr>
            <w:tcW w:w="639" w:type="dxa"/>
            <w:vMerge w:val="continue"/>
            <w:shd w:val="clear" w:color="auto" w:fill="auto"/>
            <w:vAlign w:val="center"/>
          </w:tcPr>
          <w:p w14:paraId="03F2130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BD0019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DF25B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CA签名-患者签名-同步签名数据</w:t>
            </w:r>
          </w:p>
        </w:tc>
      </w:tr>
      <w:tr w14:paraId="0F62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01A56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409</w:t>
            </w:r>
          </w:p>
        </w:tc>
        <w:tc>
          <w:tcPr>
            <w:tcW w:w="639" w:type="dxa"/>
            <w:vMerge w:val="continue"/>
            <w:shd w:val="clear" w:color="auto" w:fill="auto"/>
            <w:vAlign w:val="center"/>
          </w:tcPr>
          <w:p w14:paraId="597EE30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FAE4FA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24B48A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CA签名-患者签名-医网信患者签名APP（PAD版）签名</w:t>
            </w:r>
          </w:p>
        </w:tc>
      </w:tr>
      <w:tr w14:paraId="0393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6BA3C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410</w:t>
            </w:r>
          </w:p>
        </w:tc>
        <w:tc>
          <w:tcPr>
            <w:tcW w:w="639" w:type="dxa"/>
            <w:vMerge w:val="continue"/>
            <w:shd w:val="clear" w:color="auto" w:fill="auto"/>
            <w:vAlign w:val="center"/>
          </w:tcPr>
          <w:p w14:paraId="3DB980E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60967A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DACCAB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CA签名-患者签名-签名结果获取接口</w:t>
            </w:r>
          </w:p>
        </w:tc>
      </w:tr>
      <w:tr w14:paraId="6C03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BA12E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411</w:t>
            </w:r>
          </w:p>
        </w:tc>
        <w:tc>
          <w:tcPr>
            <w:tcW w:w="639" w:type="dxa"/>
            <w:vMerge w:val="continue"/>
            <w:shd w:val="clear" w:color="auto" w:fill="auto"/>
            <w:vAlign w:val="center"/>
          </w:tcPr>
          <w:p w14:paraId="137F080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8E78BB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3E7EEF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CA签名-患者签名-同步签名数据接口</w:t>
            </w:r>
          </w:p>
        </w:tc>
      </w:tr>
      <w:tr w14:paraId="4AAB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558CB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412</w:t>
            </w:r>
          </w:p>
        </w:tc>
        <w:tc>
          <w:tcPr>
            <w:tcW w:w="639" w:type="dxa"/>
            <w:vMerge w:val="continue"/>
            <w:shd w:val="clear" w:color="auto" w:fill="auto"/>
            <w:vAlign w:val="center"/>
          </w:tcPr>
          <w:p w14:paraId="246FE438">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080CF1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7AE2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CA签名-患者签名-获取签名状态接口</w:t>
            </w:r>
          </w:p>
        </w:tc>
      </w:tr>
      <w:tr w14:paraId="53D6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019E6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413</w:t>
            </w:r>
          </w:p>
        </w:tc>
        <w:tc>
          <w:tcPr>
            <w:tcW w:w="639" w:type="dxa"/>
            <w:vMerge w:val="continue"/>
            <w:shd w:val="clear" w:color="auto" w:fill="auto"/>
            <w:vAlign w:val="center"/>
          </w:tcPr>
          <w:p w14:paraId="4856AF0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C09F5A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0BA5D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CA签名-患者签名-获取签名结果接口</w:t>
            </w:r>
          </w:p>
        </w:tc>
      </w:tr>
      <w:tr w14:paraId="02DD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3BF84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414</w:t>
            </w:r>
          </w:p>
        </w:tc>
        <w:tc>
          <w:tcPr>
            <w:tcW w:w="639" w:type="dxa"/>
            <w:vMerge w:val="continue"/>
            <w:shd w:val="clear" w:color="auto" w:fill="auto"/>
            <w:vAlign w:val="center"/>
          </w:tcPr>
          <w:p w14:paraId="223C846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5BA02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AA1F91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CA签名-患者签名-pdf转换工具接口</w:t>
            </w:r>
          </w:p>
        </w:tc>
      </w:tr>
      <w:tr w14:paraId="3593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A7871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415</w:t>
            </w:r>
          </w:p>
        </w:tc>
        <w:tc>
          <w:tcPr>
            <w:tcW w:w="639" w:type="dxa"/>
            <w:vMerge w:val="continue"/>
            <w:shd w:val="clear" w:color="auto" w:fill="auto"/>
            <w:vAlign w:val="center"/>
          </w:tcPr>
          <w:p w14:paraId="115FC02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41BC7E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9B0EA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CA签名-患者签名-获取账号Id列表</w:t>
            </w:r>
          </w:p>
        </w:tc>
      </w:tr>
      <w:tr w14:paraId="214A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25266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416</w:t>
            </w:r>
          </w:p>
        </w:tc>
        <w:tc>
          <w:tcPr>
            <w:tcW w:w="639" w:type="dxa"/>
            <w:vMerge w:val="continue"/>
            <w:shd w:val="clear" w:color="auto" w:fill="auto"/>
            <w:vAlign w:val="center"/>
          </w:tcPr>
          <w:p w14:paraId="7C7FD9A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AE6A5B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DD6F09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CA签名-患者签名-添加账号</w:t>
            </w:r>
          </w:p>
        </w:tc>
      </w:tr>
      <w:tr w14:paraId="4140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082CA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417</w:t>
            </w:r>
          </w:p>
        </w:tc>
        <w:tc>
          <w:tcPr>
            <w:tcW w:w="639" w:type="dxa"/>
            <w:vMerge w:val="continue"/>
            <w:shd w:val="clear" w:color="auto" w:fill="auto"/>
            <w:vAlign w:val="center"/>
          </w:tcPr>
          <w:p w14:paraId="0BC69902">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B0EE77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D7EB6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CA签名-患者签名-删除待编辑或待签数据</w:t>
            </w:r>
          </w:p>
        </w:tc>
      </w:tr>
      <w:tr w14:paraId="1886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982E2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418</w:t>
            </w:r>
          </w:p>
        </w:tc>
        <w:tc>
          <w:tcPr>
            <w:tcW w:w="639" w:type="dxa"/>
            <w:vMerge w:val="continue"/>
            <w:shd w:val="clear" w:color="auto" w:fill="auto"/>
            <w:vAlign w:val="center"/>
          </w:tcPr>
          <w:p w14:paraId="2DB9FF0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469EA7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827C3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CA签名-患者签名-签名状态通知接口</w:t>
            </w:r>
          </w:p>
        </w:tc>
      </w:tr>
      <w:tr w14:paraId="0B18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52D35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419</w:t>
            </w:r>
          </w:p>
        </w:tc>
        <w:tc>
          <w:tcPr>
            <w:tcW w:w="639" w:type="dxa"/>
            <w:vMerge w:val="continue"/>
            <w:shd w:val="clear" w:color="auto" w:fill="auto"/>
            <w:vAlign w:val="center"/>
          </w:tcPr>
          <w:p w14:paraId="354A3915">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03E3A1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0058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留抢病历文书归档接口</w:t>
            </w:r>
          </w:p>
        </w:tc>
      </w:tr>
      <w:tr w14:paraId="38E2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20B65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w:t>
            </w:r>
          </w:p>
        </w:tc>
        <w:tc>
          <w:tcPr>
            <w:tcW w:w="639" w:type="dxa"/>
            <w:vMerge w:val="continue"/>
            <w:shd w:val="clear" w:color="auto" w:fill="auto"/>
            <w:vAlign w:val="center"/>
          </w:tcPr>
          <w:p w14:paraId="587750B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12A79B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4171A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传染病上报接口</w:t>
            </w:r>
          </w:p>
        </w:tc>
      </w:tr>
      <w:tr w14:paraId="541F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76C8F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421</w:t>
            </w:r>
          </w:p>
        </w:tc>
        <w:tc>
          <w:tcPr>
            <w:tcW w:w="639" w:type="dxa"/>
            <w:vMerge w:val="continue"/>
            <w:shd w:val="clear" w:color="auto" w:fill="auto"/>
            <w:vAlign w:val="center"/>
          </w:tcPr>
          <w:p w14:paraId="37BCEC4C">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7B3C304">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210D71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集成平台-院内预检分诊患者信息接口</w:t>
            </w:r>
          </w:p>
        </w:tc>
      </w:tr>
      <w:tr w14:paraId="6448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6EFF8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422</w:t>
            </w:r>
          </w:p>
        </w:tc>
        <w:tc>
          <w:tcPr>
            <w:tcW w:w="639" w:type="dxa"/>
            <w:vMerge w:val="continue"/>
            <w:shd w:val="clear" w:color="auto" w:fill="auto"/>
            <w:vAlign w:val="center"/>
          </w:tcPr>
          <w:p w14:paraId="19DDA953">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AEA1262">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13ED59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集成平台-留抢/留观患者信息接口</w:t>
            </w:r>
          </w:p>
        </w:tc>
      </w:tr>
      <w:tr w14:paraId="4481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5FC3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423</w:t>
            </w:r>
          </w:p>
        </w:tc>
        <w:tc>
          <w:tcPr>
            <w:tcW w:w="639" w:type="dxa"/>
            <w:vMerge w:val="continue"/>
            <w:shd w:val="clear" w:color="auto" w:fill="auto"/>
            <w:vAlign w:val="center"/>
          </w:tcPr>
          <w:p w14:paraId="7C7DF8A5">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391BA7F">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00964C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集成平台-留抢/留观患者病历信息接口 </w:t>
            </w:r>
          </w:p>
        </w:tc>
      </w:tr>
      <w:tr w14:paraId="2D61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DD3F0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424</w:t>
            </w:r>
          </w:p>
        </w:tc>
        <w:tc>
          <w:tcPr>
            <w:tcW w:w="639" w:type="dxa"/>
            <w:vMerge w:val="continue"/>
            <w:shd w:val="clear" w:color="auto" w:fill="auto"/>
            <w:vAlign w:val="center"/>
          </w:tcPr>
          <w:p w14:paraId="737A065C">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1897C88">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6D4F6F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集成平台-留抢/留观患者输液信息接口</w:t>
            </w:r>
          </w:p>
        </w:tc>
      </w:tr>
      <w:tr w14:paraId="0343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90010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425</w:t>
            </w:r>
          </w:p>
        </w:tc>
        <w:tc>
          <w:tcPr>
            <w:tcW w:w="639" w:type="dxa"/>
            <w:vMerge w:val="continue"/>
            <w:shd w:val="clear" w:color="auto" w:fill="auto"/>
            <w:vAlign w:val="center"/>
          </w:tcPr>
          <w:p w14:paraId="18EC80A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A8A07C3">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7FFB8E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集成平台-留抢/留观患者输液巡视信息接口</w:t>
            </w:r>
          </w:p>
        </w:tc>
      </w:tr>
      <w:tr w14:paraId="7772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47D6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426</w:t>
            </w:r>
          </w:p>
        </w:tc>
        <w:tc>
          <w:tcPr>
            <w:tcW w:w="639" w:type="dxa"/>
            <w:vMerge w:val="continue"/>
            <w:shd w:val="clear" w:color="auto" w:fill="auto"/>
            <w:vAlign w:val="center"/>
          </w:tcPr>
          <w:p w14:paraId="5860A75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F29F9B4">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3A9AB0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集成平台-留抢/留观患者护理病历信息接口</w:t>
            </w:r>
          </w:p>
        </w:tc>
      </w:tr>
      <w:tr w14:paraId="2DE6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0D9D5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427</w:t>
            </w:r>
          </w:p>
        </w:tc>
        <w:tc>
          <w:tcPr>
            <w:tcW w:w="639" w:type="dxa"/>
            <w:vMerge w:val="restart"/>
            <w:shd w:val="clear" w:color="auto" w:fill="auto"/>
            <w:vAlign w:val="center"/>
          </w:tcPr>
          <w:p w14:paraId="044689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五大中心系统</w:t>
            </w:r>
          </w:p>
        </w:tc>
        <w:tc>
          <w:tcPr>
            <w:tcW w:w="694" w:type="dxa"/>
            <w:vMerge w:val="restart"/>
            <w:shd w:val="clear" w:color="auto" w:fill="auto"/>
            <w:vAlign w:val="center"/>
          </w:tcPr>
          <w:p w14:paraId="1B2C28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胸痛中心</w:t>
            </w:r>
          </w:p>
        </w:tc>
        <w:tc>
          <w:tcPr>
            <w:tcW w:w="986" w:type="dxa"/>
            <w:vMerge w:val="restart"/>
            <w:shd w:val="clear" w:color="auto" w:fill="auto"/>
            <w:vAlign w:val="center"/>
          </w:tcPr>
          <w:p w14:paraId="5F5A1F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胸痛急救绿色通道</w:t>
            </w:r>
          </w:p>
        </w:tc>
        <w:tc>
          <w:tcPr>
            <w:tcW w:w="6555" w:type="dxa"/>
            <w:shd w:val="clear" w:color="auto" w:fill="auto"/>
            <w:vAlign w:val="center"/>
          </w:tcPr>
          <w:p w14:paraId="216190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腕带绑定：系统支持患者佩戴智能手环，护士在分诊台通过读写设备的扫描读取腕带，快速登记患者佩戴的手环编号进行绑定，为自动采集质控时间做准备。</w:t>
            </w:r>
          </w:p>
        </w:tc>
      </w:tr>
      <w:tr w14:paraId="3F41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4286B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428</w:t>
            </w:r>
          </w:p>
        </w:tc>
        <w:tc>
          <w:tcPr>
            <w:tcW w:w="639" w:type="dxa"/>
            <w:vMerge w:val="continue"/>
            <w:shd w:val="clear" w:color="auto" w:fill="auto"/>
            <w:vAlign w:val="center"/>
          </w:tcPr>
          <w:p w14:paraId="2BE10F8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0319C1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5DC39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F90A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多学科协同通知（钉钉版）：支持与钉钉对接，接收患者后，可通过钉钉消息一键通知到胸痛急救小组；并在钉钉上建立患者救治群组，便于后续诊疗沟通工作。   </w:t>
            </w:r>
          </w:p>
        </w:tc>
      </w:tr>
      <w:tr w14:paraId="70A8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1E961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429</w:t>
            </w:r>
          </w:p>
        </w:tc>
        <w:tc>
          <w:tcPr>
            <w:tcW w:w="639" w:type="dxa"/>
            <w:vMerge w:val="continue"/>
            <w:shd w:val="clear" w:color="auto" w:fill="auto"/>
            <w:vAlign w:val="center"/>
          </w:tcPr>
          <w:p w14:paraId="73ACCB9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546D2A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94EEB2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8CCE4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多学科协同通知（AI电话版）：支持与科室值班电话对接，接收患者后，点击一键启动呼叫，在线监视电话语音通报完成，若是占线或者失败，可进行回拨处理。</w:t>
            </w:r>
          </w:p>
        </w:tc>
      </w:tr>
      <w:tr w14:paraId="4B09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21F345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w:t>
            </w:r>
          </w:p>
        </w:tc>
        <w:tc>
          <w:tcPr>
            <w:tcW w:w="639" w:type="dxa"/>
            <w:vMerge w:val="continue"/>
            <w:shd w:val="clear" w:color="auto" w:fill="auto"/>
            <w:vAlign w:val="center"/>
          </w:tcPr>
          <w:p w14:paraId="499C396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03BF45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FBD0BF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5D6C6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多学科协同会诊：一键呼叫和通知启动后，支持同步启动多学科会诊，根据呼叫的科室以及呼叫内容，系统自动生成对应的会诊单。护士在线监视电话语音播报同时直接记录会诊医生到场时间。</w:t>
            </w:r>
          </w:p>
        </w:tc>
      </w:tr>
      <w:tr w14:paraId="64D3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4DFD2D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431</w:t>
            </w:r>
          </w:p>
        </w:tc>
        <w:tc>
          <w:tcPr>
            <w:tcW w:w="639" w:type="dxa"/>
            <w:vMerge w:val="continue"/>
            <w:shd w:val="clear" w:color="auto" w:fill="auto"/>
            <w:vAlign w:val="center"/>
          </w:tcPr>
          <w:p w14:paraId="523178D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A42A8A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9BBB07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9B006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路径救治：系统提供三种胸痛救治路径：急诊患者救治路径、绕行患者救治路径和院内发病救治路径。在患者移至相应治疗区域能实现及时处理，从而实现快速高效的救治流程，提升了救治效率与紧急情况下的应变能力。</w:t>
            </w:r>
          </w:p>
        </w:tc>
      </w:tr>
      <w:tr w14:paraId="7F76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6A0F98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432</w:t>
            </w:r>
          </w:p>
        </w:tc>
        <w:tc>
          <w:tcPr>
            <w:tcW w:w="639" w:type="dxa"/>
            <w:vMerge w:val="continue"/>
            <w:shd w:val="clear" w:color="auto" w:fill="auto"/>
            <w:vAlign w:val="center"/>
          </w:tcPr>
          <w:p w14:paraId="4940686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CFC152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F3ED13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B111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信息共享：系统支持在钉钉群组自动推送患者信息、患者检验检查报告、患者会诊邀请信息、会诊回复内容。患者影像资料查阅支持前置预览，在影像未审核前系统就能接收到影像图片集群到钉钉端，医生可点击连接进行影像预览，支持图片的缩放、旋转功能。</w:t>
            </w:r>
          </w:p>
        </w:tc>
      </w:tr>
      <w:tr w14:paraId="3B2A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70443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433</w:t>
            </w:r>
          </w:p>
        </w:tc>
        <w:tc>
          <w:tcPr>
            <w:tcW w:w="639" w:type="dxa"/>
            <w:vMerge w:val="continue"/>
            <w:shd w:val="clear" w:color="auto" w:fill="auto"/>
            <w:vAlign w:val="center"/>
          </w:tcPr>
          <w:p w14:paraId="54C5064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B1AA36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CB584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EB0DE7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★支持会诊签到屏签到、电脑端签到两种签到方式，系统同步被邀请者的到场时间；</w:t>
            </w:r>
          </w:p>
        </w:tc>
      </w:tr>
      <w:tr w14:paraId="60D4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39E0C1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434</w:t>
            </w:r>
          </w:p>
        </w:tc>
        <w:tc>
          <w:tcPr>
            <w:tcW w:w="639" w:type="dxa"/>
            <w:vMerge w:val="continue"/>
            <w:shd w:val="clear" w:color="auto" w:fill="auto"/>
            <w:vAlign w:val="center"/>
          </w:tcPr>
          <w:p w14:paraId="6C466AA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58DDAB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47ADC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胸痛流程图</w:t>
            </w:r>
          </w:p>
        </w:tc>
        <w:tc>
          <w:tcPr>
            <w:tcW w:w="6555" w:type="dxa"/>
            <w:shd w:val="clear" w:color="auto" w:fill="auto"/>
            <w:vAlign w:val="center"/>
          </w:tcPr>
          <w:p w14:paraId="074710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提供胸痛诊疗流程图，通过自动数据的采集和医护人员数据的操作记录，点亮关键时间节点，并提供关键时间节点的倒计时。</w:t>
            </w:r>
          </w:p>
        </w:tc>
      </w:tr>
      <w:tr w14:paraId="3179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D7C8E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435</w:t>
            </w:r>
          </w:p>
        </w:tc>
        <w:tc>
          <w:tcPr>
            <w:tcW w:w="639" w:type="dxa"/>
            <w:vMerge w:val="continue"/>
            <w:shd w:val="clear" w:color="auto" w:fill="auto"/>
            <w:vAlign w:val="center"/>
          </w:tcPr>
          <w:p w14:paraId="3C27B31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FF27C3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B72365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75D5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胸痛患者列表，包括姓名，年龄，性别，预检时间，killip分级，血压，呼吸，心率，床位号，提示栏；</w:t>
            </w:r>
          </w:p>
        </w:tc>
      </w:tr>
      <w:tr w14:paraId="60C0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1A0C6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436</w:t>
            </w:r>
          </w:p>
        </w:tc>
        <w:tc>
          <w:tcPr>
            <w:tcW w:w="639" w:type="dxa"/>
            <w:vMerge w:val="continue"/>
            <w:shd w:val="clear" w:color="auto" w:fill="auto"/>
            <w:vAlign w:val="center"/>
          </w:tcPr>
          <w:p w14:paraId="2533BDC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E5C4A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EE6C88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FF11A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支持诊疗路径在流程图中差色显示；</w:t>
            </w:r>
          </w:p>
        </w:tc>
      </w:tr>
      <w:tr w14:paraId="4157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DB2D2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437</w:t>
            </w:r>
          </w:p>
        </w:tc>
        <w:tc>
          <w:tcPr>
            <w:tcW w:w="639" w:type="dxa"/>
            <w:vMerge w:val="continue"/>
            <w:shd w:val="clear" w:color="auto" w:fill="auto"/>
            <w:vAlign w:val="center"/>
          </w:tcPr>
          <w:p w14:paraId="19C4463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AA71B4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0DA2F1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4D1562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支持关键质控节点的倒计时、完成用时及标准质控时间的实时显示；</w:t>
            </w:r>
          </w:p>
        </w:tc>
      </w:tr>
      <w:tr w14:paraId="7DBF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0AB92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438</w:t>
            </w:r>
          </w:p>
        </w:tc>
        <w:tc>
          <w:tcPr>
            <w:tcW w:w="639" w:type="dxa"/>
            <w:vMerge w:val="continue"/>
            <w:shd w:val="clear" w:color="auto" w:fill="auto"/>
            <w:vAlign w:val="center"/>
          </w:tcPr>
          <w:p w14:paraId="10F2338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102CB1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9BC6CF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83369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支持在线查看心电图；</w:t>
            </w:r>
          </w:p>
        </w:tc>
      </w:tr>
      <w:tr w14:paraId="37C7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3A200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439</w:t>
            </w:r>
          </w:p>
        </w:tc>
        <w:tc>
          <w:tcPr>
            <w:tcW w:w="639" w:type="dxa"/>
            <w:vMerge w:val="continue"/>
            <w:shd w:val="clear" w:color="auto" w:fill="auto"/>
            <w:vAlign w:val="center"/>
          </w:tcPr>
          <w:p w14:paraId="59AA8C3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B8162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C59EA8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B417AA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支持GRACE评分查看；</w:t>
            </w:r>
          </w:p>
        </w:tc>
      </w:tr>
      <w:tr w14:paraId="1175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856F0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440</w:t>
            </w:r>
          </w:p>
        </w:tc>
        <w:tc>
          <w:tcPr>
            <w:tcW w:w="639" w:type="dxa"/>
            <w:vMerge w:val="continue"/>
            <w:shd w:val="clear" w:color="auto" w:fill="auto"/>
            <w:vAlign w:val="center"/>
          </w:tcPr>
          <w:p w14:paraId="394CE85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D708F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BEE4EB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605C8B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支持肌酐蛋白化验数据显示，以及超限预警；</w:t>
            </w:r>
          </w:p>
        </w:tc>
      </w:tr>
      <w:tr w14:paraId="41D6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CB20F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441</w:t>
            </w:r>
          </w:p>
        </w:tc>
        <w:tc>
          <w:tcPr>
            <w:tcW w:w="639" w:type="dxa"/>
            <w:vMerge w:val="continue"/>
            <w:shd w:val="clear" w:color="auto" w:fill="auto"/>
            <w:vAlign w:val="center"/>
          </w:tcPr>
          <w:p w14:paraId="0487B83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5934E6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D7A1B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FAB8C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支持浏览各个节点诊疗时间和内容的记录；</w:t>
            </w:r>
          </w:p>
        </w:tc>
      </w:tr>
      <w:tr w14:paraId="23D3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F942B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442</w:t>
            </w:r>
          </w:p>
        </w:tc>
        <w:tc>
          <w:tcPr>
            <w:tcW w:w="639" w:type="dxa"/>
            <w:vMerge w:val="continue"/>
            <w:shd w:val="clear" w:color="auto" w:fill="auto"/>
            <w:vAlign w:val="center"/>
          </w:tcPr>
          <w:p w14:paraId="468F06D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16CC85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6F15F6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65805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支持知情同意书的在线快速生成和打印；</w:t>
            </w:r>
          </w:p>
        </w:tc>
      </w:tr>
      <w:tr w14:paraId="32C0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D5CE3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443</w:t>
            </w:r>
          </w:p>
        </w:tc>
        <w:tc>
          <w:tcPr>
            <w:tcW w:w="639" w:type="dxa"/>
            <w:vMerge w:val="continue"/>
            <w:shd w:val="clear" w:color="auto" w:fill="auto"/>
            <w:vAlign w:val="center"/>
          </w:tcPr>
          <w:p w14:paraId="3A17301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AD4C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24C436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3E9E2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支持导管室激活完成，患者列表中提示；</w:t>
            </w:r>
          </w:p>
        </w:tc>
      </w:tr>
      <w:tr w14:paraId="476A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09764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444</w:t>
            </w:r>
          </w:p>
        </w:tc>
        <w:tc>
          <w:tcPr>
            <w:tcW w:w="639" w:type="dxa"/>
            <w:vMerge w:val="continue"/>
            <w:shd w:val="clear" w:color="auto" w:fill="auto"/>
            <w:vAlign w:val="center"/>
          </w:tcPr>
          <w:p w14:paraId="3D13586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9197D8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D735F6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5D7B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支持医疗路径的重新选择，流程图记录历史路径；</w:t>
            </w:r>
          </w:p>
        </w:tc>
      </w:tr>
      <w:tr w14:paraId="70F3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56602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445</w:t>
            </w:r>
          </w:p>
        </w:tc>
        <w:tc>
          <w:tcPr>
            <w:tcW w:w="639" w:type="dxa"/>
            <w:vMerge w:val="continue"/>
            <w:shd w:val="clear" w:color="auto" w:fill="auto"/>
            <w:vAlign w:val="center"/>
          </w:tcPr>
          <w:p w14:paraId="502F3B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A9505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EE3B47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E57D48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可直观显示路径总览，包括路径中所有的事件，执行情况和执行时间。</w:t>
            </w:r>
          </w:p>
        </w:tc>
      </w:tr>
      <w:tr w14:paraId="2E4E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44BB8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446</w:t>
            </w:r>
          </w:p>
        </w:tc>
        <w:tc>
          <w:tcPr>
            <w:tcW w:w="639" w:type="dxa"/>
            <w:vMerge w:val="continue"/>
            <w:shd w:val="clear" w:color="auto" w:fill="auto"/>
            <w:vAlign w:val="center"/>
          </w:tcPr>
          <w:p w14:paraId="7DC7339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CC3D77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07337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胸痛移动工作站</w:t>
            </w:r>
          </w:p>
        </w:tc>
        <w:tc>
          <w:tcPr>
            <w:tcW w:w="6555" w:type="dxa"/>
            <w:shd w:val="clear" w:color="auto" w:fill="auto"/>
            <w:vAlign w:val="center"/>
          </w:tcPr>
          <w:p w14:paraId="12BF1D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胸痛患者列表：包括姓名，年龄，性别，预检时间，住院编号，killip分级，血压，呼吸，心率，床位号，提示栏；</w:t>
            </w:r>
          </w:p>
        </w:tc>
      </w:tr>
      <w:tr w14:paraId="084E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F886D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447</w:t>
            </w:r>
          </w:p>
        </w:tc>
        <w:tc>
          <w:tcPr>
            <w:tcW w:w="639" w:type="dxa"/>
            <w:vMerge w:val="continue"/>
            <w:shd w:val="clear" w:color="auto" w:fill="auto"/>
            <w:vAlign w:val="center"/>
          </w:tcPr>
          <w:p w14:paraId="2FD8E60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5E8CDE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2D750D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F49555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胸痛患者列表：支持历史胸痛患者的检索，当前列表显示近24小时内患者；</w:t>
            </w:r>
          </w:p>
        </w:tc>
      </w:tr>
      <w:tr w14:paraId="2C87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059A9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448</w:t>
            </w:r>
          </w:p>
        </w:tc>
        <w:tc>
          <w:tcPr>
            <w:tcW w:w="639" w:type="dxa"/>
            <w:vMerge w:val="continue"/>
            <w:shd w:val="clear" w:color="auto" w:fill="auto"/>
            <w:vAlign w:val="center"/>
          </w:tcPr>
          <w:p w14:paraId="016EC00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B4947B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875D56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A3E98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胸痛患者列表：包含患者关键质控节点步骤流转提示；</w:t>
            </w:r>
          </w:p>
        </w:tc>
      </w:tr>
      <w:tr w14:paraId="0541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32A0B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449</w:t>
            </w:r>
          </w:p>
        </w:tc>
        <w:tc>
          <w:tcPr>
            <w:tcW w:w="639" w:type="dxa"/>
            <w:vMerge w:val="continue"/>
            <w:shd w:val="clear" w:color="auto" w:fill="auto"/>
            <w:vAlign w:val="center"/>
          </w:tcPr>
          <w:p w14:paraId="66E8243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827D00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5713E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DA49C1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急诊科：患者情况和质控节点记录，分组显示（包含：院前情况，生命体征，药物检验，诊断情况）</w:t>
            </w:r>
          </w:p>
        </w:tc>
      </w:tr>
      <w:tr w14:paraId="4F69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24E36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w:t>
            </w:r>
          </w:p>
        </w:tc>
        <w:tc>
          <w:tcPr>
            <w:tcW w:w="639" w:type="dxa"/>
            <w:vMerge w:val="continue"/>
            <w:shd w:val="clear" w:color="auto" w:fill="auto"/>
            <w:vAlign w:val="center"/>
          </w:tcPr>
          <w:p w14:paraId="31B99F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B8A29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FC731F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D82AA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心内科：患者情况和质控节点记录，分组显示（包含：导管室，转归院内，出院情况）；</w:t>
            </w:r>
          </w:p>
        </w:tc>
      </w:tr>
      <w:tr w14:paraId="7023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81A9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451</w:t>
            </w:r>
          </w:p>
        </w:tc>
        <w:tc>
          <w:tcPr>
            <w:tcW w:w="639" w:type="dxa"/>
            <w:vMerge w:val="continue"/>
            <w:shd w:val="clear" w:color="auto" w:fill="auto"/>
            <w:vAlign w:val="center"/>
          </w:tcPr>
          <w:p w14:paraId="4C0D677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CF77A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C4FE56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A43D1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介入组：患者情况和质控节点记录，分组显示（包含：导管室，手术节点，手术情况）；</w:t>
            </w:r>
          </w:p>
        </w:tc>
      </w:tr>
      <w:tr w14:paraId="00AA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751CA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452</w:t>
            </w:r>
          </w:p>
        </w:tc>
        <w:tc>
          <w:tcPr>
            <w:tcW w:w="639" w:type="dxa"/>
            <w:vMerge w:val="continue"/>
            <w:shd w:val="clear" w:color="auto" w:fill="auto"/>
            <w:vAlign w:val="center"/>
          </w:tcPr>
          <w:p w14:paraId="3CBAC8B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7D816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39B9D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FD72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心电图浏览：支持心电图在线浏览；</w:t>
            </w:r>
          </w:p>
        </w:tc>
      </w:tr>
      <w:tr w14:paraId="5843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D00EA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453</w:t>
            </w:r>
          </w:p>
        </w:tc>
        <w:tc>
          <w:tcPr>
            <w:tcW w:w="639" w:type="dxa"/>
            <w:vMerge w:val="continue"/>
            <w:shd w:val="clear" w:color="auto" w:fill="auto"/>
            <w:vAlign w:val="center"/>
          </w:tcPr>
          <w:p w14:paraId="4DBB603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10181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62D695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E2C829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评分评估：支持GRACE评分（高危，中危，低危）；</w:t>
            </w:r>
          </w:p>
        </w:tc>
      </w:tr>
      <w:tr w14:paraId="6A5C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54038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454</w:t>
            </w:r>
          </w:p>
        </w:tc>
        <w:tc>
          <w:tcPr>
            <w:tcW w:w="639" w:type="dxa"/>
            <w:vMerge w:val="continue"/>
            <w:shd w:val="clear" w:color="auto" w:fill="auto"/>
            <w:vAlign w:val="center"/>
          </w:tcPr>
          <w:p w14:paraId="400C3DB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A3F923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92B1BC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6E6A3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质控节点提醒：提供流程下一个质控节点倒计时；</w:t>
            </w:r>
          </w:p>
        </w:tc>
      </w:tr>
      <w:tr w14:paraId="0ECF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C1A9F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455</w:t>
            </w:r>
          </w:p>
        </w:tc>
        <w:tc>
          <w:tcPr>
            <w:tcW w:w="639" w:type="dxa"/>
            <w:vMerge w:val="continue"/>
            <w:shd w:val="clear" w:color="auto" w:fill="auto"/>
            <w:vAlign w:val="center"/>
          </w:tcPr>
          <w:p w14:paraId="649FB8A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0C01E0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39E45D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4972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质控节点提醒：提供流程路径质控节点用时及质控；</w:t>
            </w:r>
          </w:p>
        </w:tc>
      </w:tr>
      <w:tr w14:paraId="390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B5FD2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456</w:t>
            </w:r>
          </w:p>
        </w:tc>
        <w:tc>
          <w:tcPr>
            <w:tcW w:w="639" w:type="dxa"/>
            <w:vMerge w:val="continue"/>
            <w:shd w:val="clear" w:color="auto" w:fill="auto"/>
            <w:vAlign w:val="center"/>
          </w:tcPr>
          <w:p w14:paraId="31C0DF5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59E5D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63FD3E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D1A07F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质控节点提醒：支持快速通知导管室，通过拨打已配置值班电话；</w:t>
            </w:r>
          </w:p>
        </w:tc>
      </w:tr>
      <w:tr w14:paraId="501B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3B06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457</w:t>
            </w:r>
          </w:p>
        </w:tc>
        <w:tc>
          <w:tcPr>
            <w:tcW w:w="639" w:type="dxa"/>
            <w:vMerge w:val="continue"/>
            <w:shd w:val="clear" w:color="auto" w:fill="auto"/>
            <w:vAlign w:val="center"/>
          </w:tcPr>
          <w:p w14:paraId="03F3893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F6608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4C6AC2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0E87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质控节点提醒：支持导管室激活完成，在患者列表和患者顶部显示页中提示；</w:t>
            </w:r>
          </w:p>
        </w:tc>
      </w:tr>
      <w:tr w14:paraId="1BC9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42DEE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458</w:t>
            </w:r>
          </w:p>
        </w:tc>
        <w:tc>
          <w:tcPr>
            <w:tcW w:w="639" w:type="dxa"/>
            <w:vMerge w:val="continue"/>
            <w:shd w:val="clear" w:color="auto" w:fill="auto"/>
            <w:vAlign w:val="center"/>
          </w:tcPr>
          <w:p w14:paraId="6D6A95E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6D9D65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DEC405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25B4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质控节点提醒：支持以点击方式快速记录当前时间点，节点前后顺序控制，支持及时变更；</w:t>
            </w:r>
          </w:p>
        </w:tc>
      </w:tr>
      <w:tr w14:paraId="167F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4C9F6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459</w:t>
            </w:r>
          </w:p>
        </w:tc>
        <w:tc>
          <w:tcPr>
            <w:tcW w:w="639" w:type="dxa"/>
            <w:vMerge w:val="continue"/>
            <w:shd w:val="clear" w:color="auto" w:fill="auto"/>
            <w:vAlign w:val="center"/>
          </w:tcPr>
          <w:p w14:paraId="64145CE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55BDC2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8FDA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4A37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质控节点提醒：对时限类提醒和建议类提醒有清晰的图标或颜色显示。</w:t>
            </w:r>
          </w:p>
        </w:tc>
      </w:tr>
      <w:tr w14:paraId="389C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D2E74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w:t>
            </w:r>
          </w:p>
        </w:tc>
        <w:tc>
          <w:tcPr>
            <w:tcW w:w="639" w:type="dxa"/>
            <w:vMerge w:val="continue"/>
            <w:shd w:val="clear" w:color="auto" w:fill="auto"/>
            <w:vAlign w:val="center"/>
          </w:tcPr>
          <w:p w14:paraId="06BCE15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65583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DE3689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22DD8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会诊记录：支持在线发起会诊，快速选择科室和医生快速拨打科室值班电话或医生联系电话；</w:t>
            </w:r>
          </w:p>
        </w:tc>
      </w:tr>
      <w:tr w14:paraId="46F2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8BD49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461</w:t>
            </w:r>
          </w:p>
        </w:tc>
        <w:tc>
          <w:tcPr>
            <w:tcW w:w="639" w:type="dxa"/>
            <w:vMerge w:val="continue"/>
            <w:shd w:val="clear" w:color="auto" w:fill="auto"/>
            <w:vAlign w:val="center"/>
          </w:tcPr>
          <w:p w14:paraId="0891351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1D7E88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58461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7FBD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会诊记录：支持会诊患者病历模板</w:t>
            </w:r>
            <w:r>
              <w:rPr>
                <w:rFonts w:hint="eastAsia" w:ascii="宋体" w:hAnsi="宋体" w:cs="宋体"/>
                <w:i w:val="0"/>
                <w:iCs w:val="0"/>
                <w:color w:val="auto"/>
                <w:kern w:val="0"/>
                <w:sz w:val="22"/>
                <w:szCs w:val="22"/>
                <w:highlight w:val="none"/>
                <w:u w:val="none"/>
                <w:lang w:val="en-US" w:eastAsia="zh-CN" w:bidi="ar"/>
              </w:rPr>
              <w:t>化</w:t>
            </w:r>
            <w:r>
              <w:rPr>
                <w:rFonts w:hint="eastAsia" w:ascii="宋体" w:hAnsi="宋体" w:eastAsia="宋体" w:cs="宋体"/>
                <w:i w:val="0"/>
                <w:iCs w:val="0"/>
                <w:color w:val="auto"/>
                <w:kern w:val="0"/>
                <w:sz w:val="22"/>
                <w:szCs w:val="22"/>
                <w:highlight w:val="none"/>
                <w:u w:val="none"/>
                <w:lang w:val="en-US" w:eastAsia="zh-CN" w:bidi="ar"/>
              </w:rPr>
              <w:t>，快速选择模板，以及在线编辑模板；</w:t>
            </w:r>
          </w:p>
        </w:tc>
      </w:tr>
      <w:tr w14:paraId="1A7C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9DC73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462</w:t>
            </w:r>
          </w:p>
        </w:tc>
        <w:tc>
          <w:tcPr>
            <w:tcW w:w="639" w:type="dxa"/>
            <w:vMerge w:val="continue"/>
            <w:shd w:val="clear" w:color="auto" w:fill="auto"/>
            <w:vAlign w:val="center"/>
          </w:tcPr>
          <w:p w14:paraId="11F2DE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D67C10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AB634F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BECCCC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会诊记录：支持会诊被邀请者会诊邀请提示，情况了解，倒计时紧急度显示；</w:t>
            </w:r>
          </w:p>
        </w:tc>
      </w:tr>
      <w:tr w14:paraId="0B63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9B600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463</w:t>
            </w:r>
          </w:p>
        </w:tc>
        <w:tc>
          <w:tcPr>
            <w:tcW w:w="639" w:type="dxa"/>
            <w:vMerge w:val="continue"/>
            <w:shd w:val="clear" w:color="auto" w:fill="auto"/>
            <w:vAlign w:val="center"/>
          </w:tcPr>
          <w:p w14:paraId="244314B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0464B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1A2570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624256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会诊记录：支持会诊快速签到，记录被邀请者的到场时间；</w:t>
            </w:r>
          </w:p>
        </w:tc>
      </w:tr>
      <w:tr w14:paraId="0109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F282E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464</w:t>
            </w:r>
          </w:p>
        </w:tc>
        <w:tc>
          <w:tcPr>
            <w:tcW w:w="639" w:type="dxa"/>
            <w:vMerge w:val="continue"/>
            <w:shd w:val="clear" w:color="auto" w:fill="auto"/>
            <w:vAlign w:val="center"/>
          </w:tcPr>
          <w:p w14:paraId="7D0043E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CF50AB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A0405D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F184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会诊记录：支持会诊在线回复，可以通过拍照存档；</w:t>
            </w:r>
          </w:p>
        </w:tc>
      </w:tr>
      <w:tr w14:paraId="5153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BC390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465</w:t>
            </w:r>
          </w:p>
        </w:tc>
        <w:tc>
          <w:tcPr>
            <w:tcW w:w="639" w:type="dxa"/>
            <w:vMerge w:val="continue"/>
            <w:shd w:val="clear" w:color="auto" w:fill="auto"/>
            <w:vAlign w:val="center"/>
          </w:tcPr>
          <w:p w14:paraId="01413B1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D465D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9F3EC9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A4EA7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★支持知情同意谈话录音，包括患者入院通知家属、患者确诊通知家属、和患者谈话、病情变化通知家属。</w:t>
            </w:r>
          </w:p>
        </w:tc>
      </w:tr>
      <w:tr w14:paraId="65DC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8D491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466</w:t>
            </w:r>
          </w:p>
        </w:tc>
        <w:tc>
          <w:tcPr>
            <w:tcW w:w="639" w:type="dxa"/>
            <w:vMerge w:val="continue"/>
            <w:shd w:val="clear" w:color="auto" w:fill="auto"/>
            <w:vAlign w:val="center"/>
          </w:tcPr>
          <w:p w14:paraId="62E234A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E195E2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6D8F2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患者综合档案信息管理</w:t>
            </w:r>
          </w:p>
        </w:tc>
        <w:tc>
          <w:tcPr>
            <w:tcW w:w="6555" w:type="dxa"/>
            <w:shd w:val="clear" w:color="auto" w:fill="auto"/>
            <w:vAlign w:val="center"/>
          </w:tcPr>
          <w:p w14:paraId="2D08D5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胸痛急救列表可查看最新的患者信息，包括患者姓名、性别、年龄、危重情况。</w:t>
            </w:r>
          </w:p>
        </w:tc>
      </w:tr>
      <w:tr w14:paraId="4283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8E58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467</w:t>
            </w:r>
          </w:p>
        </w:tc>
        <w:tc>
          <w:tcPr>
            <w:tcW w:w="639" w:type="dxa"/>
            <w:vMerge w:val="continue"/>
            <w:shd w:val="clear" w:color="auto" w:fill="auto"/>
            <w:vAlign w:val="center"/>
          </w:tcPr>
          <w:p w14:paraId="4CE4730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6ED190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78F9BF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56D0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支持通过患者病种、姓名等信息快速定位患者。</w:t>
            </w:r>
          </w:p>
        </w:tc>
      </w:tr>
      <w:tr w14:paraId="6BD0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4C4DA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468</w:t>
            </w:r>
          </w:p>
        </w:tc>
        <w:tc>
          <w:tcPr>
            <w:tcW w:w="639" w:type="dxa"/>
            <w:vMerge w:val="continue"/>
            <w:shd w:val="clear" w:color="auto" w:fill="auto"/>
            <w:vAlign w:val="center"/>
          </w:tcPr>
          <w:p w14:paraId="2E0EE7D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59233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A8051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7CCE36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支持展示胸痛急救过程实时时间节点实现系统生成一份诊疗流程时间轴。</w:t>
            </w:r>
          </w:p>
        </w:tc>
      </w:tr>
      <w:tr w14:paraId="2CAD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3C4E3E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469</w:t>
            </w:r>
          </w:p>
        </w:tc>
        <w:tc>
          <w:tcPr>
            <w:tcW w:w="639" w:type="dxa"/>
            <w:vMerge w:val="continue"/>
            <w:shd w:val="clear" w:color="auto" w:fill="auto"/>
            <w:vAlign w:val="center"/>
          </w:tcPr>
          <w:p w14:paraId="566A0D4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CC22F4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4807E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BCBA8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对患者的病情、体征、检验检查等方式，对患者进行初步诊断，初步诊断分为STEMI、NSTEMI、UA、主动脉夹层、肺动脉栓塞、非ACS心源性胸痛、其它非心源性胸痛等内容。针对不同的初步诊断，有不同的治疗方案。</w:t>
            </w:r>
          </w:p>
        </w:tc>
      </w:tr>
      <w:tr w14:paraId="6B81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230588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470</w:t>
            </w:r>
          </w:p>
        </w:tc>
        <w:tc>
          <w:tcPr>
            <w:tcW w:w="639" w:type="dxa"/>
            <w:vMerge w:val="continue"/>
            <w:shd w:val="clear" w:color="auto" w:fill="auto"/>
            <w:vAlign w:val="center"/>
          </w:tcPr>
          <w:p w14:paraId="62F710E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88ADB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75A722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E96910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STEMI患者支持记录患者发病时间、发病地点、初步诊断时间、心内科接诊时间等，记录首次抗血小板给药时间、药品、剂量等情况，是否有使用抗凝药，以及其他辅助信息，溶栓评估，溶栓适应症、禁忌症等情况。再灌注措施，包含溶栓、PCI、造影等治疗措施。</w:t>
            </w:r>
          </w:p>
        </w:tc>
      </w:tr>
      <w:tr w14:paraId="40AF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2F088E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471</w:t>
            </w:r>
          </w:p>
        </w:tc>
        <w:tc>
          <w:tcPr>
            <w:tcW w:w="639" w:type="dxa"/>
            <w:vMerge w:val="continue"/>
            <w:shd w:val="clear" w:color="auto" w:fill="auto"/>
            <w:vAlign w:val="center"/>
          </w:tcPr>
          <w:p w14:paraId="5F3A27B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FD3BE5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44A5C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E870D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NSTEMI和UA患者支持记录患者发病时间、发病地点、初步诊断时间、心内科接诊时间，记录首次抗血小板给药时间、药品、剂量等情况，是否有使用抗凝药，以及其他辅助信息，首次危险分层，再次危险分层等信息。</w:t>
            </w:r>
          </w:p>
        </w:tc>
      </w:tr>
      <w:tr w14:paraId="57A4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F9010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472</w:t>
            </w:r>
          </w:p>
        </w:tc>
        <w:tc>
          <w:tcPr>
            <w:tcW w:w="639" w:type="dxa"/>
            <w:vMerge w:val="continue"/>
            <w:shd w:val="clear" w:color="auto" w:fill="auto"/>
            <w:vAlign w:val="center"/>
          </w:tcPr>
          <w:p w14:paraId="06E1381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9A5B6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364897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5F48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主动脉夹层患者支持记录患者发病时间、发病地点、初步诊断时间、心内科接诊时间，夹层类型（A型、B型），治疗方案（介入治疗、保守治疗、其他治疗方案等）等。</w:t>
            </w:r>
          </w:p>
        </w:tc>
      </w:tr>
      <w:tr w14:paraId="265D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F62CF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473</w:t>
            </w:r>
          </w:p>
        </w:tc>
        <w:tc>
          <w:tcPr>
            <w:tcW w:w="639" w:type="dxa"/>
            <w:vMerge w:val="continue"/>
            <w:shd w:val="clear" w:color="auto" w:fill="auto"/>
            <w:vAlign w:val="center"/>
          </w:tcPr>
          <w:p w14:paraId="3EF3B8D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DC719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F694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9C13D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肺动脉栓塞患者支持记录患者发病时间、发病地点、初步诊断时间、心内科接诊时间，肺动脉栓筛情况（高危、中危、低危），是否溶栓、溶栓评估等。</w:t>
            </w:r>
          </w:p>
        </w:tc>
      </w:tr>
      <w:tr w14:paraId="49B0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530D8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474</w:t>
            </w:r>
          </w:p>
        </w:tc>
        <w:tc>
          <w:tcPr>
            <w:tcW w:w="639" w:type="dxa"/>
            <w:vMerge w:val="continue"/>
            <w:shd w:val="clear" w:color="auto" w:fill="auto"/>
            <w:vAlign w:val="center"/>
          </w:tcPr>
          <w:p w14:paraId="4A263E9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DB76FD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36807F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9F226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非ACS心源性胸痛患者支持记录非ACS心源性胸痛的症状，比如 心律失常、冠心病、心衰等情况，此类胸痛患者的治疗方案、去向等信息 。</w:t>
            </w:r>
          </w:p>
        </w:tc>
      </w:tr>
      <w:tr w14:paraId="5AF9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09DD0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475</w:t>
            </w:r>
          </w:p>
        </w:tc>
        <w:tc>
          <w:tcPr>
            <w:tcW w:w="639" w:type="dxa"/>
            <w:vMerge w:val="continue"/>
            <w:shd w:val="clear" w:color="auto" w:fill="auto"/>
            <w:vAlign w:val="center"/>
          </w:tcPr>
          <w:p w14:paraId="5AC99E8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3FAE0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01B790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4A48F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支持胸痛诊疗评分，包括GCS评分、HEART评分、EDACS评分、grace评分、TIMI评分</w:t>
            </w:r>
          </w:p>
        </w:tc>
      </w:tr>
      <w:tr w14:paraId="24E4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47D55E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476</w:t>
            </w:r>
          </w:p>
        </w:tc>
        <w:tc>
          <w:tcPr>
            <w:tcW w:w="639" w:type="dxa"/>
            <w:vMerge w:val="continue"/>
            <w:shd w:val="clear" w:color="auto" w:fill="auto"/>
            <w:vAlign w:val="center"/>
          </w:tcPr>
          <w:p w14:paraId="22FFAB5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FC3E48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5B7572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2BC49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病情记录，可记录患者当前发病时间、发病地点等信息，可详细记录是否有高危情况，比如 持续性胸闷/胸痛、间断性胸闷/胸痛、胸痛症状已缓解、呼吸困难；无高危情况发生，可记录当前患者病情。</w:t>
            </w:r>
          </w:p>
        </w:tc>
      </w:tr>
      <w:tr w14:paraId="6055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453FAD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477</w:t>
            </w:r>
          </w:p>
        </w:tc>
        <w:tc>
          <w:tcPr>
            <w:tcW w:w="639" w:type="dxa"/>
            <w:vMerge w:val="continue"/>
            <w:shd w:val="clear" w:color="auto" w:fill="auto"/>
            <w:vAlign w:val="center"/>
          </w:tcPr>
          <w:p w14:paraId="175BE0A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9D63A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96993A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EFB9D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征记录可记录患者的意识、心率、呼吸、收缩压、舒张压、血氧饱和度、体温、肌钙蛋白抽血事件、报告时间、Killip分级以及cTnI、cTnT、Myo、CKMB、Cr检测结果、可多次记录不同时间、地点因胸痛所发生的并发症。</w:t>
            </w:r>
          </w:p>
        </w:tc>
      </w:tr>
      <w:tr w14:paraId="604B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91D58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478</w:t>
            </w:r>
          </w:p>
        </w:tc>
        <w:tc>
          <w:tcPr>
            <w:tcW w:w="639" w:type="dxa"/>
            <w:vMerge w:val="continue"/>
            <w:shd w:val="clear" w:color="auto" w:fill="auto"/>
            <w:vAlign w:val="center"/>
          </w:tcPr>
          <w:p w14:paraId="30846FD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F9A7E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F06D70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551E54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治疗记录，记录在急救过程中，</w:t>
            </w:r>
            <w:r>
              <w:rPr>
                <w:rFonts w:hint="eastAsia" w:ascii="宋体" w:hAnsi="宋体" w:cs="宋体"/>
                <w:i w:val="0"/>
                <w:iCs w:val="0"/>
                <w:color w:val="auto"/>
                <w:kern w:val="0"/>
                <w:sz w:val="22"/>
                <w:szCs w:val="22"/>
                <w:highlight w:val="none"/>
                <w:u w:val="none"/>
                <w:lang w:val="en-US" w:eastAsia="zh-CN" w:bidi="ar"/>
              </w:rPr>
              <w:t>给予的</w:t>
            </w:r>
            <w:r>
              <w:rPr>
                <w:rFonts w:hint="eastAsia" w:ascii="宋体" w:hAnsi="宋体" w:eastAsia="宋体" w:cs="宋体"/>
                <w:i w:val="0"/>
                <w:iCs w:val="0"/>
                <w:color w:val="auto"/>
                <w:kern w:val="0"/>
                <w:sz w:val="22"/>
                <w:szCs w:val="22"/>
                <w:highlight w:val="none"/>
                <w:u w:val="none"/>
                <w:lang w:val="en-US" w:eastAsia="zh-CN" w:bidi="ar"/>
              </w:rPr>
              <w:t>治疗措施，包括治疗措施，用药记录（抗凝药、抗血小板药），检验检查（X片、CT等）。</w:t>
            </w:r>
          </w:p>
        </w:tc>
      </w:tr>
      <w:tr w14:paraId="1126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5BC6A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479</w:t>
            </w:r>
          </w:p>
        </w:tc>
        <w:tc>
          <w:tcPr>
            <w:tcW w:w="639" w:type="dxa"/>
            <w:vMerge w:val="continue"/>
            <w:shd w:val="clear" w:color="auto" w:fill="auto"/>
            <w:vAlign w:val="center"/>
          </w:tcPr>
          <w:p w14:paraId="6C89BA5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77AA23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28C4E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72434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检查检查报告，对于接入检验设备，比如血气，支持检验数据报告的查看；对于院前心电图上传，院内医生书写心电图报告，实时查看心电图报告。</w:t>
            </w:r>
          </w:p>
        </w:tc>
      </w:tr>
      <w:tr w14:paraId="6957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0464BB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w:t>
            </w:r>
          </w:p>
        </w:tc>
        <w:tc>
          <w:tcPr>
            <w:tcW w:w="639" w:type="dxa"/>
            <w:vMerge w:val="continue"/>
            <w:shd w:val="clear" w:color="auto" w:fill="auto"/>
            <w:vAlign w:val="center"/>
          </w:tcPr>
          <w:p w14:paraId="72CF9B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532D8C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06B577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B8CDB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时间节点记录支持自动感应、手动快速点击记录。支持自动计算已执行过的时间节点的时间差值，定位耗时长的点位，优化医疗流程支持多种查看模式，已执行、未执行、全部等查看方式；支持 发病、呼叫、首份心电图、医生接诊、抗血小板给药等关键时间节点记录。</w:t>
            </w:r>
          </w:p>
        </w:tc>
      </w:tr>
      <w:tr w14:paraId="7A5C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361B6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481</w:t>
            </w:r>
          </w:p>
        </w:tc>
        <w:tc>
          <w:tcPr>
            <w:tcW w:w="639" w:type="dxa"/>
            <w:vMerge w:val="continue"/>
            <w:shd w:val="clear" w:color="auto" w:fill="auto"/>
            <w:vAlign w:val="center"/>
          </w:tcPr>
          <w:p w14:paraId="6817FA4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DBF1B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F9DA7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283BA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患者转归，支持不同的转归方式，记录患者出院诊断、住院天数、费用、出院带药等信息，支持转送医院，医院名称，转出时间、转出科室、接诊医生、接诊护士。</w:t>
            </w:r>
          </w:p>
        </w:tc>
      </w:tr>
      <w:tr w14:paraId="40BD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576" w:type="dxa"/>
            <w:shd w:val="clear" w:color="auto" w:fill="auto"/>
            <w:vAlign w:val="center"/>
          </w:tcPr>
          <w:p w14:paraId="0DF6D2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482</w:t>
            </w:r>
          </w:p>
        </w:tc>
        <w:tc>
          <w:tcPr>
            <w:tcW w:w="639" w:type="dxa"/>
            <w:vMerge w:val="continue"/>
            <w:shd w:val="clear" w:color="auto" w:fill="auto"/>
            <w:vAlign w:val="center"/>
          </w:tcPr>
          <w:p w14:paraId="4470ECA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902EB8B">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5C187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胸痛患者档案直报国家平台</w:t>
            </w:r>
          </w:p>
        </w:tc>
        <w:tc>
          <w:tcPr>
            <w:tcW w:w="6555" w:type="dxa"/>
            <w:shd w:val="clear" w:color="auto" w:fill="auto"/>
            <w:vAlign w:val="center"/>
          </w:tcPr>
          <w:p w14:paraId="06869ED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胸痛患者的档案通过人工或系统审核校验后自动上传至国家胸痛中心数据填报平台，完成胸痛中心认证标准所要求有效信息的准确录入，减轻了医护人员的工作量，同时避免了手工录入所带来的数据不对称性错误。</w:t>
            </w:r>
          </w:p>
        </w:tc>
      </w:tr>
      <w:tr w14:paraId="2AAA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E4A56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483</w:t>
            </w:r>
          </w:p>
        </w:tc>
        <w:tc>
          <w:tcPr>
            <w:tcW w:w="639" w:type="dxa"/>
            <w:vMerge w:val="continue"/>
            <w:shd w:val="clear" w:color="auto" w:fill="auto"/>
            <w:vAlign w:val="center"/>
          </w:tcPr>
          <w:p w14:paraId="40F89C7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C408B9">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073BF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胸痛消息通知管理</w:t>
            </w:r>
          </w:p>
        </w:tc>
        <w:tc>
          <w:tcPr>
            <w:tcW w:w="6555" w:type="dxa"/>
            <w:shd w:val="clear" w:color="auto" w:fill="auto"/>
            <w:vAlign w:val="center"/>
          </w:tcPr>
          <w:p w14:paraId="37A0AD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胸痛接诊告知：接诊后分诊系统判断患者为疑似胸痛患者时，直接发放手环，系统通知急诊科医生开检查单；支持钉钉和电话提醒。</w:t>
            </w:r>
          </w:p>
        </w:tc>
      </w:tr>
      <w:tr w14:paraId="11A8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BE76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484</w:t>
            </w:r>
          </w:p>
        </w:tc>
        <w:tc>
          <w:tcPr>
            <w:tcW w:w="639" w:type="dxa"/>
            <w:vMerge w:val="continue"/>
            <w:shd w:val="clear" w:color="auto" w:fill="auto"/>
            <w:vAlign w:val="center"/>
          </w:tcPr>
          <w:p w14:paraId="304B162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49B394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73AD89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4593EB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医嘱开立完成告知：有检验医嘱，系统通知护士对患者进行抽血操作；支持钉钉和电话提醒。</w:t>
            </w:r>
          </w:p>
        </w:tc>
      </w:tr>
      <w:tr w14:paraId="501F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B19DB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485</w:t>
            </w:r>
          </w:p>
        </w:tc>
        <w:tc>
          <w:tcPr>
            <w:tcW w:w="639" w:type="dxa"/>
            <w:vMerge w:val="continue"/>
            <w:shd w:val="clear" w:color="auto" w:fill="auto"/>
            <w:vAlign w:val="center"/>
          </w:tcPr>
          <w:p w14:paraId="1E90E0F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03CC59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A74841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2B342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医嘱开立完成告知：有检验医嘱，系统通知检验科医生有检验需求，请准备；支持钉钉和电话提醒。</w:t>
            </w:r>
          </w:p>
        </w:tc>
      </w:tr>
      <w:tr w14:paraId="1A09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702E8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486</w:t>
            </w:r>
          </w:p>
        </w:tc>
        <w:tc>
          <w:tcPr>
            <w:tcW w:w="639" w:type="dxa"/>
            <w:vMerge w:val="continue"/>
            <w:shd w:val="clear" w:color="auto" w:fill="auto"/>
            <w:vAlign w:val="center"/>
          </w:tcPr>
          <w:p w14:paraId="738B53D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9F48F9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2DBADE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79DC6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医嘱开立完成告知：有心电图检查医嘱，系统通知心电室医生有检查要求请准备；支持钉钉和电话提醒。</w:t>
            </w:r>
          </w:p>
        </w:tc>
      </w:tr>
      <w:tr w14:paraId="6FA7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EBC0C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487</w:t>
            </w:r>
          </w:p>
        </w:tc>
        <w:tc>
          <w:tcPr>
            <w:tcW w:w="639" w:type="dxa"/>
            <w:vMerge w:val="continue"/>
            <w:shd w:val="clear" w:color="auto" w:fill="auto"/>
            <w:vAlign w:val="center"/>
          </w:tcPr>
          <w:p w14:paraId="3C50FC2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1896D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70ECD0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099CC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心电图完成告知：心电结果推送 心电数据出来后，系统自动读取并实时通知到急诊科医生；支持钉钉和电话提醒。且支持手工结果录入。</w:t>
            </w:r>
          </w:p>
        </w:tc>
      </w:tr>
      <w:tr w14:paraId="42E1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221D3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488</w:t>
            </w:r>
          </w:p>
        </w:tc>
        <w:tc>
          <w:tcPr>
            <w:tcW w:w="639" w:type="dxa"/>
            <w:vMerge w:val="continue"/>
            <w:shd w:val="clear" w:color="auto" w:fill="auto"/>
            <w:vAlign w:val="center"/>
          </w:tcPr>
          <w:p w14:paraId="74A6EFC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CF583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27CAA1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F0A4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★肌钙蛋白结果告知：肌钙蛋白数据出来后，系统自动读取并实时通知到急诊科医生；支持钉钉和电话提醒。且支持手工结果录入。</w:t>
            </w:r>
          </w:p>
        </w:tc>
      </w:tr>
      <w:tr w14:paraId="775D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CEF18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489</w:t>
            </w:r>
          </w:p>
        </w:tc>
        <w:tc>
          <w:tcPr>
            <w:tcW w:w="639" w:type="dxa"/>
            <w:vMerge w:val="continue"/>
            <w:shd w:val="clear" w:color="auto" w:fill="auto"/>
            <w:vAlign w:val="center"/>
          </w:tcPr>
          <w:p w14:paraId="282F456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7D119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6C19EB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2F21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初步诊断告知：急诊科医生根据检查结果进行初步诊断，确定为胸痛患者之后，系统将患者信息通知到心内科医生；支持钉钉和电话提醒。</w:t>
            </w:r>
          </w:p>
        </w:tc>
      </w:tr>
      <w:tr w14:paraId="784A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79069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490</w:t>
            </w:r>
          </w:p>
        </w:tc>
        <w:tc>
          <w:tcPr>
            <w:tcW w:w="639" w:type="dxa"/>
            <w:vMerge w:val="continue"/>
            <w:shd w:val="clear" w:color="auto" w:fill="auto"/>
            <w:vAlign w:val="center"/>
          </w:tcPr>
          <w:p w14:paraId="4400872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3D402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28979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0017E4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导管室激活告知：心内科医生确认患者符合手术条件并确定进行手术时，系统自动向组员通知患者信息与手术时间；支持钉钉和电话提醒。</w:t>
            </w:r>
          </w:p>
        </w:tc>
      </w:tr>
      <w:tr w14:paraId="5E04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90B06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491</w:t>
            </w:r>
          </w:p>
        </w:tc>
        <w:tc>
          <w:tcPr>
            <w:tcW w:w="639" w:type="dxa"/>
            <w:vMerge w:val="continue"/>
            <w:shd w:val="clear" w:color="auto" w:fill="auto"/>
            <w:vAlign w:val="center"/>
          </w:tcPr>
          <w:p w14:paraId="3A6AFE9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02C46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4DDCE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胸痛重点指标超时提醒管理</w:t>
            </w:r>
          </w:p>
        </w:tc>
        <w:tc>
          <w:tcPr>
            <w:tcW w:w="6555" w:type="dxa"/>
            <w:shd w:val="clear" w:color="auto" w:fill="auto"/>
            <w:vAlign w:val="center"/>
          </w:tcPr>
          <w:p w14:paraId="1BE9A3A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心电检查超时提醒：检查医嘱下达后5分钟内患者未进行心电检查，系统自动向胸痛护士发送提醒，时间可设置；支持钉钉和电话提醒。</w:t>
            </w:r>
          </w:p>
        </w:tc>
      </w:tr>
      <w:tr w14:paraId="0D9D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447EA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492</w:t>
            </w:r>
          </w:p>
        </w:tc>
        <w:tc>
          <w:tcPr>
            <w:tcW w:w="639" w:type="dxa"/>
            <w:vMerge w:val="continue"/>
            <w:shd w:val="clear" w:color="auto" w:fill="auto"/>
            <w:vAlign w:val="center"/>
          </w:tcPr>
          <w:p w14:paraId="6F5BD7C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8876A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F41F0A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053D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心电检查结果超时提醒：患者</w:t>
            </w:r>
            <w:r>
              <w:rPr>
                <w:rFonts w:hint="eastAsia" w:ascii="宋体" w:hAnsi="宋体" w:cs="宋体"/>
                <w:i w:val="0"/>
                <w:iCs w:val="0"/>
                <w:color w:val="auto"/>
                <w:kern w:val="0"/>
                <w:sz w:val="22"/>
                <w:szCs w:val="22"/>
                <w:highlight w:val="none"/>
                <w:u w:val="none"/>
                <w:lang w:val="en-US" w:eastAsia="zh-CN" w:bidi="ar"/>
              </w:rPr>
              <w:t>戴</w:t>
            </w:r>
            <w:r>
              <w:rPr>
                <w:rFonts w:hint="eastAsia" w:ascii="宋体" w:hAnsi="宋体" w:eastAsia="宋体" w:cs="宋体"/>
                <w:i w:val="0"/>
                <w:iCs w:val="0"/>
                <w:color w:val="auto"/>
                <w:kern w:val="0"/>
                <w:sz w:val="22"/>
                <w:szCs w:val="22"/>
                <w:highlight w:val="none"/>
                <w:u w:val="none"/>
                <w:lang w:val="en-US" w:eastAsia="zh-CN" w:bidi="ar"/>
              </w:rPr>
              <w:t>上手环到首份心电图报告时间超过10分钟，系统自动向心电室医生发送提醒，时间可设置；支持钉钉和电话提醒。</w:t>
            </w:r>
          </w:p>
        </w:tc>
      </w:tr>
      <w:tr w14:paraId="7A2B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888F7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493</w:t>
            </w:r>
          </w:p>
        </w:tc>
        <w:tc>
          <w:tcPr>
            <w:tcW w:w="639" w:type="dxa"/>
            <w:vMerge w:val="continue"/>
            <w:shd w:val="clear" w:color="auto" w:fill="auto"/>
            <w:vAlign w:val="center"/>
          </w:tcPr>
          <w:p w14:paraId="38B9ACB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A886F3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50F7C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83C031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肌钙蛋白结果超时提醒:患者</w:t>
            </w:r>
            <w:r>
              <w:rPr>
                <w:rFonts w:hint="eastAsia" w:ascii="宋体" w:hAnsi="宋体" w:cs="宋体"/>
                <w:i w:val="0"/>
                <w:iCs w:val="0"/>
                <w:color w:val="auto"/>
                <w:kern w:val="0"/>
                <w:sz w:val="22"/>
                <w:szCs w:val="22"/>
                <w:highlight w:val="none"/>
                <w:u w:val="none"/>
                <w:lang w:val="en-US" w:eastAsia="zh-CN" w:bidi="ar"/>
              </w:rPr>
              <w:t>戴</w:t>
            </w:r>
            <w:r>
              <w:rPr>
                <w:rFonts w:hint="eastAsia" w:ascii="宋体" w:hAnsi="宋体" w:eastAsia="宋体" w:cs="宋体"/>
                <w:i w:val="0"/>
                <w:iCs w:val="0"/>
                <w:color w:val="auto"/>
                <w:kern w:val="0"/>
                <w:sz w:val="22"/>
                <w:szCs w:val="22"/>
                <w:highlight w:val="none"/>
                <w:u w:val="none"/>
                <w:lang w:val="en-US" w:eastAsia="zh-CN" w:bidi="ar"/>
              </w:rPr>
              <w:t>上手环到肌钙蛋白报告时间超过20分钟，系统自动向心电室医生发送提醒，时间可设置；支持钉钉和电话提醒。</w:t>
            </w:r>
          </w:p>
        </w:tc>
      </w:tr>
      <w:tr w14:paraId="5CD5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3FA70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494</w:t>
            </w:r>
          </w:p>
        </w:tc>
        <w:tc>
          <w:tcPr>
            <w:tcW w:w="639" w:type="dxa"/>
            <w:vMerge w:val="continue"/>
            <w:shd w:val="clear" w:color="auto" w:fill="auto"/>
            <w:vAlign w:val="center"/>
          </w:tcPr>
          <w:p w14:paraId="099852A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F5485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F9755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4AC8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初步诊断超时提醒：两份检查结果推送给急诊科医生10分钟时间内未出诊断结果，系统自动向急诊科医生发送提醒，时间可设置；支持钉钉和电话提醒。</w:t>
            </w:r>
          </w:p>
        </w:tc>
      </w:tr>
      <w:tr w14:paraId="2E7D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80419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495</w:t>
            </w:r>
          </w:p>
        </w:tc>
        <w:tc>
          <w:tcPr>
            <w:tcW w:w="639" w:type="dxa"/>
            <w:vMerge w:val="continue"/>
            <w:shd w:val="clear" w:color="auto" w:fill="auto"/>
            <w:vAlign w:val="center"/>
          </w:tcPr>
          <w:p w14:paraId="4C1E1A3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17B0EF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A59EFE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F59267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给药超时提醒：急诊科医生确诊后，抗凝、抗血小板给药时间超过5分钟，系统自动向急诊科医生发送提醒，时间可设置；支持钉钉和电话提醒。</w:t>
            </w:r>
          </w:p>
        </w:tc>
      </w:tr>
      <w:tr w14:paraId="7C94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5879AC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496</w:t>
            </w:r>
          </w:p>
        </w:tc>
        <w:tc>
          <w:tcPr>
            <w:tcW w:w="639" w:type="dxa"/>
            <w:vMerge w:val="continue"/>
            <w:shd w:val="clear" w:color="auto" w:fill="auto"/>
            <w:vAlign w:val="center"/>
          </w:tcPr>
          <w:p w14:paraId="4E8DE0D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B02EF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A565C1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6F1EC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导管室激活超时提醒：心内科医生选择手术组成员，系统自动向组员推送手术信息，成员在20分钟时间内未到达手术室，系统自动向未到达组员发送提醒，时间可设置；支持钉钉和电话提醒。</w:t>
            </w:r>
          </w:p>
        </w:tc>
      </w:tr>
      <w:tr w14:paraId="0268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17BD0E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497</w:t>
            </w:r>
          </w:p>
        </w:tc>
        <w:tc>
          <w:tcPr>
            <w:tcW w:w="639" w:type="dxa"/>
            <w:vMerge w:val="continue"/>
            <w:shd w:val="clear" w:color="auto" w:fill="auto"/>
            <w:vAlign w:val="center"/>
          </w:tcPr>
          <w:p w14:paraId="063D91A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2152A40">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670CB5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大数据可视化大屏</w:t>
            </w:r>
          </w:p>
        </w:tc>
        <w:tc>
          <w:tcPr>
            <w:tcW w:w="6555" w:type="dxa"/>
            <w:shd w:val="clear" w:color="auto" w:fill="auto"/>
            <w:vAlign w:val="center"/>
          </w:tcPr>
          <w:p w14:paraId="0F081E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通过大屏的方式，汇总展示关键信息，可将胸痛中心当前建设成果直观展示。包含患者趋势，关键质控指标趋势等，诊断统计、转归统计、来院方式、网络医院等。</w:t>
            </w:r>
          </w:p>
        </w:tc>
      </w:tr>
      <w:tr w14:paraId="0943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7984A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498</w:t>
            </w:r>
          </w:p>
        </w:tc>
        <w:tc>
          <w:tcPr>
            <w:tcW w:w="639" w:type="dxa"/>
            <w:vMerge w:val="continue"/>
            <w:shd w:val="clear" w:color="auto" w:fill="auto"/>
            <w:vAlign w:val="center"/>
          </w:tcPr>
          <w:p w14:paraId="12E1B93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76ABDB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CEEB7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胸痛患者随访管理</w:t>
            </w:r>
          </w:p>
        </w:tc>
        <w:tc>
          <w:tcPr>
            <w:tcW w:w="6555" w:type="dxa"/>
            <w:shd w:val="clear" w:color="auto" w:fill="auto"/>
            <w:vAlign w:val="center"/>
          </w:tcPr>
          <w:p w14:paraId="2E629C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创建随访任务：针对胸痛患者，系统支持创建个性化的随访任务，确保每位患者都能得到适当的关注和跟踪。</w:t>
            </w:r>
          </w:p>
        </w:tc>
      </w:tr>
      <w:tr w14:paraId="1138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05430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499</w:t>
            </w:r>
          </w:p>
        </w:tc>
        <w:tc>
          <w:tcPr>
            <w:tcW w:w="639" w:type="dxa"/>
            <w:vMerge w:val="continue"/>
            <w:shd w:val="clear" w:color="auto" w:fill="auto"/>
            <w:vAlign w:val="center"/>
          </w:tcPr>
          <w:p w14:paraId="660D5A6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6D18BA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1D38D9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BE8AC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添加随访计划：医生可以为每位患者制定详细的随访计划，包括随访的时间、频率和内容，以满足患者的康复需求。</w:t>
            </w:r>
          </w:p>
        </w:tc>
      </w:tr>
      <w:tr w14:paraId="079A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D50E2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639" w:type="dxa"/>
            <w:vMerge w:val="continue"/>
            <w:shd w:val="clear" w:color="auto" w:fill="auto"/>
            <w:vAlign w:val="center"/>
          </w:tcPr>
          <w:p w14:paraId="6E2711B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306397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01BD9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E3A7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设置随访任务提醒：系统能够自动发送提醒通知给医生和患者，确保双方都能按时执行随访任务，提高随访的准时率和效率。</w:t>
            </w:r>
          </w:p>
        </w:tc>
      </w:tr>
      <w:tr w14:paraId="08EC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CB102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501</w:t>
            </w:r>
          </w:p>
        </w:tc>
        <w:tc>
          <w:tcPr>
            <w:tcW w:w="639" w:type="dxa"/>
            <w:vMerge w:val="continue"/>
            <w:shd w:val="clear" w:color="auto" w:fill="auto"/>
            <w:vAlign w:val="center"/>
          </w:tcPr>
          <w:p w14:paraId="13A8335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67D7E3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0A32A1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30080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结束随访任务并记录结果：完成随访后，医生可以结束随访任务并记录相关的随访结果和评估信息，为患者后续治疗提供依据。</w:t>
            </w:r>
          </w:p>
        </w:tc>
      </w:tr>
      <w:tr w14:paraId="1F84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225E8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502</w:t>
            </w:r>
          </w:p>
        </w:tc>
        <w:tc>
          <w:tcPr>
            <w:tcW w:w="639" w:type="dxa"/>
            <w:vMerge w:val="continue"/>
            <w:shd w:val="clear" w:color="auto" w:fill="auto"/>
            <w:vAlign w:val="center"/>
          </w:tcPr>
          <w:p w14:paraId="3E7E7B0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F920F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07E459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FA2F6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查询和导出随访数据：系统支持方便的查询功能，帮助医生快速找到特定的随访数据。同时，随访数据可以导出为各种文件格式，方便进一步的分析和存档。</w:t>
            </w:r>
          </w:p>
        </w:tc>
      </w:tr>
      <w:tr w14:paraId="560B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AF473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503</w:t>
            </w:r>
          </w:p>
        </w:tc>
        <w:tc>
          <w:tcPr>
            <w:tcW w:w="639" w:type="dxa"/>
            <w:vMerge w:val="continue"/>
            <w:shd w:val="clear" w:color="auto" w:fill="auto"/>
            <w:vAlign w:val="center"/>
          </w:tcPr>
          <w:p w14:paraId="2105C05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7D7ED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5FB74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16CB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随访统计分析：通过对随访数据进行统计分析，医生可以了解胸痛患者的整体康复情况，评估治疗效果，为未来的治疗策略提供参考。</w:t>
            </w:r>
          </w:p>
        </w:tc>
      </w:tr>
      <w:tr w14:paraId="272A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A62DC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504</w:t>
            </w:r>
          </w:p>
        </w:tc>
        <w:tc>
          <w:tcPr>
            <w:tcW w:w="639" w:type="dxa"/>
            <w:vMerge w:val="continue"/>
            <w:shd w:val="clear" w:color="auto" w:fill="auto"/>
            <w:vAlign w:val="center"/>
          </w:tcPr>
          <w:p w14:paraId="224DABE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27D1A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08B2C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数据质控统计分析</w:t>
            </w:r>
          </w:p>
        </w:tc>
        <w:tc>
          <w:tcPr>
            <w:tcW w:w="6555" w:type="dxa"/>
            <w:shd w:val="clear" w:color="auto" w:fill="auto"/>
            <w:vAlign w:val="center"/>
          </w:tcPr>
          <w:p w14:paraId="1F7AEE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支持质控、统计指标：D2W时间</w:t>
            </w:r>
          </w:p>
        </w:tc>
      </w:tr>
      <w:tr w14:paraId="4432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925F8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505</w:t>
            </w:r>
          </w:p>
        </w:tc>
        <w:tc>
          <w:tcPr>
            <w:tcW w:w="639" w:type="dxa"/>
            <w:vMerge w:val="continue"/>
            <w:shd w:val="clear" w:color="auto" w:fill="auto"/>
            <w:vAlign w:val="center"/>
          </w:tcPr>
          <w:p w14:paraId="1A68CA9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24000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317B0A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69F0CB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支持质控、统计指标：导管室激活时间</w:t>
            </w:r>
          </w:p>
        </w:tc>
      </w:tr>
      <w:tr w14:paraId="388A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FB2FE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506</w:t>
            </w:r>
          </w:p>
        </w:tc>
        <w:tc>
          <w:tcPr>
            <w:tcW w:w="639" w:type="dxa"/>
            <w:vMerge w:val="continue"/>
            <w:shd w:val="clear" w:color="auto" w:fill="auto"/>
            <w:vAlign w:val="center"/>
          </w:tcPr>
          <w:p w14:paraId="0D59F78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B15356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79F6CF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8825EF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支持质控、统计指标：心电图确诊时间</w:t>
            </w:r>
          </w:p>
        </w:tc>
      </w:tr>
      <w:tr w14:paraId="2DC0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CB8C1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w:t>
            </w:r>
          </w:p>
        </w:tc>
        <w:tc>
          <w:tcPr>
            <w:tcW w:w="639" w:type="dxa"/>
            <w:vMerge w:val="continue"/>
            <w:shd w:val="clear" w:color="auto" w:fill="auto"/>
            <w:vAlign w:val="center"/>
          </w:tcPr>
          <w:p w14:paraId="578007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D63D67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B6B5C0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1480C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支持质控、统计指标：抗血小板药物给药时间</w:t>
            </w:r>
          </w:p>
        </w:tc>
      </w:tr>
      <w:tr w14:paraId="4A86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D9A8C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508</w:t>
            </w:r>
          </w:p>
        </w:tc>
        <w:tc>
          <w:tcPr>
            <w:tcW w:w="639" w:type="dxa"/>
            <w:vMerge w:val="continue"/>
            <w:shd w:val="clear" w:color="auto" w:fill="auto"/>
            <w:vAlign w:val="center"/>
          </w:tcPr>
          <w:p w14:paraId="0E0A18F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715D4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E28D5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7B7C16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支持质控、统计指标：首份心电图时间</w:t>
            </w:r>
          </w:p>
        </w:tc>
      </w:tr>
      <w:tr w14:paraId="2100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0E71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509</w:t>
            </w:r>
          </w:p>
        </w:tc>
        <w:tc>
          <w:tcPr>
            <w:tcW w:w="639" w:type="dxa"/>
            <w:vMerge w:val="continue"/>
            <w:shd w:val="clear" w:color="auto" w:fill="auto"/>
            <w:vAlign w:val="center"/>
          </w:tcPr>
          <w:p w14:paraId="615CBCE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B2771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9A6E70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FDB0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支持质控、统计指标：抗凝药给药时间</w:t>
            </w:r>
          </w:p>
        </w:tc>
      </w:tr>
      <w:tr w14:paraId="7A28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3E27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510</w:t>
            </w:r>
          </w:p>
        </w:tc>
        <w:tc>
          <w:tcPr>
            <w:tcW w:w="639" w:type="dxa"/>
            <w:vMerge w:val="continue"/>
            <w:shd w:val="clear" w:color="auto" w:fill="auto"/>
            <w:vAlign w:val="center"/>
          </w:tcPr>
          <w:p w14:paraId="0799402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9A1AC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488E35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5377A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支持质控、统计指标：胸痛患者趋势图</w:t>
            </w:r>
          </w:p>
        </w:tc>
      </w:tr>
      <w:tr w14:paraId="61D1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4EE36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511</w:t>
            </w:r>
          </w:p>
        </w:tc>
        <w:tc>
          <w:tcPr>
            <w:tcW w:w="639" w:type="dxa"/>
            <w:vMerge w:val="continue"/>
            <w:shd w:val="clear" w:color="auto" w:fill="auto"/>
            <w:vAlign w:val="center"/>
          </w:tcPr>
          <w:p w14:paraId="1C09AA6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5B018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AE46E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21E08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支持质控、统计指标：胸痛病例统计图</w:t>
            </w:r>
          </w:p>
        </w:tc>
      </w:tr>
      <w:tr w14:paraId="7D04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9D52F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512</w:t>
            </w:r>
          </w:p>
        </w:tc>
        <w:tc>
          <w:tcPr>
            <w:tcW w:w="639" w:type="dxa"/>
            <w:vMerge w:val="continue"/>
            <w:shd w:val="clear" w:color="auto" w:fill="auto"/>
            <w:vAlign w:val="center"/>
          </w:tcPr>
          <w:p w14:paraId="4F834BE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8DAE9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F2F93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31658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支持质控、统计指标：STEMI患者发病2小时内获得首次医疗接触的比例</w:t>
            </w:r>
          </w:p>
        </w:tc>
      </w:tr>
      <w:tr w14:paraId="16A1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BD5FC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513</w:t>
            </w:r>
          </w:p>
        </w:tc>
        <w:tc>
          <w:tcPr>
            <w:tcW w:w="639" w:type="dxa"/>
            <w:vMerge w:val="continue"/>
            <w:shd w:val="clear" w:color="auto" w:fill="auto"/>
            <w:vAlign w:val="center"/>
          </w:tcPr>
          <w:p w14:paraId="2F601D0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767FF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5BC5CD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70ECB5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支持质控、统计指标：院内死亡率</w:t>
            </w:r>
          </w:p>
        </w:tc>
      </w:tr>
      <w:tr w14:paraId="59E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37F82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514</w:t>
            </w:r>
          </w:p>
        </w:tc>
        <w:tc>
          <w:tcPr>
            <w:tcW w:w="639" w:type="dxa"/>
            <w:vMerge w:val="continue"/>
            <w:shd w:val="clear" w:color="auto" w:fill="auto"/>
            <w:vAlign w:val="center"/>
          </w:tcPr>
          <w:p w14:paraId="78125E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BBF765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8ECCAE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6B9B3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支持质控、统计指标：ACS患者FMC后24小时内接受他汀类药物的比例</w:t>
            </w:r>
          </w:p>
        </w:tc>
      </w:tr>
      <w:tr w14:paraId="062E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6A5F0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515</w:t>
            </w:r>
          </w:p>
        </w:tc>
        <w:tc>
          <w:tcPr>
            <w:tcW w:w="639" w:type="dxa"/>
            <w:vMerge w:val="continue"/>
            <w:shd w:val="clear" w:color="auto" w:fill="auto"/>
            <w:vAlign w:val="center"/>
          </w:tcPr>
          <w:p w14:paraId="64F9C47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412D2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677EFA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DCBC8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支持质控、统计指标：发病12小时内STEMI再灌注比例</w:t>
            </w:r>
          </w:p>
        </w:tc>
      </w:tr>
      <w:tr w14:paraId="0DED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36966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516</w:t>
            </w:r>
          </w:p>
        </w:tc>
        <w:tc>
          <w:tcPr>
            <w:tcW w:w="639" w:type="dxa"/>
            <w:vMerge w:val="continue"/>
            <w:shd w:val="clear" w:color="auto" w:fill="auto"/>
            <w:vAlign w:val="center"/>
          </w:tcPr>
          <w:p w14:paraId="7E1DE57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171862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D6A271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24F4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支持质控、统计指标：STEMI患者S2FMC时间</w:t>
            </w:r>
          </w:p>
        </w:tc>
      </w:tr>
      <w:tr w14:paraId="01D1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5662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517</w:t>
            </w:r>
          </w:p>
        </w:tc>
        <w:tc>
          <w:tcPr>
            <w:tcW w:w="639" w:type="dxa"/>
            <w:vMerge w:val="continue"/>
            <w:shd w:val="clear" w:color="auto" w:fill="auto"/>
            <w:vAlign w:val="center"/>
          </w:tcPr>
          <w:p w14:paraId="0797F12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80799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60D06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A9EC2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支持质控、统计指标：转诊STEMI患者F2W时间</w:t>
            </w:r>
          </w:p>
        </w:tc>
      </w:tr>
      <w:tr w14:paraId="6E78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DFD37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518</w:t>
            </w:r>
          </w:p>
        </w:tc>
        <w:tc>
          <w:tcPr>
            <w:tcW w:w="639" w:type="dxa"/>
            <w:vMerge w:val="continue"/>
            <w:shd w:val="clear" w:color="auto" w:fill="auto"/>
            <w:vAlign w:val="center"/>
          </w:tcPr>
          <w:p w14:paraId="3CA8026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07E5EB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D89BE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1AFA8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支持质控、统计指标：自行来院单绕</w:t>
            </w:r>
          </w:p>
        </w:tc>
      </w:tr>
      <w:tr w14:paraId="0389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64CB0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519</w:t>
            </w:r>
          </w:p>
        </w:tc>
        <w:tc>
          <w:tcPr>
            <w:tcW w:w="639" w:type="dxa"/>
            <w:vMerge w:val="continue"/>
            <w:shd w:val="clear" w:color="auto" w:fill="auto"/>
            <w:vAlign w:val="center"/>
          </w:tcPr>
          <w:p w14:paraId="381B34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1E78F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E4E4D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50C9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支持质控、统计指标：救护车来院双绕</w:t>
            </w:r>
          </w:p>
        </w:tc>
      </w:tr>
      <w:tr w14:paraId="0872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8BE1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w:t>
            </w:r>
          </w:p>
        </w:tc>
        <w:tc>
          <w:tcPr>
            <w:tcW w:w="639" w:type="dxa"/>
            <w:vMerge w:val="continue"/>
            <w:shd w:val="clear" w:color="auto" w:fill="auto"/>
            <w:vAlign w:val="center"/>
          </w:tcPr>
          <w:p w14:paraId="21477C4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B19A4A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D628FB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BF0B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支持质控、统计指标：远程传输心电图比例</w:t>
            </w:r>
          </w:p>
        </w:tc>
      </w:tr>
      <w:tr w14:paraId="7FA9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30AB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521</w:t>
            </w:r>
          </w:p>
        </w:tc>
        <w:tc>
          <w:tcPr>
            <w:tcW w:w="639" w:type="dxa"/>
            <w:vMerge w:val="continue"/>
            <w:shd w:val="clear" w:color="auto" w:fill="auto"/>
            <w:vAlign w:val="center"/>
          </w:tcPr>
          <w:p w14:paraId="53E51A1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F654C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258E51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D830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支持质控、统计指标：溶栓后造影比例</w:t>
            </w:r>
          </w:p>
        </w:tc>
      </w:tr>
      <w:tr w14:paraId="5F21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E2409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522</w:t>
            </w:r>
          </w:p>
        </w:tc>
        <w:tc>
          <w:tcPr>
            <w:tcW w:w="639" w:type="dxa"/>
            <w:vMerge w:val="continue"/>
            <w:shd w:val="clear" w:color="auto" w:fill="auto"/>
            <w:vAlign w:val="center"/>
          </w:tcPr>
          <w:p w14:paraId="0F2302E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DAB904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712A0F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BAA89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支持质控、统计指标：STEM患者发病12小时内获得首次医疗接触的比例</w:t>
            </w:r>
          </w:p>
        </w:tc>
      </w:tr>
      <w:tr w14:paraId="1CC2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7AE9D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523</w:t>
            </w:r>
          </w:p>
        </w:tc>
        <w:tc>
          <w:tcPr>
            <w:tcW w:w="639" w:type="dxa"/>
            <w:vMerge w:val="continue"/>
            <w:shd w:val="clear" w:color="auto" w:fill="auto"/>
            <w:vAlign w:val="center"/>
          </w:tcPr>
          <w:p w14:paraId="2A306E2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BDF5F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4C3A0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4252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支持质控、统计指标：发病12小时最后诊断为STEM的患者给予溶栓或介入的占比</w:t>
            </w:r>
          </w:p>
        </w:tc>
      </w:tr>
      <w:tr w14:paraId="10D1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19E63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524</w:t>
            </w:r>
          </w:p>
        </w:tc>
        <w:tc>
          <w:tcPr>
            <w:tcW w:w="639" w:type="dxa"/>
            <w:vMerge w:val="continue"/>
            <w:shd w:val="clear" w:color="auto" w:fill="auto"/>
            <w:vAlign w:val="center"/>
          </w:tcPr>
          <w:p w14:paraId="5C0F325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6C54A5">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A687A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第三方系统数据对接</w:t>
            </w:r>
          </w:p>
        </w:tc>
        <w:tc>
          <w:tcPr>
            <w:tcW w:w="6555" w:type="dxa"/>
            <w:shd w:val="clear" w:color="auto" w:fill="auto"/>
            <w:vAlign w:val="center"/>
          </w:tcPr>
          <w:p w14:paraId="42B49C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与急诊系统对接</w:t>
            </w:r>
          </w:p>
        </w:tc>
      </w:tr>
      <w:tr w14:paraId="7A8D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93EFB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525</w:t>
            </w:r>
          </w:p>
        </w:tc>
        <w:tc>
          <w:tcPr>
            <w:tcW w:w="639" w:type="dxa"/>
            <w:vMerge w:val="continue"/>
            <w:shd w:val="clear" w:color="auto" w:fill="auto"/>
            <w:vAlign w:val="center"/>
          </w:tcPr>
          <w:p w14:paraId="31445D4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E20FF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8487AD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43E7C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与HIS系统对接</w:t>
            </w:r>
          </w:p>
        </w:tc>
      </w:tr>
      <w:tr w14:paraId="022D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0BFB3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526</w:t>
            </w:r>
          </w:p>
        </w:tc>
        <w:tc>
          <w:tcPr>
            <w:tcW w:w="639" w:type="dxa"/>
            <w:vMerge w:val="continue"/>
            <w:shd w:val="clear" w:color="auto" w:fill="auto"/>
            <w:vAlign w:val="center"/>
          </w:tcPr>
          <w:p w14:paraId="0FADB8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05BE0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7808B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ADC8F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与LIS系统对接</w:t>
            </w:r>
          </w:p>
        </w:tc>
      </w:tr>
      <w:tr w14:paraId="328C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388B9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527</w:t>
            </w:r>
          </w:p>
        </w:tc>
        <w:tc>
          <w:tcPr>
            <w:tcW w:w="639" w:type="dxa"/>
            <w:vMerge w:val="continue"/>
            <w:shd w:val="clear" w:color="auto" w:fill="auto"/>
            <w:vAlign w:val="center"/>
          </w:tcPr>
          <w:p w14:paraId="50453CD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C69479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847DA0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6988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与PACS系统对接</w:t>
            </w:r>
          </w:p>
        </w:tc>
      </w:tr>
      <w:tr w14:paraId="2C3B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70E82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528</w:t>
            </w:r>
          </w:p>
        </w:tc>
        <w:tc>
          <w:tcPr>
            <w:tcW w:w="639" w:type="dxa"/>
            <w:vMerge w:val="continue"/>
            <w:shd w:val="clear" w:color="auto" w:fill="auto"/>
            <w:vAlign w:val="center"/>
          </w:tcPr>
          <w:p w14:paraId="4504C92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9E2DEF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A00355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529A4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与住院信息系统对接</w:t>
            </w:r>
          </w:p>
        </w:tc>
      </w:tr>
      <w:tr w14:paraId="40AD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4DCE1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529</w:t>
            </w:r>
          </w:p>
        </w:tc>
        <w:tc>
          <w:tcPr>
            <w:tcW w:w="639" w:type="dxa"/>
            <w:vMerge w:val="continue"/>
            <w:shd w:val="clear" w:color="auto" w:fill="auto"/>
            <w:vAlign w:val="center"/>
          </w:tcPr>
          <w:p w14:paraId="34B8852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A8644B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2CAE67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B5ECE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单位钉钉组织架构：从钉钉中获得单位组织架构信息，实现手机钉钉端业务操作。 </w:t>
            </w:r>
          </w:p>
        </w:tc>
      </w:tr>
      <w:tr w14:paraId="2FB4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4BF90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530</w:t>
            </w:r>
          </w:p>
        </w:tc>
        <w:tc>
          <w:tcPr>
            <w:tcW w:w="639" w:type="dxa"/>
            <w:vMerge w:val="continue"/>
            <w:shd w:val="clear" w:color="auto" w:fill="auto"/>
            <w:vAlign w:val="center"/>
          </w:tcPr>
          <w:p w14:paraId="44012E8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99577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974979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FFB3B9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实现紧急通知和预警，通过自动拨打值班电话，医生电话</w:t>
            </w:r>
            <w:r>
              <w:rPr>
                <w:rFonts w:hint="eastAsia" w:ascii="宋体" w:hAnsi="宋体" w:cs="宋体"/>
                <w:i w:val="0"/>
                <w:iCs w:val="0"/>
                <w:color w:val="auto"/>
                <w:kern w:val="0"/>
                <w:sz w:val="22"/>
                <w:szCs w:val="22"/>
                <w:highlight w:val="none"/>
                <w:u w:val="none"/>
                <w:lang w:val="en-US" w:eastAsia="zh-CN" w:bidi="ar"/>
              </w:rPr>
              <w:t>进行</w:t>
            </w:r>
            <w:r>
              <w:rPr>
                <w:rFonts w:hint="eastAsia" w:ascii="宋体" w:hAnsi="宋体" w:eastAsia="宋体" w:cs="宋体"/>
                <w:i w:val="0"/>
                <w:iCs w:val="0"/>
                <w:color w:val="auto"/>
                <w:kern w:val="0"/>
                <w:sz w:val="22"/>
                <w:szCs w:val="22"/>
                <w:highlight w:val="none"/>
                <w:u w:val="none"/>
                <w:lang w:val="en-US" w:eastAsia="zh-CN" w:bidi="ar"/>
              </w:rPr>
              <w:t>通知提醒。</w:t>
            </w:r>
          </w:p>
        </w:tc>
      </w:tr>
      <w:tr w14:paraId="37CC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B0593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531</w:t>
            </w:r>
          </w:p>
        </w:tc>
        <w:tc>
          <w:tcPr>
            <w:tcW w:w="639" w:type="dxa"/>
            <w:vMerge w:val="continue"/>
            <w:shd w:val="clear" w:color="auto" w:fill="auto"/>
            <w:vAlign w:val="center"/>
          </w:tcPr>
          <w:p w14:paraId="4536778B">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51F000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卒中中心</w:t>
            </w:r>
          </w:p>
        </w:tc>
        <w:tc>
          <w:tcPr>
            <w:tcW w:w="986" w:type="dxa"/>
            <w:vMerge w:val="restart"/>
            <w:shd w:val="clear" w:color="auto" w:fill="auto"/>
            <w:vAlign w:val="center"/>
          </w:tcPr>
          <w:p w14:paraId="07007B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卒中急救绿色通道</w:t>
            </w:r>
          </w:p>
        </w:tc>
        <w:tc>
          <w:tcPr>
            <w:tcW w:w="6555" w:type="dxa"/>
            <w:shd w:val="clear" w:color="auto" w:fill="auto"/>
            <w:vAlign w:val="center"/>
          </w:tcPr>
          <w:p w14:paraId="626727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腕带绑定：系统支持患者佩戴智能手环，护士在分诊台通过读写设备的扫描读取腕带，快速登记患者佩戴的手环编号进行绑定，为自动采集质控时间做准备。</w:t>
            </w:r>
          </w:p>
        </w:tc>
      </w:tr>
      <w:tr w14:paraId="0E49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A4E91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532</w:t>
            </w:r>
          </w:p>
        </w:tc>
        <w:tc>
          <w:tcPr>
            <w:tcW w:w="639" w:type="dxa"/>
            <w:vMerge w:val="continue"/>
            <w:shd w:val="clear" w:color="auto" w:fill="auto"/>
            <w:vAlign w:val="center"/>
          </w:tcPr>
          <w:p w14:paraId="625C111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E68BA7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B52153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A17D3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多学科协同通知（钉钉版）：支持与钉钉对接，接收患者后，可通过钉钉消息一键通知到卒中急救小组；并在钉钉上建立患者救治群组，便于后续诊疗沟通工作。   </w:t>
            </w:r>
          </w:p>
        </w:tc>
      </w:tr>
      <w:tr w14:paraId="162D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AFDC5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533</w:t>
            </w:r>
          </w:p>
        </w:tc>
        <w:tc>
          <w:tcPr>
            <w:tcW w:w="639" w:type="dxa"/>
            <w:vMerge w:val="continue"/>
            <w:shd w:val="clear" w:color="auto" w:fill="auto"/>
            <w:vAlign w:val="center"/>
          </w:tcPr>
          <w:p w14:paraId="5838CF7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1A6BA3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83E75F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E89DBB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多学科协同通知（AI电话版）：支持与科室值班电话对接，接收患者后，点击一键启动呼叫，在线监视电话语音通报完成，若是占线或者失败，可进行回拨处理。</w:t>
            </w:r>
          </w:p>
        </w:tc>
      </w:tr>
      <w:tr w14:paraId="7338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2CCDDB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534</w:t>
            </w:r>
          </w:p>
        </w:tc>
        <w:tc>
          <w:tcPr>
            <w:tcW w:w="639" w:type="dxa"/>
            <w:vMerge w:val="continue"/>
            <w:shd w:val="clear" w:color="auto" w:fill="auto"/>
            <w:vAlign w:val="center"/>
          </w:tcPr>
          <w:p w14:paraId="7154756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851E42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E62CC3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43FCBD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多学科协同会诊：一键呼叫和通知启动后，支持同步启动多学科会诊，根据呼叫的科室以及呼叫内容，系统自动生成对应的会诊单。护士在线监视电话语音播报同时直接记录会诊医生到场时间。</w:t>
            </w:r>
          </w:p>
        </w:tc>
      </w:tr>
      <w:tr w14:paraId="5F5A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3658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535</w:t>
            </w:r>
          </w:p>
        </w:tc>
        <w:tc>
          <w:tcPr>
            <w:tcW w:w="639" w:type="dxa"/>
            <w:vMerge w:val="continue"/>
            <w:shd w:val="clear" w:color="auto" w:fill="auto"/>
            <w:vAlign w:val="center"/>
          </w:tcPr>
          <w:p w14:paraId="34F14BF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A9D3C5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CEDAF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卒中流程图</w:t>
            </w:r>
          </w:p>
        </w:tc>
        <w:tc>
          <w:tcPr>
            <w:tcW w:w="6555" w:type="dxa"/>
            <w:shd w:val="clear" w:color="auto" w:fill="auto"/>
            <w:vAlign w:val="center"/>
          </w:tcPr>
          <w:p w14:paraId="00BB058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提供卒中诊疗流程图，通过自动数据的采集和医护人员数据的操作记录，点亮关键时间节点，并提供关键时间节点的倒计时。</w:t>
            </w:r>
          </w:p>
        </w:tc>
      </w:tr>
      <w:tr w14:paraId="205B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32D8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536</w:t>
            </w:r>
          </w:p>
        </w:tc>
        <w:tc>
          <w:tcPr>
            <w:tcW w:w="639" w:type="dxa"/>
            <w:vMerge w:val="continue"/>
            <w:shd w:val="clear" w:color="auto" w:fill="auto"/>
            <w:vAlign w:val="center"/>
          </w:tcPr>
          <w:p w14:paraId="3F7AB96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E914B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A111A2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007F84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卒中患者列表，包括姓名，年龄，性别，预检时间，病情评估，HINSS评分，血压，呼吸，心率，床位号，提示栏；</w:t>
            </w:r>
          </w:p>
        </w:tc>
      </w:tr>
      <w:tr w14:paraId="63C8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C17AC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537</w:t>
            </w:r>
          </w:p>
        </w:tc>
        <w:tc>
          <w:tcPr>
            <w:tcW w:w="639" w:type="dxa"/>
            <w:vMerge w:val="continue"/>
            <w:shd w:val="clear" w:color="auto" w:fill="auto"/>
            <w:vAlign w:val="center"/>
          </w:tcPr>
          <w:p w14:paraId="55024BD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16A0A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FBBE55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ED79C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支持诊疗路径在流程图中差色显示；</w:t>
            </w:r>
          </w:p>
        </w:tc>
      </w:tr>
      <w:tr w14:paraId="1B23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26B5B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538</w:t>
            </w:r>
          </w:p>
        </w:tc>
        <w:tc>
          <w:tcPr>
            <w:tcW w:w="639" w:type="dxa"/>
            <w:vMerge w:val="continue"/>
            <w:shd w:val="clear" w:color="auto" w:fill="auto"/>
            <w:vAlign w:val="center"/>
          </w:tcPr>
          <w:p w14:paraId="470C08C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2821B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14DAF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A4EA9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支持关键质控节点的倒计时、完成用时及标准质控时间的实时显示；</w:t>
            </w:r>
          </w:p>
        </w:tc>
      </w:tr>
      <w:tr w14:paraId="0EA3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A6957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539</w:t>
            </w:r>
          </w:p>
        </w:tc>
        <w:tc>
          <w:tcPr>
            <w:tcW w:w="639" w:type="dxa"/>
            <w:vMerge w:val="continue"/>
            <w:shd w:val="clear" w:color="auto" w:fill="auto"/>
            <w:vAlign w:val="center"/>
          </w:tcPr>
          <w:p w14:paraId="00ED038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867936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591C74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CB74D3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支持在线查看心电图；</w:t>
            </w:r>
          </w:p>
        </w:tc>
      </w:tr>
      <w:tr w14:paraId="5B5B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92FD9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540</w:t>
            </w:r>
          </w:p>
        </w:tc>
        <w:tc>
          <w:tcPr>
            <w:tcW w:w="639" w:type="dxa"/>
            <w:vMerge w:val="continue"/>
            <w:shd w:val="clear" w:color="auto" w:fill="auto"/>
            <w:vAlign w:val="center"/>
          </w:tcPr>
          <w:p w14:paraId="25331CF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2FCF2A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B82CD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9419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支持头颅CT报告在线查看；</w:t>
            </w:r>
          </w:p>
        </w:tc>
      </w:tr>
      <w:tr w14:paraId="3D92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78F13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541</w:t>
            </w:r>
          </w:p>
        </w:tc>
        <w:tc>
          <w:tcPr>
            <w:tcW w:w="639" w:type="dxa"/>
            <w:vMerge w:val="continue"/>
            <w:shd w:val="clear" w:color="auto" w:fill="auto"/>
            <w:vAlign w:val="center"/>
          </w:tcPr>
          <w:p w14:paraId="3B5E4D2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14BEF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BD2D06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443C3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支持血常规、凝血功能，血糖，肾功能，肝功能检查关键细项数据显示，以及超限预警；</w:t>
            </w:r>
          </w:p>
        </w:tc>
      </w:tr>
      <w:tr w14:paraId="603F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600BD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542</w:t>
            </w:r>
          </w:p>
        </w:tc>
        <w:tc>
          <w:tcPr>
            <w:tcW w:w="639" w:type="dxa"/>
            <w:vMerge w:val="continue"/>
            <w:shd w:val="clear" w:color="auto" w:fill="auto"/>
            <w:vAlign w:val="center"/>
          </w:tcPr>
          <w:p w14:paraId="4545A87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F7F8CD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BD6313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5E3887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支持浏览各个节点诊疗时间和内容的记录；</w:t>
            </w:r>
          </w:p>
        </w:tc>
      </w:tr>
      <w:tr w14:paraId="594C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D344E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543</w:t>
            </w:r>
          </w:p>
        </w:tc>
        <w:tc>
          <w:tcPr>
            <w:tcW w:w="639" w:type="dxa"/>
            <w:vMerge w:val="continue"/>
            <w:shd w:val="clear" w:color="auto" w:fill="auto"/>
            <w:vAlign w:val="center"/>
          </w:tcPr>
          <w:p w14:paraId="776ADBB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D97753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469C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EB7B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支持知情同意书的在线快速生成和打印；</w:t>
            </w:r>
          </w:p>
        </w:tc>
      </w:tr>
      <w:tr w14:paraId="7CF2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2C58A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544</w:t>
            </w:r>
          </w:p>
        </w:tc>
        <w:tc>
          <w:tcPr>
            <w:tcW w:w="639" w:type="dxa"/>
            <w:vMerge w:val="continue"/>
            <w:shd w:val="clear" w:color="auto" w:fill="auto"/>
            <w:vAlign w:val="center"/>
          </w:tcPr>
          <w:p w14:paraId="7F12FBE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BD08BB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A09C0D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6FD54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支持导管室激活完成，患者列表中提示；</w:t>
            </w:r>
          </w:p>
        </w:tc>
      </w:tr>
      <w:tr w14:paraId="6987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D0292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545</w:t>
            </w:r>
          </w:p>
        </w:tc>
        <w:tc>
          <w:tcPr>
            <w:tcW w:w="639" w:type="dxa"/>
            <w:vMerge w:val="continue"/>
            <w:shd w:val="clear" w:color="auto" w:fill="auto"/>
            <w:vAlign w:val="center"/>
          </w:tcPr>
          <w:p w14:paraId="1A15B57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1FFBF1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99793D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E4C133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支持医疗路径的重新选择，流程图记录历史路径；</w:t>
            </w:r>
          </w:p>
        </w:tc>
      </w:tr>
      <w:tr w14:paraId="52F0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0C13C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546</w:t>
            </w:r>
          </w:p>
        </w:tc>
        <w:tc>
          <w:tcPr>
            <w:tcW w:w="639" w:type="dxa"/>
            <w:vMerge w:val="continue"/>
            <w:shd w:val="clear" w:color="auto" w:fill="auto"/>
            <w:vAlign w:val="center"/>
          </w:tcPr>
          <w:p w14:paraId="1DC023B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91E0F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86A791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D8CFDA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可直观显示路径总览，包括路径中所有的事件，执行情况和执行时间。</w:t>
            </w:r>
          </w:p>
        </w:tc>
      </w:tr>
      <w:tr w14:paraId="079C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545FA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547</w:t>
            </w:r>
          </w:p>
        </w:tc>
        <w:tc>
          <w:tcPr>
            <w:tcW w:w="639" w:type="dxa"/>
            <w:vMerge w:val="continue"/>
            <w:shd w:val="clear" w:color="auto" w:fill="auto"/>
            <w:vAlign w:val="center"/>
          </w:tcPr>
          <w:p w14:paraId="19734C4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67931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5ACA1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卒中移动工作站</w:t>
            </w:r>
          </w:p>
        </w:tc>
        <w:tc>
          <w:tcPr>
            <w:tcW w:w="6555" w:type="dxa"/>
            <w:shd w:val="clear" w:color="auto" w:fill="auto"/>
            <w:vAlign w:val="center"/>
          </w:tcPr>
          <w:p w14:paraId="2945CD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卒中患者列表：包括姓名，年龄，性别，预检时间，发病时间，病情评估，HINSS评分，血压，呼吸，心率，意识；</w:t>
            </w:r>
          </w:p>
        </w:tc>
      </w:tr>
      <w:tr w14:paraId="45CA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3A50B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548</w:t>
            </w:r>
          </w:p>
        </w:tc>
        <w:tc>
          <w:tcPr>
            <w:tcW w:w="639" w:type="dxa"/>
            <w:vMerge w:val="continue"/>
            <w:shd w:val="clear" w:color="auto" w:fill="auto"/>
            <w:vAlign w:val="center"/>
          </w:tcPr>
          <w:p w14:paraId="683CFE3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1A943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F39C94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3A06E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卒中患者列表：支持历史卒中患者的检索，当前列表显示近24小时内患者；</w:t>
            </w:r>
          </w:p>
        </w:tc>
      </w:tr>
      <w:tr w14:paraId="4633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02809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549</w:t>
            </w:r>
          </w:p>
        </w:tc>
        <w:tc>
          <w:tcPr>
            <w:tcW w:w="639" w:type="dxa"/>
            <w:vMerge w:val="continue"/>
            <w:shd w:val="clear" w:color="auto" w:fill="auto"/>
            <w:vAlign w:val="center"/>
          </w:tcPr>
          <w:p w14:paraId="58C4B22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2BEEBB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85167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DF30E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卒中患者列表：包含患者关键质控节点步骤流转提示；</w:t>
            </w:r>
          </w:p>
        </w:tc>
      </w:tr>
      <w:tr w14:paraId="45CE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EEF2E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w:t>
            </w:r>
          </w:p>
        </w:tc>
        <w:tc>
          <w:tcPr>
            <w:tcW w:w="639" w:type="dxa"/>
            <w:vMerge w:val="continue"/>
            <w:shd w:val="clear" w:color="auto" w:fill="auto"/>
            <w:vAlign w:val="center"/>
          </w:tcPr>
          <w:p w14:paraId="2F95FDE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D66B8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764E3F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404F35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急诊科：患者情况和质控节点记录，分组显示（包含：院前情况，初步诊断，辅助检查，诊断情况）；</w:t>
            </w:r>
          </w:p>
        </w:tc>
      </w:tr>
      <w:tr w14:paraId="65AC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3B77B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551</w:t>
            </w:r>
          </w:p>
        </w:tc>
        <w:tc>
          <w:tcPr>
            <w:tcW w:w="639" w:type="dxa"/>
            <w:vMerge w:val="continue"/>
            <w:shd w:val="clear" w:color="auto" w:fill="auto"/>
            <w:vAlign w:val="center"/>
          </w:tcPr>
          <w:p w14:paraId="4A1785B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474905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F1CDE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CCE39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溶栓组：患者情况和质控节点记录，分组显示（包含：确认评估，溶栓治疗，动脉取栓）；</w:t>
            </w:r>
          </w:p>
        </w:tc>
      </w:tr>
      <w:tr w14:paraId="5F68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2101A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552</w:t>
            </w:r>
          </w:p>
        </w:tc>
        <w:tc>
          <w:tcPr>
            <w:tcW w:w="639" w:type="dxa"/>
            <w:vMerge w:val="continue"/>
            <w:shd w:val="clear" w:color="auto" w:fill="auto"/>
            <w:vAlign w:val="center"/>
          </w:tcPr>
          <w:p w14:paraId="36F2AB3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8E1C5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222F60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B7831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介入组：患者情况和质控节点记录，分组显示（包含：介入治疗）；</w:t>
            </w:r>
          </w:p>
        </w:tc>
      </w:tr>
      <w:tr w14:paraId="3635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77C42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553</w:t>
            </w:r>
          </w:p>
        </w:tc>
        <w:tc>
          <w:tcPr>
            <w:tcW w:w="639" w:type="dxa"/>
            <w:vMerge w:val="continue"/>
            <w:shd w:val="clear" w:color="auto" w:fill="auto"/>
            <w:vAlign w:val="center"/>
          </w:tcPr>
          <w:p w14:paraId="20E013C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E165A2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77DF4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BCC5E3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信息查看：支持心电图在线浏览；</w:t>
            </w:r>
          </w:p>
        </w:tc>
      </w:tr>
      <w:tr w14:paraId="42C2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8B144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554</w:t>
            </w:r>
          </w:p>
        </w:tc>
        <w:tc>
          <w:tcPr>
            <w:tcW w:w="639" w:type="dxa"/>
            <w:vMerge w:val="continue"/>
            <w:shd w:val="clear" w:color="auto" w:fill="auto"/>
            <w:vAlign w:val="center"/>
          </w:tcPr>
          <w:p w14:paraId="0FC5AE8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E0CF0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08BEF9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09AE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信息查看：支持头颅CT报告在线查看；</w:t>
            </w:r>
          </w:p>
        </w:tc>
      </w:tr>
      <w:tr w14:paraId="18FF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533E6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555</w:t>
            </w:r>
          </w:p>
        </w:tc>
        <w:tc>
          <w:tcPr>
            <w:tcW w:w="639" w:type="dxa"/>
            <w:vMerge w:val="continue"/>
            <w:shd w:val="clear" w:color="auto" w:fill="auto"/>
            <w:vAlign w:val="center"/>
          </w:tcPr>
          <w:p w14:paraId="28988B4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6E1B8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B78F15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027D2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评分评估：支持在线NIHSS卒中量表评分，和手工填分；</w:t>
            </w:r>
          </w:p>
        </w:tc>
      </w:tr>
      <w:tr w14:paraId="5916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2BCF3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556</w:t>
            </w:r>
          </w:p>
        </w:tc>
        <w:tc>
          <w:tcPr>
            <w:tcW w:w="639" w:type="dxa"/>
            <w:vMerge w:val="continue"/>
            <w:shd w:val="clear" w:color="auto" w:fill="auto"/>
            <w:vAlign w:val="center"/>
          </w:tcPr>
          <w:p w14:paraId="7B76432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86644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0D38D3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1BDF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质控节点提醒：提供流程下一个质控节点倒计时；</w:t>
            </w:r>
          </w:p>
        </w:tc>
      </w:tr>
      <w:tr w14:paraId="6932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A7C1F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557</w:t>
            </w:r>
          </w:p>
        </w:tc>
        <w:tc>
          <w:tcPr>
            <w:tcW w:w="639" w:type="dxa"/>
            <w:vMerge w:val="continue"/>
            <w:shd w:val="clear" w:color="auto" w:fill="auto"/>
            <w:vAlign w:val="center"/>
          </w:tcPr>
          <w:p w14:paraId="3946533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F2F6A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FF6978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244A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质控节点提醒：提供流程路径质控节点用时及质控；</w:t>
            </w:r>
          </w:p>
        </w:tc>
      </w:tr>
      <w:tr w14:paraId="6971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EC412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558</w:t>
            </w:r>
          </w:p>
        </w:tc>
        <w:tc>
          <w:tcPr>
            <w:tcW w:w="639" w:type="dxa"/>
            <w:vMerge w:val="continue"/>
            <w:shd w:val="clear" w:color="auto" w:fill="auto"/>
            <w:vAlign w:val="center"/>
          </w:tcPr>
          <w:p w14:paraId="57578EB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86BEA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14D6F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038FB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质控节点提醒：支持血常规、凝血功能，血糖，肾功能，肝功能检查关键细项数据显示，以及危急值预警；</w:t>
            </w:r>
          </w:p>
        </w:tc>
      </w:tr>
      <w:tr w14:paraId="73F8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96106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559</w:t>
            </w:r>
          </w:p>
        </w:tc>
        <w:tc>
          <w:tcPr>
            <w:tcW w:w="639" w:type="dxa"/>
            <w:vMerge w:val="continue"/>
            <w:shd w:val="clear" w:color="auto" w:fill="auto"/>
            <w:vAlign w:val="center"/>
          </w:tcPr>
          <w:p w14:paraId="614EA58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83F49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D641C4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5A9C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质控节点提醒：支持快速通知导管室，通过拨打已配置值班电话；</w:t>
            </w:r>
          </w:p>
        </w:tc>
      </w:tr>
      <w:tr w14:paraId="2001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B1756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560</w:t>
            </w:r>
          </w:p>
        </w:tc>
        <w:tc>
          <w:tcPr>
            <w:tcW w:w="639" w:type="dxa"/>
            <w:vMerge w:val="continue"/>
            <w:shd w:val="clear" w:color="auto" w:fill="auto"/>
            <w:vAlign w:val="center"/>
          </w:tcPr>
          <w:p w14:paraId="71294C5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F4651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C043A4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8DFFE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质控节点提醒：支持导管室激活完成，在患者列表和患者顶部显示页中提示；</w:t>
            </w:r>
          </w:p>
        </w:tc>
      </w:tr>
      <w:tr w14:paraId="491D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D1C72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561</w:t>
            </w:r>
          </w:p>
        </w:tc>
        <w:tc>
          <w:tcPr>
            <w:tcW w:w="639" w:type="dxa"/>
            <w:vMerge w:val="continue"/>
            <w:shd w:val="clear" w:color="auto" w:fill="auto"/>
            <w:vAlign w:val="center"/>
          </w:tcPr>
          <w:p w14:paraId="1A2A36F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0456D0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9A11F9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0C6B17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质控节点提醒：支持以点击方式快速记录当前时间点，节点前后顺序控制，支持及时变更；</w:t>
            </w:r>
          </w:p>
        </w:tc>
      </w:tr>
      <w:tr w14:paraId="14F6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373B4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562</w:t>
            </w:r>
          </w:p>
        </w:tc>
        <w:tc>
          <w:tcPr>
            <w:tcW w:w="639" w:type="dxa"/>
            <w:vMerge w:val="continue"/>
            <w:shd w:val="clear" w:color="auto" w:fill="auto"/>
            <w:vAlign w:val="center"/>
          </w:tcPr>
          <w:p w14:paraId="262BF50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84A5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4F8F25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9FDBF1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质控节点提醒：对时限类提醒和建议类提醒有清晰的图标或颜色显示。</w:t>
            </w:r>
          </w:p>
        </w:tc>
      </w:tr>
      <w:tr w14:paraId="3AE8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0C496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563</w:t>
            </w:r>
          </w:p>
        </w:tc>
        <w:tc>
          <w:tcPr>
            <w:tcW w:w="639" w:type="dxa"/>
            <w:vMerge w:val="continue"/>
            <w:shd w:val="clear" w:color="auto" w:fill="auto"/>
            <w:vAlign w:val="center"/>
          </w:tcPr>
          <w:p w14:paraId="088028D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A03518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487840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8E1963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会诊记录：支持在线发起会诊，快速选择科室和医生快速拨打科室值班电话或医生联系电话；</w:t>
            </w:r>
          </w:p>
        </w:tc>
      </w:tr>
      <w:tr w14:paraId="7C95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F0D89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564</w:t>
            </w:r>
          </w:p>
        </w:tc>
        <w:tc>
          <w:tcPr>
            <w:tcW w:w="639" w:type="dxa"/>
            <w:vMerge w:val="continue"/>
            <w:shd w:val="clear" w:color="auto" w:fill="auto"/>
            <w:vAlign w:val="center"/>
          </w:tcPr>
          <w:p w14:paraId="43F82F5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87E60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B4B864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79AC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会诊记录：支持会诊患者病历模板</w:t>
            </w:r>
            <w:r>
              <w:rPr>
                <w:rFonts w:hint="eastAsia" w:ascii="宋体" w:hAnsi="宋体" w:cs="宋体"/>
                <w:i w:val="0"/>
                <w:iCs w:val="0"/>
                <w:color w:val="auto"/>
                <w:kern w:val="0"/>
                <w:sz w:val="22"/>
                <w:szCs w:val="22"/>
                <w:highlight w:val="none"/>
                <w:u w:val="none"/>
                <w:lang w:val="en-US" w:eastAsia="zh-CN" w:bidi="ar"/>
              </w:rPr>
              <w:t>化</w:t>
            </w:r>
            <w:r>
              <w:rPr>
                <w:rFonts w:hint="eastAsia" w:ascii="宋体" w:hAnsi="宋体" w:eastAsia="宋体" w:cs="宋体"/>
                <w:i w:val="0"/>
                <w:iCs w:val="0"/>
                <w:color w:val="auto"/>
                <w:kern w:val="0"/>
                <w:sz w:val="22"/>
                <w:szCs w:val="22"/>
                <w:highlight w:val="none"/>
                <w:u w:val="none"/>
                <w:lang w:val="en-US" w:eastAsia="zh-CN" w:bidi="ar"/>
              </w:rPr>
              <w:t>，快速选择模板，以及在线编辑模板；</w:t>
            </w:r>
          </w:p>
        </w:tc>
      </w:tr>
      <w:tr w14:paraId="62E1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7CECD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565</w:t>
            </w:r>
          </w:p>
        </w:tc>
        <w:tc>
          <w:tcPr>
            <w:tcW w:w="639" w:type="dxa"/>
            <w:vMerge w:val="continue"/>
            <w:shd w:val="clear" w:color="auto" w:fill="auto"/>
            <w:vAlign w:val="center"/>
          </w:tcPr>
          <w:p w14:paraId="67AF423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571FD5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768D17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B1E0E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会诊记录：支持会诊被邀请者会诊邀请提示，患者情况了解，倒计时紧急度显示；</w:t>
            </w:r>
          </w:p>
        </w:tc>
      </w:tr>
      <w:tr w14:paraId="51E2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2BEF9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566</w:t>
            </w:r>
          </w:p>
        </w:tc>
        <w:tc>
          <w:tcPr>
            <w:tcW w:w="639" w:type="dxa"/>
            <w:vMerge w:val="continue"/>
            <w:shd w:val="clear" w:color="auto" w:fill="auto"/>
            <w:vAlign w:val="center"/>
          </w:tcPr>
          <w:p w14:paraId="70F450C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84584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029E8F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65A7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会诊记录：支持会诊快速签到，记录被邀请者的到场时间；</w:t>
            </w:r>
          </w:p>
        </w:tc>
      </w:tr>
      <w:tr w14:paraId="77DE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1201E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567</w:t>
            </w:r>
          </w:p>
        </w:tc>
        <w:tc>
          <w:tcPr>
            <w:tcW w:w="639" w:type="dxa"/>
            <w:vMerge w:val="continue"/>
            <w:shd w:val="clear" w:color="auto" w:fill="auto"/>
            <w:vAlign w:val="center"/>
          </w:tcPr>
          <w:p w14:paraId="2B204B7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7DB94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57D05D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76BFC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会诊记录：支持会诊在线回复，可以通过拍照存档；</w:t>
            </w:r>
          </w:p>
        </w:tc>
      </w:tr>
      <w:tr w14:paraId="5B5A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58384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568</w:t>
            </w:r>
          </w:p>
        </w:tc>
        <w:tc>
          <w:tcPr>
            <w:tcW w:w="639" w:type="dxa"/>
            <w:vMerge w:val="continue"/>
            <w:shd w:val="clear" w:color="auto" w:fill="auto"/>
            <w:vAlign w:val="center"/>
          </w:tcPr>
          <w:p w14:paraId="1A85D66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7E008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723816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00999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★支持卒中患者的消息提醒和重点指标超时提醒，医护人员可直接点击进行消息浏览查看。</w:t>
            </w:r>
          </w:p>
        </w:tc>
      </w:tr>
      <w:tr w14:paraId="50C1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196D1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569</w:t>
            </w:r>
          </w:p>
        </w:tc>
        <w:tc>
          <w:tcPr>
            <w:tcW w:w="639" w:type="dxa"/>
            <w:vMerge w:val="continue"/>
            <w:shd w:val="clear" w:color="auto" w:fill="auto"/>
            <w:vAlign w:val="center"/>
          </w:tcPr>
          <w:p w14:paraId="44ACFBE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01F9BE">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550AC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患者综合档案信息管理</w:t>
            </w:r>
          </w:p>
        </w:tc>
        <w:tc>
          <w:tcPr>
            <w:tcW w:w="6555" w:type="dxa"/>
            <w:shd w:val="clear" w:color="auto" w:fill="auto"/>
            <w:vAlign w:val="center"/>
          </w:tcPr>
          <w:p w14:paraId="7C7B4E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卒中急救列表可查看最新的患者信息，包括患者姓名、性别、年龄、危重情况</w:t>
            </w:r>
          </w:p>
        </w:tc>
      </w:tr>
      <w:tr w14:paraId="1D3E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B3E4B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570</w:t>
            </w:r>
          </w:p>
        </w:tc>
        <w:tc>
          <w:tcPr>
            <w:tcW w:w="639" w:type="dxa"/>
            <w:vMerge w:val="continue"/>
            <w:shd w:val="clear" w:color="auto" w:fill="auto"/>
            <w:vAlign w:val="center"/>
          </w:tcPr>
          <w:p w14:paraId="0792259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5B9851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C4A055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F0D84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支持通过患者病种、姓名等信息快速定位患者。</w:t>
            </w:r>
          </w:p>
        </w:tc>
      </w:tr>
      <w:tr w14:paraId="5C2C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EAD67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571</w:t>
            </w:r>
          </w:p>
        </w:tc>
        <w:tc>
          <w:tcPr>
            <w:tcW w:w="639" w:type="dxa"/>
            <w:vMerge w:val="continue"/>
            <w:shd w:val="clear" w:color="auto" w:fill="auto"/>
            <w:vAlign w:val="center"/>
          </w:tcPr>
          <w:p w14:paraId="4E288B8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31092D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6A2CFD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B618C3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支持展示卒中急救过程实时时间节点实现系统生成一份诊疗流程时间轴</w:t>
            </w:r>
          </w:p>
        </w:tc>
      </w:tr>
      <w:tr w14:paraId="12B9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7A667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572</w:t>
            </w:r>
          </w:p>
        </w:tc>
        <w:tc>
          <w:tcPr>
            <w:tcW w:w="639" w:type="dxa"/>
            <w:vMerge w:val="continue"/>
            <w:shd w:val="clear" w:color="auto" w:fill="auto"/>
            <w:vAlign w:val="center"/>
          </w:tcPr>
          <w:p w14:paraId="7AA1461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3B4A9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8A4AF0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39E8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支持病情记录单功能，医护人员通过卒中急救工作站即可完成病情记录、体征记录、卒中诊疗、治疗记录信息，还需同时支持手工录入补充信息功能。</w:t>
            </w:r>
          </w:p>
        </w:tc>
      </w:tr>
      <w:tr w14:paraId="7A70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65905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573</w:t>
            </w:r>
          </w:p>
        </w:tc>
        <w:tc>
          <w:tcPr>
            <w:tcW w:w="639" w:type="dxa"/>
            <w:vMerge w:val="continue"/>
            <w:shd w:val="clear" w:color="auto" w:fill="auto"/>
            <w:vAlign w:val="center"/>
          </w:tcPr>
          <w:p w14:paraId="07B6BA8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D4569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F3F267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00D094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支持脑卒中急救过程各类情况完整时间节点记录，支持自动获取当前时间，对接获取自动采集时间节点数据；支持病程及救治过程关键节点时间记录功能，时间轴管理，救治登记表生成</w:t>
            </w:r>
          </w:p>
        </w:tc>
      </w:tr>
      <w:tr w14:paraId="0689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295E8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574</w:t>
            </w:r>
          </w:p>
        </w:tc>
        <w:tc>
          <w:tcPr>
            <w:tcW w:w="639" w:type="dxa"/>
            <w:vMerge w:val="continue"/>
            <w:shd w:val="clear" w:color="auto" w:fill="auto"/>
            <w:vAlign w:val="center"/>
          </w:tcPr>
          <w:p w14:paraId="6EE6E4F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EC8647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E9B51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CB59D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通过对患者的病情、体征、检验检查等方式，对患者进行初步诊断，初步诊断分为出血性脑卒中、缺血性脑卒中、其它。针对不同的初步诊断，有不同的治疗方案。</w:t>
            </w:r>
          </w:p>
        </w:tc>
      </w:tr>
      <w:tr w14:paraId="77CB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9F607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575</w:t>
            </w:r>
          </w:p>
        </w:tc>
        <w:tc>
          <w:tcPr>
            <w:tcW w:w="639" w:type="dxa"/>
            <w:vMerge w:val="continue"/>
            <w:shd w:val="clear" w:color="auto" w:fill="auto"/>
            <w:vAlign w:val="center"/>
          </w:tcPr>
          <w:p w14:paraId="5744B88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9F52C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1EEB5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8871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体征记录可记录患者的意识、心率、呼吸、收缩压、舒张压、血氧饱和度、体温，可记录瞳孔情况。</w:t>
            </w:r>
          </w:p>
        </w:tc>
      </w:tr>
      <w:tr w14:paraId="44A2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576" w:type="dxa"/>
            <w:shd w:val="clear" w:color="auto" w:fill="auto"/>
            <w:vAlign w:val="center"/>
          </w:tcPr>
          <w:p w14:paraId="2C8434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576</w:t>
            </w:r>
          </w:p>
        </w:tc>
        <w:tc>
          <w:tcPr>
            <w:tcW w:w="639" w:type="dxa"/>
            <w:vMerge w:val="continue"/>
            <w:shd w:val="clear" w:color="auto" w:fill="auto"/>
            <w:vAlign w:val="center"/>
          </w:tcPr>
          <w:p w14:paraId="6BD4F7E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4E0791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028444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87674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治疗记录记录在急救过程中，</w:t>
            </w:r>
            <w:r>
              <w:rPr>
                <w:rFonts w:hint="eastAsia" w:ascii="宋体" w:hAnsi="宋体" w:cs="宋体"/>
                <w:i w:val="0"/>
                <w:iCs w:val="0"/>
                <w:color w:val="auto"/>
                <w:kern w:val="0"/>
                <w:sz w:val="22"/>
                <w:szCs w:val="22"/>
                <w:highlight w:val="none"/>
                <w:u w:val="none"/>
                <w:lang w:val="en-US" w:eastAsia="zh-CN" w:bidi="ar"/>
              </w:rPr>
              <w:t>给予</w:t>
            </w:r>
            <w:r>
              <w:rPr>
                <w:rFonts w:hint="eastAsia" w:ascii="宋体" w:hAnsi="宋体" w:eastAsia="宋体" w:cs="宋体"/>
                <w:i w:val="0"/>
                <w:iCs w:val="0"/>
                <w:color w:val="auto"/>
                <w:kern w:val="0"/>
                <w:sz w:val="22"/>
                <w:szCs w:val="22"/>
                <w:highlight w:val="none"/>
                <w:u w:val="none"/>
                <w:lang w:val="en-US" w:eastAsia="zh-CN" w:bidi="ar"/>
              </w:rPr>
              <w:t>的治疗措施，包括以下内容：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1.支持溶栓评估，包括溶栓禁忌症、适应症评估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2.支持溶栓治疗，包括溶栓药物、溶栓时间、取栓时间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3.支持其它辅助治疗</w:t>
            </w:r>
          </w:p>
        </w:tc>
      </w:tr>
      <w:tr w14:paraId="22FA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771B3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577</w:t>
            </w:r>
          </w:p>
        </w:tc>
        <w:tc>
          <w:tcPr>
            <w:tcW w:w="639" w:type="dxa"/>
            <w:vMerge w:val="continue"/>
            <w:shd w:val="clear" w:color="auto" w:fill="auto"/>
            <w:vAlign w:val="center"/>
          </w:tcPr>
          <w:p w14:paraId="5C33C43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13508E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A9606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32077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检查</w:t>
            </w:r>
            <w:r>
              <w:rPr>
                <w:rFonts w:hint="eastAsia" w:ascii="宋体" w:hAnsi="宋体" w:eastAsia="宋体" w:cs="宋体"/>
                <w:i w:val="0"/>
                <w:iCs w:val="0"/>
                <w:color w:val="auto"/>
                <w:kern w:val="0"/>
                <w:sz w:val="22"/>
                <w:szCs w:val="22"/>
                <w:highlight w:val="none"/>
                <w:u w:val="none"/>
                <w:lang w:val="en-US" w:eastAsia="zh-CN" w:bidi="ar"/>
              </w:rPr>
              <w:t>报告，支持检验数据报告的查看。</w:t>
            </w:r>
          </w:p>
        </w:tc>
      </w:tr>
      <w:tr w14:paraId="66CB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B8B7C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w:t>
            </w:r>
          </w:p>
        </w:tc>
        <w:tc>
          <w:tcPr>
            <w:tcW w:w="639" w:type="dxa"/>
            <w:vMerge w:val="continue"/>
            <w:shd w:val="clear" w:color="auto" w:fill="auto"/>
            <w:vAlign w:val="center"/>
          </w:tcPr>
          <w:p w14:paraId="5F75C6B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F3CA8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FCFE5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63CE1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时间节点记录</w:t>
            </w:r>
          </w:p>
        </w:tc>
      </w:tr>
      <w:tr w14:paraId="25AC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4343A6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579</w:t>
            </w:r>
          </w:p>
        </w:tc>
        <w:tc>
          <w:tcPr>
            <w:tcW w:w="639" w:type="dxa"/>
            <w:vMerge w:val="continue"/>
            <w:shd w:val="clear" w:color="auto" w:fill="auto"/>
            <w:vAlign w:val="center"/>
          </w:tcPr>
          <w:p w14:paraId="62C02D4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11D4A5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754C50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297FF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支持自动感应、手动快速点击记录等多个方式记录时间；支持自动计算已执行过的时间节点的时间差值，定位耗时长的点位，优化医疗流程；支持 发病、呼叫、CT、医生接诊、签署知情同意、溶栓开始、穿刺时间、首次血管再通等关键时间节点记录。</w:t>
            </w:r>
          </w:p>
        </w:tc>
      </w:tr>
      <w:tr w14:paraId="04DE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1EEB72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580</w:t>
            </w:r>
          </w:p>
        </w:tc>
        <w:tc>
          <w:tcPr>
            <w:tcW w:w="639" w:type="dxa"/>
            <w:vMerge w:val="continue"/>
            <w:shd w:val="clear" w:color="auto" w:fill="auto"/>
            <w:vAlign w:val="center"/>
          </w:tcPr>
          <w:p w14:paraId="7370248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F745DE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F3DCB6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5F9C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患者转归，支持不同的转归方式，记录患者出院诊断、住院天数、费用、出院带药等信息，支持转送医院，医院名称，转出时间、转出科室、接诊医生、接诊护士。</w:t>
            </w:r>
          </w:p>
        </w:tc>
      </w:tr>
      <w:tr w14:paraId="27CB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576" w:type="dxa"/>
            <w:shd w:val="clear" w:color="auto" w:fill="auto"/>
            <w:vAlign w:val="center"/>
          </w:tcPr>
          <w:p w14:paraId="481313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581</w:t>
            </w:r>
          </w:p>
        </w:tc>
        <w:tc>
          <w:tcPr>
            <w:tcW w:w="639" w:type="dxa"/>
            <w:vMerge w:val="continue"/>
            <w:shd w:val="clear" w:color="auto" w:fill="auto"/>
            <w:vAlign w:val="center"/>
          </w:tcPr>
          <w:p w14:paraId="18C22D5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9D308B3">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35881E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卒中患者档案直报国家平台</w:t>
            </w:r>
          </w:p>
        </w:tc>
        <w:tc>
          <w:tcPr>
            <w:tcW w:w="6555" w:type="dxa"/>
            <w:shd w:val="clear" w:color="auto" w:fill="auto"/>
            <w:vAlign w:val="center"/>
          </w:tcPr>
          <w:p w14:paraId="2B9423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卒中患者的档案通过人工或系统审核校验后自动上传至国家脑防委数据填报平台，完成卒中中心认证标准所要求有效信息的准确录入，减轻了医护人员的工作量，同时避免了手工录入所带来的数据不对称性错误。卒中中心目前省平台未对外开放，但我院目前主要与省平台对接</w:t>
            </w:r>
          </w:p>
        </w:tc>
      </w:tr>
      <w:tr w14:paraId="344B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0D5D8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582</w:t>
            </w:r>
          </w:p>
        </w:tc>
        <w:tc>
          <w:tcPr>
            <w:tcW w:w="639" w:type="dxa"/>
            <w:vMerge w:val="continue"/>
            <w:shd w:val="clear" w:color="auto" w:fill="auto"/>
            <w:vAlign w:val="center"/>
          </w:tcPr>
          <w:p w14:paraId="4EA99EC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13AE94">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72D9B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卒中消息通知管理</w:t>
            </w:r>
          </w:p>
        </w:tc>
        <w:tc>
          <w:tcPr>
            <w:tcW w:w="6555" w:type="dxa"/>
            <w:shd w:val="clear" w:color="auto" w:fill="auto"/>
            <w:vAlign w:val="center"/>
          </w:tcPr>
          <w:p w14:paraId="2DBA05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卒中接诊告知：分诊系统判断患者为疑似卒中患者时，启动绿色通道，给患者佩戴手环，系统马上通知卒中团队；支持钉钉和电话提醒。</w:t>
            </w:r>
          </w:p>
        </w:tc>
      </w:tr>
      <w:tr w14:paraId="5FF3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8573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583</w:t>
            </w:r>
          </w:p>
        </w:tc>
        <w:tc>
          <w:tcPr>
            <w:tcW w:w="639" w:type="dxa"/>
            <w:vMerge w:val="continue"/>
            <w:shd w:val="clear" w:color="auto" w:fill="auto"/>
            <w:vAlign w:val="center"/>
          </w:tcPr>
          <w:p w14:paraId="0C48EDF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A5E0BF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220C1C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38BD83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医嘱开立完成告知：有检验医嘱，系统通知护士对患者进行抽血操作；支持钉钉和电话提醒。</w:t>
            </w:r>
          </w:p>
        </w:tc>
      </w:tr>
      <w:tr w14:paraId="7C37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15363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584</w:t>
            </w:r>
          </w:p>
        </w:tc>
        <w:tc>
          <w:tcPr>
            <w:tcW w:w="639" w:type="dxa"/>
            <w:vMerge w:val="continue"/>
            <w:shd w:val="clear" w:color="auto" w:fill="auto"/>
            <w:vAlign w:val="center"/>
          </w:tcPr>
          <w:p w14:paraId="56B2560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7C334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4842B6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D2B52E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医嘱开立完成告知：有检验医嘱，系统通知检验科医生有检验需求，请准备；支持钉钉和电话提醒。</w:t>
            </w:r>
          </w:p>
        </w:tc>
      </w:tr>
      <w:tr w14:paraId="56FE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4A9F5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585</w:t>
            </w:r>
          </w:p>
        </w:tc>
        <w:tc>
          <w:tcPr>
            <w:tcW w:w="639" w:type="dxa"/>
            <w:vMerge w:val="continue"/>
            <w:shd w:val="clear" w:color="auto" w:fill="auto"/>
            <w:vAlign w:val="center"/>
          </w:tcPr>
          <w:p w14:paraId="676BFBB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4F479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17AB89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0D519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医嘱开立完成告知：有心电图检查医嘱，系统通知心电室医生有检查要求请准备；支持钉钉和电话提醒。</w:t>
            </w:r>
          </w:p>
        </w:tc>
      </w:tr>
      <w:tr w14:paraId="7426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43F5B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586</w:t>
            </w:r>
          </w:p>
        </w:tc>
        <w:tc>
          <w:tcPr>
            <w:tcW w:w="639" w:type="dxa"/>
            <w:vMerge w:val="continue"/>
            <w:shd w:val="clear" w:color="auto" w:fill="auto"/>
            <w:vAlign w:val="center"/>
          </w:tcPr>
          <w:p w14:paraId="7BD97B1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312FD3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3AA570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20EDF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检验结果告知：检验结果出来后，系统自动读取并实时通知到神经内科医生；支持钉钉和电话提醒。</w:t>
            </w:r>
          </w:p>
        </w:tc>
      </w:tr>
      <w:tr w14:paraId="1CE6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08E4D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587</w:t>
            </w:r>
          </w:p>
        </w:tc>
        <w:tc>
          <w:tcPr>
            <w:tcW w:w="639" w:type="dxa"/>
            <w:vMerge w:val="continue"/>
            <w:shd w:val="clear" w:color="auto" w:fill="auto"/>
            <w:vAlign w:val="center"/>
          </w:tcPr>
          <w:p w14:paraId="46CDFC3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9E345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52361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058558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取栓通知：神内医生对患者评分结果大于等于6分时，且发病小于6</w:t>
            </w:r>
            <w:r>
              <w:rPr>
                <w:rFonts w:hint="eastAsia" w:ascii="宋体" w:hAnsi="宋体" w:cs="宋体"/>
                <w:i w:val="0"/>
                <w:iCs w:val="0"/>
                <w:color w:val="auto"/>
                <w:kern w:val="0"/>
                <w:sz w:val="22"/>
                <w:szCs w:val="22"/>
                <w:highlight w:val="none"/>
                <w:u w:val="none"/>
                <w:lang w:val="en-US" w:eastAsia="zh-CN" w:bidi="ar"/>
              </w:rPr>
              <w:t>小时</w:t>
            </w:r>
            <w:r>
              <w:rPr>
                <w:rFonts w:hint="eastAsia" w:ascii="宋体" w:hAnsi="宋体" w:eastAsia="宋体" w:cs="宋体"/>
                <w:i w:val="0"/>
                <w:iCs w:val="0"/>
                <w:color w:val="auto"/>
                <w:kern w:val="0"/>
                <w:sz w:val="22"/>
                <w:szCs w:val="22"/>
                <w:highlight w:val="none"/>
                <w:u w:val="none"/>
                <w:lang w:val="en-US" w:eastAsia="zh-CN" w:bidi="ar"/>
              </w:rPr>
              <w:t>，系统立刻通知取栓团队；支持钉钉和电话提醒。</w:t>
            </w:r>
          </w:p>
        </w:tc>
      </w:tr>
      <w:tr w14:paraId="7DEF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055F8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588</w:t>
            </w:r>
          </w:p>
        </w:tc>
        <w:tc>
          <w:tcPr>
            <w:tcW w:w="639" w:type="dxa"/>
            <w:vMerge w:val="continue"/>
            <w:shd w:val="clear" w:color="auto" w:fill="auto"/>
            <w:vAlign w:val="center"/>
          </w:tcPr>
          <w:p w14:paraId="1DAB545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A345E3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D76FF7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C07B7C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导管室激活告知：神内科医生确定该患者符合取栓条件并确定进行手术时，系统自动向组员通知患者信息与手术时间；支持钉钉和电话提醒。</w:t>
            </w:r>
          </w:p>
        </w:tc>
      </w:tr>
      <w:tr w14:paraId="4995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2A2593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589</w:t>
            </w:r>
          </w:p>
        </w:tc>
        <w:tc>
          <w:tcPr>
            <w:tcW w:w="639" w:type="dxa"/>
            <w:vMerge w:val="continue"/>
            <w:shd w:val="clear" w:color="auto" w:fill="auto"/>
            <w:vAlign w:val="center"/>
          </w:tcPr>
          <w:p w14:paraId="0261643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A2BFD3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B566C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卒中重点指标超时提醒管理</w:t>
            </w:r>
          </w:p>
        </w:tc>
        <w:tc>
          <w:tcPr>
            <w:tcW w:w="6555" w:type="dxa"/>
            <w:shd w:val="clear" w:color="auto" w:fill="auto"/>
            <w:vAlign w:val="center"/>
          </w:tcPr>
          <w:p w14:paraId="1CE673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入院评估超时提醒：卒中患者到院后，绿色通道启动，卒中团队医生10分钟内完成病史查体，开</w:t>
            </w:r>
            <w:r>
              <w:rPr>
                <w:rFonts w:hint="eastAsia" w:ascii="宋体" w:hAnsi="宋体" w:cs="宋体"/>
                <w:i w:val="0"/>
                <w:iCs w:val="0"/>
                <w:color w:val="auto"/>
                <w:kern w:val="0"/>
                <w:sz w:val="22"/>
                <w:szCs w:val="22"/>
                <w:highlight w:val="none"/>
                <w:u w:val="none"/>
                <w:lang w:val="en-US" w:eastAsia="zh-CN" w:bidi="ar"/>
              </w:rPr>
              <w:t>展</w:t>
            </w:r>
            <w:r>
              <w:rPr>
                <w:rFonts w:hint="eastAsia" w:ascii="宋体" w:hAnsi="宋体" w:eastAsia="宋体" w:cs="宋体"/>
                <w:i w:val="0"/>
                <w:iCs w:val="0"/>
                <w:color w:val="auto"/>
                <w:kern w:val="0"/>
                <w:sz w:val="22"/>
                <w:szCs w:val="22"/>
                <w:highlight w:val="none"/>
                <w:u w:val="none"/>
                <w:lang w:val="en-US" w:eastAsia="zh-CN" w:bidi="ar"/>
              </w:rPr>
              <w:t>检查和入院评估，超时未完成系统自动向卒中团队医生发送提醒，时间可设置；支持钉钉和电话提醒。</w:t>
            </w:r>
          </w:p>
        </w:tc>
      </w:tr>
      <w:tr w14:paraId="3161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A22F5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590</w:t>
            </w:r>
          </w:p>
        </w:tc>
        <w:tc>
          <w:tcPr>
            <w:tcW w:w="639" w:type="dxa"/>
            <w:vMerge w:val="continue"/>
            <w:shd w:val="clear" w:color="auto" w:fill="auto"/>
            <w:vAlign w:val="center"/>
          </w:tcPr>
          <w:p w14:paraId="3BA8044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F5E637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6FC977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06D8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CT/CTA/CTP检查超时提醒：卒中患者到院后25分钟内患者未进行CT/CTA/CTP检查，系统自动向相关医生发送提醒，时间可设置；支持钉钉和电话提醒。</w:t>
            </w:r>
          </w:p>
        </w:tc>
      </w:tr>
      <w:tr w14:paraId="1173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3C684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591</w:t>
            </w:r>
          </w:p>
        </w:tc>
        <w:tc>
          <w:tcPr>
            <w:tcW w:w="639" w:type="dxa"/>
            <w:vMerge w:val="continue"/>
            <w:shd w:val="clear" w:color="auto" w:fill="auto"/>
            <w:vAlign w:val="center"/>
          </w:tcPr>
          <w:p w14:paraId="1E0338C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D6A0B2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777E5F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8C31F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CT/CTA/CTP解读超时提醒：CT/CTA/CTP检查后，5分钟内未完成阅片解读，系统自动向相关医生发送提醒，时间可设置；支持钉钉和电话提醒。</w:t>
            </w:r>
          </w:p>
        </w:tc>
      </w:tr>
      <w:tr w14:paraId="27FE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AEB01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592</w:t>
            </w:r>
          </w:p>
        </w:tc>
        <w:tc>
          <w:tcPr>
            <w:tcW w:w="639" w:type="dxa"/>
            <w:vMerge w:val="continue"/>
            <w:shd w:val="clear" w:color="auto" w:fill="auto"/>
            <w:vAlign w:val="center"/>
          </w:tcPr>
          <w:p w14:paraId="530ED22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45CF6F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EF9E5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4FADE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★静脉溶栓提醒：发病小于4.5小时的患者，到院后40分钟内未进行溶栓，系统自动向相关医生发送提醒，时间可设置；支持钉钉和电话提醒。</w:t>
            </w:r>
          </w:p>
        </w:tc>
      </w:tr>
      <w:tr w14:paraId="2EF8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3A88A0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593</w:t>
            </w:r>
          </w:p>
        </w:tc>
        <w:tc>
          <w:tcPr>
            <w:tcW w:w="639" w:type="dxa"/>
            <w:vMerge w:val="continue"/>
            <w:shd w:val="clear" w:color="auto" w:fill="auto"/>
            <w:vAlign w:val="center"/>
          </w:tcPr>
          <w:p w14:paraId="0004575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DB22B9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BF7888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E0BC4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神经内科医生会诊提醒：CT/CTA/CTP阅片后有取栓条件后，系统自动通知神经内科医生，神内科医生到达患者身边的时间超过10分钟，系统自动向神内科医生发送提醒。时间可设置；支持钉钉和电话提醒。</w:t>
            </w:r>
          </w:p>
        </w:tc>
      </w:tr>
      <w:tr w14:paraId="093D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650D16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594</w:t>
            </w:r>
          </w:p>
        </w:tc>
        <w:tc>
          <w:tcPr>
            <w:tcW w:w="639" w:type="dxa"/>
            <w:vMerge w:val="continue"/>
            <w:shd w:val="clear" w:color="auto" w:fill="auto"/>
            <w:vAlign w:val="center"/>
          </w:tcPr>
          <w:p w14:paraId="58E2E3A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786D73D">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3427D3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大数据可视化大屏</w:t>
            </w:r>
          </w:p>
        </w:tc>
        <w:tc>
          <w:tcPr>
            <w:tcW w:w="6555" w:type="dxa"/>
            <w:shd w:val="clear" w:color="auto" w:fill="auto"/>
            <w:vAlign w:val="center"/>
          </w:tcPr>
          <w:p w14:paraId="3717B7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通过大屏的方式，汇总展示关键信息，可将卒中中心当前建设成果直观展示。包含患者趋势，关键质控指标趋势等，诊断统计、转归统计、来院方式、DNT时间占比等。</w:t>
            </w:r>
          </w:p>
        </w:tc>
      </w:tr>
      <w:tr w14:paraId="4417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ADEFA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595</w:t>
            </w:r>
          </w:p>
        </w:tc>
        <w:tc>
          <w:tcPr>
            <w:tcW w:w="639" w:type="dxa"/>
            <w:vMerge w:val="continue"/>
            <w:shd w:val="clear" w:color="auto" w:fill="auto"/>
            <w:vAlign w:val="center"/>
          </w:tcPr>
          <w:p w14:paraId="7293707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83C0A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18CB6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卒中患者随访管理</w:t>
            </w:r>
          </w:p>
        </w:tc>
        <w:tc>
          <w:tcPr>
            <w:tcW w:w="6555" w:type="dxa"/>
            <w:shd w:val="clear" w:color="auto" w:fill="auto"/>
            <w:vAlign w:val="center"/>
          </w:tcPr>
          <w:p w14:paraId="33CF13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创建随访任务：针对卒中患者，系统支持创建个性化的随访任务，确保每位患者都能得到适当的关注和跟踪。</w:t>
            </w:r>
          </w:p>
        </w:tc>
      </w:tr>
      <w:tr w14:paraId="018D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041AA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596</w:t>
            </w:r>
          </w:p>
        </w:tc>
        <w:tc>
          <w:tcPr>
            <w:tcW w:w="639" w:type="dxa"/>
            <w:vMerge w:val="continue"/>
            <w:shd w:val="clear" w:color="auto" w:fill="auto"/>
            <w:vAlign w:val="center"/>
          </w:tcPr>
          <w:p w14:paraId="0C0B0C3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7612F0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6E6EA7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8FD6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添加随访计划：医生可以为每位患者制定详细的随访计划，包括随访的时间、频率和内容，以满足患者的康复需求。</w:t>
            </w:r>
          </w:p>
        </w:tc>
      </w:tr>
      <w:tr w14:paraId="7829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0D990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597</w:t>
            </w:r>
          </w:p>
        </w:tc>
        <w:tc>
          <w:tcPr>
            <w:tcW w:w="639" w:type="dxa"/>
            <w:vMerge w:val="continue"/>
            <w:shd w:val="clear" w:color="auto" w:fill="auto"/>
            <w:vAlign w:val="center"/>
          </w:tcPr>
          <w:p w14:paraId="020B301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EF3EE2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E7F00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3A9ED9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设置随访任务提醒：系统能够自动发送提醒通知给医生和患者，确保双方都能按时执行随访任务，提高随访的准时率和效率。</w:t>
            </w:r>
          </w:p>
        </w:tc>
      </w:tr>
      <w:tr w14:paraId="05D3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BCBFE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598</w:t>
            </w:r>
          </w:p>
        </w:tc>
        <w:tc>
          <w:tcPr>
            <w:tcW w:w="639" w:type="dxa"/>
            <w:vMerge w:val="continue"/>
            <w:shd w:val="clear" w:color="auto" w:fill="auto"/>
            <w:vAlign w:val="center"/>
          </w:tcPr>
          <w:p w14:paraId="77EB387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48E812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DE6F89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F0BC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结束随访任务并记录结果：完成随访后，医生可以结束随访任务并记录相关的随访结果和评估信息，为患者后续治疗提供依据。</w:t>
            </w:r>
          </w:p>
        </w:tc>
      </w:tr>
      <w:tr w14:paraId="7407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4BFA1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599</w:t>
            </w:r>
          </w:p>
        </w:tc>
        <w:tc>
          <w:tcPr>
            <w:tcW w:w="639" w:type="dxa"/>
            <w:vMerge w:val="continue"/>
            <w:shd w:val="clear" w:color="auto" w:fill="auto"/>
            <w:vAlign w:val="center"/>
          </w:tcPr>
          <w:p w14:paraId="49DA376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6A49B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FD7909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75491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查询和导出随访数据：系统支持方便的查询功能，帮助医生快速找到特定的随访数据。同时，随访数据可以导出为各种文件格式，方便进一步的分析和存档。</w:t>
            </w:r>
          </w:p>
        </w:tc>
      </w:tr>
      <w:tr w14:paraId="12BE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CA99E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639" w:type="dxa"/>
            <w:vMerge w:val="continue"/>
            <w:shd w:val="clear" w:color="auto" w:fill="auto"/>
            <w:vAlign w:val="center"/>
          </w:tcPr>
          <w:p w14:paraId="61A66F2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05DDD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FC493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6DEA5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随访统计分析：通过对随访数据进行统计分析，医生可以了解卒中患者的整体康复情况，评估治疗效果，为未来的治疗策略提供参考。</w:t>
            </w:r>
          </w:p>
        </w:tc>
      </w:tr>
      <w:tr w14:paraId="7BBC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AF197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601</w:t>
            </w:r>
          </w:p>
        </w:tc>
        <w:tc>
          <w:tcPr>
            <w:tcW w:w="639" w:type="dxa"/>
            <w:vMerge w:val="continue"/>
            <w:shd w:val="clear" w:color="auto" w:fill="auto"/>
            <w:vAlign w:val="center"/>
          </w:tcPr>
          <w:p w14:paraId="5759EA2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9F0B37">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33632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数据质控统计分析</w:t>
            </w:r>
          </w:p>
        </w:tc>
        <w:tc>
          <w:tcPr>
            <w:tcW w:w="6555" w:type="dxa"/>
            <w:shd w:val="clear" w:color="auto" w:fill="auto"/>
            <w:vAlign w:val="center"/>
          </w:tcPr>
          <w:p w14:paraId="0ED6D1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支持质控、统计指标：卒中患者抵达急诊接收NHISS评分的比例</w:t>
            </w:r>
          </w:p>
        </w:tc>
      </w:tr>
      <w:tr w14:paraId="644F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FB69A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602</w:t>
            </w:r>
          </w:p>
        </w:tc>
        <w:tc>
          <w:tcPr>
            <w:tcW w:w="639" w:type="dxa"/>
            <w:vMerge w:val="continue"/>
            <w:shd w:val="clear" w:color="auto" w:fill="auto"/>
            <w:vAlign w:val="center"/>
          </w:tcPr>
          <w:p w14:paraId="03E78E6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0A4334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931494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6BDF7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支持质控、统计指标：缺血性卒中患者在溶栓时间窗内接受静脉溶栓患者的比例</w:t>
            </w:r>
          </w:p>
        </w:tc>
      </w:tr>
      <w:tr w14:paraId="7324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4FA031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603</w:t>
            </w:r>
          </w:p>
        </w:tc>
        <w:tc>
          <w:tcPr>
            <w:tcW w:w="639" w:type="dxa"/>
            <w:vMerge w:val="continue"/>
            <w:shd w:val="clear" w:color="auto" w:fill="auto"/>
            <w:vAlign w:val="center"/>
          </w:tcPr>
          <w:p w14:paraId="2DC5E74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3E4D6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441DCB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0E9CC1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支持质控、统计指标：抵达医院60分钟内，急性缺血性卒中患者在溶栓时间窗内接受静脉溶栓的比例</w:t>
            </w:r>
          </w:p>
        </w:tc>
      </w:tr>
      <w:tr w14:paraId="4954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A201A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604</w:t>
            </w:r>
          </w:p>
        </w:tc>
        <w:tc>
          <w:tcPr>
            <w:tcW w:w="639" w:type="dxa"/>
            <w:vMerge w:val="continue"/>
            <w:shd w:val="clear" w:color="auto" w:fill="auto"/>
            <w:vAlign w:val="center"/>
          </w:tcPr>
          <w:p w14:paraId="1505F09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BDD7E2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175F74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61EA6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支持质控、统计指标：从到达急诊至开始做头颅CT时间</w:t>
            </w:r>
          </w:p>
        </w:tc>
      </w:tr>
      <w:tr w14:paraId="136E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4432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605</w:t>
            </w:r>
          </w:p>
        </w:tc>
        <w:tc>
          <w:tcPr>
            <w:tcW w:w="639" w:type="dxa"/>
            <w:vMerge w:val="continue"/>
            <w:shd w:val="clear" w:color="auto" w:fill="auto"/>
            <w:vAlign w:val="center"/>
          </w:tcPr>
          <w:p w14:paraId="0214347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968D9B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1C95F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A4FB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支持质控、统计指标：完成头颅ct&lt;25min的比例</w:t>
            </w:r>
          </w:p>
        </w:tc>
      </w:tr>
      <w:tr w14:paraId="38F1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C402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606</w:t>
            </w:r>
          </w:p>
        </w:tc>
        <w:tc>
          <w:tcPr>
            <w:tcW w:w="639" w:type="dxa"/>
            <w:vMerge w:val="continue"/>
            <w:shd w:val="clear" w:color="auto" w:fill="auto"/>
            <w:vAlign w:val="center"/>
          </w:tcPr>
          <w:p w14:paraId="24DDCC1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2D7403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FDCDF1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ACBE0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支持质控、统计指标：从入院到开始血管内治疗的时间</w:t>
            </w:r>
          </w:p>
        </w:tc>
      </w:tr>
      <w:tr w14:paraId="32BE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53AC6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607</w:t>
            </w:r>
          </w:p>
        </w:tc>
        <w:tc>
          <w:tcPr>
            <w:tcW w:w="639" w:type="dxa"/>
            <w:vMerge w:val="continue"/>
            <w:shd w:val="clear" w:color="auto" w:fill="auto"/>
            <w:vAlign w:val="center"/>
          </w:tcPr>
          <w:p w14:paraId="2DD1A61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374EB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229DFB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8F8FF1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支持质控、统计指标：卒中病人发病6小时后的溶栓比例</w:t>
            </w:r>
          </w:p>
        </w:tc>
      </w:tr>
      <w:tr w14:paraId="035B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A6351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608</w:t>
            </w:r>
          </w:p>
        </w:tc>
        <w:tc>
          <w:tcPr>
            <w:tcW w:w="639" w:type="dxa"/>
            <w:vMerge w:val="continue"/>
            <w:shd w:val="clear" w:color="auto" w:fill="auto"/>
            <w:vAlign w:val="center"/>
          </w:tcPr>
          <w:p w14:paraId="70ECEA3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1E18A6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B6EB3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5D399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支持质控、统计指标：发病6小时诊断为急性脑梗给予介入或溶栓的占比</w:t>
            </w:r>
          </w:p>
        </w:tc>
      </w:tr>
      <w:tr w14:paraId="50A6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A5B50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609</w:t>
            </w:r>
          </w:p>
        </w:tc>
        <w:tc>
          <w:tcPr>
            <w:tcW w:w="639" w:type="dxa"/>
            <w:vMerge w:val="continue"/>
            <w:shd w:val="clear" w:color="auto" w:fill="auto"/>
            <w:vAlign w:val="center"/>
          </w:tcPr>
          <w:p w14:paraId="70E005E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3995B1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96F18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第三方系统数据对接</w:t>
            </w:r>
          </w:p>
        </w:tc>
        <w:tc>
          <w:tcPr>
            <w:tcW w:w="6555" w:type="dxa"/>
            <w:shd w:val="clear" w:color="auto" w:fill="auto"/>
            <w:vAlign w:val="center"/>
          </w:tcPr>
          <w:p w14:paraId="6AEB57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与急诊系统对接</w:t>
            </w:r>
          </w:p>
        </w:tc>
      </w:tr>
      <w:tr w14:paraId="463F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9C356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610</w:t>
            </w:r>
          </w:p>
        </w:tc>
        <w:tc>
          <w:tcPr>
            <w:tcW w:w="639" w:type="dxa"/>
            <w:vMerge w:val="continue"/>
            <w:shd w:val="clear" w:color="auto" w:fill="auto"/>
            <w:vAlign w:val="center"/>
          </w:tcPr>
          <w:p w14:paraId="77EB831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8BC039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EE7A3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857B7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与HIS系统对接</w:t>
            </w:r>
          </w:p>
        </w:tc>
      </w:tr>
      <w:tr w14:paraId="24FC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E11F3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611</w:t>
            </w:r>
          </w:p>
        </w:tc>
        <w:tc>
          <w:tcPr>
            <w:tcW w:w="639" w:type="dxa"/>
            <w:vMerge w:val="continue"/>
            <w:shd w:val="clear" w:color="auto" w:fill="auto"/>
            <w:vAlign w:val="center"/>
          </w:tcPr>
          <w:p w14:paraId="0DA7DE8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79998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11A155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4A57A8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与LIS系统对接</w:t>
            </w:r>
          </w:p>
        </w:tc>
      </w:tr>
      <w:tr w14:paraId="1ACD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5B8F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612</w:t>
            </w:r>
          </w:p>
        </w:tc>
        <w:tc>
          <w:tcPr>
            <w:tcW w:w="639" w:type="dxa"/>
            <w:vMerge w:val="continue"/>
            <w:shd w:val="clear" w:color="auto" w:fill="auto"/>
            <w:vAlign w:val="center"/>
          </w:tcPr>
          <w:p w14:paraId="056D592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A67B0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17EBB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3B5B2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与PACS系统对接</w:t>
            </w:r>
          </w:p>
        </w:tc>
      </w:tr>
      <w:tr w14:paraId="64F6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987CE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613</w:t>
            </w:r>
          </w:p>
        </w:tc>
        <w:tc>
          <w:tcPr>
            <w:tcW w:w="639" w:type="dxa"/>
            <w:vMerge w:val="continue"/>
            <w:shd w:val="clear" w:color="auto" w:fill="auto"/>
            <w:vAlign w:val="center"/>
          </w:tcPr>
          <w:p w14:paraId="6D90BF6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A39539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6CA5D5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45A1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与住院信息系统对接</w:t>
            </w:r>
          </w:p>
        </w:tc>
      </w:tr>
      <w:tr w14:paraId="2A5D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C66FA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614</w:t>
            </w:r>
          </w:p>
        </w:tc>
        <w:tc>
          <w:tcPr>
            <w:tcW w:w="639" w:type="dxa"/>
            <w:vMerge w:val="continue"/>
            <w:shd w:val="clear" w:color="auto" w:fill="auto"/>
            <w:vAlign w:val="center"/>
          </w:tcPr>
          <w:p w14:paraId="483907F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41826C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8276E9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897E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单位钉钉组织架构：从钉钉中获得单位组织架构信息，实现手机钉钉端业务操作。 </w:t>
            </w:r>
          </w:p>
        </w:tc>
      </w:tr>
      <w:tr w14:paraId="2BD2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CB929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615</w:t>
            </w:r>
          </w:p>
        </w:tc>
        <w:tc>
          <w:tcPr>
            <w:tcW w:w="639" w:type="dxa"/>
            <w:vMerge w:val="continue"/>
            <w:shd w:val="clear" w:color="auto" w:fill="auto"/>
            <w:vAlign w:val="center"/>
          </w:tcPr>
          <w:p w14:paraId="2708E3A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39853E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75FDD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3ECAF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实现紧急通知和预警，通过自动拨打值班电话，医生电话</w:t>
            </w:r>
            <w:r>
              <w:rPr>
                <w:rFonts w:hint="eastAsia" w:ascii="宋体" w:hAnsi="宋体" w:cs="宋体"/>
                <w:i w:val="0"/>
                <w:iCs w:val="0"/>
                <w:color w:val="auto"/>
                <w:kern w:val="0"/>
                <w:sz w:val="22"/>
                <w:szCs w:val="22"/>
                <w:highlight w:val="none"/>
                <w:u w:val="none"/>
                <w:lang w:val="en-US" w:eastAsia="zh-CN" w:bidi="ar"/>
              </w:rPr>
              <w:t>进行</w:t>
            </w:r>
            <w:r>
              <w:rPr>
                <w:rFonts w:hint="eastAsia" w:ascii="宋体" w:hAnsi="宋体" w:eastAsia="宋体" w:cs="宋体"/>
                <w:i w:val="0"/>
                <w:iCs w:val="0"/>
                <w:color w:val="auto"/>
                <w:kern w:val="0"/>
                <w:sz w:val="22"/>
                <w:szCs w:val="22"/>
                <w:highlight w:val="none"/>
                <w:u w:val="none"/>
                <w:lang w:val="en-US" w:eastAsia="zh-CN" w:bidi="ar"/>
              </w:rPr>
              <w:t>通知提醒。</w:t>
            </w:r>
          </w:p>
        </w:tc>
      </w:tr>
      <w:tr w14:paraId="41BA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576" w:type="dxa"/>
            <w:shd w:val="clear" w:color="auto" w:fill="auto"/>
            <w:vAlign w:val="center"/>
          </w:tcPr>
          <w:p w14:paraId="11985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616</w:t>
            </w:r>
          </w:p>
        </w:tc>
        <w:tc>
          <w:tcPr>
            <w:tcW w:w="639" w:type="dxa"/>
            <w:vMerge w:val="continue"/>
            <w:shd w:val="clear" w:color="auto" w:fill="auto"/>
            <w:vAlign w:val="center"/>
          </w:tcPr>
          <w:p w14:paraId="102700FA">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4F08A2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创伤中心</w:t>
            </w:r>
          </w:p>
        </w:tc>
        <w:tc>
          <w:tcPr>
            <w:tcW w:w="986" w:type="dxa"/>
            <w:shd w:val="clear" w:color="auto" w:fill="auto"/>
            <w:vAlign w:val="center"/>
          </w:tcPr>
          <w:p w14:paraId="2BB5A5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符合相关功能指引规范</w:t>
            </w:r>
          </w:p>
        </w:tc>
        <w:tc>
          <w:tcPr>
            <w:tcW w:w="6555" w:type="dxa"/>
            <w:shd w:val="clear" w:color="auto" w:fill="auto"/>
            <w:vAlign w:val="center"/>
          </w:tcPr>
          <w:p w14:paraId="23C0442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《TZJHIA 08_2023 创伤中心信息系统功能规范》</w:t>
            </w:r>
          </w:p>
        </w:tc>
      </w:tr>
      <w:tr w14:paraId="4573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FB5A0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617</w:t>
            </w:r>
          </w:p>
        </w:tc>
        <w:tc>
          <w:tcPr>
            <w:tcW w:w="639" w:type="dxa"/>
            <w:vMerge w:val="continue"/>
            <w:shd w:val="clear" w:color="auto" w:fill="auto"/>
            <w:vAlign w:val="center"/>
          </w:tcPr>
          <w:p w14:paraId="44C3C4C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36F0C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B44AD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创伤急救绿色通道</w:t>
            </w:r>
          </w:p>
        </w:tc>
        <w:tc>
          <w:tcPr>
            <w:tcW w:w="6555" w:type="dxa"/>
            <w:shd w:val="clear" w:color="auto" w:fill="auto"/>
            <w:vAlign w:val="center"/>
          </w:tcPr>
          <w:p w14:paraId="426026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腕带绑定：系统支持患者佩戴智能手环，护士在分诊台通过读写设备的扫描读取腕带，快速登记患者佩戴的手环编号进行绑定，为自动采集质控时间做准备。</w:t>
            </w:r>
          </w:p>
        </w:tc>
      </w:tr>
      <w:tr w14:paraId="716F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7A553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618</w:t>
            </w:r>
          </w:p>
        </w:tc>
        <w:tc>
          <w:tcPr>
            <w:tcW w:w="639" w:type="dxa"/>
            <w:vMerge w:val="continue"/>
            <w:shd w:val="clear" w:color="auto" w:fill="auto"/>
            <w:vAlign w:val="center"/>
          </w:tcPr>
          <w:p w14:paraId="6016B7D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394067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3236A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CE2A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多学科协同通知（钉钉版）：支持与钉钉对接，接收患者后，可通过钉钉消息一键通知到创伤急救小组；并在钉钉上建立患者救治群组，便于后续诊疗沟通工作。   </w:t>
            </w:r>
          </w:p>
        </w:tc>
      </w:tr>
      <w:tr w14:paraId="26E9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8A59A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619</w:t>
            </w:r>
          </w:p>
        </w:tc>
        <w:tc>
          <w:tcPr>
            <w:tcW w:w="639" w:type="dxa"/>
            <w:vMerge w:val="continue"/>
            <w:shd w:val="clear" w:color="auto" w:fill="auto"/>
            <w:vAlign w:val="center"/>
          </w:tcPr>
          <w:p w14:paraId="2B4041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02A1E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F8CC11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EDEDA7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多学科协同通知（AI电话版）：支持与科室值班电话对接，接收患者后，点击一键启动呼叫，在线监视电话语音通报完成，若是占线或者失败，可进行回拨处理。</w:t>
            </w:r>
          </w:p>
        </w:tc>
      </w:tr>
      <w:tr w14:paraId="3CCA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52CB58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620</w:t>
            </w:r>
          </w:p>
        </w:tc>
        <w:tc>
          <w:tcPr>
            <w:tcW w:w="639" w:type="dxa"/>
            <w:vMerge w:val="continue"/>
            <w:shd w:val="clear" w:color="auto" w:fill="auto"/>
            <w:vAlign w:val="center"/>
          </w:tcPr>
          <w:p w14:paraId="7393E01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C2483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CEC07D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20E2C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多学科协同会诊：一键呼叫和通知启动后，支持同步启动多学科会诊，根据呼叫的科室以及呼叫内容，系统自动生成对应的会诊单。护士在线监视电话语音播报同时直接记录会诊医生到场时间。</w:t>
            </w:r>
          </w:p>
        </w:tc>
      </w:tr>
      <w:tr w14:paraId="513C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A5E19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621</w:t>
            </w:r>
          </w:p>
        </w:tc>
        <w:tc>
          <w:tcPr>
            <w:tcW w:w="639" w:type="dxa"/>
            <w:vMerge w:val="continue"/>
            <w:shd w:val="clear" w:color="auto" w:fill="auto"/>
            <w:vAlign w:val="center"/>
          </w:tcPr>
          <w:p w14:paraId="3C62AE5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E69860">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A8C4F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创伤移动工作站</w:t>
            </w:r>
          </w:p>
        </w:tc>
        <w:tc>
          <w:tcPr>
            <w:tcW w:w="6555" w:type="dxa"/>
            <w:shd w:val="clear" w:color="auto" w:fill="auto"/>
            <w:vAlign w:val="center"/>
          </w:tcPr>
          <w:p w14:paraId="5DB9037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创伤患者列表：包括姓名，年龄，性别，预检时间，创伤类型，病情评估，AIS评分，ISS评分，血压，呼吸，心率，床号</w:t>
            </w:r>
          </w:p>
        </w:tc>
      </w:tr>
      <w:tr w14:paraId="038F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ABE3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622</w:t>
            </w:r>
          </w:p>
        </w:tc>
        <w:tc>
          <w:tcPr>
            <w:tcW w:w="639" w:type="dxa"/>
            <w:vMerge w:val="continue"/>
            <w:shd w:val="clear" w:color="auto" w:fill="auto"/>
            <w:vAlign w:val="center"/>
          </w:tcPr>
          <w:p w14:paraId="5CAFC32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3225D9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1355C4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D884D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创伤患者列表：支持历史创伤患者的检索，当前列表显示近24小时内患者</w:t>
            </w:r>
          </w:p>
        </w:tc>
      </w:tr>
      <w:tr w14:paraId="182E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13C67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623</w:t>
            </w:r>
          </w:p>
        </w:tc>
        <w:tc>
          <w:tcPr>
            <w:tcW w:w="639" w:type="dxa"/>
            <w:vMerge w:val="continue"/>
            <w:shd w:val="clear" w:color="auto" w:fill="auto"/>
            <w:vAlign w:val="center"/>
          </w:tcPr>
          <w:p w14:paraId="0B7FFBD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10CF26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E031B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046BB1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创伤患者列表：支持创伤患者AIS,ISS评分</w:t>
            </w:r>
          </w:p>
        </w:tc>
      </w:tr>
      <w:tr w14:paraId="47B4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1D2B9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624</w:t>
            </w:r>
          </w:p>
        </w:tc>
        <w:tc>
          <w:tcPr>
            <w:tcW w:w="639" w:type="dxa"/>
            <w:vMerge w:val="continue"/>
            <w:shd w:val="clear" w:color="auto" w:fill="auto"/>
            <w:vAlign w:val="center"/>
          </w:tcPr>
          <w:p w14:paraId="301AFBE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105D2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FA4D25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F4B46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患者详情-院前信息：展示院前情况：到达方式，呼救时间，离场时间，TI评分及时间，GCS评分和时间</w:t>
            </w:r>
          </w:p>
        </w:tc>
      </w:tr>
      <w:tr w14:paraId="779C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5B774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625</w:t>
            </w:r>
          </w:p>
        </w:tc>
        <w:tc>
          <w:tcPr>
            <w:tcW w:w="639" w:type="dxa"/>
            <w:vMerge w:val="continue"/>
            <w:shd w:val="clear" w:color="auto" w:fill="auto"/>
            <w:vAlign w:val="center"/>
          </w:tcPr>
          <w:p w14:paraId="2F4EE8E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A9542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F875B5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E3A7A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患者详情-院前信息：展示诊断情况：病情判断，MPDS症状，呼救救护车类型（120，本院，外院）（如果是自行来院的选择来院方式），跟车医生，跟车护士，院前诊断，诊断时间。</w:t>
            </w:r>
          </w:p>
        </w:tc>
      </w:tr>
      <w:tr w14:paraId="5FFF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2B180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626</w:t>
            </w:r>
          </w:p>
        </w:tc>
        <w:tc>
          <w:tcPr>
            <w:tcW w:w="639" w:type="dxa"/>
            <w:vMerge w:val="continue"/>
            <w:shd w:val="clear" w:color="auto" w:fill="auto"/>
            <w:vAlign w:val="center"/>
          </w:tcPr>
          <w:p w14:paraId="4339181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BA5BA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31488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4F6DC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患者详情-院内信息：展示到院情况：预警时间，团队到达时间，患者到达时间，来院方式，是否已经死亡以及死亡时间。</w:t>
            </w:r>
          </w:p>
        </w:tc>
      </w:tr>
      <w:tr w14:paraId="3FD7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819B6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627</w:t>
            </w:r>
          </w:p>
        </w:tc>
        <w:tc>
          <w:tcPr>
            <w:tcW w:w="639" w:type="dxa"/>
            <w:vMerge w:val="continue"/>
            <w:shd w:val="clear" w:color="auto" w:fill="auto"/>
            <w:vAlign w:val="center"/>
          </w:tcPr>
          <w:p w14:paraId="01B9A0B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715559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D27FE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18D5A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患者详情-院内信息：展示生命体征：血压，体温，心律，血糖，呼吸，血氧</w:t>
            </w:r>
          </w:p>
        </w:tc>
      </w:tr>
      <w:tr w14:paraId="2192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8C310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628</w:t>
            </w:r>
          </w:p>
        </w:tc>
        <w:tc>
          <w:tcPr>
            <w:tcW w:w="639" w:type="dxa"/>
            <w:vMerge w:val="continue"/>
            <w:shd w:val="clear" w:color="auto" w:fill="auto"/>
            <w:vAlign w:val="center"/>
          </w:tcPr>
          <w:p w14:paraId="1FC0DBB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F042D0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1F387A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F56C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患者详情-院内信息：展示创伤评分：TI评分及时间，GCS评分及时间，AIS/ISS评分及时间</w:t>
            </w:r>
          </w:p>
        </w:tc>
      </w:tr>
      <w:tr w14:paraId="7B0E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39984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629</w:t>
            </w:r>
          </w:p>
        </w:tc>
        <w:tc>
          <w:tcPr>
            <w:tcW w:w="639" w:type="dxa"/>
            <w:vMerge w:val="continue"/>
            <w:shd w:val="clear" w:color="auto" w:fill="auto"/>
            <w:vAlign w:val="center"/>
          </w:tcPr>
          <w:p w14:paraId="7B7CC80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05EAE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199E2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42528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抢救措施：建立人工气道（提出，建立）时间，抽血（提出，执行）时间，控制性手术（提出，开始）时间，闭合式引流（提出，建立）时间，使用呼吸机（提出，开始）时间，其他措施。</w:t>
            </w:r>
          </w:p>
        </w:tc>
      </w:tr>
      <w:tr w14:paraId="02FA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51345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630</w:t>
            </w:r>
          </w:p>
        </w:tc>
        <w:tc>
          <w:tcPr>
            <w:tcW w:w="639" w:type="dxa"/>
            <w:vMerge w:val="continue"/>
            <w:shd w:val="clear" w:color="auto" w:fill="auto"/>
            <w:vAlign w:val="center"/>
          </w:tcPr>
          <w:p w14:paraId="0AED7E1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C6CDE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02C6E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AB113F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患者详情-院内信息：展示检验检查：全身快速CT完成时间，胸部X片完成时间，骨盆X片完成时间，FAST完成时间，其他X片完成时间。</w:t>
            </w:r>
          </w:p>
        </w:tc>
      </w:tr>
      <w:tr w14:paraId="4240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0BD4B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631</w:t>
            </w:r>
          </w:p>
        </w:tc>
        <w:tc>
          <w:tcPr>
            <w:tcW w:w="639" w:type="dxa"/>
            <w:vMerge w:val="continue"/>
            <w:shd w:val="clear" w:color="auto" w:fill="auto"/>
            <w:vAlign w:val="center"/>
          </w:tcPr>
          <w:p w14:paraId="00CCBE9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453E6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C68E2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5366B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患者详情-院内信息：展示其他记录：到达抢救室时间，离开抢救室时间，到达手术室时间，离开手术室时间。</w:t>
            </w:r>
          </w:p>
        </w:tc>
      </w:tr>
      <w:tr w14:paraId="2B9B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1C3C3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632</w:t>
            </w:r>
          </w:p>
        </w:tc>
        <w:tc>
          <w:tcPr>
            <w:tcW w:w="639" w:type="dxa"/>
            <w:vMerge w:val="continue"/>
            <w:shd w:val="clear" w:color="auto" w:fill="auto"/>
            <w:vAlign w:val="center"/>
          </w:tcPr>
          <w:p w14:paraId="3D88F0D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24062C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0AD58B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44E8C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患者详情-转归信息：展示住院信息：是否住院，办理住院时间，结束住院时间，住院天数，住院费用。</w:t>
            </w:r>
          </w:p>
        </w:tc>
      </w:tr>
      <w:tr w14:paraId="04D3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989A5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633</w:t>
            </w:r>
          </w:p>
        </w:tc>
        <w:tc>
          <w:tcPr>
            <w:tcW w:w="639" w:type="dxa"/>
            <w:vMerge w:val="continue"/>
            <w:shd w:val="clear" w:color="auto" w:fill="auto"/>
            <w:vAlign w:val="center"/>
          </w:tcPr>
          <w:p w14:paraId="137F7FF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AB9B42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C2E211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ECF6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患者详情-转归信息：展示ICU信息：是否到达ICU，达到ICU时间，离开ICU时间，ICU天数。</w:t>
            </w:r>
          </w:p>
        </w:tc>
      </w:tr>
      <w:tr w14:paraId="5AB8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B6152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634</w:t>
            </w:r>
          </w:p>
        </w:tc>
        <w:tc>
          <w:tcPr>
            <w:tcW w:w="639" w:type="dxa"/>
            <w:vMerge w:val="continue"/>
            <w:shd w:val="clear" w:color="auto" w:fill="auto"/>
            <w:vAlign w:val="center"/>
          </w:tcPr>
          <w:p w14:paraId="78FC32C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2F9F1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3CDBF2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B82AE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患者详情-转归信息：展示急诊转归：手术次数，抢救结果，病人去向，转归时间。</w:t>
            </w:r>
          </w:p>
        </w:tc>
      </w:tr>
      <w:tr w14:paraId="650E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8A91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635</w:t>
            </w:r>
          </w:p>
        </w:tc>
        <w:tc>
          <w:tcPr>
            <w:tcW w:w="639" w:type="dxa"/>
            <w:vMerge w:val="continue"/>
            <w:shd w:val="clear" w:color="auto" w:fill="auto"/>
            <w:vAlign w:val="center"/>
          </w:tcPr>
          <w:p w14:paraId="27BFDB5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4ACF5F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A08672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4AAF0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会诊记录：支持在线发起会诊，快速选择科室和医生快速拨打科室值班电话或医生联系电话</w:t>
            </w:r>
          </w:p>
        </w:tc>
      </w:tr>
      <w:tr w14:paraId="7AF6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73FB2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636</w:t>
            </w:r>
          </w:p>
        </w:tc>
        <w:tc>
          <w:tcPr>
            <w:tcW w:w="639" w:type="dxa"/>
            <w:vMerge w:val="continue"/>
            <w:shd w:val="clear" w:color="auto" w:fill="auto"/>
            <w:vAlign w:val="center"/>
          </w:tcPr>
          <w:p w14:paraId="77B8734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58BBE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B1AE35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640DBE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会诊记录：支持会诊患者病历模板</w:t>
            </w:r>
            <w:r>
              <w:rPr>
                <w:rFonts w:hint="eastAsia" w:ascii="宋体" w:hAnsi="宋体" w:cs="宋体"/>
                <w:i w:val="0"/>
                <w:iCs w:val="0"/>
                <w:color w:val="auto"/>
                <w:kern w:val="0"/>
                <w:sz w:val="22"/>
                <w:szCs w:val="22"/>
                <w:highlight w:val="none"/>
                <w:u w:val="none"/>
                <w:lang w:val="en-US" w:eastAsia="zh-CN" w:bidi="ar"/>
              </w:rPr>
              <w:t>化</w:t>
            </w:r>
            <w:r>
              <w:rPr>
                <w:rFonts w:hint="eastAsia" w:ascii="宋体" w:hAnsi="宋体" w:eastAsia="宋体" w:cs="宋体"/>
                <w:i w:val="0"/>
                <w:iCs w:val="0"/>
                <w:color w:val="auto"/>
                <w:kern w:val="0"/>
                <w:sz w:val="22"/>
                <w:szCs w:val="22"/>
                <w:highlight w:val="none"/>
                <w:u w:val="none"/>
                <w:lang w:val="en-US" w:eastAsia="zh-CN" w:bidi="ar"/>
              </w:rPr>
              <w:t>，快速选择模板，以及在线编辑模板</w:t>
            </w:r>
          </w:p>
        </w:tc>
      </w:tr>
      <w:tr w14:paraId="1B0A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70A07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637</w:t>
            </w:r>
          </w:p>
        </w:tc>
        <w:tc>
          <w:tcPr>
            <w:tcW w:w="639" w:type="dxa"/>
            <w:vMerge w:val="continue"/>
            <w:shd w:val="clear" w:color="auto" w:fill="auto"/>
            <w:vAlign w:val="center"/>
          </w:tcPr>
          <w:p w14:paraId="664391C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15BFD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9505AD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44335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★会诊记录：支持会诊被邀请者会诊邀请提示，患者情况了解，倒计时紧急度显示</w:t>
            </w:r>
          </w:p>
        </w:tc>
      </w:tr>
      <w:tr w14:paraId="685B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8286A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638</w:t>
            </w:r>
          </w:p>
        </w:tc>
        <w:tc>
          <w:tcPr>
            <w:tcW w:w="639" w:type="dxa"/>
            <w:vMerge w:val="continue"/>
            <w:shd w:val="clear" w:color="auto" w:fill="auto"/>
            <w:vAlign w:val="center"/>
          </w:tcPr>
          <w:p w14:paraId="608565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A47009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73B49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F5485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会诊记录：支持会诊快速签到，记录被邀请者的到场时间</w:t>
            </w:r>
          </w:p>
        </w:tc>
      </w:tr>
      <w:tr w14:paraId="45D5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3D750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639</w:t>
            </w:r>
          </w:p>
        </w:tc>
        <w:tc>
          <w:tcPr>
            <w:tcW w:w="639" w:type="dxa"/>
            <w:vMerge w:val="continue"/>
            <w:shd w:val="clear" w:color="auto" w:fill="auto"/>
            <w:vAlign w:val="center"/>
          </w:tcPr>
          <w:p w14:paraId="4251170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F63700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469BB5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C430C2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会诊记录：支持会诊在线回复，可以通过拍照存档。</w:t>
            </w:r>
          </w:p>
        </w:tc>
      </w:tr>
      <w:tr w14:paraId="03E1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68394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640</w:t>
            </w:r>
          </w:p>
        </w:tc>
        <w:tc>
          <w:tcPr>
            <w:tcW w:w="639" w:type="dxa"/>
            <w:vMerge w:val="continue"/>
            <w:shd w:val="clear" w:color="auto" w:fill="auto"/>
            <w:vAlign w:val="center"/>
          </w:tcPr>
          <w:p w14:paraId="5315E2C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A116627">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7DF7D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患者综合档案信息管理</w:t>
            </w:r>
          </w:p>
        </w:tc>
        <w:tc>
          <w:tcPr>
            <w:tcW w:w="6555" w:type="dxa"/>
            <w:shd w:val="clear" w:color="auto" w:fill="auto"/>
            <w:vAlign w:val="center"/>
          </w:tcPr>
          <w:p w14:paraId="0BCB572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展示创伤患者急救全流程诊疗流程时间轴和严重创伤患者急诊救治时间轴。支持创伤中心严重创伤患者院内救治时间轴查看，包括对各个流程关键事件点进行客观、真实的数据采集以及可视化展示，以及ATMIST、ABCDE、AMPLE关键信息预览</w:t>
            </w:r>
          </w:p>
        </w:tc>
      </w:tr>
      <w:tr w14:paraId="67C3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887A6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641</w:t>
            </w:r>
          </w:p>
        </w:tc>
        <w:tc>
          <w:tcPr>
            <w:tcW w:w="639" w:type="dxa"/>
            <w:vMerge w:val="continue"/>
            <w:shd w:val="clear" w:color="auto" w:fill="auto"/>
            <w:vAlign w:val="center"/>
          </w:tcPr>
          <w:p w14:paraId="0FA6460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F2608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4938F8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20B50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支持将创伤患者的全流程、病历管理。</w:t>
            </w:r>
          </w:p>
        </w:tc>
      </w:tr>
      <w:tr w14:paraId="7488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FB179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642</w:t>
            </w:r>
          </w:p>
        </w:tc>
        <w:tc>
          <w:tcPr>
            <w:tcW w:w="639" w:type="dxa"/>
            <w:vMerge w:val="continue"/>
            <w:shd w:val="clear" w:color="auto" w:fill="auto"/>
            <w:vAlign w:val="center"/>
          </w:tcPr>
          <w:p w14:paraId="40CD7DA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F0378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1F57D1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8678FF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支持通过登记时间、姓名、医生、AIS/ISS评分选想进行快速患者搜索。</w:t>
            </w:r>
          </w:p>
        </w:tc>
      </w:tr>
      <w:tr w14:paraId="4462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29981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643</w:t>
            </w:r>
          </w:p>
        </w:tc>
        <w:tc>
          <w:tcPr>
            <w:tcW w:w="639" w:type="dxa"/>
            <w:vMerge w:val="continue"/>
            <w:shd w:val="clear" w:color="auto" w:fill="auto"/>
            <w:vAlign w:val="center"/>
          </w:tcPr>
          <w:p w14:paraId="6AEF079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C6DC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2BBE22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30AD50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支持查询结果显示为：姓名、性别、年龄、登记时间、诊断情况</w:t>
            </w:r>
          </w:p>
        </w:tc>
      </w:tr>
      <w:tr w14:paraId="7302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9D19B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644</w:t>
            </w:r>
          </w:p>
        </w:tc>
        <w:tc>
          <w:tcPr>
            <w:tcW w:w="639" w:type="dxa"/>
            <w:vMerge w:val="continue"/>
            <w:shd w:val="clear" w:color="auto" w:fill="auto"/>
            <w:vAlign w:val="center"/>
          </w:tcPr>
          <w:p w14:paraId="2F7CCD4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7750B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E3CB47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4764A3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支持针对某一个患者记录进行详情查看</w:t>
            </w:r>
          </w:p>
        </w:tc>
      </w:tr>
      <w:tr w14:paraId="61BE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02FA8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645</w:t>
            </w:r>
          </w:p>
        </w:tc>
        <w:tc>
          <w:tcPr>
            <w:tcW w:w="639" w:type="dxa"/>
            <w:vMerge w:val="continue"/>
            <w:shd w:val="clear" w:color="auto" w:fill="auto"/>
            <w:vAlign w:val="center"/>
          </w:tcPr>
          <w:p w14:paraId="0BAA73E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2CCD37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5FA6A4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6111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支持针对某一个患者进行时间轴分析查看</w:t>
            </w:r>
          </w:p>
        </w:tc>
      </w:tr>
      <w:tr w14:paraId="7375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3C9FB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646</w:t>
            </w:r>
          </w:p>
        </w:tc>
        <w:tc>
          <w:tcPr>
            <w:tcW w:w="639" w:type="dxa"/>
            <w:vMerge w:val="continue"/>
            <w:shd w:val="clear" w:color="auto" w:fill="auto"/>
            <w:vAlign w:val="center"/>
          </w:tcPr>
          <w:p w14:paraId="3C8386F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999967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D4FEBB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818A2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支持针对某一个患者进行AIS/ISS评分细节查看</w:t>
            </w:r>
          </w:p>
        </w:tc>
      </w:tr>
      <w:tr w14:paraId="68E3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8324C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647</w:t>
            </w:r>
          </w:p>
        </w:tc>
        <w:tc>
          <w:tcPr>
            <w:tcW w:w="639" w:type="dxa"/>
            <w:vMerge w:val="continue"/>
            <w:shd w:val="clear" w:color="auto" w:fill="auto"/>
            <w:vAlign w:val="center"/>
          </w:tcPr>
          <w:p w14:paraId="40CFF80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1AB111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2C9C05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C477F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患者基本信息：展示患者基本信息：患者姓名、性别、年龄、身份证号，紧急联系人，紧急联系电话，家庭住址</w:t>
            </w:r>
          </w:p>
        </w:tc>
      </w:tr>
      <w:tr w14:paraId="68CB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C1758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648</w:t>
            </w:r>
          </w:p>
        </w:tc>
        <w:tc>
          <w:tcPr>
            <w:tcW w:w="639" w:type="dxa"/>
            <w:vMerge w:val="continue"/>
            <w:shd w:val="clear" w:color="auto" w:fill="auto"/>
            <w:vAlign w:val="center"/>
          </w:tcPr>
          <w:p w14:paraId="7E2B490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D732BF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FAA6D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24EADD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患者基本信息：展示病人信息：发病地址、发病时间、呼叫时间、救护车出发时间、到场时间、离场时间、到院时间，死亡时间，院前预警时间，MPDS症状，病情判断。</w:t>
            </w:r>
          </w:p>
        </w:tc>
      </w:tr>
      <w:tr w14:paraId="3E20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B77A4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649</w:t>
            </w:r>
          </w:p>
        </w:tc>
        <w:tc>
          <w:tcPr>
            <w:tcW w:w="639" w:type="dxa"/>
            <w:vMerge w:val="continue"/>
            <w:shd w:val="clear" w:color="auto" w:fill="auto"/>
            <w:vAlign w:val="center"/>
          </w:tcPr>
          <w:p w14:paraId="1F1814D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FE83B3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576A88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0B0E4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患者基本信息：展示来院方式，院前诊断，诊断时间，主诉，现病史，既往史</w:t>
            </w:r>
          </w:p>
        </w:tc>
      </w:tr>
      <w:tr w14:paraId="73C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09225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w:t>
            </w:r>
          </w:p>
        </w:tc>
        <w:tc>
          <w:tcPr>
            <w:tcW w:w="639" w:type="dxa"/>
            <w:vMerge w:val="continue"/>
            <w:shd w:val="clear" w:color="auto" w:fill="auto"/>
            <w:vAlign w:val="center"/>
          </w:tcPr>
          <w:p w14:paraId="079872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EA5EE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773E05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F98DE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患者基本信息：展示院前生命体征：血压、心率、体温、脉搏、血糖，血氧饱和度</w:t>
            </w:r>
          </w:p>
        </w:tc>
      </w:tr>
      <w:tr w14:paraId="483D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DDC83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651</w:t>
            </w:r>
          </w:p>
        </w:tc>
        <w:tc>
          <w:tcPr>
            <w:tcW w:w="639" w:type="dxa"/>
            <w:vMerge w:val="continue"/>
            <w:shd w:val="clear" w:color="auto" w:fill="auto"/>
            <w:vAlign w:val="center"/>
          </w:tcPr>
          <w:p w14:paraId="588C9E4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67ACE8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1FF40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40320C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患者基本信息：展示体格检查项目：瞳孔、光反射、意识、气道、循环、心律、胸部</w:t>
            </w:r>
          </w:p>
        </w:tc>
      </w:tr>
      <w:tr w14:paraId="7858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D72DA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652</w:t>
            </w:r>
          </w:p>
        </w:tc>
        <w:tc>
          <w:tcPr>
            <w:tcW w:w="639" w:type="dxa"/>
            <w:vMerge w:val="continue"/>
            <w:shd w:val="clear" w:color="auto" w:fill="auto"/>
            <w:vAlign w:val="center"/>
          </w:tcPr>
          <w:p w14:paraId="6290C2D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F349A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D2CAC0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F50D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患者基本信息：腹部、肠鸣、肌张力、骨折、其他体格项目</w:t>
            </w:r>
          </w:p>
        </w:tc>
      </w:tr>
      <w:tr w14:paraId="0704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C3A7E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653</w:t>
            </w:r>
          </w:p>
        </w:tc>
        <w:tc>
          <w:tcPr>
            <w:tcW w:w="639" w:type="dxa"/>
            <w:vMerge w:val="continue"/>
            <w:shd w:val="clear" w:color="auto" w:fill="auto"/>
            <w:vAlign w:val="center"/>
          </w:tcPr>
          <w:p w14:paraId="0BAAD79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294DDC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AF7A4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117DED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患者基本信息：展示院前抢救：抢救措施以及说明，治疗药物，心电图情况（支持心电图本地上传）</w:t>
            </w:r>
          </w:p>
        </w:tc>
      </w:tr>
      <w:tr w14:paraId="102F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41103E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654</w:t>
            </w:r>
          </w:p>
        </w:tc>
        <w:tc>
          <w:tcPr>
            <w:tcW w:w="639" w:type="dxa"/>
            <w:vMerge w:val="continue"/>
            <w:shd w:val="clear" w:color="auto" w:fill="auto"/>
            <w:vAlign w:val="center"/>
          </w:tcPr>
          <w:p w14:paraId="22F29FA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E69255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84C354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2181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患者基本信息：展示接诊/就诊信息（住院）：门/急诊ID,住院ID,接诊医生，接诊护士，卡类型，卡号等</w:t>
            </w:r>
          </w:p>
        </w:tc>
      </w:tr>
      <w:tr w14:paraId="23FE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CD1A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655</w:t>
            </w:r>
          </w:p>
        </w:tc>
        <w:tc>
          <w:tcPr>
            <w:tcW w:w="639" w:type="dxa"/>
            <w:vMerge w:val="continue"/>
            <w:shd w:val="clear" w:color="auto" w:fill="auto"/>
            <w:vAlign w:val="center"/>
          </w:tcPr>
          <w:p w14:paraId="4E96FB5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C53F0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367BCA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AD0F45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患者基本信息：展示时刻记录：接诊时间</w:t>
            </w:r>
          </w:p>
        </w:tc>
      </w:tr>
      <w:tr w14:paraId="476A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1841E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656</w:t>
            </w:r>
          </w:p>
        </w:tc>
        <w:tc>
          <w:tcPr>
            <w:tcW w:w="639" w:type="dxa"/>
            <w:vMerge w:val="continue"/>
            <w:shd w:val="clear" w:color="auto" w:fill="auto"/>
            <w:vAlign w:val="center"/>
          </w:tcPr>
          <w:p w14:paraId="4F40F38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3CAEA1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AAA94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94E8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患者接诊信息：展示接诊科室：到达急诊科（是/否），到达急诊科时间，到达急诊科是否已死亡，急诊接诊时间，急诊诊断。</w:t>
            </w:r>
          </w:p>
        </w:tc>
      </w:tr>
      <w:tr w14:paraId="2298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8DEA4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657</w:t>
            </w:r>
          </w:p>
        </w:tc>
        <w:tc>
          <w:tcPr>
            <w:tcW w:w="639" w:type="dxa"/>
            <w:vMerge w:val="continue"/>
            <w:shd w:val="clear" w:color="auto" w:fill="auto"/>
            <w:vAlign w:val="center"/>
          </w:tcPr>
          <w:p w14:paraId="298D24E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68EF1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3EB43B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DD48D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患者接诊信息：展示抢救措施：胸腔闭式引流，输血，建立人工气道，损伤控制性手术，呼吸机，抢救说明。</w:t>
            </w:r>
          </w:p>
        </w:tc>
      </w:tr>
      <w:tr w14:paraId="3247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DB3F9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658</w:t>
            </w:r>
          </w:p>
        </w:tc>
        <w:tc>
          <w:tcPr>
            <w:tcW w:w="639" w:type="dxa"/>
            <w:vMerge w:val="continue"/>
            <w:shd w:val="clear" w:color="auto" w:fill="auto"/>
            <w:vAlign w:val="center"/>
          </w:tcPr>
          <w:p w14:paraId="7F24BF1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7C74C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AB056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8A947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患者接诊信息：展示检查检验：全身快速CT,胸片X片，骨盆X片，FAST,检查检验说明。</w:t>
            </w:r>
          </w:p>
        </w:tc>
      </w:tr>
      <w:tr w14:paraId="6F2E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CC450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659</w:t>
            </w:r>
          </w:p>
        </w:tc>
        <w:tc>
          <w:tcPr>
            <w:tcW w:w="639" w:type="dxa"/>
            <w:vMerge w:val="continue"/>
            <w:shd w:val="clear" w:color="auto" w:fill="auto"/>
            <w:vAlign w:val="center"/>
          </w:tcPr>
          <w:p w14:paraId="466291D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95903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D21335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A4DAF7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患者接诊信息：展示病人去向，入院诊断和出院诊断以及是否符合。</w:t>
            </w:r>
          </w:p>
        </w:tc>
      </w:tr>
      <w:tr w14:paraId="5DCA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BFD7B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660</w:t>
            </w:r>
          </w:p>
        </w:tc>
        <w:tc>
          <w:tcPr>
            <w:tcW w:w="639" w:type="dxa"/>
            <w:vMerge w:val="continue"/>
            <w:shd w:val="clear" w:color="auto" w:fill="auto"/>
            <w:vAlign w:val="center"/>
          </w:tcPr>
          <w:p w14:paraId="326FCFD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93842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B67FAA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6F4BB2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患者接诊信息：展示抢救情况：抢救结果，手术次数，住院费用等</w:t>
            </w:r>
          </w:p>
        </w:tc>
      </w:tr>
      <w:tr w14:paraId="4258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159C7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661</w:t>
            </w:r>
          </w:p>
        </w:tc>
        <w:tc>
          <w:tcPr>
            <w:tcW w:w="639" w:type="dxa"/>
            <w:vMerge w:val="continue"/>
            <w:shd w:val="clear" w:color="auto" w:fill="auto"/>
            <w:vAlign w:val="center"/>
          </w:tcPr>
          <w:p w14:paraId="57701B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46E60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5A2A9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B29BA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创伤评估：TI评分，评测结果，评测时间，评测操作（按钮）；</w:t>
            </w:r>
          </w:p>
        </w:tc>
      </w:tr>
      <w:tr w14:paraId="1044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B5DFB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662</w:t>
            </w:r>
          </w:p>
        </w:tc>
        <w:tc>
          <w:tcPr>
            <w:tcW w:w="639" w:type="dxa"/>
            <w:vMerge w:val="continue"/>
            <w:shd w:val="clear" w:color="auto" w:fill="auto"/>
            <w:vAlign w:val="center"/>
          </w:tcPr>
          <w:p w14:paraId="6903E87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B23D7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01D25E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21A391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创伤评估：GCS评分，评测结果，评测时间，评测操作（按钮）；</w:t>
            </w:r>
          </w:p>
        </w:tc>
      </w:tr>
      <w:tr w14:paraId="435A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B5320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663</w:t>
            </w:r>
          </w:p>
        </w:tc>
        <w:tc>
          <w:tcPr>
            <w:tcW w:w="639" w:type="dxa"/>
            <w:vMerge w:val="continue"/>
            <w:shd w:val="clear" w:color="auto" w:fill="auto"/>
            <w:vAlign w:val="center"/>
          </w:tcPr>
          <w:p w14:paraId="055813E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F50027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D8180D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16EF9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创伤评估：ISS-AIS评分，评测结果，评测时间，评测操作（按钮）；</w:t>
            </w:r>
          </w:p>
        </w:tc>
      </w:tr>
      <w:tr w14:paraId="002D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576" w:type="dxa"/>
            <w:shd w:val="clear" w:color="auto" w:fill="auto"/>
            <w:vAlign w:val="center"/>
          </w:tcPr>
          <w:p w14:paraId="0278B3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664</w:t>
            </w:r>
          </w:p>
        </w:tc>
        <w:tc>
          <w:tcPr>
            <w:tcW w:w="639" w:type="dxa"/>
            <w:vMerge w:val="continue"/>
            <w:shd w:val="clear" w:color="auto" w:fill="auto"/>
            <w:vAlign w:val="center"/>
          </w:tcPr>
          <w:p w14:paraId="420087C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2FC3C5">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5E8599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创伤患者档案直报国家平台</w:t>
            </w:r>
          </w:p>
        </w:tc>
        <w:tc>
          <w:tcPr>
            <w:tcW w:w="6555" w:type="dxa"/>
            <w:shd w:val="clear" w:color="auto" w:fill="auto"/>
            <w:vAlign w:val="center"/>
          </w:tcPr>
          <w:p w14:paraId="0E4387C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支持将创伤患者的档案通过人工或系统审核校验后自动上传至数据填报平台，完成创伤中心认证标准所要求有效信息的准确录入，减轻了医护人员的工作量，同时避免了手工录入所带来的数据不对称性错误。</w:t>
            </w:r>
          </w:p>
        </w:tc>
      </w:tr>
      <w:tr w14:paraId="411E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576" w:type="dxa"/>
            <w:shd w:val="clear" w:color="auto" w:fill="auto"/>
            <w:vAlign w:val="center"/>
          </w:tcPr>
          <w:p w14:paraId="75FDBA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665</w:t>
            </w:r>
          </w:p>
        </w:tc>
        <w:tc>
          <w:tcPr>
            <w:tcW w:w="639" w:type="dxa"/>
            <w:vMerge w:val="continue"/>
            <w:shd w:val="clear" w:color="auto" w:fill="auto"/>
            <w:vAlign w:val="center"/>
          </w:tcPr>
          <w:p w14:paraId="6375362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ECA753">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709354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浙江省急诊质控平台</w:t>
            </w:r>
          </w:p>
        </w:tc>
        <w:tc>
          <w:tcPr>
            <w:tcW w:w="6555" w:type="dxa"/>
            <w:shd w:val="clear" w:color="auto" w:fill="auto"/>
            <w:vAlign w:val="center"/>
          </w:tcPr>
          <w:p w14:paraId="518C576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浙江省急诊质控平台对接，自动数据上传，需要相关接口文档支持。</w:t>
            </w:r>
          </w:p>
        </w:tc>
      </w:tr>
      <w:tr w14:paraId="5E08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A6083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666</w:t>
            </w:r>
          </w:p>
        </w:tc>
        <w:tc>
          <w:tcPr>
            <w:tcW w:w="639" w:type="dxa"/>
            <w:vMerge w:val="continue"/>
            <w:shd w:val="clear" w:color="auto" w:fill="auto"/>
            <w:vAlign w:val="center"/>
          </w:tcPr>
          <w:p w14:paraId="004509B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1BFD5A">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2933D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创伤消息通知管理</w:t>
            </w:r>
          </w:p>
        </w:tc>
        <w:tc>
          <w:tcPr>
            <w:tcW w:w="6555" w:type="dxa"/>
            <w:shd w:val="clear" w:color="auto" w:fill="auto"/>
            <w:vAlign w:val="center"/>
          </w:tcPr>
          <w:p w14:paraId="73098C3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创伤接诊告知：分诊系统判断患者为疑似创伤患者时，启动绿色通道，给患者佩戴手环，系统马上通知创伤团队；支持钉钉和电话提醒。</w:t>
            </w:r>
          </w:p>
        </w:tc>
      </w:tr>
      <w:tr w14:paraId="4E0C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C324B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667</w:t>
            </w:r>
          </w:p>
        </w:tc>
        <w:tc>
          <w:tcPr>
            <w:tcW w:w="639" w:type="dxa"/>
            <w:vMerge w:val="continue"/>
            <w:shd w:val="clear" w:color="auto" w:fill="auto"/>
            <w:vAlign w:val="center"/>
          </w:tcPr>
          <w:p w14:paraId="244ED5D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EA3866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D0143E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F69BC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医嘱开立完成告知：有检验医嘱，系统通知护士对患者进行抽血操作；支持钉钉和电话提醒。</w:t>
            </w:r>
          </w:p>
        </w:tc>
      </w:tr>
      <w:tr w14:paraId="3C29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AEE07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668</w:t>
            </w:r>
          </w:p>
        </w:tc>
        <w:tc>
          <w:tcPr>
            <w:tcW w:w="639" w:type="dxa"/>
            <w:vMerge w:val="continue"/>
            <w:shd w:val="clear" w:color="auto" w:fill="auto"/>
            <w:vAlign w:val="center"/>
          </w:tcPr>
          <w:p w14:paraId="7D5FE37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A91949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20D9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C6FC4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医嘱开立完成告知：有检验医嘱，系统通知检验科医生有检验需求，请准备；支持钉钉和电话提醒。</w:t>
            </w:r>
          </w:p>
        </w:tc>
      </w:tr>
      <w:tr w14:paraId="4CD8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5875E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669</w:t>
            </w:r>
          </w:p>
        </w:tc>
        <w:tc>
          <w:tcPr>
            <w:tcW w:w="639" w:type="dxa"/>
            <w:vMerge w:val="continue"/>
            <w:shd w:val="clear" w:color="auto" w:fill="auto"/>
            <w:vAlign w:val="center"/>
          </w:tcPr>
          <w:p w14:paraId="7990D1F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44AA26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35D66A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0217D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医嘱开立完成告知：有心电图检查医嘱，系统通知心电室医生有检查要求请准备；支持钉钉和电话提醒。</w:t>
            </w:r>
          </w:p>
        </w:tc>
      </w:tr>
      <w:tr w14:paraId="2B26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1443E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670</w:t>
            </w:r>
          </w:p>
        </w:tc>
        <w:tc>
          <w:tcPr>
            <w:tcW w:w="639" w:type="dxa"/>
            <w:vMerge w:val="continue"/>
            <w:shd w:val="clear" w:color="auto" w:fill="auto"/>
            <w:vAlign w:val="center"/>
          </w:tcPr>
          <w:p w14:paraId="6737171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51517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543FC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B8864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检验结果告知：检验结果出来后，系统自动读取并实时通知到神经内科医生；支持钉钉和电话提醒。</w:t>
            </w:r>
          </w:p>
        </w:tc>
      </w:tr>
      <w:tr w14:paraId="7F4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115D7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671</w:t>
            </w:r>
          </w:p>
        </w:tc>
        <w:tc>
          <w:tcPr>
            <w:tcW w:w="639" w:type="dxa"/>
            <w:vMerge w:val="continue"/>
            <w:shd w:val="clear" w:color="auto" w:fill="auto"/>
            <w:vAlign w:val="center"/>
          </w:tcPr>
          <w:p w14:paraId="6A257F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83452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54CA52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2F55F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胸腔闭式引流/气管插管通知：系统自动通知创伤中心医生需要胸腔引流，气管插管；支持钉钉和电话提醒。</w:t>
            </w:r>
          </w:p>
        </w:tc>
      </w:tr>
      <w:tr w14:paraId="5163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7568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672</w:t>
            </w:r>
          </w:p>
        </w:tc>
        <w:tc>
          <w:tcPr>
            <w:tcW w:w="639" w:type="dxa"/>
            <w:vMerge w:val="continue"/>
            <w:shd w:val="clear" w:color="auto" w:fill="auto"/>
            <w:vAlign w:val="center"/>
          </w:tcPr>
          <w:p w14:paraId="6767CB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AEE4F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003B13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2265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手术室激活告知：急诊科医生确定该患者符合手术条件并确定进行手术时，系统自动向组员通知患者信息与手术时间；支持钉钉和电话提醒。</w:t>
            </w:r>
          </w:p>
        </w:tc>
      </w:tr>
      <w:tr w14:paraId="5AAE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FB2F1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673</w:t>
            </w:r>
          </w:p>
        </w:tc>
        <w:tc>
          <w:tcPr>
            <w:tcW w:w="639" w:type="dxa"/>
            <w:vMerge w:val="continue"/>
            <w:shd w:val="clear" w:color="auto" w:fill="auto"/>
            <w:vAlign w:val="center"/>
          </w:tcPr>
          <w:p w14:paraId="00081DF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A03B8B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1609D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创伤重点指标超时提醒管理</w:t>
            </w:r>
          </w:p>
        </w:tc>
        <w:tc>
          <w:tcPr>
            <w:tcW w:w="6555" w:type="dxa"/>
            <w:shd w:val="clear" w:color="auto" w:fill="auto"/>
            <w:vAlign w:val="center"/>
          </w:tcPr>
          <w:p w14:paraId="6C682EC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入院评估超时提醒：创伤患者到院后，绿色通道启动，创伤团队医生10分钟内</w:t>
            </w:r>
            <w:r>
              <w:rPr>
                <w:rFonts w:hint="eastAsia" w:ascii="宋体" w:hAnsi="宋体" w:cs="宋体"/>
                <w:i w:val="0"/>
                <w:iCs w:val="0"/>
                <w:color w:val="auto"/>
                <w:kern w:val="0"/>
                <w:sz w:val="22"/>
                <w:szCs w:val="22"/>
                <w:highlight w:val="none"/>
                <w:u w:val="none"/>
                <w:lang w:val="en-US" w:eastAsia="zh-CN" w:bidi="ar"/>
              </w:rPr>
              <w:t>完成</w:t>
            </w:r>
            <w:r>
              <w:rPr>
                <w:rFonts w:hint="eastAsia" w:ascii="宋体" w:hAnsi="宋体" w:eastAsia="宋体" w:cs="宋体"/>
                <w:i w:val="0"/>
                <w:iCs w:val="0"/>
                <w:color w:val="auto"/>
                <w:kern w:val="0"/>
                <w:sz w:val="22"/>
                <w:szCs w:val="22"/>
                <w:highlight w:val="none"/>
                <w:u w:val="none"/>
                <w:lang w:val="en-US" w:eastAsia="zh-CN" w:bidi="ar"/>
              </w:rPr>
              <w:t>病史查体，</w:t>
            </w:r>
            <w:r>
              <w:rPr>
                <w:rFonts w:hint="eastAsia" w:ascii="宋体" w:hAnsi="宋体" w:cs="宋体"/>
                <w:i w:val="0"/>
                <w:iCs w:val="0"/>
                <w:color w:val="auto"/>
                <w:kern w:val="0"/>
                <w:sz w:val="22"/>
                <w:szCs w:val="22"/>
                <w:highlight w:val="none"/>
                <w:u w:val="none"/>
                <w:lang w:val="en-US" w:eastAsia="zh-CN" w:bidi="ar"/>
              </w:rPr>
              <w:t>开展</w:t>
            </w:r>
            <w:r>
              <w:rPr>
                <w:rFonts w:hint="eastAsia" w:ascii="宋体" w:hAnsi="宋体" w:eastAsia="宋体" w:cs="宋体"/>
                <w:i w:val="0"/>
                <w:iCs w:val="0"/>
                <w:color w:val="auto"/>
                <w:kern w:val="0"/>
                <w:sz w:val="22"/>
                <w:szCs w:val="22"/>
                <w:highlight w:val="none"/>
                <w:u w:val="none"/>
                <w:lang w:val="en-US" w:eastAsia="zh-CN" w:bidi="ar"/>
              </w:rPr>
              <w:t>检查和入院评估，系统自动向创伤团队医生发送提醒，时间可设置；支持钉钉和电话提醒。</w:t>
            </w:r>
          </w:p>
        </w:tc>
      </w:tr>
      <w:tr w14:paraId="5EBD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D7E47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674</w:t>
            </w:r>
          </w:p>
        </w:tc>
        <w:tc>
          <w:tcPr>
            <w:tcW w:w="639" w:type="dxa"/>
            <w:vMerge w:val="continue"/>
            <w:shd w:val="clear" w:color="auto" w:fill="auto"/>
            <w:vAlign w:val="center"/>
          </w:tcPr>
          <w:p w14:paraId="3993DFB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53DBE7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A423F2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B5F68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CT、胸片和骨盆检查超时提醒：创伤患者到院后25分钟内患者未进行CT、胸片和骨盆检查，系统自动向相关医生发送提醒，时间可设置；支持钉钉和电话提醒。</w:t>
            </w:r>
          </w:p>
        </w:tc>
      </w:tr>
      <w:tr w14:paraId="7779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15D58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675</w:t>
            </w:r>
          </w:p>
        </w:tc>
        <w:tc>
          <w:tcPr>
            <w:tcW w:w="639" w:type="dxa"/>
            <w:vMerge w:val="continue"/>
            <w:shd w:val="clear" w:color="auto" w:fill="auto"/>
            <w:vAlign w:val="center"/>
          </w:tcPr>
          <w:p w14:paraId="11A814F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F4F7C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02C36C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F7ACF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输血超时提醒：确定失血，需要输血的，则5分钟内血型未出，则自动通知检验科室；支持钉钉和电话提醒。</w:t>
            </w:r>
          </w:p>
        </w:tc>
      </w:tr>
      <w:tr w14:paraId="6DA4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46C57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676</w:t>
            </w:r>
          </w:p>
        </w:tc>
        <w:tc>
          <w:tcPr>
            <w:tcW w:w="639" w:type="dxa"/>
            <w:vMerge w:val="continue"/>
            <w:shd w:val="clear" w:color="auto" w:fill="auto"/>
            <w:vAlign w:val="center"/>
          </w:tcPr>
          <w:p w14:paraId="30117F7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4A6167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EAF21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D3339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输血超时提醒：急诊医生申请需要输血，5分钟未送来血液，则系统自动提醒血库送血；支持钉钉和电话提醒。</w:t>
            </w:r>
          </w:p>
        </w:tc>
      </w:tr>
      <w:tr w14:paraId="266E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7E4B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677</w:t>
            </w:r>
          </w:p>
        </w:tc>
        <w:tc>
          <w:tcPr>
            <w:tcW w:w="639" w:type="dxa"/>
            <w:vMerge w:val="continue"/>
            <w:shd w:val="clear" w:color="auto" w:fill="auto"/>
            <w:vAlign w:val="center"/>
          </w:tcPr>
          <w:p w14:paraId="25B3C2E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0DDA88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70532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C7F5BF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CT、胸片和骨盆解读超时提醒：CT、胸片和骨盆检查后，5分钟内未完成阅片解读，系统自动向相关医生发送提醒，时间可设置；支持钉钉和电话提醒。</w:t>
            </w:r>
          </w:p>
        </w:tc>
      </w:tr>
      <w:tr w14:paraId="2489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1F4633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678</w:t>
            </w:r>
          </w:p>
        </w:tc>
        <w:tc>
          <w:tcPr>
            <w:tcW w:w="639" w:type="dxa"/>
            <w:vMerge w:val="continue"/>
            <w:shd w:val="clear" w:color="auto" w:fill="auto"/>
            <w:vAlign w:val="center"/>
          </w:tcPr>
          <w:p w14:paraId="2A1DBCC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CC73B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9DC11D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F7D2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外科医生会诊超时提醒：CT/CTA/CTP阅片后有取栓条件后，系统通知外科医生，神、外科到达患者身边的时间超过10分钟，系统自动向外科医生发送提醒。时间可设置；支持钉钉和电话提醒。</w:t>
            </w:r>
          </w:p>
        </w:tc>
      </w:tr>
      <w:tr w14:paraId="50AE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5AFCBF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679</w:t>
            </w:r>
          </w:p>
        </w:tc>
        <w:tc>
          <w:tcPr>
            <w:tcW w:w="639" w:type="dxa"/>
            <w:vMerge w:val="continue"/>
            <w:shd w:val="clear" w:color="auto" w:fill="auto"/>
            <w:vAlign w:val="center"/>
          </w:tcPr>
          <w:p w14:paraId="3FE3531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A4DDEBA">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0436ED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大数据可视化大屏</w:t>
            </w:r>
          </w:p>
        </w:tc>
        <w:tc>
          <w:tcPr>
            <w:tcW w:w="6555" w:type="dxa"/>
            <w:shd w:val="clear" w:color="auto" w:fill="auto"/>
            <w:vAlign w:val="center"/>
          </w:tcPr>
          <w:p w14:paraId="6613620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通过大屏的方式，汇总展示关键信息，可将创伤中心当前建设成果直观展示。包含患者趋势，关键质控指标趋势，评分完成率、严重创伤患者抢救成功率、抢救措施统计、MDT启动比例等。</w:t>
            </w:r>
          </w:p>
        </w:tc>
      </w:tr>
      <w:tr w14:paraId="7501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DE066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680</w:t>
            </w:r>
          </w:p>
        </w:tc>
        <w:tc>
          <w:tcPr>
            <w:tcW w:w="639" w:type="dxa"/>
            <w:vMerge w:val="continue"/>
            <w:shd w:val="clear" w:color="auto" w:fill="auto"/>
            <w:vAlign w:val="center"/>
          </w:tcPr>
          <w:p w14:paraId="507DEA5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21EDB6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21215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创伤患者随访管理</w:t>
            </w:r>
          </w:p>
        </w:tc>
        <w:tc>
          <w:tcPr>
            <w:tcW w:w="6555" w:type="dxa"/>
            <w:shd w:val="clear" w:color="auto" w:fill="auto"/>
            <w:vAlign w:val="center"/>
          </w:tcPr>
          <w:p w14:paraId="3B62C60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创建随访任务：针对创伤患者，系统支持创建个性化的随访任务，确保每位患者都能得到适当的关注和跟踪。</w:t>
            </w:r>
          </w:p>
        </w:tc>
      </w:tr>
      <w:tr w14:paraId="5FB2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C2E5F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681</w:t>
            </w:r>
          </w:p>
        </w:tc>
        <w:tc>
          <w:tcPr>
            <w:tcW w:w="639" w:type="dxa"/>
            <w:vMerge w:val="continue"/>
            <w:shd w:val="clear" w:color="auto" w:fill="auto"/>
            <w:vAlign w:val="center"/>
          </w:tcPr>
          <w:p w14:paraId="327A22B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EE135B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4C6D40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21C45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添加随访计划：医生可以为每位患者制定详细的随访计划，包括随访的时间、频率和内容，以满足患者的康复需求。</w:t>
            </w:r>
          </w:p>
        </w:tc>
      </w:tr>
      <w:tr w14:paraId="3188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B27D3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682</w:t>
            </w:r>
          </w:p>
        </w:tc>
        <w:tc>
          <w:tcPr>
            <w:tcW w:w="639" w:type="dxa"/>
            <w:vMerge w:val="continue"/>
            <w:shd w:val="clear" w:color="auto" w:fill="auto"/>
            <w:vAlign w:val="center"/>
          </w:tcPr>
          <w:p w14:paraId="4F161F9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84F708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82B1A4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DA65FD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设置随访任务提醒：系统能够自动发送提醒通知给医生和患者，确保双方都能按时执行随访任务，提高随访的准时率和效率。</w:t>
            </w:r>
          </w:p>
        </w:tc>
      </w:tr>
      <w:tr w14:paraId="03E8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90796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683</w:t>
            </w:r>
          </w:p>
        </w:tc>
        <w:tc>
          <w:tcPr>
            <w:tcW w:w="639" w:type="dxa"/>
            <w:vMerge w:val="continue"/>
            <w:shd w:val="clear" w:color="auto" w:fill="auto"/>
            <w:vAlign w:val="center"/>
          </w:tcPr>
          <w:p w14:paraId="2B46717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1E513F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95AF9F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15BD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结束随访任务并记录结果：完成随访后，医生可以结束随访任务并记录相关的随访结果和评估信息，为患者后续治疗提供依据。</w:t>
            </w:r>
          </w:p>
        </w:tc>
      </w:tr>
      <w:tr w14:paraId="2790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32764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684</w:t>
            </w:r>
          </w:p>
        </w:tc>
        <w:tc>
          <w:tcPr>
            <w:tcW w:w="639" w:type="dxa"/>
            <w:vMerge w:val="continue"/>
            <w:shd w:val="clear" w:color="auto" w:fill="auto"/>
            <w:vAlign w:val="center"/>
          </w:tcPr>
          <w:p w14:paraId="4779955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393ED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03E08B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2940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查询和导出随访数据：系统支持方便的查询功能，帮助医生快速找到特定的随访数据。同时，随访数据可以导出为各种文件格式，方便进一步的分析和存档。</w:t>
            </w:r>
          </w:p>
        </w:tc>
      </w:tr>
      <w:tr w14:paraId="6E8A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B787B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685</w:t>
            </w:r>
          </w:p>
        </w:tc>
        <w:tc>
          <w:tcPr>
            <w:tcW w:w="639" w:type="dxa"/>
            <w:vMerge w:val="continue"/>
            <w:shd w:val="clear" w:color="auto" w:fill="auto"/>
            <w:vAlign w:val="center"/>
          </w:tcPr>
          <w:p w14:paraId="5168CD8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138D9C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93FE41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BF2B4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随访统计分析：通过对随访数据进行统计分析，医生可以了解创伤患者的整体康复情况，评估治疗效果，为未来的治疗策略提供参考。</w:t>
            </w:r>
          </w:p>
        </w:tc>
      </w:tr>
      <w:tr w14:paraId="3CF6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29C32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686</w:t>
            </w:r>
          </w:p>
        </w:tc>
        <w:tc>
          <w:tcPr>
            <w:tcW w:w="639" w:type="dxa"/>
            <w:vMerge w:val="continue"/>
            <w:shd w:val="clear" w:color="auto" w:fill="auto"/>
            <w:vAlign w:val="center"/>
          </w:tcPr>
          <w:p w14:paraId="2A74C9A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EFC64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2D8A54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数据质控统计分析</w:t>
            </w:r>
          </w:p>
        </w:tc>
        <w:tc>
          <w:tcPr>
            <w:tcW w:w="6555" w:type="dxa"/>
            <w:shd w:val="clear" w:color="auto" w:fill="auto"/>
            <w:vAlign w:val="center"/>
          </w:tcPr>
          <w:p w14:paraId="2879C4A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支持质控、统计指标：区域急救转运时间</w:t>
            </w:r>
          </w:p>
        </w:tc>
      </w:tr>
      <w:tr w14:paraId="66EC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56ED6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687</w:t>
            </w:r>
          </w:p>
        </w:tc>
        <w:tc>
          <w:tcPr>
            <w:tcW w:w="639" w:type="dxa"/>
            <w:vMerge w:val="continue"/>
            <w:shd w:val="clear" w:color="auto" w:fill="auto"/>
            <w:vAlign w:val="center"/>
          </w:tcPr>
          <w:p w14:paraId="48BE560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934F3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A5EA7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AC8134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支持质控、统计指标：院前预警比例</w:t>
            </w:r>
          </w:p>
        </w:tc>
      </w:tr>
      <w:tr w14:paraId="0D5D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7F862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688</w:t>
            </w:r>
          </w:p>
        </w:tc>
        <w:tc>
          <w:tcPr>
            <w:tcW w:w="639" w:type="dxa"/>
            <w:vMerge w:val="continue"/>
            <w:shd w:val="clear" w:color="auto" w:fill="auto"/>
            <w:vAlign w:val="center"/>
          </w:tcPr>
          <w:p w14:paraId="2887EB6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64F7BA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1B66A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884EF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支持质控、统计指标：门/急诊准备时间（严重创伤病人）</w:t>
            </w:r>
          </w:p>
        </w:tc>
      </w:tr>
      <w:tr w14:paraId="7D43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193AB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689</w:t>
            </w:r>
          </w:p>
        </w:tc>
        <w:tc>
          <w:tcPr>
            <w:tcW w:w="639" w:type="dxa"/>
            <w:vMerge w:val="continue"/>
            <w:shd w:val="clear" w:color="auto" w:fill="auto"/>
            <w:vAlign w:val="center"/>
          </w:tcPr>
          <w:p w14:paraId="4AB489E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5A5278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DA97F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234A6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支持质控、统计指标：到达门/急诊至完成全身快速CT时间</w:t>
            </w:r>
          </w:p>
        </w:tc>
      </w:tr>
      <w:tr w14:paraId="0555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18DC2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690</w:t>
            </w:r>
          </w:p>
        </w:tc>
        <w:tc>
          <w:tcPr>
            <w:tcW w:w="639" w:type="dxa"/>
            <w:vMerge w:val="continue"/>
            <w:shd w:val="clear" w:color="auto" w:fill="auto"/>
            <w:vAlign w:val="center"/>
          </w:tcPr>
          <w:p w14:paraId="22E7CA1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2C085D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137ED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60681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支持质控、统计指标：到达门/急诊至完成全身快速胸部X片时间</w:t>
            </w:r>
          </w:p>
        </w:tc>
      </w:tr>
      <w:tr w14:paraId="1279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7846D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691</w:t>
            </w:r>
          </w:p>
        </w:tc>
        <w:tc>
          <w:tcPr>
            <w:tcW w:w="639" w:type="dxa"/>
            <w:vMerge w:val="continue"/>
            <w:shd w:val="clear" w:color="auto" w:fill="auto"/>
            <w:vAlign w:val="center"/>
          </w:tcPr>
          <w:p w14:paraId="307AB76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E31427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393B68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85A95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支持质控、统计指标：到达门/急诊至完成全身快速骨盆X片时间</w:t>
            </w:r>
          </w:p>
        </w:tc>
      </w:tr>
      <w:tr w14:paraId="6AF2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46875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692</w:t>
            </w:r>
          </w:p>
        </w:tc>
        <w:tc>
          <w:tcPr>
            <w:tcW w:w="639" w:type="dxa"/>
            <w:vMerge w:val="continue"/>
            <w:shd w:val="clear" w:color="auto" w:fill="auto"/>
            <w:vAlign w:val="center"/>
          </w:tcPr>
          <w:p w14:paraId="17E2EC7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354CE7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923F62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ABB7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支持质控、统计指标：到达门/急诊至完成FAST检查的时间</w:t>
            </w:r>
          </w:p>
        </w:tc>
      </w:tr>
      <w:tr w14:paraId="74AE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FF73A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693</w:t>
            </w:r>
          </w:p>
        </w:tc>
        <w:tc>
          <w:tcPr>
            <w:tcW w:w="639" w:type="dxa"/>
            <w:vMerge w:val="continue"/>
            <w:shd w:val="clear" w:color="auto" w:fill="auto"/>
            <w:vAlign w:val="center"/>
          </w:tcPr>
          <w:p w14:paraId="658E5EE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4B6F90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8A6E9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ECE0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支持质控、统计指标：门/急诊输血准备时间（严重创伤病人）</w:t>
            </w:r>
          </w:p>
        </w:tc>
      </w:tr>
      <w:tr w14:paraId="6262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F12DE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694</w:t>
            </w:r>
          </w:p>
        </w:tc>
        <w:tc>
          <w:tcPr>
            <w:tcW w:w="639" w:type="dxa"/>
            <w:vMerge w:val="continue"/>
            <w:shd w:val="clear" w:color="auto" w:fill="auto"/>
            <w:vAlign w:val="center"/>
          </w:tcPr>
          <w:p w14:paraId="4CF3B0E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7CD4F0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D0847D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C89659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支持质控、统计指标：人工气道建立时间（严重创伤病人）</w:t>
            </w:r>
          </w:p>
        </w:tc>
      </w:tr>
      <w:tr w14:paraId="2B92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29CA9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695</w:t>
            </w:r>
          </w:p>
        </w:tc>
        <w:tc>
          <w:tcPr>
            <w:tcW w:w="639" w:type="dxa"/>
            <w:vMerge w:val="continue"/>
            <w:shd w:val="clear" w:color="auto" w:fill="auto"/>
            <w:vAlign w:val="center"/>
          </w:tcPr>
          <w:p w14:paraId="09B6A39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9A16C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FCE65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34E3D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支持质控、统计指标：紧急手术术前准备时间（严重创伤病人）</w:t>
            </w:r>
          </w:p>
        </w:tc>
      </w:tr>
      <w:tr w14:paraId="45A2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94F5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696</w:t>
            </w:r>
          </w:p>
        </w:tc>
        <w:tc>
          <w:tcPr>
            <w:tcW w:w="639" w:type="dxa"/>
            <w:vMerge w:val="continue"/>
            <w:shd w:val="clear" w:color="auto" w:fill="auto"/>
            <w:vAlign w:val="center"/>
          </w:tcPr>
          <w:p w14:paraId="189F357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E370C2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C96042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31D8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支持质控、统计指标：门/急诊科停留时间</w:t>
            </w:r>
          </w:p>
        </w:tc>
      </w:tr>
      <w:tr w14:paraId="39FC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D34F1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697</w:t>
            </w:r>
          </w:p>
        </w:tc>
        <w:tc>
          <w:tcPr>
            <w:tcW w:w="639" w:type="dxa"/>
            <w:vMerge w:val="continue"/>
            <w:shd w:val="clear" w:color="auto" w:fill="auto"/>
            <w:vAlign w:val="center"/>
          </w:tcPr>
          <w:p w14:paraId="6F865AA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E27CEA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8C9EF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B96C0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支持质控、统计指标：严重创伤病人数量</w:t>
            </w:r>
          </w:p>
        </w:tc>
      </w:tr>
      <w:tr w14:paraId="52D0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F834E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698</w:t>
            </w:r>
          </w:p>
        </w:tc>
        <w:tc>
          <w:tcPr>
            <w:tcW w:w="639" w:type="dxa"/>
            <w:vMerge w:val="continue"/>
            <w:shd w:val="clear" w:color="auto" w:fill="auto"/>
            <w:vAlign w:val="center"/>
          </w:tcPr>
          <w:p w14:paraId="530C639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C0AFFB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735B64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F17EF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支持质控、统计指标：严重创伤病人病死率</w:t>
            </w:r>
          </w:p>
        </w:tc>
      </w:tr>
      <w:tr w14:paraId="0A8C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ABCAF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699</w:t>
            </w:r>
          </w:p>
        </w:tc>
        <w:tc>
          <w:tcPr>
            <w:tcW w:w="639" w:type="dxa"/>
            <w:vMerge w:val="continue"/>
            <w:shd w:val="clear" w:color="auto" w:fill="auto"/>
            <w:vAlign w:val="center"/>
          </w:tcPr>
          <w:p w14:paraId="0F33305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62C902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6623FA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C2C87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支持质控、统计指标：严重创伤病人住院时间</w:t>
            </w:r>
          </w:p>
        </w:tc>
      </w:tr>
      <w:tr w14:paraId="19BD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0CC4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w:t>
            </w:r>
          </w:p>
        </w:tc>
        <w:tc>
          <w:tcPr>
            <w:tcW w:w="639" w:type="dxa"/>
            <w:vMerge w:val="continue"/>
            <w:shd w:val="clear" w:color="auto" w:fill="auto"/>
            <w:vAlign w:val="center"/>
          </w:tcPr>
          <w:p w14:paraId="691488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1FB6E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F4F911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75677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支持质控、统计指标：严重创伤病人ICU住院时间</w:t>
            </w:r>
          </w:p>
        </w:tc>
      </w:tr>
      <w:tr w14:paraId="7C30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7EA93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701</w:t>
            </w:r>
          </w:p>
        </w:tc>
        <w:tc>
          <w:tcPr>
            <w:tcW w:w="639" w:type="dxa"/>
            <w:vMerge w:val="continue"/>
            <w:shd w:val="clear" w:color="auto" w:fill="auto"/>
            <w:vAlign w:val="center"/>
          </w:tcPr>
          <w:p w14:paraId="181919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4BC8E0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72FF40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E8A7BC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支持质控、统计指标：创伤患者抢救室滞留时间</w:t>
            </w:r>
          </w:p>
        </w:tc>
      </w:tr>
      <w:tr w14:paraId="523C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F37D0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702</w:t>
            </w:r>
          </w:p>
        </w:tc>
        <w:tc>
          <w:tcPr>
            <w:tcW w:w="639" w:type="dxa"/>
            <w:vMerge w:val="continue"/>
            <w:shd w:val="clear" w:color="auto" w:fill="auto"/>
            <w:vAlign w:val="center"/>
          </w:tcPr>
          <w:p w14:paraId="4EC65F3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917F6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F8AD26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D912B0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支持质控、统计指标：创伤病人数量</w:t>
            </w:r>
          </w:p>
        </w:tc>
      </w:tr>
      <w:tr w14:paraId="655F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D0E9D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703</w:t>
            </w:r>
          </w:p>
        </w:tc>
        <w:tc>
          <w:tcPr>
            <w:tcW w:w="639" w:type="dxa"/>
            <w:vMerge w:val="continue"/>
            <w:shd w:val="clear" w:color="auto" w:fill="auto"/>
            <w:vAlign w:val="center"/>
          </w:tcPr>
          <w:p w14:paraId="6726445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FC7E30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06065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55CB1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支持质控、统计指标：创伤病人病死率</w:t>
            </w:r>
          </w:p>
        </w:tc>
      </w:tr>
      <w:tr w14:paraId="627B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0BA9A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704</w:t>
            </w:r>
          </w:p>
        </w:tc>
        <w:tc>
          <w:tcPr>
            <w:tcW w:w="639" w:type="dxa"/>
            <w:vMerge w:val="continue"/>
            <w:shd w:val="clear" w:color="auto" w:fill="auto"/>
            <w:vAlign w:val="center"/>
          </w:tcPr>
          <w:p w14:paraId="7DD4313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D17F0F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02117B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9967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支持质控、统计指标：接受外院转诊病人比例</w:t>
            </w:r>
          </w:p>
        </w:tc>
      </w:tr>
      <w:tr w14:paraId="4B32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0ACB9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705</w:t>
            </w:r>
          </w:p>
        </w:tc>
        <w:tc>
          <w:tcPr>
            <w:tcW w:w="639" w:type="dxa"/>
            <w:vMerge w:val="continue"/>
            <w:shd w:val="clear" w:color="auto" w:fill="auto"/>
            <w:vAlign w:val="center"/>
          </w:tcPr>
          <w:p w14:paraId="318247A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14FADC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63F274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730F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支持质控、统计指标：转诊治疗的创伤病人比例</w:t>
            </w:r>
          </w:p>
        </w:tc>
      </w:tr>
      <w:tr w14:paraId="6400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1EF5E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706</w:t>
            </w:r>
          </w:p>
        </w:tc>
        <w:tc>
          <w:tcPr>
            <w:tcW w:w="639" w:type="dxa"/>
            <w:vMerge w:val="continue"/>
            <w:shd w:val="clear" w:color="auto" w:fill="auto"/>
            <w:vAlign w:val="center"/>
          </w:tcPr>
          <w:p w14:paraId="1EAE86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562A3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43D503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A21694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支持质控、统计指标：创伤评分（GCS,TI,ISS）完成比例</w:t>
            </w:r>
          </w:p>
        </w:tc>
      </w:tr>
      <w:tr w14:paraId="5203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E230B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707</w:t>
            </w:r>
          </w:p>
        </w:tc>
        <w:tc>
          <w:tcPr>
            <w:tcW w:w="639" w:type="dxa"/>
            <w:vMerge w:val="continue"/>
            <w:shd w:val="clear" w:color="auto" w:fill="auto"/>
            <w:vAlign w:val="center"/>
          </w:tcPr>
          <w:p w14:paraId="51943FA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4F9B18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F40D7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第三方系统数据对接</w:t>
            </w:r>
          </w:p>
        </w:tc>
        <w:tc>
          <w:tcPr>
            <w:tcW w:w="6555" w:type="dxa"/>
            <w:shd w:val="clear" w:color="auto" w:fill="auto"/>
            <w:vAlign w:val="center"/>
          </w:tcPr>
          <w:p w14:paraId="448E95D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与急诊系统对接</w:t>
            </w:r>
          </w:p>
        </w:tc>
      </w:tr>
      <w:tr w14:paraId="06FD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5A1FF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708</w:t>
            </w:r>
          </w:p>
        </w:tc>
        <w:tc>
          <w:tcPr>
            <w:tcW w:w="639" w:type="dxa"/>
            <w:vMerge w:val="continue"/>
            <w:shd w:val="clear" w:color="auto" w:fill="auto"/>
            <w:vAlign w:val="center"/>
          </w:tcPr>
          <w:p w14:paraId="73A2CD6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92819F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C39A10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CEDE4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与HIS系统对接</w:t>
            </w:r>
          </w:p>
        </w:tc>
      </w:tr>
      <w:tr w14:paraId="35D2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B232B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709</w:t>
            </w:r>
          </w:p>
        </w:tc>
        <w:tc>
          <w:tcPr>
            <w:tcW w:w="639" w:type="dxa"/>
            <w:vMerge w:val="continue"/>
            <w:shd w:val="clear" w:color="auto" w:fill="auto"/>
            <w:vAlign w:val="center"/>
          </w:tcPr>
          <w:p w14:paraId="4F5BABA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E32174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9E43CB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F59EA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与LIS系统对接</w:t>
            </w:r>
          </w:p>
        </w:tc>
      </w:tr>
      <w:tr w14:paraId="0BA7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8E095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w:t>
            </w:r>
          </w:p>
        </w:tc>
        <w:tc>
          <w:tcPr>
            <w:tcW w:w="639" w:type="dxa"/>
            <w:vMerge w:val="continue"/>
            <w:shd w:val="clear" w:color="auto" w:fill="auto"/>
            <w:vAlign w:val="center"/>
          </w:tcPr>
          <w:p w14:paraId="02E2FE9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58540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670326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92CB3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与PACS系统对接</w:t>
            </w:r>
          </w:p>
        </w:tc>
      </w:tr>
      <w:tr w14:paraId="29A5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205C0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711</w:t>
            </w:r>
          </w:p>
        </w:tc>
        <w:tc>
          <w:tcPr>
            <w:tcW w:w="639" w:type="dxa"/>
            <w:vMerge w:val="continue"/>
            <w:shd w:val="clear" w:color="auto" w:fill="auto"/>
            <w:vAlign w:val="center"/>
          </w:tcPr>
          <w:p w14:paraId="199A083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E531A1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3E695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F3276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与住院信息系统对接</w:t>
            </w:r>
          </w:p>
        </w:tc>
      </w:tr>
      <w:tr w14:paraId="6AE1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3D0B6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712</w:t>
            </w:r>
          </w:p>
        </w:tc>
        <w:tc>
          <w:tcPr>
            <w:tcW w:w="639" w:type="dxa"/>
            <w:vMerge w:val="continue"/>
            <w:shd w:val="clear" w:color="auto" w:fill="auto"/>
            <w:vAlign w:val="center"/>
          </w:tcPr>
          <w:p w14:paraId="4715AA4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6688F6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181EDD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4C11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单位钉钉组织架构：从钉钉中获得单位组织架构信息，实现手机钉钉端业务操作。 </w:t>
            </w:r>
          </w:p>
        </w:tc>
      </w:tr>
      <w:tr w14:paraId="68CE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36A39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713</w:t>
            </w:r>
          </w:p>
        </w:tc>
        <w:tc>
          <w:tcPr>
            <w:tcW w:w="639" w:type="dxa"/>
            <w:vMerge w:val="continue"/>
            <w:shd w:val="clear" w:color="auto" w:fill="auto"/>
            <w:vAlign w:val="center"/>
          </w:tcPr>
          <w:p w14:paraId="26B31C6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CC5181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BF7345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C52F87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实现紧急通知和预警，通过自动拨打值班电话，医生电话</w:t>
            </w:r>
            <w:r>
              <w:rPr>
                <w:rFonts w:hint="eastAsia" w:ascii="宋体" w:hAnsi="宋体" w:cs="宋体"/>
                <w:i w:val="0"/>
                <w:iCs w:val="0"/>
                <w:color w:val="auto"/>
                <w:kern w:val="0"/>
                <w:sz w:val="22"/>
                <w:szCs w:val="22"/>
                <w:highlight w:val="none"/>
                <w:u w:val="none"/>
                <w:lang w:val="en-US" w:eastAsia="zh-CN" w:bidi="ar"/>
              </w:rPr>
              <w:t>进行</w:t>
            </w:r>
            <w:r>
              <w:rPr>
                <w:rFonts w:hint="eastAsia" w:ascii="宋体" w:hAnsi="宋体" w:eastAsia="宋体" w:cs="宋体"/>
                <w:i w:val="0"/>
                <w:iCs w:val="0"/>
                <w:color w:val="auto"/>
                <w:kern w:val="0"/>
                <w:sz w:val="22"/>
                <w:szCs w:val="22"/>
                <w:highlight w:val="none"/>
                <w:u w:val="none"/>
                <w:lang w:val="en-US" w:eastAsia="zh-CN" w:bidi="ar"/>
              </w:rPr>
              <w:t>通知提醒。</w:t>
            </w:r>
          </w:p>
        </w:tc>
      </w:tr>
      <w:tr w14:paraId="55EC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17E57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714</w:t>
            </w:r>
          </w:p>
        </w:tc>
        <w:tc>
          <w:tcPr>
            <w:tcW w:w="639" w:type="dxa"/>
            <w:vMerge w:val="continue"/>
            <w:shd w:val="clear" w:color="auto" w:fill="auto"/>
            <w:vAlign w:val="center"/>
          </w:tcPr>
          <w:p w14:paraId="770B29A4">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6492DA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危重孕产妇中心</w:t>
            </w:r>
          </w:p>
        </w:tc>
        <w:tc>
          <w:tcPr>
            <w:tcW w:w="986" w:type="dxa"/>
            <w:vMerge w:val="restart"/>
            <w:shd w:val="clear" w:color="auto" w:fill="auto"/>
            <w:vAlign w:val="center"/>
          </w:tcPr>
          <w:p w14:paraId="04CA84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危重孕产妇急救绿色通道</w:t>
            </w:r>
          </w:p>
        </w:tc>
        <w:tc>
          <w:tcPr>
            <w:tcW w:w="6555" w:type="dxa"/>
            <w:shd w:val="clear" w:color="auto" w:fill="auto"/>
            <w:vAlign w:val="center"/>
          </w:tcPr>
          <w:p w14:paraId="402AD6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定义就诊流程时，在分诊台或者留抢室登记危重孕产妇患者标签。</w:t>
            </w:r>
          </w:p>
        </w:tc>
      </w:tr>
      <w:tr w14:paraId="3F92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6941F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715</w:t>
            </w:r>
          </w:p>
        </w:tc>
        <w:tc>
          <w:tcPr>
            <w:tcW w:w="639" w:type="dxa"/>
            <w:vMerge w:val="continue"/>
            <w:shd w:val="clear" w:color="auto" w:fill="auto"/>
            <w:vAlign w:val="center"/>
          </w:tcPr>
          <w:p w14:paraId="06D7694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0271A5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1260B0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20450B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如果已有院前信息，可以进行在线绑定院前患者，实现院前和院内信息打通。院前患者列表可以通过条件进行删选，近1小时，近1天，院前医生等，以便快速锁定该患者的院前信息。</w:t>
            </w:r>
          </w:p>
        </w:tc>
      </w:tr>
      <w:tr w14:paraId="4237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4B096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716</w:t>
            </w:r>
          </w:p>
        </w:tc>
        <w:tc>
          <w:tcPr>
            <w:tcW w:w="639" w:type="dxa"/>
            <w:vMerge w:val="continue"/>
            <w:shd w:val="clear" w:color="auto" w:fill="auto"/>
            <w:vAlign w:val="center"/>
          </w:tcPr>
          <w:p w14:paraId="42BF8C6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9490A6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E56AFD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1AE5FA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如果没有院前信息，支持当前患者关键信息录入（到场时间，离场时间，发病地点，患者主诉，GCS评分等）。</w:t>
            </w:r>
          </w:p>
        </w:tc>
      </w:tr>
      <w:tr w14:paraId="37E8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71FA5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717</w:t>
            </w:r>
          </w:p>
        </w:tc>
        <w:tc>
          <w:tcPr>
            <w:tcW w:w="639" w:type="dxa"/>
            <w:vMerge w:val="continue"/>
            <w:shd w:val="clear" w:color="auto" w:fill="auto"/>
            <w:vAlign w:val="center"/>
          </w:tcPr>
          <w:p w14:paraId="221DA8A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C824A9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9BCF88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F0BC5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支持患者佩戴智能手环，护士在页面选择佩戴的手环编号（同时该手环编号与实物编号一致），为自动采集质控时间做准备。</w:t>
            </w:r>
          </w:p>
        </w:tc>
      </w:tr>
      <w:tr w14:paraId="129C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A53E5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718</w:t>
            </w:r>
          </w:p>
        </w:tc>
        <w:tc>
          <w:tcPr>
            <w:tcW w:w="639" w:type="dxa"/>
            <w:vMerge w:val="continue"/>
            <w:shd w:val="clear" w:color="auto" w:fill="auto"/>
            <w:vAlign w:val="center"/>
          </w:tcPr>
          <w:p w14:paraId="1BBF5D9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89C917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8F0273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DEE487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支持危重孕产妇救治关键事件诊疗流程的查看，包括对绿色通道的各个流程关键事件时间点进行客观、真实的数据采集以及可视化展示。</w:t>
            </w:r>
          </w:p>
        </w:tc>
      </w:tr>
      <w:tr w14:paraId="1F95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6D6494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719</w:t>
            </w:r>
          </w:p>
        </w:tc>
        <w:tc>
          <w:tcPr>
            <w:tcW w:w="639" w:type="dxa"/>
            <w:vMerge w:val="continue"/>
            <w:shd w:val="clear" w:color="auto" w:fill="auto"/>
            <w:vAlign w:val="center"/>
          </w:tcPr>
          <w:p w14:paraId="747DC4F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E81D9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C23E9E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DD7375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支持记录病程及救治过程关键节点时间，管理时间轴。</w:t>
            </w:r>
          </w:p>
        </w:tc>
      </w:tr>
      <w:tr w14:paraId="69CF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E2D93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w:t>
            </w:r>
          </w:p>
        </w:tc>
        <w:tc>
          <w:tcPr>
            <w:tcW w:w="639" w:type="dxa"/>
            <w:vMerge w:val="continue"/>
            <w:shd w:val="clear" w:color="auto" w:fill="auto"/>
            <w:vAlign w:val="center"/>
          </w:tcPr>
          <w:p w14:paraId="35D1A41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53AB71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B2272A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AD59E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支持管理患者标签标识：查看，增加患者标签信息包括(设备编号，BT/RFID腕带编号，状态等)。</w:t>
            </w:r>
          </w:p>
        </w:tc>
      </w:tr>
      <w:tr w14:paraId="3DA4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994FE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721</w:t>
            </w:r>
          </w:p>
        </w:tc>
        <w:tc>
          <w:tcPr>
            <w:tcW w:w="639" w:type="dxa"/>
            <w:vMerge w:val="continue"/>
            <w:shd w:val="clear" w:color="auto" w:fill="auto"/>
            <w:vAlign w:val="center"/>
          </w:tcPr>
          <w:p w14:paraId="0CBA4FE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40A288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E9FF2A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EE3C4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系统根据急诊质控中心指定的分诊知识库分级标准（三区四级）自动评级。</w:t>
            </w:r>
          </w:p>
        </w:tc>
      </w:tr>
      <w:tr w14:paraId="4859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FA00F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722</w:t>
            </w:r>
          </w:p>
        </w:tc>
        <w:tc>
          <w:tcPr>
            <w:tcW w:w="639" w:type="dxa"/>
            <w:vMerge w:val="continue"/>
            <w:shd w:val="clear" w:color="auto" w:fill="auto"/>
            <w:vAlign w:val="center"/>
          </w:tcPr>
          <w:p w14:paraId="57C6450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9C7B04">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4FF60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危重孕产妇移动工作站</w:t>
            </w:r>
          </w:p>
        </w:tc>
        <w:tc>
          <w:tcPr>
            <w:tcW w:w="6555" w:type="dxa"/>
            <w:shd w:val="clear" w:color="auto" w:fill="auto"/>
            <w:vAlign w:val="center"/>
          </w:tcPr>
          <w:p w14:paraId="43E6001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★通过移动设备登录APP，进入危重孕产妇临床路径诊疗流程。通过移动端点选快捷的记录各类数据和评估，并最终生成完整的患者救治病历。</w:t>
            </w:r>
          </w:p>
        </w:tc>
      </w:tr>
      <w:tr w14:paraId="6A84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51420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723</w:t>
            </w:r>
          </w:p>
        </w:tc>
        <w:tc>
          <w:tcPr>
            <w:tcW w:w="639" w:type="dxa"/>
            <w:vMerge w:val="continue"/>
            <w:shd w:val="clear" w:color="auto" w:fill="auto"/>
            <w:vAlign w:val="center"/>
          </w:tcPr>
          <w:p w14:paraId="5E016FA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62A78C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9FE2C8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7E463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患者详情-院前信息：展示院前情况：到达方式，呼救时间，离场时间，GCS评分和时间</w:t>
            </w:r>
          </w:p>
        </w:tc>
      </w:tr>
      <w:tr w14:paraId="5C76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720910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724</w:t>
            </w:r>
          </w:p>
        </w:tc>
        <w:tc>
          <w:tcPr>
            <w:tcW w:w="639" w:type="dxa"/>
            <w:vMerge w:val="continue"/>
            <w:shd w:val="clear" w:color="auto" w:fill="auto"/>
            <w:vAlign w:val="center"/>
          </w:tcPr>
          <w:p w14:paraId="23AD52A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2698FB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6F4976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829D16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患者详情-院前信息：展示诊断情况：病情判断，判定轻、中、重等级情况，呼救救护车类型（120，本院，外院）（如果是自行来院的选择来院方式），跟车医生，跟车护士，院前诊断，诊断时间。</w:t>
            </w:r>
          </w:p>
        </w:tc>
      </w:tr>
      <w:tr w14:paraId="3A27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9FE2E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725</w:t>
            </w:r>
          </w:p>
        </w:tc>
        <w:tc>
          <w:tcPr>
            <w:tcW w:w="639" w:type="dxa"/>
            <w:vMerge w:val="continue"/>
            <w:shd w:val="clear" w:color="auto" w:fill="auto"/>
            <w:vAlign w:val="center"/>
          </w:tcPr>
          <w:p w14:paraId="4DA5306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85C3DF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D1EB20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3CE02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患者详情-院内信息：展示到院情况：预警时间，团队到达时间，患者到达时间，来院方式，是否已经死亡以及死亡时间。</w:t>
            </w:r>
          </w:p>
        </w:tc>
      </w:tr>
      <w:tr w14:paraId="67B5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2BDA3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726</w:t>
            </w:r>
          </w:p>
        </w:tc>
        <w:tc>
          <w:tcPr>
            <w:tcW w:w="639" w:type="dxa"/>
            <w:vMerge w:val="continue"/>
            <w:shd w:val="clear" w:color="auto" w:fill="auto"/>
            <w:vAlign w:val="center"/>
          </w:tcPr>
          <w:p w14:paraId="1F8923D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86B19C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BF57E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1CDA04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患者详情-院内信息：展示生命体征：血压，体温，心律，血糖，呼吸，血氧</w:t>
            </w:r>
          </w:p>
        </w:tc>
      </w:tr>
      <w:tr w14:paraId="0002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0799C4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727</w:t>
            </w:r>
          </w:p>
        </w:tc>
        <w:tc>
          <w:tcPr>
            <w:tcW w:w="639" w:type="dxa"/>
            <w:vMerge w:val="continue"/>
            <w:shd w:val="clear" w:color="auto" w:fill="auto"/>
            <w:vAlign w:val="center"/>
          </w:tcPr>
          <w:p w14:paraId="618E391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78A87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9EB5E7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724D9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患者详情-院内信息：展示评分：Bishop评分，GCS评分及时间。 </w:t>
            </w:r>
          </w:p>
        </w:tc>
      </w:tr>
      <w:tr w14:paraId="3F54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05E26B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728</w:t>
            </w:r>
          </w:p>
        </w:tc>
        <w:tc>
          <w:tcPr>
            <w:tcW w:w="639" w:type="dxa"/>
            <w:vMerge w:val="continue"/>
            <w:shd w:val="clear" w:color="auto" w:fill="auto"/>
            <w:vAlign w:val="center"/>
          </w:tcPr>
          <w:p w14:paraId="5300961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B930C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39ABF3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DF8239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抢救措施：建立人工气道（提出，建立）时间，抽血（提出，执行）时间，控制性手术（提出，开始）时间，闭合式引流（提出，建立）时间，使用呼吸机（提出，开始）时间，其他措施。</w:t>
            </w:r>
          </w:p>
        </w:tc>
      </w:tr>
      <w:tr w14:paraId="270C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D8274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729</w:t>
            </w:r>
          </w:p>
        </w:tc>
        <w:tc>
          <w:tcPr>
            <w:tcW w:w="639" w:type="dxa"/>
            <w:vMerge w:val="continue"/>
            <w:shd w:val="clear" w:color="auto" w:fill="auto"/>
            <w:vAlign w:val="center"/>
          </w:tcPr>
          <w:p w14:paraId="010E0AD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B8874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7FF03C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7C2378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患者详情-院内信息：展示检验检查信息。</w:t>
            </w:r>
          </w:p>
        </w:tc>
      </w:tr>
      <w:tr w14:paraId="1E68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4308C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730</w:t>
            </w:r>
          </w:p>
        </w:tc>
        <w:tc>
          <w:tcPr>
            <w:tcW w:w="639" w:type="dxa"/>
            <w:vMerge w:val="continue"/>
            <w:shd w:val="clear" w:color="auto" w:fill="auto"/>
            <w:vAlign w:val="center"/>
          </w:tcPr>
          <w:p w14:paraId="3F04100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FFD37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C31FCB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C093BE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患者详情-院内信息：展示其他记录：到达抢救室时间，离开抢救室时间，到达手术室时间，离开手术室时间。</w:t>
            </w:r>
          </w:p>
        </w:tc>
      </w:tr>
      <w:tr w14:paraId="60FB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AC911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731</w:t>
            </w:r>
          </w:p>
        </w:tc>
        <w:tc>
          <w:tcPr>
            <w:tcW w:w="639" w:type="dxa"/>
            <w:vMerge w:val="continue"/>
            <w:shd w:val="clear" w:color="auto" w:fill="auto"/>
            <w:vAlign w:val="center"/>
          </w:tcPr>
          <w:p w14:paraId="5082B2F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25B09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C1D56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BA567E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患者详情-转归信息：展示住院信息：是否住院，办理住院时间，结束住院时间，住院天数，住院费用。</w:t>
            </w:r>
          </w:p>
        </w:tc>
      </w:tr>
      <w:tr w14:paraId="5F49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14E51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732</w:t>
            </w:r>
          </w:p>
        </w:tc>
        <w:tc>
          <w:tcPr>
            <w:tcW w:w="639" w:type="dxa"/>
            <w:vMerge w:val="continue"/>
            <w:shd w:val="clear" w:color="auto" w:fill="auto"/>
            <w:vAlign w:val="center"/>
          </w:tcPr>
          <w:p w14:paraId="751F9F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D6D93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726BFA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EF583E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患者详情-转归信息：展示ICU信息：是否到达ICU，达到ICU时间，离开ICU时间，ICU天数。</w:t>
            </w:r>
          </w:p>
        </w:tc>
      </w:tr>
      <w:tr w14:paraId="2F9D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1BD08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733</w:t>
            </w:r>
          </w:p>
        </w:tc>
        <w:tc>
          <w:tcPr>
            <w:tcW w:w="639" w:type="dxa"/>
            <w:vMerge w:val="continue"/>
            <w:shd w:val="clear" w:color="auto" w:fill="auto"/>
            <w:vAlign w:val="center"/>
          </w:tcPr>
          <w:p w14:paraId="2AC96B1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B6F4D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A9C42E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A26F8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患者详情-转归信息：展示急诊转归：手术次数，抢救结果，病人去向，转归时间。</w:t>
            </w:r>
          </w:p>
        </w:tc>
      </w:tr>
      <w:tr w14:paraId="6D98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A1580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734</w:t>
            </w:r>
          </w:p>
        </w:tc>
        <w:tc>
          <w:tcPr>
            <w:tcW w:w="639" w:type="dxa"/>
            <w:vMerge w:val="continue"/>
            <w:shd w:val="clear" w:color="auto" w:fill="auto"/>
            <w:vAlign w:val="center"/>
          </w:tcPr>
          <w:p w14:paraId="2762263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5AF13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BEDD75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2E15DF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会诊功能：支持在线发起会诊，快速选择科室和医生快速拨打科室值班电话或医生联系电话</w:t>
            </w:r>
          </w:p>
        </w:tc>
      </w:tr>
      <w:tr w14:paraId="19D8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ED186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735</w:t>
            </w:r>
          </w:p>
        </w:tc>
        <w:tc>
          <w:tcPr>
            <w:tcW w:w="639" w:type="dxa"/>
            <w:vMerge w:val="continue"/>
            <w:shd w:val="clear" w:color="auto" w:fill="auto"/>
            <w:vAlign w:val="center"/>
          </w:tcPr>
          <w:p w14:paraId="7917ED8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448E9B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2BDE40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524D44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会诊功能：支持会诊患者病历模板</w:t>
            </w:r>
            <w:r>
              <w:rPr>
                <w:rFonts w:hint="eastAsia" w:ascii="宋体" w:hAnsi="宋体" w:cs="宋体"/>
                <w:i w:val="0"/>
                <w:iCs w:val="0"/>
                <w:color w:val="auto"/>
                <w:kern w:val="0"/>
                <w:sz w:val="22"/>
                <w:szCs w:val="22"/>
                <w:highlight w:val="none"/>
                <w:u w:val="none"/>
                <w:lang w:val="en-US" w:eastAsia="zh-CN" w:bidi="ar"/>
              </w:rPr>
              <w:t>化</w:t>
            </w:r>
            <w:r>
              <w:rPr>
                <w:rFonts w:hint="eastAsia" w:ascii="宋体" w:hAnsi="宋体" w:eastAsia="宋体" w:cs="宋体"/>
                <w:i w:val="0"/>
                <w:iCs w:val="0"/>
                <w:color w:val="auto"/>
                <w:kern w:val="0"/>
                <w:sz w:val="22"/>
                <w:szCs w:val="22"/>
                <w:highlight w:val="none"/>
                <w:u w:val="none"/>
                <w:lang w:val="en-US" w:eastAsia="zh-CN" w:bidi="ar"/>
              </w:rPr>
              <w:t>，快速选择模板，以及在线编辑模板</w:t>
            </w:r>
          </w:p>
        </w:tc>
      </w:tr>
      <w:tr w14:paraId="08B0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BD86E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736</w:t>
            </w:r>
          </w:p>
        </w:tc>
        <w:tc>
          <w:tcPr>
            <w:tcW w:w="639" w:type="dxa"/>
            <w:vMerge w:val="continue"/>
            <w:shd w:val="clear" w:color="auto" w:fill="auto"/>
            <w:vAlign w:val="center"/>
          </w:tcPr>
          <w:p w14:paraId="230FB3F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B78669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5087A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C0331C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会诊功能：支持会诊被邀请者会诊邀请提示，患者情况了解，倒计时紧急度显示</w:t>
            </w:r>
          </w:p>
        </w:tc>
      </w:tr>
      <w:tr w14:paraId="172C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4FA148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737</w:t>
            </w:r>
          </w:p>
        </w:tc>
        <w:tc>
          <w:tcPr>
            <w:tcW w:w="639" w:type="dxa"/>
            <w:vMerge w:val="continue"/>
            <w:shd w:val="clear" w:color="auto" w:fill="auto"/>
            <w:vAlign w:val="center"/>
          </w:tcPr>
          <w:p w14:paraId="159A903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7E3CCB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E91513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7F9C4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会诊功能：支持会诊快速签到，记录被邀请者的到场时间</w:t>
            </w:r>
          </w:p>
        </w:tc>
      </w:tr>
      <w:tr w14:paraId="457C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0CD3F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738</w:t>
            </w:r>
          </w:p>
        </w:tc>
        <w:tc>
          <w:tcPr>
            <w:tcW w:w="639" w:type="dxa"/>
            <w:vMerge w:val="continue"/>
            <w:shd w:val="clear" w:color="auto" w:fill="auto"/>
            <w:vAlign w:val="center"/>
          </w:tcPr>
          <w:p w14:paraId="723E19E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0AC227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4AE4C7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2CAC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会诊功能：支持会诊在线回复，可以通过拍照存档。</w:t>
            </w:r>
          </w:p>
        </w:tc>
      </w:tr>
      <w:tr w14:paraId="3CD5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19465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739</w:t>
            </w:r>
          </w:p>
        </w:tc>
        <w:tc>
          <w:tcPr>
            <w:tcW w:w="639" w:type="dxa"/>
            <w:vMerge w:val="continue"/>
            <w:shd w:val="clear" w:color="auto" w:fill="auto"/>
            <w:vAlign w:val="center"/>
          </w:tcPr>
          <w:p w14:paraId="405AD78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DD0B6A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B0DEBA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7B8C3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支持展示危重孕产妇急救全流程诊疗流程时间轴</w:t>
            </w:r>
          </w:p>
        </w:tc>
      </w:tr>
      <w:tr w14:paraId="04BA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872D0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740</w:t>
            </w:r>
          </w:p>
        </w:tc>
        <w:tc>
          <w:tcPr>
            <w:tcW w:w="639" w:type="dxa"/>
            <w:vMerge w:val="continue"/>
            <w:shd w:val="clear" w:color="auto" w:fill="auto"/>
            <w:vAlign w:val="center"/>
          </w:tcPr>
          <w:p w14:paraId="4B45C82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83302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91AB8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患者综合档案信息管理</w:t>
            </w:r>
          </w:p>
        </w:tc>
        <w:tc>
          <w:tcPr>
            <w:tcW w:w="6555" w:type="dxa"/>
            <w:shd w:val="clear" w:color="auto" w:fill="auto"/>
            <w:vAlign w:val="center"/>
          </w:tcPr>
          <w:p w14:paraId="7B042B5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危重孕产妇急救列表可查看最新的患者信息，包括患者姓名、性别、年龄、危重情况</w:t>
            </w:r>
          </w:p>
        </w:tc>
      </w:tr>
      <w:tr w14:paraId="62F4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D547D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741</w:t>
            </w:r>
          </w:p>
        </w:tc>
        <w:tc>
          <w:tcPr>
            <w:tcW w:w="639" w:type="dxa"/>
            <w:vMerge w:val="continue"/>
            <w:shd w:val="clear" w:color="auto" w:fill="auto"/>
            <w:vAlign w:val="center"/>
          </w:tcPr>
          <w:p w14:paraId="4821E1A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BECF27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FB7A03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D06B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支持通过患者病种、姓名等信息快速定位患者。</w:t>
            </w:r>
          </w:p>
        </w:tc>
      </w:tr>
      <w:tr w14:paraId="2C7B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8C289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742</w:t>
            </w:r>
          </w:p>
        </w:tc>
        <w:tc>
          <w:tcPr>
            <w:tcW w:w="639" w:type="dxa"/>
            <w:vMerge w:val="continue"/>
            <w:shd w:val="clear" w:color="auto" w:fill="auto"/>
            <w:vAlign w:val="center"/>
          </w:tcPr>
          <w:p w14:paraId="3C96983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B87F7B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0A392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8F5A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时间节点记录：支持自动感应、手动快速点击记录等多个方式记录时间；支持自动计算已执行过的时间节点的时间差值，定位耗时长的点位，优化医疗流程；支持 发病、呼叫、CT、医生接诊、签署知情同意等关键时间节点记录。</w:t>
            </w:r>
          </w:p>
        </w:tc>
      </w:tr>
      <w:tr w14:paraId="597E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4970A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743</w:t>
            </w:r>
          </w:p>
        </w:tc>
        <w:tc>
          <w:tcPr>
            <w:tcW w:w="639" w:type="dxa"/>
            <w:vMerge w:val="continue"/>
            <w:shd w:val="clear" w:color="auto" w:fill="auto"/>
            <w:vAlign w:val="center"/>
          </w:tcPr>
          <w:p w14:paraId="79B696A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0A2CB2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5BD782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9F3F7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诊疗时间轴展示：支持展示危重孕产妇急救过程实时时间节点实现系统生成一份诊疗流程时间轴</w:t>
            </w:r>
          </w:p>
        </w:tc>
      </w:tr>
      <w:tr w14:paraId="050D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1C1885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744</w:t>
            </w:r>
          </w:p>
        </w:tc>
        <w:tc>
          <w:tcPr>
            <w:tcW w:w="639" w:type="dxa"/>
            <w:vMerge w:val="continue"/>
            <w:shd w:val="clear" w:color="auto" w:fill="auto"/>
            <w:vAlign w:val="center"/>
          </w:tcPr>
          <w:p w14:paraId="07EEFB5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CC3BD4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60200D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3ECD50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诊疗时间轴展示：支持危重孕产妇急救过程各类情况完整时间节点记录，支持自动获取当前时间，对接获取自动采集时间节点数据；支持病程及救治过程关键节点时间记录功能，时间轴管理，救治登记表生成。</w:t>
            </w:r>
          </w:p>
        </w:tc>
      </w:tr>
      <w:tr w14:paraId="05E3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712FB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745</w:t>
            </w:r>
          </w:p>
        </w:tc>
        <w:tc>
          <w:tcPr>
            <w:tcW w:w="639" w:type="dxa"/>
            <w:vMerge w:val="continue"/>
            <w:shd w:val="clear" w:color="auto" w:fill="auto"/>
            <w:vAlign w:val="center"/>
          </w:tcPr>
          <w:p w14:paraId="073E49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C2A16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FF155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6DDD5D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提供孕产妇专项护理：支持病情记录单功能，医护人员通过危重孕产妇急救工作站即可完成病情记录、体征记录、诊疗、治疗记录信息，还需同时支持手工录入补充信息功能；</w:t>
            </w:r>
          </w:p>
        </w:tc>
      </w:tr>
      <w:tr w14:paraId="0E49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7F7CA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746</w:t>
            </w:r>
          </w:p>
        </w:tc>
        <w:tc>
          <w:tcPr>
            <w:tcW w:w="639" w:type="dxa"/>
            <w:vMerge w:val="continue"/>
            <w:shd w:val="clear" w:color="auto" w:fill="auto"/>
            <w:vAlign w:val="center"/>
          </w:tcPr>
          <w:p w14:paraId="68FEB05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5106A3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479D3B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000D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提供孕产妇专项护理：院内患者救治过程中，医护人员评估并记录危重孕产妇宫口开支、宫颈管消失、弹足底或插鼻反应、先露位置、宫颈硬度、宫口位置情况。</w:t>
            </w:r>
          </w:p>
        </w:tc>
      </w:tr>
      <w:tr w14:paraId="31EA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02AF0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747</w:t>
            </w:r>
          </w:p>
        </w:tc>
        <w:tc>
          <w:tcPr>
            <w:tcW w:w="639" w:type="dxa"/>
            <w:vMerge w:val="continue"/>
            <w:shd w:val="clear" w:color="auto" w:fill="auto"/>
            <w:vAlign w:val="center"/>
          </w:tcPr>
          <w:p w14:paraId="15E43C8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58ED7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49B31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E0A73E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提供孕产妇专项护理：院内患者救治过程中，医护人员评估并记录Bishop评分、剖宫产前后有阴道分娩史、前次手术指征情况。</w:t>
            </w:r>
          </w:p>
        </w:tc>
      </w:tr>
      <w:tr w14:paraId="6B96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FCE5E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748</w:t>
            </w:r>
          </w:p>
        </w:tc>
        <w:tc>
          <w:tcPr>
            <w:tcW w:w="639" w:type="dxa"/>
            <w:vMerge w:val="continue"/>
            <w:shd w:val="clear" w:color="auto" w:fill="auto"/>
            <w:vAlign w:val="center"/>
          </w:tcPr>
          <w:p w14:paraId="0551532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55C938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80B83D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DE6D2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提供孕产妇专项护理：院内患者救治过程中，医护人员评估并记录基线率、振幅、胎动时胎心率上升、胎动时胎心率改变、胎动次数情况。</w:t>
            </w:r>
          </w:p>
        </w:tc>
      </w:tr>
      <w:tr w14:paraId="2B10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D1A86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749</w:t>
            </w:r>
          </w:p>
        </w:tc>
        <w:tc>
          <w:tcPr>
            <w:tcW w:w="639" w:type="dxa"/>
            <w:vMerge w:val="continue"/>
            <w:shd w:val="clear" w:color="auto" w:fill="auto"/>
            <w:vAlign w:val="center"/>
          </w:tcPr>
          <w:p w14:paraId="2AA97D2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2AD9AC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E3FD4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59003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提供孕产妇专项护理：院内患者救治过程中，医护人员评估并记录基线率、胎心率基 幅度、线变异性频率、胎心率增速、胎心率减速情况。</w:t>
            </w:r>
          </w:p>
        </w:tc>
      </w:tr>
      <w:tr w14:paraId="4EAF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5524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c>
          <w:tcPr>
            <w:tcW w:w="639" w:type="dxa"/>
            <w:vMerge w:val="continue"/>
            <w:shd w:val="clear" w:color="auto" w:fill="auto"/>
            <w:vAlign w:val="center"/>
          </w:tcPr>
          <w:p w14:paraId="6FD65E9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3A23CF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27AE4B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1E975C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提供孕产妇专项护理：提供高危妊娠评分标准表，判定轻、中、重等级情况。</w:t>
            </w:r>
          </w:p>
        </w:tc>
      </w:tr>
      <w:tr w14:paraId="0108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8973C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751</w:t>
            </w:r>
          </w:p>
        </w:tc>
        <w:tc>
          <w:tcPr>
            <w:tcW w:w="639" w:type="dxa"/>
            <w:vMerge w:val="continue"/>
            <w:shd w:val="clear" w:color="auto" w:fill="auto"/>
            <w:vAlign w:val="center"/>
          </w:tcPr>
          <w:p w14:paraId="0C608E3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9B37A3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F3EAE9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A12AA7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提供孕产妇专项护理：提供APACHEII评分结果，自动统计患者的预计病死率和标化病死率。</w:t>
            </w:r>
          </w:p>
        </w:tc>
      </w:tr>
      <w:tr w14:paraId="5D83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D895F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752</w:t>
            </w:r>
          </w:p>
        </w:tc>
        <w:tc>
          <w:tcPr>
            <w:tcW w:w="639" w:type="dxa"/>
            <w:vMerge w:val="continue"/>
            <w:shd w:val="clear" w:color="auto" w:fill="auto"/>
            <w:vAlign w:val="center"/>
          </w:tcPr>
          <w:p w14:paraId="24B0F72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B81351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7707A1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8703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提供孕产妇专项护理：院内患者救治过程中，医护人员评估并记录率、收缩压、呼吸频率、体温、意识参数情况。</w:t>
            </w:r>
          </w:p>
        </w:tc>
      </w:tr>
      <w:tr w14:paraId="6103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576" w:type="dxa"/>
            <w:shd w:val="clear" w:color="auto" w:fill="auto"/>
            <w:vAlign w:val="center"/>
          </w:tcPr>
          <w:p w14:paraId="76C6DB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753</w:t>
            </w:r>
          </w:p>
        </w:tc>
        <w:tc>
          <w:tcPr>
            <w:tcW w:w="639" w:type="dxa"/>
            <w:vMerge w:val="continue"/>
            <w:shd w:val="clear" w:color="auto" w:fill="auto"/>
            <w:vAlign w:val="center"/>
          </w:tcPr>
          <w:p w14:paraId="608D36F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C6FBA4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193F92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6A9F65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孕产妇专项病历：通过对患者的病情、体征、检验检查等方式，对患者进行初步诊断，入院情况（来院方式、到达医院时间、挂号时间、患者去向等）、体格检查（意识、呼吸、心率、收缩压、舒张压、脉搏、体温、宫底高度、腹围、胎心率、胎方位等）、既往史（既往史、产次、孕次、妊娠合并病史、妊娠并发症史等）、孕期情况（末次月经日期、预产期、纠正预产期、胎动开始时间、妊娠并发症、高危因素、高危标志、高危妊娠等级、孕期情况等）、妊娠终止（妊娠终止方式、产时并发症、产妇结局、胎数等）。体征记录可记录患者的意识、心率、呼吸、收缩压、舒张压、血氧饱和度、体温，可记录瞳孔情况。</w:t>
            </w:r>
          </w:p>
        </w:tc>
      </w:tr>
      <w:tr w14:paraId="1890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AC802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754</w:t>
            </w:r>
          </w:p>
        </w:tc>
        <w:tc>
          <w:tcPr>
            <w:tcW w:w="639" w:type="dxa"/>
            <w:vMerge w:val="continue"/>
            <w:shd w:val="clear" w:color="auto" w:fill="auto"/>
            <w:vAlign w:val="center"/>
          </w:tcPr>
          <w:p w14:paraId="3484B03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93CC2E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E1B1A5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C8FC35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提供危重孕产妇专项病历：</w:t>
            </w:r>
            <w:r>
              <w:rPr>
                <w:rFonts w:hint="eastAsia" w:ascii="宋体" w:hAnsi="宋体" w:cs="宋体"/>
                <w:i w:val="0"/>
                <w:iCs w:val="0"/>
                <w:color w:val="auto"/>
                <w:kern w:val="0"/>
                <w:sz w:val="22"/>
                <w:szCs w:val="22"/>
                <w:highlight w:val="none"/>
                <w:u w:val="none"/>
                <w:lang w:val="en-US" w:eastAsia="zh-CN" w:bidi="ar"/>
              </w:rPr>
              <w:t>检查</w:t>
            </w:r>
            <w:r>
              <w:rPr>
                <w:rFonts w:hint="eastAsia" w:ascii="宋体" w:hAnsi="宋体" w:eastAsia="宋体" w:cs="宋体"/>
                <w:i w:val="0"/>
                <w:iCs w:val="0"/>
                <w:color w:val="auto"/>
                <w:kern w:val="0"/>
                <w:sz w:val="22"/>
                <w:szCs w:val="22"/>
                <w:highlight w:val="none"/>
                <w:u w:val="none"/>
                <w:lang w:val="en-US" w:eastAsia="zh-CN" w:bidi="ar"/>
              </w:rPr>
              <w:t>报告，支持检验数据报告的查看和导入功能。</w:t>
            </w:r>
          </w:p>
        </w:tc>
      </w:tr>
      <w:tr w14:paraId="745D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C26BA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755</w:t>
            </w:r>
          </w:p>
        </w:tc>
        <w:tc>
          <w:tcPr>
            <w:tcW w:w="639" w:type="dxa"/>
            <w:vMerge w:val="continue"/>
            <w:shd w:val="clear" w:color="auto" w:fill="auto"/>
            <w:vAlign w:val="center"/>
          </w:tcPr>
          <w:p w14:paraId="3FE97FE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3A181A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1BEE5C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3A5BC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提供危重孕产妇专项病历：医嘱信息，支持医嘱信息内容查询和导入功能。</w:t>
            </w:r>
          </w:p>
        </w:tc>
      </w:tr>
      <w:tr w14:paraId="0589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7E66E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756</w:t>
            </w:r>
          </w:p>
        </w:tc>
        <w:tc>
          <w:tcPr>
            <w:tcW w:w="639" w:type="dxa"/>
            <w:vMerge w:val="continue"/>
            <w:shd w:val="clear" w:color="auto" w:fill="auto"/>
            <w:vAlign w:val="center"/>
          </w:tcPr>
          <w:p w14:paraId="09954A6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E3A35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FBD0F0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241F42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患者转归登记：患者转归，支持不同的转归方式，记录患者出院诊断、住院天数、费用、出院带药等信息，支持转送医院，医院名称，转出时间、转出科室、接诊医生、接诊护士。</w:t>
            </w:r>
          </w:p>
        </w:tc>
      </w:tr>
      <w:tr w14:paraId="23D9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52DE02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757</w:t>
            </w:r>
          </w:p>
        </w:tc>
        <w:tc>
          <w:tcPr>
            <w:tcW w:w="639" w:type="dxa"/>
            <w:vMerge w:val="continue"/>
            <w:shd w:val="clear" w:color="auto" w:fill="auto"/>
            <w:vAlign w:val="center"/>
          </w:tcPr>
          <w:p w14:paraId="0AA04C8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716F414">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7F1CAA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数据质控统计分析</w:t>
            </w:r>
          </w:p>
        </w:tc>
        <w:tc>
          <w:tcPr>
            <w:tcW w:w="6555" w:type="dxa"/>
            <w:shd w:val="clear" w:color="auto" w:fill="auto"/>
            <w:vAlign w:val="center"/>
          </w:tcPr>
          <w:p w14:paraId="727E49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依照国家卫健委发布的危重孕产妇相关指导规范和指南，对医院各项质控指标进行多维度动态监测，不断提升医疗服务质量、方便流程绩效管理，满足医院临床质控需求。提供孕产妇基础信息、治疗数据、质控指标统计、图形化展示、数据导出。</w:t>
            </w:r>
          </w:p>
        </w:tc>
      </w:tr>
      <w:tr w14:paraId="7449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78DD2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758</w:t>
            </w:r>
          </w:p>
        </w:tc>
        <w:tc>
          <w:tcPr>
            <w:tcW w:w="639" w:type="dxa"/>
            <w:vMerge w:val="continue"/>
            <w:shd w:val="clear" w:color="auto" w:fill="auto"/>
            <w:vAlign w:val="center"/>
          </w:tcPr>
          <w:p w14:paraId="2513B90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10CFEB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57B0F7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2E9C17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提供危重孕产妇患者的相关报表统计，可筛选年龄段、性别、来院方式等。</w:t>
            </w:r>
          </w:p>
        </w:tc>
      </w:tr>
      <w:tr w14:paraId="5AF3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5FA4E3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759</w:t>
            </w:r>
          </w:p>
        </w:tc>
        <w:tc>
          <w:tcPr>
            <w:tcW w:w="639" w:type="dxa"/>
            <w:vMerge w:val="continue"/>
            <w:shd w:val="clear" w:color="auto" w:fill="auto"/>
            <w:vAlign w:val="center"/>
          </w:tcPr>
          <w:p w14:paraId="1A3FCD8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8A08B6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D22074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A45FFE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提供危重孕产妇患者诊疗数据的相关报表统计，如不同危重孕产妇诊断比例、危重孕产妇病人趋势统计等。</w:t>
            </w:r>
          </w:p>
        </w:tc>
      </w:tr>
      <w:tr w14:paraId="0591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E27DA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760</w:t>
            </w:r>
          </w:p>
        </w:tc>
        <w:tc>
          <w:tcPr>
            <w:tcW w:w="639" w:type="dxa"/>
            <w:vMerge w:val="continue"/>
            <w:shd w:val="clear" w:color="auto" w:fill="auto"/>
            <w:vAlign w:val="center"/>
          </w:tcPr>
          <w:p w14:paraId="73B806F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F1D0DA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C2AB2D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E4E80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提供危重孕产妇患者质控指标的相关统计图表，如平均启动急救团队时间（MDT接诊时间-到达时间）、平均DDI时间（紧急</w:t>
            </w:r>
            <w:r>
              <w:rPr>
                <w:rFonts w:hint="eastAsia" w:ascii="宋体" w:hAnsi="宋体" w:cs="宋体"/>
                <w:i w:val="0"/>
                <w:iCs w:val="0"/>
                <w:color w:val="auto"/>
                <w:kern w:val="0"/>
                <w:sz w:val="22"/>
                <w:szCs w:val="22"/>
                <w:highlight w:val="none"/>
                <w:u w:val="none"/>
                <w:lang w:val="en-US" w:eastAsia="zh-CN" w:bidi="ar"/>
              </w:rPr>
              <w:t>剖</w:t>
            </w:r>
            <w:r>
              <w:rPr>
                <w:rFonts w:hint="eastAsia" w:ascii="宋体" w:hAnsi="宋体" w:eastAsia="宋体" w:cs="宋体"/>
                <w:i w:val="0"/>
                <w:iCs w:val="0"/>
                <w:color w:val="auto"/>
                <w:kern w:val="0"/>
                <w:sz w:val="22"/>
                <w:szCs w:val="22"/>
                <w:highlight w:val="none"/>
                <w:u w:val="none"/>
                <w:lang w:val="en-US" w:eastAsia="zh-CN" w:bidi="ar"/>
              </w:rPr>
              <w:t>宫产决定手术至胎儿娩出时间）等。</w:t>
            </w:r>
          </w:p>
        </w:tc>
      </w:tr>
      <w:tr w14:paraId="269E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3828D0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761</w:t>
            </w:r>
          </w:p>
        </w:tc>
        <w:tc>
          <w:tcPr>
            <w:tcW w:w="639" w:type="dxa"/>
            <w:vMerge w:val="continue"/>
            <w:shd w:val="clear" w:color="auto" w:fill="auto"/>
            <w:vAlign w:val="center"/>
          </w:tcPr>
          <w:p w14:paraId="1D09D3F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E541A00">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02DD55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大数据可视化大屏</w:t>
            </w:r>
          </w:p>
        </w:tc>
        <w:tc>
          <w:tcPr>
            <w:tcW w:w="6555" w:type="dxa"/>
            <w:shd w:val="clear" w:color="auto" w:fill="auto"/>
            <w:vAlign w:val="center"/>
          </w:tcPr>
          <w:p w14:paraId="166BB3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通过大屏的方式，汇总展示关键信息，可将危重孕产妇前建设成果直观展示。包含患者趋势，关键质控指标趋势,抢救措施等。</w:t>
            </w:r>
          </w:p>
        </w:tc>
      </w:tr>
      <w:tr w14:paraId="6D1B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20DF6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762</w:t>
            </w:r>
          </w:p>
        </w:tc>
        <w:tc>
          <w:tcPr>
            <w:tcW w:w="639" w:type="dxa"/>
            <w:vMerge w:val="continue"/>
            <w:shd w:val="clear" w:color="auto" w:fill="auto"/>
            <w:vAlign w:val="center"/>
          </w:tcPr>
          <w:p w14:paraId="620E40D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0EBB7D8">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549A3B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危重孕产妇患者随访管理</w:t>
            </w:r>
          </w:p>
        </w:tc>
        <w:tc>
          <w:tcPr>
            <w:tcW w:w="6555" w:type="dxa"/>
            <w:shd w:val="clear" w:color="auto" w:fill="auto"/>
            <w:vAlign w:val="center"/>
          </w:tcPr>
          <w:p w14:paraId="14EC53D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创建随访任务：针对危重孕产妇患者，系统支持创建个性化的随访任务，确保每位患者都能得到适当的关注和跟踪。</w:t>
            </w:r>
          </w:p>
        </w:tc>
      </w:tr>
      <w:tr w14:paraId="64C1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D0F8A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763</w:t>
            </w:r>
          </w:p>
        </w:tc>
        <w:tc>
          <w:tcPr>
            <w:tcW w:w="639" w:type="dxa"/>
            <w:vMerge w:val="continue"/>
            <w:shd w:val="clear" w:color="auto" w:fill="auto"/>
            <w:vAlign w:val="center"/>
          </w:tcPr>
          <w:p w14:paraId="75DF732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9C208B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B2984A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BE4E8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添加随访计划：医生可以为每位患者制定详细的随访计划，包括随访的时间、频率和内容，以满足患者的康复需求。</w:t>
            </w:r>
          </w:p>
        </w:tc>
      </w:tr>
      <w:tr w14:paraId="2942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CEDF4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764</w:t>
            </w:r>
          </w:p>
        </w:tc>
        <w:tc>
          <w:tcPr>
            <w:tcW w:w="639" w:type="dxa"/>
            <w:vMerge w:val="continue"/>
            <w:shd w:val="clear" w:color="auto" w:fill="auto"/>
            <w:vAlign w:val="center"/>
          </w:tcPr>
          <w:p w14:paraId="3360370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D96A5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EEFAF7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85D3F8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设置随访任务提醒：系统能够自动发送提醒通知给医生和患者，确保双方都能按时执行随访任务，提高随访的准时率和效率。</w:t>
            </w:r>
          </w:p>
        </w:tc>
      </w:tr>
      <w:tr w14:paraId="3B40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ED565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765</w:t>
            </w:r>
          </w:p>
        </w:tc>
        <w:tc>
          <w:tcPr>
            <w:tcW w:w="639" w:type="dxa"/>
            <w:vMerge w:val="continue"/>
            <w:shd w:val="clear" w:color="auto" w:fill="auto"/>
            <w:vAlign w:val="center"/>
          </w:tcPr>
          <w:p w14:paraId="0DE07BF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F490878">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D125BB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498DD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结束随访任务并记录结果：完成随访后，医生可以结束随访任务并记录相关的随访结果和评估信息，为患者后续治疗提供依据。</w:t>
            </w:r>
          </w:p>
        </w:tc>
      </w:tr>
      <w:tr w14:paraId="7137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AC0F0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766</w:t>
            </w:r>
          </w:p>
        </w:tc>
        <w:tc>
          <w:tcPr>
            <w:tcW w:w="639" w:type="dxa"/>
            <w:vMerge w:val="continue"/>
            <w:shd w:val="clear" w:color="auto" w:fill="auto"/>
            <w:vAlign w:val="center"/>
          </w:tcPr>
          <w:p w14:paraId="5A08E6E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A7295C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F8B47D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7C8357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查询和导出随访数据：系统支持方便的查询功能，帮助医生快速找到特定的随访数据。同时，随访数据可以导出为各种文件格式，方便进一步的分析和存档。</w:t>
            </w:r>
          </w:p>
        </w:tc>
      </w:tr>
      <w:tr w14:paraId="489E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5B1F7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767</w:t>
            </w:r>
          </w:p>
        </w:tc>
        <w:tc>
          <w:tcPr>
            <w:tcW w:w="639" w:type="dxa"/>
            <w:vMerge w:val="continue"/>
            <w:shd w:val="clear" w:color="auto" w:fill="auto"/>
            <w:vAlign w:val="center"/>
          </w:tcPr>
          <w:p w14:paraId="5546186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E62FB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3414DA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BA973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随访统计分析：通过对随访数据进行统计分析，医生可以了解危重孕产妇患者的整体康复情况，评估治疗效果，为未来的治疗策略提供参考。</w:t>
            </w:r>
          </w:p>
        </w:tc>
      </w:tr>
      <w:tr w14:paraId="4988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538FBB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768</w:t>
            </w:r>
          </w:p>
        </w:tc>
        <w:tc>
          <w:tcPr>
            <w:tcW w:w="639" w:type="dxa"/>
            <w:vMerge w:val="continue"/>
            <w:shd w:val="clear" w:color="auto" w:fill="auto"/>
            <w:vAlign w:val="center"/>
          </w:tcPr>
          <w:p w14:paraId="45993DA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473794F">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AE59B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第三方系统数据对接</w:t>
            </w:r>
          </w:p>
        </w:tc>
        <w:tc>
          <w:tcPr>
            <w:tcW w:w="6555" w:type="dxa"/>
            <w:shd w:val="clear" w:color="auto" w:fill="auto"/>
            <w:vAlign w:val="center"/>
          </w:tcPr>
          <w:p w14:paraId="30A2CD4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与急诊系统对接</w:t>
            </w:r>
          </w:p>
        </w:tc>
      </w:tr>
      <w:tr w14:paraId="0FFD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6007B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769</w:t>
            </w:r>
          </w:p>
        </w:tc>
        <w:tc>
          <w:tcPr>
            <w:tcW w:w="639" w:type="dxa"/>
            <w:vMerge w:val="continue"/>
            <w:shd w:val="clear" w:color="auto" w:fill="auto"/>
            <w:vAlign w:val="center"/>
          </w:tcPr>
          <w:p w14:paraId="67410C9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D73EFD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35146F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7E0C52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与HIS系统对接</w:t>
            </w:r>
          </w:p>
        </w:tc>
      </w:tr>
      <w:tr w14:paraId="2C6D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AE607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770</w:t>
            </w:r>
          </w:p>
        </w:tc>
        <w:tc>
          <w:tcPr>
            <w:tcW w:w="639" w:type="dxa"/>
            <w:vMerge w:val="continue"/>
            <w:shd w:val="clear" w:color="auto" w:fill="auto"/>
            <w:vAlign w:val="center"/>
          </w:tcPr>
          <w:p w14:paraId="38A73DA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7C2780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8D243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5A46A2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与LIS系统对接</w:t>
            </w:r>
          </w:p>
        </w:tc>
      </w:tr>
      <w:tr w14:paraId="5124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4884D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771</w:t>
            </w:r>
          </w:p>
        </w:tc>
        <w:tc>
          <w:tcPr>
            <w:tcW w:w="639" w:type="dxa"/>
            <w:vMerge w:val="continue"/>
            <w:shd w:val="clear" w:color="auto" w:fill="auto"/>
            <w:vAlign w:val="center"/>
          </w:tcPr>
          <w:p w14:paraId="64A02C7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99D64D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950404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CBAD8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与PACS系统对接</w:t>
            </w:r>
          </w:p>
        </w:tc>
      </w:tr>
      <w:tr w14:paraId="3BD9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70EDE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772</w:t>
            </w:r>
          </w:p>
        </w:tc>
        <w:tc>
          <w:tcPr>
            <w:tcW w:w="639" w:type="dxa"/>
            <w:vMerge w:val="continue"/>
            <w:shd w:val="clear" w:color="auto" w:fill="auto"/>
            <w:vAlign w:val="center"/>
          </w:tcPr>
          <w:p w14:paraId="1BEBED3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61A88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5EE245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DD4E8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与住院信息系统对接</w:t>
            </w:r>
          </w:p>
        </w:tc>
      </w:tr>
      <w:tr w14:paraId="753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FFB86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773</w:t>
            </w:r>
          </w:p>
        </w:tc>
        <w:tc>
          <w:tcPr>
            <w:tcW w:w="639" w:type="dxa"/>
            <w:vMerge w:val="continue"/>
            <w:shd w:val="clear" w:color="auto" w:fill="auto"/>
            <w:vAlign w:val="center"/>
          </w:tcPr>
          <w:p w14:paraId="5A678985">
            <w:pPr>
              <w:jc w:val="center"/>
              <w:rPr>
                <w:rFonts w:hint="eastAsia" w:ascii="宋体" w:hAnsi="宋体" w:eastAsia="宋体" w:cs="宋体"/>
                <w:i w:val="0"/>
                <w:iCs w:val="0"/>
                <w:color w:val="auto"/>
                <w:sz w:val="22"/>
                <w:szCs w:val="22"/>
                <w:highlight w:val="none"/>
                <w:u w:val="none"/>
              </w:rPr>
            </w:pPr>
          </w:p>
        </w:tc>
        <w:tc>
          <w:tcPr>
            <w:tcW w:w="694" w:type="dxa"/>
            <w:vMerge w:val="restart"/>
            <w:shd w:val="clear" w:color="auto" w:fill="auto"/>
            <w:vAlign w:val="center"/>
          </w:tcPr>
          <w:p w14:paraId="337288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危重新生儿中心</w:t>
            </w:r>
          </w:p>
        </w:tc>
        <w:tc>
          <w:tcPr>
            <w:tcW w:w="986" w:type="dxa"/>
            <w:vMerge w:val="restart"/>
            <w:shd w:val="clear" w:color="auto" w:fill="auto"/>
            <w:vAlign w:val="center"/>
          </w:tcPr>
          <w:p w14:paraId="5A3C86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危重新生儿急救绿色通道</w:t>
            </w:r>
          </w:p>
        </w:tc>
        <w:tc>
          <w:tcPr>
            <w:tcW w:w="6555" w:type="dxa"/>
            <w:shd w:val="clear" w:color="auto" w:fill="auto"/>
            <w:vAlign w:val="center"/>
          </w:tcPr>
          <w:p w14:paraId="1ACABD3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定义就诊流程时，在分诊台或者留抢室登记危重儿童和新生儿患者标签。</w:t>
            </w:r>
          </w:p>
        </w:tc>
      </w:tr>
      <w:tr w14:paraId="0A7E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5443C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774</w:t>
            </w:r>
          </w:p>
        </w:tc>
        <w:tc>
          <w:tcPr>
            <w:tcW w:w="639" w:type="dxa"/>
            <w:vMerge w:val="continue"/>
            <w:shd w:val="clear" w:color="auto" w:fill="auto"/>
            <w:vAlign w:val="center"/>
          </w:tcPr>
          <w:p w14:paraId="22BE44F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9D225C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3FFD8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F5211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如果已有院前信息，可以进行在线绑定院前患者，实现院前和院内信息打通。院前患者列表可以通过条件进行删选，近1小时，近1天，院前医生等，以便快速锁定该患者的院前信息。</w:t>
            </w:r>
          </w:p>
        </w:tc>
      </w:tr>
      <w:tr w14:paraId="682B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4F0B5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775</w:t>
            </w:r>
          </w:p>
        </w:tc>
        <w:tc>
          <w:tcPr>
            <w:tcW w:w="639" w:type="dxa"/>
            <w:vMerge w:val="continue"/>
            <w:shd w:val="clear" w:color="auto" w:fill="auto"/>
            <w:vAlign w:val="center"/>
          </w:tcPr>
          <w:p w14:paraId="36BBBE8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F06FA2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C35F5C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EE47B4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如果没有院前信息，支持当前患者关键信息录入（到场时间，离场时间，发病地点，患者主诉，GCS评分等）。</w:t>
            </w:r>
          </w:p>
        </w:tc>
      </w:tr>
      <w:tr w14:paraId="4784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5EF74F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776</w:t>
            </w:r>
          </w:p>
        </w:tc>
        <w:tc>
          <w:tcPr>
            <w:tcW w:w="639" w:type="dxa"/>
            <w:vMerge w:val="continue"/>
            <w:shd w:val="clear" w:color="auto" w:fill="auto"/>
            <w:vAlign w:val="center"/>
          </w:tcPr>
          <w:p w14:paraId="51A1716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1091EB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19E196B">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7364E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支持患者佩戴智能手环，护士在页面选择佩戴的手环编号（同时该手环编号与实物编号一致），为自动采集质控时间做准备。</w:t>
            </w:r>
          </w:p>
        </w:tc>
      </w:tr>
      <w:tr w14:paraId="116D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50D40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777</w:t>
            </w:r>
          </w:p>
        </w:tc>
        <w:tc>
          <w:tcPr>
            <w:tcW w:w="639" w:type="dxa"/>
            <w:vMerge w:val="continue"/>
            <w:shd w:val="clear" w:color="auto" w:fill="auto"/>
            <w:vAlign w:val="center"/>
          </w:tcPr>
          <w:p w14:paraId="0DB9172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841F49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F64444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182C95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支持危重儿童和新生儿救治关键事件诊疗流程的查看，包括对绿色通道的各个流程关键事件时间点进行客观、真实的数据采集以及可视化展示。</w:t>
            </w:r>
          </w:p>
        </w:tc>
      </w:tr>
      <w:tr w14:paraId="1F52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96BB8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778</w:t>
            </w:r>
          </w:p>
        </w:tc>
        <w:tc>
          <w:tcPr>
            <w:tcW w:w="639" w:type="dxa"/>
            <w:vMerge w:val="continue"/>
            <w:shd w:val="clear" w:color="auto" w:fill="auto"/>
            <w:vAlign w:val="center"/>
          </w:tcPr>
          <w:p w14:paraId="5B912B8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ABCC4E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B5D6A1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964B8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支持记录病程及救治过程关键节点时间，管理时间轴。</w:t>
            </w:r>
          </w:p>
        </w:tc>
      </w:tr>
      <w:tr w14:paraId="7AE1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66D917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779</w:t>
            </w:r>
          </w:p>
        </w:tc>
        <w:tc>
          <w:tcPr>
            <w:tcW w:w="639" w:type="dxa"/>
            <w:vMerge w:val="continue"/>
            <w:shd w:val="clear" w:color="auto" w:fill="auto"/>
            <w:vAlign w:val="center"/>
          </w:tcPr>
          <w:p w14:paraId="4330549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8ED512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54BBC3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503523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支持管理患者标签标识：查看，增加患者标签信息包括(设备编号，BT/RFID腕带编号，状态等)。</w:t>
            </w:r>
          </w:p>
        </w:tc>
      </w:tr>
      <w:tr w14:paraId="30B8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42145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780</w:t>
            </w:r>
          </w:p>
        </w:tc>
        <w:tc>
          <w:tcPr>
            <w:tcW w:w="639" w:type="dxa"/>
            <w:vMerge w:val="continue"/>
            <w:shd w:val="clear" w:color="auto" w:fill="auto"/>
            <w:vAlign w:val="center"/>
          </w:tcPr>
          <w:p w14:paraId="4406510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B0570A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9E4853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6737E8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系统根据急诊质控中心指定的分诊知识库分级标准（三区四级）自动评级。</w:t>
            </w:r>
          </w:p>
        </w:tc>
      </w:tr>
      <w:tr w14:paraId="5D08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82384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781</w:t>
            </w:r>
          </w:p>
        </w:tc>
        <w:tc>
          <w:tcPr>
            <w:tcW w:w="639" w:type="dxa"/>
            <w:vMerge w:val="continue"/>
            <w:shd w:val="clear" w:color="auto" w:fill="auto"/>
            <w:vAlign w:val="center"/>
          </w:tcPr>
          <w:p w14:paraId="787EFCC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76A8C01">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3330A4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危重新生儿移动工作站</w:t>
            </w:r>
          </w:p>
        </w:tc>
        <w:tc>
          <w:tcPr>
            <w:tcW w:w="6555" w:type="dxa"/>
            <w:shd w:val="clear" w:color="auto" w:fill="auto"/>
            <w:vAlign w:val="center"/>
          </w:tcPr>
          <w:p w14:paraId="2DCB20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★通过移动设备登录APP，进入危重新生儿临床路径诊疗流程。通过移动端点选快捷的记录各类数据和评估，并最终生成完整的患者救治病历。</w:t>
            </w:r>
          </w:p>
        </w:tc>
      </w:tr>
      <w:tr w14:paraId="3714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832AE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782</w:t>
            </w:r>
          </w:p>
        </w:tc>
        <w:tc>
          <w:tcPr>
            <w:tcW w:w="639" w:type="dxa"/>
            <w:vMerge w:val="continue"/>
            <w:shd w:val="clear" w:color="auto" w:fill="auto"/>
            <w:vAlign w:val="center"/>
          </w:tcPr>
          <w:p w14:paraId="13D3D2F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1B9472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29AB14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9F16D3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患者详情-院前信息：展示院前情况：到达方式，呼救时间，离场时间，PEWS评分和时间</w:t>
            </w:r>
          </w:p>
        </w:tc>
      </w:tr>
      <w:tr w14:paraId="3501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40711B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783</w:t>
            </w:r>
          </w:p>
        </w:tc>
        <w:tc>
          <w:tcPr>
            <w:tcW w:w="639" w:type="dxa"/>
            <w:vMerge w:val="continue"/>
            <w:shd w:val="clear" w:color="auto" w:fill="auto"/>
            <w:vAlign w:val="center"/>
          </w:tcPr>
          <w:p w14:paraId="25F8587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007AB4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D9476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9227A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患者详情-院前信息：展示诊断情况：病情判断，判定轻、中、重等级情况，呼救救护车类型（120，本院，外院）（如果是自行来院的选择来院方式），跟车医生，跟车护士，院前诊断，诊断时间。</w:t>
            </w:r>
          </w:p>
        </w:tc>
      </w:tr>
      <w:tr w14:paraId="551B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E83FE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784</w:t>
            </w:r>
          </w:p>
        </w:tc>
        <w:tc>
          <w:tcPr>
            <w:tcW w:w="639" w:type="dxa"/>
            <w:vMerge w:val="continue"/>
            <w:shd w:val="clear" w:color="auto" w:fill="auto"/>
            <w:vAlign w:val="center"/>
          </w:tcPr>
          <w:p w14:paraId="20586A4C">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8CFE12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8CE2B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C011A5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患者详情-院内信息：展示到院情况：预警时间，团队到达时间，患者到达时间，来院方式，是否已经死亡以及死亡时间。</w:t>
            </w:r>
          </w:p>
        </w:tc>
      </w:tr>
      <w:tr w14:paraId="11B3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A8366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785</w:t>
            </w:r>
          </w:p>
        </w:tc>
        <w:tc>
          <w:tcPr>
            <w:tcW w:w="639" w:type="dxa"/>
            <w:vMerge w:val="continue"/>
            <w:shd w:val="clear" w:color="auto" w:fill="auto"/>
            <w:vAlign w:val="center"/>
          </w:tcPr>
          <w:p w14:paraId="1B045C5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C2F6C4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5EDD12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4245A7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患者详情-院内信息：展示生命体征：血压，体温，心律，血糖，呼吸，血氧</w:t>
            </w:r>
          </w:p>
        </w:tc>
      </w:tr>
      <w:tr w14:paraId="5D2E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C9B28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786</w:t>
            </w:r>
          </w:p>
        </w:tc>
        <w:tc>
          <w:tcPr>
            <w:tcW w:w="639" w:type="dxa"/>
            <w:vMerge w:val="continue"/>
            <w:shd w:val="clear" w:color="auto" w:fill="auto"/>
            <w:vAlign w:val="center"/>
          </w:tcPr>
          <w:p w14:paraId="6614F868">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9CA7D8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10AC6B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5AAFB2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患者详情-院内信息：展示评分：PEWS评分及时间。 </w:t>
            </w:r>
          </w:p>
        </w:tc>
      </w:tr>
      <w:tr w14:paraId="2957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760C75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787</w:t>
            </w:r>
          </w:p>
        </w:tc>
        <w:tc>
          <w:tcPr>
            <w:tcW w:w="639" w:type="dxa"/>
            <w:vMerge w:val="continue"/>
            <w:shd w:val="clear" w:color="auto" w:fill="auto"/>
            <w:vAlign w:val="center"/>
          </w:tcPr>
          <w:p w14:paraId="7D130FE7">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65D09B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C41045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8E182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抢救措施：建立人工气道（提出，建立）时间，抽血（提出，执行）时间，控制性手术（提出，开始）时间，闭合式引流（提出，建立）时间，使用呼吸机（提出，开始）时间，其他措施。</w:t>
            </w:r>
          </w:p>
        </w:tc>
      </w:tr>
      <w:tr w14:paraId="4789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E436A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788</w:t>
            </w:r>
          </w:p>
        </w:tc>
        <w:tc>
          <w:tcPr>
            <w:tcW w:w="639" w:type="dxa"/>
            <w:vMerge w:val="continue"/>
            <w:shd w:val="clear" w:color="auto" w:fill="auto"/>
            <w:vAlign w:val="center"/>
          </w:tcPr>
          <w:p w14:paraId="79AC54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02B2ED9">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BE0634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074BA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患者详情-院内信息：展示检验检查信息。</w:t>
            </w:r>
          </w:p>
        </w:tc>
      </w:tr>
      <w:tr w14:paraId="2DF2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2AB96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789</w:t>
            </w:r>
          </w:p>
        </w:tc>
        <w:tc>
          <w:tcPr>
            <w:tcW w:w="639" w:type="dxa"/>
            <w:vMerge w:val="continue"/>
            <w:shd w:val="clear" w:color="auto" w:fill="auto"/>
            <w:vAlign w:val="center"/>
          </w:tcPr>
          <w:p w14:paraId="330F09C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BD2852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92D145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7456A1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患者详情-院内信息：展示其他记录：到达抢救室时间，离开抢救室时间，到达手术室时间，离开手术室时间。</w:t>
            </w:r>
          </w:p>
        </w:tc>
      </w:tr>
      <w:tr w14:paraId="0256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9FC4B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790</w:t>
            </w:r>
          </w:p>
        </w:tc>
        <w:tc>
          <w:tcPr>
            <w:tcW w:w="639" w:type="dxa"/>
            <w:vMerge w:val="continue"/>
            <w:shd w:val="clear" w:color="auto" w:fill="auto"/>
            <w:vAlign w:val="center"/>
          </w:tcPr>
          <w:p w14:paraId="63AAD63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E97F4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F2AC30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0A34B8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患者详情-转归信息：展示住院信息：是否住院，办理住院时间，结束住院时间，住院天数，住院费用。</w:t>
            </w:r>
          </w:p>
        </w:tc>
      </w:tr>
      <w:tr w14:paraId="3A44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15B78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791</w:t>
            </w:r>
          </w:p>
        </w:tc>
        <w:tc>
          <w:tcPr>
            <w:tcW w:w="639" w:type="dxa"/>
            <w:vMerge w:val="continue"/>
            <w:shd w:val="clear" w:color="auto" w:fill="auto"/>
            <w:vAlign w:val="center"/>
          </w:tcPr>
          <w:p w14:paraId="0506F76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F85388F">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5F3FCB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656A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患者详情-转归信息：展示ICU信息：是否到达ICU，达到ICU时间，离开ICU时间，ICU天数。</w:t>
            </w:r>
          </w:p>
        </w:tc>
      </w:tr>
      <w:tr w14:paraId="410A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7DC67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792</w:t>
            </w:r>
          </w:p>
        </w:tc>
        <w:tc>
          <w:tcPr>
            <w:tcW w:w="639" w:type="dxa"/>
            <w:vMerge w:val="continue"/>
            <w:shd w:val="clear" w:color="auto" w:fill="auto"/>
            <w:vAlign w:val="center"/>
          </w:tcPr>
          <w:p w14:paraId="20FCE2FF">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EA2A8E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2BC6BB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1AD4B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患者详情-转归信息：展示急诊转归：手术次数，抢救结果，病人去向，转归时间。</w:t>
            </w:r>
          </w:p>
        </w:tc>
      </w:tr>
      <w:tr w14:paraId="3268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AA2AA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793</w:t>
            </w:r>
          </w:p>
        </w:tc>
        <w:tc>
          <w:tcPr>
            <w:tcW w:w="639" w:type="dxa"/>
            <w:vMerge w:val="continue"/>
            <w:shd w:val="clear" w:color="auto" w:fill="auto"/>
            <w:vAlign w:val="center"/>
          </w:tcPr>
          <w:p w14:paraId="3258348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67A32E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20C97E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58042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会诊功能：支持在线发起会诊，快速选择科室和医生快速拨打科室值班电话或医生联系电话</w:t>
            </w:r>
          </w:p>
        </w:tc>
      </w:tr>
      <w:tr w14:paraId="0859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BFE92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794</w:t>
            </w:r>
          </w:p>
        </w:tc>
        <w:tc>
          <w:tcPr>
            <w:tcW w:w="639" w:type="dxa"/>
            <w:vMerge w:val="continue"/>
            <w:shd w:val="clear" w:color="auto" w:fill="auto"/>
            <w:vAlign w:val="center"/>
          </w:tcPr>
          <w:p w14:paraId="21E9278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C93054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28EB40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B903F3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会诊功能：支持会诊患者病历模板</w:t>
            </w:r>
            <w:r>
              <w:rPr>
                <w:rFonts w:hint="eastAsia" w:ascii="宋体" w:hAnsi="宋体" w:cs="宋体"/>
                <w:i w:val="0"/>
                <w:iCs w:val="0"/>
                <w:color w:val="auto"/>
                <w:kern w:val="0"/>
                <w:sz w:val="22"/>
                <w:szCs w:val="22"/>
                <w:highlight w:val="none"/>
                <w:u w:val="none"/>
                <w:lang w:val="en-US" w:eastAsia="zh-CN" w:bidi="ar"/>
              </w:rPr>
              <w:t>化</w:t>
            </w:r>
            <w:r>
              <w:rPr>
                <w:rFonts w:hint="eastAsia" w:ascii="宋体" w:hAnsi="宋体" w:eastAsia="宋体" w:cs="宋体"/>
                <w:i w:val="0"/>
                <w:iCs w:val="0"/>
                <w:color w:val="auto"/>
                <w:kern w:val="0"/>
                <w:sz w:val="22"/>
                <w:szCs w:val="22"/>
                <w:highlight w:val="none"/>
                <w:u w:val="none"/>
                <w:lang w:val="en-US" w:eastAsia="zh-CN" w:bidi="ar"/>
              </w:rPr>
              <w:t>，快速选择模板，以及在线编辑模板</w:t>
            </w:r>
          </w:p>
        </w:tc>
      </w:tr>
      <w:tr w14:paraId="3188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96C23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795</w:t>
            </w:r>
          </w:p>
        </w:tc>
        <w:tc>
          <w:tcPr>
            <w:tcW w:w="639" w:type="dxa"/>
            <w:vMerge w:val="continue"/>
            <w:shd w:val="clear" w:color="auto" w:fill="auto"/>
            <w:vAlign w:val="center"/>
          </w:tcPr>
          <w:p w14:paraId="4732FB7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D737AF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2F899C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E5B040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会诊功能：支持会诊被邀请者会诊邀请提示，患者情况了解，倒计时紧急度显示</w:t>
            </w:r>
          </w:p>
        </w:tc>
      </w:tr>
      <w:tr w14:paraId="5598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079B4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796</w:t>
            </w:r>
          </w:p>
        </w:tc>
        <w:tc>
          <w:tcPr>
            <w:tcW w:w="639" w:type="dxa"/>
            <w:vMerge w:val="continue"/>
            <w:shd w:val="clear" w:color="auto" w:fill="auto"/>
            <w:vAlign w:val="center"/>
          </w:tcPr>
          <w:p w14:paraId="7DB727E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75B38B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69E282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6F9E0A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会诊功能：支持会诊快速签到，记录被邀请者的到场时间</w:t>
            </w:r>
          </w:p>
        </w:tc>
      </w:tr>
      <w:tr w14:paraId="19F7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4662B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797</w:t>
            </w:r>
          </w:p>
        </w:tc>
        <w:tc>
          <w:tcPr>
            <w:tcW w:w="639" w:type="dxa"/>
            <w:vMerge w:val="continue"/>
            <w:shd w:val="clear" w:color="auto" w:fill="auto"/>
            <w:vAlign w:val="center"/>
          </w:tcPr>
          <w:p w14:paraId="34C28A5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2567EF0">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1C52CF7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FB6750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会诊功能：支持会诊在线回复，可以通过拍照存档。</w:t>
            </w:r>
          </w:p>
        </w:tc>
      </w:tr>
      <w:tr w14:paraId="7A16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AA9C1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798</w:t>
            </w:r>
          </w:p>
        </w:tc>
        <w:tc>
          <w:tcPr>
            <w:tcW w:w="639" w:type="dxa"/>
            <w:vMerge w:val="continue"/>
            <w:shd w:val="clear" w:color="auto" w:fill="auto"/>
            <w:vAlign w:val="center"/>
          </w:tcPr>
          <w:p w14:paraId="345E401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9EA7B3D">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4F1789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患者综合档案信息管理</w:t>
            </w:r>
          </w:p>
        </w:tc>
        <w:tc>
          <w:tcPr>
            <w:tcW w:w="6555" w:type="dxa"/>
            <w:shd w:val="clear" w:color="auto" w:fill="auto"/>
            <w:vAlign w:val="center"/>
          </w:tcPr>
          <w:p w14:paraId="1035A88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危重儿童和新生儿急救列表可查看最新的患者信息，包括患者姓名、性别、年龄、危重情况</w:t>
            </w:r>
          </w:p>
        </w:tc>
      </w:tr>
      <w:tr w14:paraId="5FDF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8BBA0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799</w:t>
            </w:r>
          </w:p>
        </w:tc>
        <w:tc>
          <w:tcPr>
            <w:tcW w:w="639" w:type="dxa"/>
            <w:vMerge w:val="continue"/>
            <w:shd w:val="clear" w:color="auto" w:fill="auto"/>
            <w:vAlign w:val="center"/>
          </w:tcPr>
          <w:p w14:paraId="0F0B395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7B4217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CAF203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84E9E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支持通过患者病种、姓名等信息快速定位患者。</w:t>
            </w:r>
          </w:p>
        </w:tc>
      </w:tr>
      <w:tr w14:paraId="7346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4A8EFD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639" w:type="dxa"/>
            <w:vMerge w:val="continue"/>
            <w:shd w:val="clear" w:color="auto" w:fill="auto"/>
            <w:vAlign w:val="center"/>
          </w:tcPr>
          <w:p w14:paraId="3490EE3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6122A9E">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442A3A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1AE594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时间节点记录：支持自动感应、手动快速点击记录等多个方式记录时间；支持自动计算已执行过的时间节点的时间差值，定位耗时长的点位，优化医疗流程；支持 发病、呼叫、CT、医生接诊、签署知情同意等关键时间节点记录。</w:t>
            </w:r>
          </w:p>
        </w:tc>
      </w:tr>
      <w:tr w14:paraId="3E1D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048D4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801</w:t>
            </w:r>
          </w:p>
        </w:tc>
        <w:tc>
          <w:tcPr>
            <w:tcW w:w="639" w:type="dxa"/>
            <w:vMerge w:val="continue"/>
            <w:shd w:val="clear" w:color="auto" w:fill="auto"/>
            <w:vAlign w:val="center"/>
          </w:tcPr>
          <w:p w14:paraId="7847297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650747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44A6C6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84B57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诊疗时间轴展示：支持展示危重儿童和新生儿急救过程实时时间节点实现系统生成一份诊疗流程时间轴</w:t>
            </w:r>
          </w:p>
        </w:tc>
      </w:tr>
      <w:tr w14:paraId="1971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6C2CC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802</w:t>
            </w:r>
          </w:p>
        </w:tc>
        <w:tc>
          <w:tcPr>
            <w:tcW w:w="639" w:type="dxa"/>
            <w:vMerge w:val="continue"/>
            <w:shd w:val="clear" w:color="auto" w:fill="auto"/>
            <w:vAlign w:val="center"/>
          </w:tcPr>
          <w:p w14:paraId="4F57CAB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19B0441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1B55D5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AF973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诊疗时间轴展示：支持危重儿童和新生儿急救过程各类情况完整时间节点记录，支持自动获取当前时间，对接获取自动采集时间节点数据；支持病程及救治过程关键节点时间记录功能，时间轴管理，救治登记表生成。</w:t>
            </w:r>
          </w:p>
        </w:tc>
      </w:tr>
      <w:tr w14:paraId="1FE6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2030E7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803</w:t>
            </w:r>
          </w:p>
        </w:tc>
        <w:tc>
          <w:tcPr>
            <w:tcW w:w="639" w:type="dxa"/>
            <w:vMerge w:val="continue"/>
            <w:shd w:val="clear" w:color="auto" w:fill="auto"/>
            <w:vAlign w:val="center"/>
          </w:tcPr>
          <w:p w14:paraId="0A56EBC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C0B654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D9765E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BF51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提供专项护理：支持病情记录单功能，医护人员通过危重儿童和新生儿急救工作站即可完成病情记录、体征记录、诊疗、治疗记录信息，还需同时支持手工录入补充信息功能；</w:t>
            </w:r>
          </w:p>
        </w:tc>
      </w:tr>
      <w:tr w14:paraId="61F8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576" w:type="dxa"/>
            <w:shd w:val="clear" w:color="auto" w:fill="auto"/>
            <w:vAlign w:val="center"/>
          </w:tcPr>
          <w:p w14:paraId="252B55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804</w:t>
            </w:r>
          </w:p>
        </w:tc>
        <w:tc>
          <w:tcPr>
            <w:tcW w:w="639" w:type="dxa"/>
            <w:vMerge w:val="continue"/>
            <w:shd w:val="clear" w:color="auto" w:fill="auto"/>
            <w:vAlign w:val="center"/>
          </w:tcPr>
          <w:p w14:paraId="168B525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2B977A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138DA2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3FF621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提供专项护理：院内患者救治过程中，医护人员评估并记录危重新生儿出生体重、胎龄、先天畸形、出生12小时最大碱剩余、出生12小时最小的吸入氧浓度、出生12小时最1.9.4.2 Apgar评分</w:t>
            </w:r>
          </w:p>
        </w:tc>
      </w:tr>
      <w:tr w14:paraId="4646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4BDF5C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805</w:t>
            </w:r>
          </w:p>
        </w:tc>
        <w:tc>
          <w:tcPr>
            <w:tcW w:w="639" w:type="dxa"/>
            <w:vMerge w:val="continue"/>
            <w:shd w:val="clear" w:color="auto" w:fill="auto"/>
            <w:vAlign w:val="center"/>
          </w:tcPr>
          <w:p w14:paraId="71E7B9C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2263D5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A7B0FD3">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842FA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提供专项护理：支持评估并记录危重新生儿皮肤颜色、心率、弹足底或插鼻反应、肌张力、呼吸情况。</w:t>
            </w:r>
          </w:p>
        </w:tc>
      </w:tr>
      <w:tr w14:paraId="127E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220C78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806</w:t>
            </w:r>
          </w:p>
        </w:tc>
        <w:tc>
          <w:tcPr>
            <w:tcW w:w="639" w:type="dxa"/>
            <w:vMerge w:val="continue"/>
            <w:shd w:val="clear" w:color="auto" w:fill="auto"/>
            <w:vAlign w:val="center"/>
          </w:tcPr>
          <w:p w14:paraId="0D3926F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5144E3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71EA4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1B636C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提供专项护理：支持评估并记录危重新生儿平均血压、最低体温、PO2(mmHg)/FiO2(%)、最低血清PH值、多发惊厥、尿量、Apgar得分、出生体重、小于胎龄儿情况。</w:t>
            </w:r>
          </w:p>
        </w:tc>
      </w:tr>
      <w:tr w14:paraId="6396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EDC07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807</w:t>
            </w:r>
          </w:p>
        </w:tc>
        <w:tc>
          <w:tcPr>
            <w:tcW w:w="639" w:type="dxa"/>
            <w:vMerge w:val="continue"/>
            <w:shd w:val="clear" w:color="auto" w:fill="auto"/>
            <w:vAlign w:val="center"/>
          </w:tcPr>
          <w:p w14:paraId="0DD0902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829870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96F74D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9E6FCF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提供专项护理：提供新生儿危重病例评分表，判定新生儿危重情况。</w:t>
            </w:r>
          </w:p>
        </w:tc>
      </w:tr>
      <w:tr w14:paraId="250A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119D7E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808</w:t>
            </w:r>
          </w:p>
        </w:tc>
        <w:tc>
          <w:tcPr>
            <w:tcW w:w="639" w:type="dxa"/>
            <w:vMerge w:val="continue"/>
            <w:shd w:val="clear" w:color="auto" w:fill="auto"/>
            <w:vAlign w:val="center"/>
          </w:tcPr>
          <w:p w14:paraId="619E302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9E10E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3F7E207">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A4D888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专项病历：为危重新生儿患者建立危重新生儿专病病历，包括建立时间、患者基本信息(姓名、身份证号码、民族、出生年月、性别、年龄、电话等)、患者ID、发病地址、发病时间、呼救时间等。同时，可以查看母亲信息。</w:t>
            </w:r>
          </w:p>
        </w:tc>
      </w:tr>
      <w:tr w14:paraId="4CFC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78F606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809</w:t>
            </w:r>
          </w:p>
        </w:tc>
        <w:tc>
          <w:tcPr>
            <w:tcW w:w="639" w:type="dxa"/>
            <w:vMerge w:val="continue"/>
            <w:shd w:val="clear" w:color="auto" w:fill="auto"/>
            <w:vAlign w:val="center"/>
          </w:tcPr>
          <w:p w14:paraId="55B0824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12F172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7997A48">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983F6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提供危重儿童和新生儿专项病历：系统支持记录危重新生儿患者诊疗信息，包括产时情况（羊水量、污染度、胎盘、脐带、产程、Apgar评分、复苏方式、复苏用药）等。</w:t>
            </w:r>
          </w:p>
        </w:tc>
      </w:tr>
      <w:tr w14:paraId="13D0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D621C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810</w:t>
            </w:r>
          </w:p>
        </w:tc>
        <w:tc>
          <w:tcPr>
            <w:tcW w:w="639" w:type="dxa"/>
            <w:vMerge w:val="continue"/>
            <w:shd w:val="clear" w:color="auto" w:fill="auto"/>
            <w:vAlign w:val="center"/>
          </w:tcPr>
          <w:p w14:paraId="5431022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A08A8BC">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4D3762F">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B07E2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提供危重儿童和新生儿专项病历：</w:t>
            </w:r>
            <w:r>
              <w:rPr>
                <w:rFonts w:hint="eastAsia" w:ascii="宋体" w:hAnsi="宋体" w:cs="宋体"/>
                <w:i w:val="0"/>
                <w:iCs w:val="0"/>
                <w:color w:val="auto"/>
                <w:kern w:val="0"/>
                <w:sz w:val="22"/>
                <w:szCs w:val="22"/>
                <w:highlight w:val="none"/>
                <w:u w:val="none"/>
                <w:lang w:val="en-US" w:eastAsia="zh-CN" w:bidi="ar"/>
              </w:rPr>
              <w:t>检查</w:t>
            </w:r>
            <w:r>
              <w:rPr>
                <w:rFonts w:hint="eastAsia" w:ascii="宋体" w:hAnsi="宋体" w:eastAsia="宋体" w:cs="宋体"/>
                <w:i w:val="0"/>
                <w:iCs w:val="0"/>
                <w:color w:val="auto"/>
                <w:kern w:val="0"/>
                <w:sz w:val="22"/>
                <w:szCs w:val="22"/>
                <w:highlight w:val="none"/>
                <w:u w:val="none"/>
                <w:lang w:val="en-US" w:eastAsia="zh-CN" w:bidi="ar"/>
              </w:rPr>
              <w:t>报告，支持检验数据报告的查看和导入功能。</w:t>
            </w:r>
          </w:p>
        </w:tc>
      </w:tr>
      <w:tr w14:paraId="6D96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7301B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811</w:t>
            </w:r>
          </w:p>
        </w:tc>
        <w:tc>
          <w:tcPr>
            <w:tcW w:w="639" w:type="dxa"/>
            <w:vMerge w:val="continue"/>
            <w:shd w:val="clear" w:color="auto" w:fill="auto"/>
            <w:vAlign w:val="center"/>
          </w:tcPr>
          <w:p w14:paraId="1C38D47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86C36F6">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99BDD2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0DCEB7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提供危重儿童和新生儿专项病历：医嘱信息，支持医嘱信息内容查询和导入功能。</w:t>
            </w:r>
          </w:p>
        </w:tc>
      </w:tr>
      <w:tr w14:paraId="33D7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1BE7A0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812</w:t>
            </w:r>
          </w:p>
        </w:tc>
        <w:tc>
          <w:tcPr>
            <w:tcW w:w="639" w:type="dxa"/>
            <w:vMerge w:val="continue"/>
            <w:shd w:val="clear" w:color="auto" w:fill="auto"/>
            <w:vAlign w:val="center"/>
          </w:tcPr>
          <w:p w14:paraId="31D2444E">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427BF8F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262ABED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796A49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患者转归登记：患者转归，支持不同的转归方式，记录患者出院诊断、住院天数、费用、出院带药等信息，支持转送医院，医院名称，转出时间、转出科室、接诊医生、接诊护士。</w:t>
            </w:r>
          </w:p>
        </w:tc>
      </w:tr>
      <w:tr w14:paraId="2311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7279F8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813</w:t>
            </w:r>
          </w:p>
        </w:tc>
        <w:tc>
          <w:tcPr>
            <w:tcW w:w="639" w:type="dxa"/>
            <w:vMerge w:val="continue"/>
            <w:shd w:val="clear" w:color="auto" w:fill="auto"/>
            <w:vAlign w:val="center"/>
          </w:tcPr>
          <w:p w14:paraId="741CC0F9">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3E783D52">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1EE3F3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数据质控统计分析</w:t>
            </w:r>
          </w:p>
        </w:tc>
        <w:tc>
          <w:tcPr>
            <w:tcW w:w="6555" w:type="dxa"/>
            <w:shd w:val="clear" w:color="auto" w:fill="auto"/>
            <w:vAlign w:val="center"/>
          </w:tcPr>
          <w:p w14:paraId="3B37664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依照国家卫健委发布的危重儿童和新生儿相关指导规范和指南，对医院各项质控指标进行多维度动态监测，不断提升医疗服务质量、方便流程绩效管理，满足医院临床质控需求。提供危重儿童和新生儿基础信息、治疗数据、质控指标统计、图形化展示、数据导出。</w:t>
            </w:r>
          </w:p>
        </w:tc>
      </w:tr>
      <w:tr w14:paraId="0724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07D613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814</w:t>
            </w:r>
          </w:p>
        </w:tc>
        <w:tc>
          <w:tcPr>
            <w:tcW w:w="639" w:type="dxa"/>
            <w:vMerge w:val="continue"/>
            <w:shd w:val="clear" w:color="auto" w:fill="auto"/>
            <w:vAlign w:val="center"/>
          </w:tcPr>
          <w:p w14:paraId="52A4BAA1">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541EF87">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C0A99BD">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5D6699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提供危重儿童和新生儿患者的相关报表统计，可筛选年龄段、性别、来院方式等。</w:t>
            </w:r>
          </w:p>
        </w:tc>
      </w:tr>
      <w:tr w14:paraId="7353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33AD58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815</w:t>
            </w:r>
          </w:p>
        </w:tc>
        <w:tc>
          <w:tcPr>
            <w:tcW w:w="639" w:type="dxa"/>
            <w:vMerge w:val="continue"/>
            <w:shd w:val="clear" w:color="auto" w:fill="auto"/>
            <w:vAlign w:val="center"/>
          </w:tcPr>
          <w:p w14:paraId="556E1C7D">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AD50C83">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790FAE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AA077A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提供危重儿童和新生儿患者诊疗数据的相关报表统计，如不同危重儿童和新生儿诊断比例、危重儿童和新生儿病人趋势统计等。</w:t>
            </w:r>
          </w:p>
        </w:tc>
      </w:tr>
      <w:tr w14:paraId="3756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B8E02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816</w:t>
            </w:r>
          </w:p>
        </w:tc>
        <w:tc>
          <w:tcPr>
            <w:tcW w:w="639" w:type="dxa"/>
            <w:vMerge w:val="continue"/>
            <w:shd w:val="clear" w:color="auto" w:fill="auto"/>
            <w:vAlign w:val="center"/>
          </w:tcPr>
          <w:p w14:paraId="7E3028A5">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59B248D">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23516F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FFE12C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提供危重儿童和新生儿患者质控指标的相关统计图表，如平均启动急救团队时间（MDT接诊时间-到达时间）等。</w:t>
            </w:r>
          </w:p>
        </w:tc>
      </w:tr>
      <w:tr w14:paraId="128B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1C48BB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817</w:t>
            </w:r>
          </w:p>
        </w:tc>
        <w:tc>
          <w:tcPr>
            <w:tcW w:w="639" w:type="dxa"/>
            <w:vMerge w:val="continue"/>
            <w:shd w:val="clear" w:color="auto" w:fill="auto"/>
            <w:vAlign w:val="center"/>
          </w:tcPr>
          <w:p w14:paraId="798F750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F1FB223">
            <w:pPr>
              <w:jc w:val="center"/>
              <w:rPr>
                <w:rFonts w:hint="eastAsia" w:ascii="宋体" w:hAnsi="宋体" w:eastAsia="宋体" w:cs="宋体"/>
                <w:i w:val="0"/>
                <w:iCs w:val="0"/>
                <w:color w:val="auto"/>
                <w:sz w:val="22"/>
                <w:szCs w:val="22"/>
                <w:highlight w:val="none"/>
                <w:u w:val="none"/>
              </w:rPr>
            </w:pPr>
          </w:p>
        </w:tc>
        <w:tc>
          <w:tcPr>
            <w:tcW w:w="986" w:type="dxa"/>
            <w:shd w:val="clear" w:color="auto" w:fill="auto"/>
            <w:vAlign w:val="center"/>
          </w:tcPr>
          <w:p w14:paraId="484BCC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大数据可视化大屏</w:t>
            </w:r>
          </w:p>
        </w:tc>
        <w:tc>
          <w:tcPr>
            <w:tcW w:w="6555" w:type="dxa"/>
            <w:shd w:val="clear" w:color="auto" w:fill="auto"/>
            <w:vAlign w:val="center"/>
          </w:tcPr>
          <w:p w14:paraId="4D494C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通过大屏的方式，汇总展示关键信息，可将危重儿童和新生儿救治当前的建设成果直观展示。包含患者趋势，关键质控指标趋势,抢救措施等。</w:t>
            </w:r>
          </w:p>
        </w:tc>
      </w:tr>
      <w:tr w14:paraId="28B5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0F6E3F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818</w:t>
            </w:r>
          </w:p>
        </w:tc>
        <w:tc>
          <w:tcPr>
            <w:tcW w:w="639" w:type="dxa"/>
            <w:vMerge w:val="continue"/>
            <w:shd w:val="clear" w:color="auto" w:fill="auto"/>
            <w:vAlign w:val="center"/>
          </w:tcPr>
          <w:p w14:paraId="17A4FBB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51EA686">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62B1A7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危重新生儿患者随访管理</w:t>
            </w:r>
          </w:p>
        </w:tc>
        <w:tc>
          <w:tcPr>
            <w:tcW w:w="6555" w:type="dxa"/>
            <w:shd w:val="clear" w:color="auto" w:fill="auto"/>
            <w:vAlign w:val="center"/>
          </w:tcPr>
          <w:p w14:paraId="1A7FAE9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创建随访任务：针对危重新生儿患者，系统支持创建个性化的随访任务，确保每位患者都能得到适当的关注和跟踪。</w:t>
            </w:r>
          </w:p>
        </w:tc>
      </w:tr>
      <w:tr w14:paraId="32E2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746793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819</w:t>
            </w:r>
          </w:p>
        </w:tc>
        <w:tc>
          <w:tcPr>
            <w:tcW w:w="639" w:type="dxa"/>
            <w:vMerge w:val="continue"/>
            <w:shd w:val="clear" w:color="auto" w:fill="auto"/>
            <w:vAlign w:val="center"/>
          </w:tcPr>
          <w:p w14:paraId="41F4073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54E48A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FFBCBB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D84AE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添加随访计划：医生可以为每位患者制定详细的随访计划，包括随访的时间、频率和内容，以满足患者的康复需求。</w:t>
            </w:r>
          </w:p>
        </w:tc>
      </w:tr>
      <w:tr w14:paraId="0E71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85EBE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820</w:t>
            </w:r>
          </w:p>
        </w:tc>
        <w:tc>
          <w:tcPr>
            <w:tcW w:w="639" w:type="dxa"/>
            <w:vMerge w:val="continue"/>
            <w:shd w:val="clear" w:color="auto" w:fill="auto"/>
            <w:vAlign w:val="center"/>
          </w:tcPr>
          <w:p w14:paraId="73D45FB6">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00C968E2">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6391BF1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29DFB26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设置随访任务提醒：系统能够自动发送提醒通知给医生和患者，确保双方都能按时执行随访任务，提高随访的准时率和效率。</w:t>
            </w:r>
          </w:p>
        </w:tc>
      </w:tr>
      <w:tr w14:paraId="3AAE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576" w:type="dxa"/>
            <w:shd w:val="clear" w:color="auto" w:fill="auto"/>
            <w:vAlign w:val="center"/>
          </w:tcPr>
          <w:p w14:paraId="009F17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821</w:t>
            </w:r>
          </w:p>
        </w:tc>
        <w:tc>
          <w:tcPr>
            <w:tcW w:w="639" w:type="dxa"/>
            <w:vMerge w:val="continue"/>
            <w:shd w:val="clear" w:color="auto" w:fill="auto"/>
            <w:vAlign w:val="center"/>
          </w:tcPr>
          <w:p w14:paraId="47D0CEF4">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6C7206A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75B2AA6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6F350F6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结束随访任务并记录结果：完成随访后，医生可以结束随访任务并记录相关的随访结果和评估信息，为患者后续治疗提供依据。</w:t>
            </w:r>
          </w:p>
        </w:tc>
      </w:tr>
      <w:tr w14:paraId="3DD8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6030AC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822</w:t>
            </w:r>
          </w:p>
        </w:tc>
        <w:tc>
          <w:tcPr>
            <w:tcW w:w="639" w:type="dxa"/>
            <w:vMerge w:val="continue"/>
            <w:shd w:val="clear" w:color="auto" w:fill="auto"/>
            <w:vAlign w:val="center"/>
          </w:tcPr>
          <w:p w14:paraId="40FF7BF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355801B">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B14A696">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9B51CE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查询和导出随访数据：系统支持方便的查询功能，帮助医生快速找到特定的随访数据。同时，随访数据可以导出为各种文件格式，方便进一步的分析和存档。</w:t>
            </w:r>
          </w:p>
        </w:tc>
      </w:tr>
      <w:tr w14:paraId="16F4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6" w:type="dxa"/>
            <w:shd w:val="clear" w:color="auto" w:fill="auto"/>
            <w:vAlign w:val="center"/>
          </w:tcPr>
          <w:p w14:paraId="4E354D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823</w:t>
            </w:r>
          </w:p>
        </w:tc>
        <w:tc>
          <w:tcPr>
            <w:tcW w:w="639" w:type="dxa"/>
            <w:vMerge w:val="continue"/>
            <w:shd w:val="clear" w:color="auto" w:fill="auto"/>
            <w:vAlign w:val="center"/>
          </w:tcPr>
          <w:p w14:paraId="221A036A">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FF6005">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E7CE274">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5F9F9A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随访统计分析：通过对随访数据进行统计分析，医生可以了解危重新生儿患者的整体康复情况，评估治疗效果，为未来的治疗策略提供参考。</w:t>
            </w:r>
          </w:p>
        </w:tc>
      </w:tr>
      <w:tr w14:paraId="4C03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F97F5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824</w:t>
            </w:r>
          </w:p>
        </w:tc>
        <w:tc>
          <w:tcPr>
            <w:tcW w:w="639" w:type="dxa"/>
            <w:vMerge w:val="continue"/>
            <w:shd w:val="clear" w:color="auto" w:fill="auto"/>
            <w:vAlign w:val="center"/>
          </w:tcPr>
          <w:p w14:paraId="5FF58E8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2EEF9E0C">
            <w:pPr>
              <w:jc w:val="center"/>
              <w:rPr>
                <w:rFonts w:hint="eastAsia" w:ascii="宋体" w:hAnsi="宋体" w:eastAsia="宋体" w:cs="宋体"/>
                <w:i w:val="0"/>
                <w:iCs w:val="0"/>
                <w:color w:val="auto"/>
                <w:sz w:val="22"/>
                <w:szCs w:val="22"/>
                <w:highlight w:val="none"/>
                <w:u w:val="none"/>
              </w:rPr>
            </w:pPr>
          </w:p>
        </w:tc>
        <w:tc>
          <w:tcPr>
            <w:tcW w:w="986" w:type="dxa"/>
            <w:vMerge w:val="restart"/>
            <w:shd w:val="clear" w:color="auto" w:fill="auto"/>
            <w:vAlign w:val="center"/>
          </w:tcPr>
          <w:p w14:paraId="0F24E5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第三方数据对接</w:t>
            </w:r>
          </w:p>
        </w:tc>
        <w:tc>
          <w:tcPr>
            <w:tcW w:w="6555" w:type="dxa"/>
            <w:shd w:val="clear" w:color="auto" w:fill="auto"/>
            <w:vAlign w:val="center"/>
          </w:tcPr>
          <w:p w14:paraId="191F398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与急诊系统对接</w:t>
            </w:r>
          </w:p>
        </w:tc>
      </w:tr>
      <w:tr w14:paraId="3F19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70C5F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825</w:t>
            </w:r>
          </w:p>
        </w:tc>
        <w:tc>
          <w:tcPr>
            <w:tcW w:w="639" w:type="dxa"/>
            <w:vMerge w:val="continue"/>
            <w:shd w:val="clear" w:color="auto" w:fill="auto"/>
            <w:vAlign w:val="center"/>
          </w:tcPr>
          <w:p w14:paraId="21265B20">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F1B5BC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3079C595">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3C205A1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与HIS系统对接</w:t>
            </w:r>
          </w:p>
        </w:tc>
      </w:tr>
      <w:tr w14:paraId="3343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A5ACA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826</w:t>
            </w:r>
          </w:p>
        </w:tc>
        <w:tc>
          <w:tcPr>
            <w:tcW w:w="639" w:type="dxa"/>
            <w:vMerge w:val="continue"/>
            <w:shd w:val="clear" w:color="auto" w:fill="auto"/>
            <w:vAlign w:val="center"/>
          </w:tcPr>
          <w:p w14:paraId="48D56453">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28140DA">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03247FBA">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D111FB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与LIS系统对接</w:t>
            </w:r>
          </w:p>
        </w:tc>
      </w:tr>
      <w:tr w14:paraId="670D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E7CBC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827</w:t>
            </w:r>
          </w:p>
        </w:tc>
        <w:tc>
          <w:tcPr>
            <w:tcW w:w="639" w:type="dxa"/>
            <w:vMerge w:val="continue"/>
            <w:shd w:val="clear" w:color="auto" w:fill="auto"/>
            <w:vAlign w:val="center"/>
          </w:tcPr>
          <w:p w14:paraId="0791063B">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50A9F9B4">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446EDD1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973FAB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与PACS系统对接</w:t>
            </w:r>
          </w:p>
        </w:tc>
      </w:tr>
      <w:tr w14:paraId="63B2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9CF40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828</w:t>
            </w:r>
          </w:p>
        </w:tc>
        <w:tc>
          <w:tcPr>
            <w:tcW w:w="639" w:type="dxa"/>
            <w:vMerge w:val="continue"/>
            <w:shd w:val="clear" w:color="auto" w:fill="auto"/>
            <w:vAlign w:val="center"/>
          </w:tcPr>
          <w:p w14:paraId="186BC982">
            <w:pPr>
              <w:jc w:val="center"/>
              <w:rPr>
                <w:rFonts w:hint="eastAsia" w:ascii="宋体" w:hAnsi="宋体" w:eastAsia="宋体" w:cs="宋体"/>
                <w:i w:val="0"/>
                <w:iCs w:val="0"/>
                <w:color w:val="auto"/>
                <w:sz w:val="22"/>
                <w:szCs w:val="22"/>
                <w:highlight w:val="none"/>
                <w:u w:val="none"/>
              </w:rPr>
            </w:pPr>
          </w:p>
        </w:tc>
        <w:tc>
          <w:tcPr>
            <w:tcW w:w="694" w:type="dxa"/>
            <w:vMerge w:val="continue"/>
            <w:shd w:val="clear" w:color="auto" w:fill="auto"/>
            <w:vAlign w:val="center"/>
          </w:tcPr>
          <w:p w14:paraId="71577531">
            <w:pPr>
              <w:jc w:val="center"/>
              <w:rPr>
                <w:rFonts w:hint="eastAsia" w:ascii="宋体" w:hAnsi="宋体" w:eastAsia="宋体" w:cs="宋体"/>
                <w:i w:val="0"/>
                <w:iCs w:val="0"/>
                <w:color w:val="auto"/>
                <w:sz w:val="22"/>
                <w:szCs w:val="22"/>
                <w:highlight w:val="none"/>
                <w:u w:val="none"/>
              </w:rPr>
            </w:pPr>
          </w:p>
        </w:tc>
        <w:tc>
          <w:tcPr>
            <w:tcW w:w="986" w:type="dxa"/>
            <w:vMerge w:val="continue"/>
            <w:shd w:val="clear" w:color="auto" w:fill="auto"/>
            <w:vAlign w:val="center"/>
          </w:tcPr>
          <w:p w14:paraId="5E0A1B22">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0E6D45E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与住院信息系统对接</w:t>
            </w:r>
          </w:p>
        </w:tc>
      </w:tr>
      <w:tr w14:paraId="7F78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6BB1C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829</w:t>
            </w:r>
          </w:p>
        </w:tc>
        <w:tc>
          <w:tcPr>
            <w:tcW w:w="639" w:type="dxa"/>
            <w:vMerge w:val="continue"/>
            <w:shd w:val="clear" w:color="auto" w:fill="auto"/>
            <w:vAlign w:val="center"/>
          </w:tcPr>
          <w:p w14:paraId="315F5A18">
            <w:pPr>
              <w:jc w:val="center"/>
              <w:rPr>
                <w:rFonts w:hint="eastAsia" w:ascii="宋体" w:hAnsi="宋体" w:eastAsia="宋体" w:cs="宋体"/>
                <w:i w:val="0"/>
                <w:iCs w:val="0"/>
                <w:color w:val="auto"/>
                <w:sz w:val="22"/>
                <w:szCs w:val="22"/>
                <w:highlight w:val="none"/>
                <w:u w:val="none"/>
              </w:rPr>
            </w:pPr>
          </w:p>
        </w:tc>
        <w:tc>
          <w:tcPr>
            <w:tcW w:w="1680" w:type="dxa"/>
            <w:gridSpan w:val="2"/>
            <w:vMerge w:val="restart"/>
            <w:shd w:val="clear" w:color="auto" w:fill="auto"/>
            <w:vAlign w:val="center"/>
          </w:tcPr>
          <w:p w14:paraId="55D256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第三方数据对接</w:t>
            </w:r>
          </w:p>
        </w:tc>
        <w:tc>
          <w:tcPr>
            <w:tcW w:w="6555" w:type="dxa"/>
            <w:shd w:val="clear" w:color="auto" w:fill="auto"/>
            <w:noWrap/>
            <w:vAlign w:val="center"/>
          </w:tcPr>
          <w:p w14:paraId="6116737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集成平台-胸痛患者信息接口</w:t>
            </w:r>
          </w:p>
        </w:tc>
      </w:tr>
      <w:tr w14:paraId="43E0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B619F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830</w:t>
            </w:r>
          </w:p>
        </w:tc>
        <w:tc>
          <w:tcPr>
            <w:tcW w:w="639" w:type="dxa"/>
            <w:vMerge w:val="continue"/>
            <w:shd w:val="clear" w:color="auto" w:fill="auto"/>
            <w:vAlign w:val="center"/>
          </w:tcPr>
          <w:p w14:paraId="14E6EDF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59C41673">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62D2C17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集成平台-卒中患者信息接口</w:t>
            </w:r>
          </w:p>
        </w:tc>
      </w:tr>
      <w:tr w14:paraId="6FD7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633623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831</w:t>
            </w:r>
          </w:p>
        </w:tc>
        <w:tc>
          <w:tcPr>
            <w:tcW w:w="639" w:type="dxa"/>
            <w:vMerge w:val="continue"/>
            <w:shd w:val="clear" w:color="auto" w:fill="auto"/>
            <w:vAlign w:val="center"/>
          </w:tcPr>
          <w:p w14:paraId="53F3B61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04B20331">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77D782C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集成平台-创伤患者信息接口</w:t>
            </w:r>
          </w:p>
        </w:tc>
      </w:tr>
      <w:tr w14:paraId="2104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379A43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832</w:t>
            </w:r>
          </w:p>
        </w:tc>
        <w:tc>
          <w:tcPr>
            <w:tcW w:w="639" w:type="dxa"/>
            <w:vMerge w:val="continue"/>
            <w:shd w:val="clear" w:color="auto" w:fill="auto"/>
            <w:vAlign w:val="center"/>
          </w:tcPr>
          <w:p w14:paraId="7A91EE69">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3751806">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464F58E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集成平台-危重孕产妇患者信息接口</w:t>
            </w:r>
          </w:p>
        </w:tc>
      </w:tr>
      <w:tr w14:paraId="1D77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569D72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833</w:t>
            </w:r>
          </w:p>
        </w:tc>
        <w:tc>
          <w:tcPr>
            <w:tcW w:w="639" w:type="dxa"/>
            <w:vMerge w:val="continue"/>
            <w:shd w:val="clear" w:color="auto" w:fill="auto"/>
            <w:vAlign w:val="center"/>
          </w:tcPr>
          <w:p w14:paraId="49510A87">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659B7ED3">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4264C9D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集成平台-危重新生儿患者信息接口</w:t>
            </w:r>
          </w:p>
        </w:tc>
      </w:tr>
      <w:tr w14:paraId="322A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28E6A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834</w:t>
            </w:r>
          </w:p>
        </w:tc>
        <w:tc>
          <w:tcPr>
            <w:tcW w:w="639" w:type="dxa"/>
            <w:vMerge w:val="continue"/>
            <w:shd w:val="clear" w:color="auto" w:fill="auto"/>
            <w:vAlign w:val="center"/>
          </w:tcPr>
          <w:p w14:paraId="4B674DF1">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37500CD">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7B16912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集成平台-胸痛患者综合档案信息接口</w:t>
            </w:r>
          </w:p>
        </w:tc>
      </w:tr>
      <w:tr w14:paraId="660D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7A836B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835</w:t>
            </w:r>
          </w:p>
        </w:tc>
        <w:tc>
          <w:tcPr>
            <w:tcW w:w="639" w:type="dxa"/>
            <w:vMerge w:val="continue"/>
            <w:shd w:val="clear" w:color="auto" w:fill="auto"/>
            <w:vAlign w:val="center"/>
          </w:tcPr>
          <w:p w14:paraId="2A28597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1B449F3E">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3CF4BB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集成平台-卒中患者综合档案信息接口</w:t>
            </w:r>
          </w:p>
        </w:tc>
      </w:tr>
      <w:tr w14:paraId="00BE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22BF7B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836</w:t>
            </w:r>
          </w:p>
        </w:tc>
        <w:tc>
          <w:tcPr>
            <w:tcW w:w="639" w:type="dxa"/>
            <w:vMerge w:val="continue"/>
            <w:shd w:val="clear" w:color="auto" w:fill="auto"/>
            <w:vAlign w:val="center"/>
          </w:tcPr>
          <w:p w14:paraId="68BACDAF">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983F51D">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41BAC45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集成平台-创伤患者综合档案信息接口</w:t>
            </w:r>
          </w:p>
        </w:tc>
      </w:tr>
      <w:tr w14:paraId="5E8C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1AD0B5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837</w:t>
            </w:r>
          </w:p>
        </w:tc>
        <w:tc>
          <w:tcPr>
            <w:tcW w:w="639" w:type="dxa"/>
            <w:vMerge w:val="continue"/>
            <w:shd w:val="clear" w:color="auto" w:fill="auto"/>
            <w:vAlign w:val="center"/>
          </w:tcPr>
          <w:p w14:paraId="1520C3CE">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23924C4">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47A816A7">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集成平台-危重孕产妇患者综合档案信息接口</w:t>
            </w:r>
          </w:p>
        </w:tc>
      </w:tr>
      <w:tr w14:paraId="6B8F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7B69DE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838</w:t>
            </w:r>
          </w:p>
        </w:tc>
        <w:tc>
          <w:tcPr>
            <w:tcW w:w="639" w:type="dxa"/>
            <w:vMerge w:val="continue"/>
            <w:shd w:val="clear" w:color="auto" w:fill="auto"/>
            <w:vAlign w:val="center"/>
          </w:tcPr>
          <w:p w14:paraId="265353E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3E09DBB3">
            <w:pPr>
              <w:jc w:val="center"/>
              <w:rPr>
                <w:rFonts w:hint="eastAsia" w:ascii="宋体" w:hAnsi="宋体" w:eastAsia="宋体" w:cs="宋体"/>
                <w:i w:val="0"/>
                <w:iCs w:val="0"/>
                <w:color w:val="auto"/>
                <w:sz w:val="22"/>
                <w:szCs w:val="22"/>
                <w:highlight w:val="none"/>
                <w:u w:val="none"/>
              </w:rPr>
            </w:pPr>
          </w:p>
        </w:tc>
        <w:tc>
          <w:tcPr>
            <w:tcW w:w="6555" w:type="dxa"/>
            <w:shd w:val="clear" w:color="auto" w:fill="auto"/>
            <w:noWrap/>
            <w:vAlign w:val="center"/>
          </w:tcPr>
          <w:p w14:paraId="6C649CB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集成平台-危重新生儿患者综合档案信息接口</w:t>
            </w:r>
          </w:p>
        </w:tc>
      </w:tr>
      <w:tr w14:paraId="1301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12DC21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839</w:t>
            </w:r>
          </w:p>
        </w:tc>
        <w:tc>
          <w:tcPr>
            <w:tcW w:w="639" w:type="dxa"/>
            <w:vMerge w:val="continue"/>
            <w:shd w:val="clear" w:color="auto" w:fill="auto"/>
            <w:vAlign w:val="center"/>
          </w:tcPr>
          <w:p w14:paraId="1F893A4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E4284D0">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439307E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院前院内一体化-院前急救事件推送</w:t>
            </w:r>
          </w:p>
        </w:tc>
      </w:tr>
      <w:tr w14:paraId="0E43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6BA3E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840</w:t>
            </w:r>
          </w:p>
        </w:tc>
        <w:tc>
          <w:tcPr>
            <w:tcW w:w="639" w:type="dxa"/>
            <w:vMerge w:val="continue"/>
            <w:shd w:val="clear" w:color="auto" w:fill="auto"/>
            <w:vAlign w:val="center"/>
          </w:tcPr>
          <w:p w14:paraId="3A0CC5BB">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C30C6CC">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5EC98C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院前院内一体化-急救患者完整信息</w:t>
            </w:r>
          </w:p>
        </w:tc>
      </w:tr>
      <w:tr w14:paraId="538A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31E595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841</w:t>
            </w:r>
          </w:p>
        </w:tc>
        <w:tc>
          <w:tcPr>
            <w:tcW w:w="639" w:type="dxa"/>
            <w:vMerge w:val="continue"/>
            <w:shd w:val="clear" w:color="auto" w:fill="auto"/>
            <w:vAlign w:val="center"/>
          </w:tcPr>
          <w:p w14:paraId="78BD3EA6">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21619309">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89E692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院前院内一体化-交接单信息推送院内</w:t>
            </w:r>
          </w:p>
        </w:tc>
      </w:tr>
      <w:tr w14:paraId="12B2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76" w:type="dxa"/>
            <w:shd w:val="clear" w:color="auto" w:fill="auto"/>
            <w:vAlign w:val="center"/>
          </w:tcPr>
          <w:p w14:paraId="2D24F7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842</w:t>
            </w:r>
          </w:p>
        </w:tc>
        <w:tc>
          <w:tcPr>
            <w:tcW w:w="639" w:type="dxa"/>
            <w:vMerge w:val="continue"/>
            <w:shd w:val="clear" w:color="auto" w:fill="auto"/>
            <w:vAlign w:val="center"/>
          </w:tcPr>
          <w:p w14:paraId="0787EF50">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78E3AF4E">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16938A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院前院内一体化-急诊床位信息</w:t>
            </w:r>
          </w:p>
        </w:tc>
      </w:tr>
      <w:tr w14:paraId="6C9A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 w:type="dxa"/>
            <w:shd w:val="clear" w:color="auto" w:fill="auto"/>
            <w:vAlign w:val="center"/>
          </w:tcPr>
          <w:p w14:paraId="4D6906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843</w:t>
            </w:r>
          </w:p>
        </w:tc>
        <w:tc>
          <w:tcPr>
            <w:tcW w:w="639" w:type="dxa"/>
            <w:vMerge w:val="continue"/>
            <w:shd w:val="clear" w:color="auto" w:fill="auto"/>
            <w:vAlign w:val="center"/>
          </w:tcPr>
          <w:p w14:paraId="5666113D">
            <w:pPr>
              <w:jc w:val="center"/>
              <w:rPr>
                <w:rFonts w:hint="eastAsia" w:ascii="宋体" w:hAnsi="宋体" w:eastAsia="宋体" w:cs="宋体"/>
                <w:i w:val="0"/>
                <w:iCs w:val="0"/>
                <w:color w:val="auto"/>
                <w:sz w:val="22"/>
                <w:szCs w:val="22"/>
                <w:highlight w:val="none"/>
                <w:u w:val="none"/>
              </w:rPr>
            </w:pPr>
          </w:p>
        </w:tc>
        <w:tc>
          <w:tcPr>
            <w:tcW w:w="1680" w:type="dxa"/>
            <w:gridSpan w:val="2"/>
            <w:vMerge w:val="continue"/>
            <w:shd w:val="clear" w:color="auto" w:fill="auto"/>
            <w:vAlign w:val="center"/>
          </w:tcPr>
          <w:p w14:paraId="491CAE41">
            <w:pPr>
              <w:jc w:val="center"/>
              <w:rPr>
                <w:rFonts w:hint="eastAsia" w:ascii="宋体" w:hAnsi="宋体" w:eastAsia="宋体" w:cs="宋体"/>
                <w:i w:val="0"/>
                <w:iCs w:val="0"/>
                <w:color w:val="auto"/>
                <w:sz w:val="22"/>
                <w:szCs w:val="22"/>
                <w:highlight w:val="none"/>
                <w:u w:val="none"/>
              </w:rPr>
            </w:pPr>
          </w:p>
        </w:tc>
        <w:tc>
          <w:tcPr>
            <w:tcW w:w="6555" w:type="dxa"/>
            <w:shd w:val="clear" w:color="auto" w:fill="auto"/>
            <w:vAlign w:val="center"/>
          </w:tcPr>
          <w:p w14:paraId="73C48F1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院前院内一体化-急救患者转归信息</w:t>
            </w:r>
          </w:p>
        </w:tc>
      </w:tr>
      <w:tr w14:paraId="035C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6" w:type="dxa"/>
            <w:shd w:val="clear" w:color="auto" w:fill="auto"/>
            <w:vAlign w:val="center"/>
          </w:tcPr>
          <w:p w14:paraId="2998BC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844</w:t>
            </w:r>
          </w:p>
        </w:tc>
        <w:tc>
          <w:tcPr>
            <w:tcW w:w="639" w:type="dxa"/>
            <w:vMerge w:val="restart"/>
            <w:shd w:val="clear" w:color="auto" w:fill="auto"/>
            <w:vAlign w:val="center"/>
          </w:tcPr>
          <w:p w14:paraId="1631BF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患者时间节点采集系统</w:t>
            </w:r>
          </w:p>
        </w:tc>
        <w:tc>
          <w:tcPr>
            <w:tcW w:w="1680" w:type="dxa"/>
            <w:gridSpan w:val="2"/>
            <w:shd w:val="clear" w:color="auto" w:fill="auto"/>
            <w:vAlign w:val="center"/>
          </w:tcPr>
          <w:p w14:paraId="48C8FE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PDA扫场所码</w:t>
            </w:r>
          </w:p>
        </w:tc>
        <w:tc>
          <w:tcPr>
            <w:tcW w:w="6555" w:type="dxa"/>
            <w:shd w:val="clear" w:color="auto" w:fill="auto"/>
            <w:vAlign w:val="center"/>
          </w:tcPr>
          <w:p w14:paraId="2A59DC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支持移动端扫系统自定义场所码记录事件时间节点，扫码采集患者到达急诊科、CT室、导管室、ICU、手术室的就医全程时间轨迹。可在时间轴上直接展示。支持按不同的病种和场景灵活配置二维码，支持设置存放位置以及是否生效；支持指定二维码按不同的业务场景进行事件时间节点配置。</w:t>
            </w:r>
          </w:p>
        </w:tc>
      </w:tr>
      <w:tr w14:paraId="5EC9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76" w:type="dxa"/>
            <w:shd w:val="clear" w:color="auto" w:fill="auto"/>
            <w:vAlign w:val="center"/>
          </w:tcPr>
          <w:p w14:paraId="5B03F4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845</w:t>
            </w:r>
          </w:p>
        </w:tc>
        <w:tc>
          <w:tcPr>
            <w:tcW w:w="639" w:type="dxa"/>
            <w:vMerge w:val="continue"/>
            <w:shd w:val="clear" w:color="auto" w:fill="auto"/>
            <w:vAlign w:val="center"/>
          </w:tcPr>
          <w:p w14:paraId="2F582555">
            <w:pPr>
              <w:jc w:val="center"/>
              <w:rPr>
                <w:rFonts w:hint="eastAsia" w:ascii="宋体" w:hAnsi="宋体" w:eastAsia="宋体" w:cs="宋体"/>
                <w:i w:val="0"/>
                <w:iCs w:val="0"/>
                <w:color w:val="auto"/>
                <w:sz w:val="22"/>
                <w:szCs w:val="22"/>
                <w:highlight w:val="none"/>
                <w:u w:val="none"/>
              </w:rPr>
            </w:pPr>
          </w:p>
        </w:tc>
        <w:tc>
          <w:tcPr>
            <w:tcW w:w="1680" w:type="dxa"/>
            <w:gridSpan w:val="2"/>
            <w:shd w:val="clear" w:color="auto" w:fill="auto"/>
            <w:vAlign w:val="center"/>
          </w:tcPr>
          <w:p w14:paraId="6889ED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PDA扫手腕带</w:t>
            </w:r>
          </w:p>
        </w:tc>
        <w:tc>
          <w:tcPr>
            <w:tcW w:w="6555" w:type="dxa"/>
            <w:shd w:val="clear" w:color="auto" w:fill="auto"/>
            <w:vAlign w:val="center"/>
          </w:tcPr>
          <w:p w14:paraId="2D57BAE2">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支持PDA扫手腕带记录事件时间节点，扫码后直接以点选的方式记录患者全流程的时间轨迹。可实现创伤患者全流程诊疗时间节点采集和严重创伤患者急诊救治时间节点采集。支持按不同的业务场景灵活配置事件时间节点。</w:t>
            </w:r>
          </w:p>
        </w:tc>
      </w:tr>
    </w:tbl>
    <w:p w14:paraId="45E9D0D8">
      <w:pPr>
        <w:pageBreakBefore w:val="0"/>
        <w:kinsoku/>
        <w:wordWrap/>
        <w:topLinePunct w:val="0"/>
        <w:bidi w:val="0"/>
        <w:snapToGrid/>
        <w:spacing w:line="360" w:lineRule="auto"/>
        <w:ind w:firstLine="440" w:firstLineChars="200"/>
        <w:rPr>
          <w:rFonts w:hint="default" w:ascii="宋体" w:hAnsi="宋体" w:cs="宋体"/>
          <w:color w:val="auto"/>
          <w:kern w:val="0"/>
          <w:sz w:val="22"/>
          <w:szCs w:val="22"/>
          <w:highlight w:val="none"/>
          <w:lang w:val="en-US" w:eastAsia="zh-CN"/>
        </w:rPr>
      </w:pPr>
    </w:p>
    <w:p w14:paraId="726029D8">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bookmarkStart w:id="204" w:name="_Toc7690"/>
      <w:bookmarkStart w:id="205" w:name="_Toc6462"/>
      <w:bookmarkStart w:id="206" w:name="_Toc23"/>
      <w:bookmarkStart w:id="207" w:name="_Toc981"/>
      <w:bookmarkStart w:id="208" w:name="_Toc31945"/>
      <w:bookmarkStart w:id="209" w:name="_Toc27950"/>
      <w:bookmarkStart w:id="210" w:name="_Toc1393"/>
      <w:bookmarkStart w:id="211" w:name="_Toc11236"/>
      <w:bookmarkStart w:id="212" w:name="_Toc20621"/>
      <w:bookmarkStart w:id="213" w:name="_Toc20336"/>
      <w:bookmarkStart w:id="214" w:name="_Toc1583"/>
      <w:r>
        <w:rPr>
          <w:rFonts w:hint="eastAsia" w:ascii="宋体" w:hAnsi="宋体" w:cs="宋体"/>
          <w:b/>
          <w:bCs/>
          <w:color w:val="auto"/>
          <w:sz w:val="22"/>
          <w:szCs w:val="22"/>
          <w:highlight w:val="none"/>
          <w:shd w:val="clear" w:color="auto" w:fill="auto"/>
          <w:lang w:val="en-US" w:eastAsia="zh-CN"/>
        </w:rPr>
        <w:t>5.7</w:t>
      </w:r>
      <w:r>
        <w:rPr>
          <w:rFonts w:hint="eastAsia" w:ascii="宋体" w:hAnsi="宋体" w:eastAsia="宋体" w:cs="宋体"/>
          <w:b/>
          <w:bCs/>
          <w:color w:val="auto"/>
          <w:sz w:val="22"/>
          <w:szCs w:val="22"/>
          <w:highlight w:val="none"/>
          <w:lang w:val="en-US" w:eastAsia="zh-CN"/>
        </w:rPr>
        <w:t>硬件需求清单</w:t>
      </w:r>
    </w:p>
    <w:p w14:paraId="002595A1">
      <w:pPr>
        <w:pageBreakBefore w:val="0"/>
        <w:numPr>
          <w:ilvl w:val="0"/>
          <w:numId w:val="0"/>
        </w:numPr>
        <w:kinsoku/>
        <w:wordWrap/>
        <w:topLinePunct w:val="0"/>
        <w:bidi w:val="0"/>
        <w:snapToGrid/>
        <w:spacing w:line="360" w:lineRule="auto"/>
        <w:ind w:left="420" w:leftChars="0" w:firstLine="0" w:firstLineChars="0"/>
        <w:outlineLvl w:val="0"/>
        <w:rPr>
          <w:rFonts w:hint="eastAsia"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shd w:val="clear" w:color="auto" w:fill="auto"/>
          <w:lang w:val="en-US" w:eastAsia="zh-CN"/>
        </w:rPr>
        <w:t>5.7.1</w:t>
      </w:r>
    </w:p>
    <w:p w14:paraId="3EEDF287">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val="en-US" w:eastAsia="zh-CN"/>
        </w:rPr>
        <w:t>1)</w:t>
      </w:r>
      <w:r>
        <w:rPr>
          <w:rFonts w:hint="eastAsia" w:ascii="宋体" w:hAnsi="宋体" w:eastAsia="宋体" w:cs="宋体"/>
          <w:color w:val="auto"/>
          <w:sz w:val="22"/>
          <w:szCs w:val="22"/>
          <w:highlight w:val="none"/>
          <w:shd w:val="clear" w:color="auto" w:fill="auto"/>
        </w:rPr>
        <w:t>人民医院设备清单</w:t>
      </w:r>
    </w:p>
    <w:bookmarkEnd w:id="204"/>
    <w:bookmarkEnd w:id="205"/>
    <w:bookmarkEnd w:id="206"/>
    <w:bookmarkEnd w:id="207"/>
    <w:bookmarkEnd w:id="208"/>
    <w:bookmarkEnd w:id="209"/>
    <w:bookmarkEnd w:id="210"/>
    <w:bookmarkEnd w:id="211"/>
    <w:bookmarkEnd w:id="212"/>
    <w:bookmarkEnd w:id="213"/>
    <w:bookmarkEnd w:id="214"/>
    <w:p w14:paraId="61FF7FB7">
      <w:pPr>
        <w:pageBreakBefore w:val="0"/>
        <w:kinsoku/>
        <w:wordWrap/>
        <w:topLinePunct w:val="0"/>
        <w:bidi w:val="0"/>
        <w:snapToGrid/>
        <w:spacing w:line="360" w:lineRule="auto"/>
        <w:ind w:firstLine="440" w:firstLineChars="200"/>
        <w:jc w:val="center"/>
        <w:rPr>
          <w:rFonts w:hint="eastAsia" w:ascii="宋体" w:hAnsi="宋体" w:eastAsia="宋体" w:cs="宋体"/>
          <w:color w:val="auto"/>
          <w:sz w:val="22"/>
          <w:szCs w:val="22"/>
          <w:highlight w:val="none"/>
          <w:shd w:val="clear" w:color="auto" w:fill="auto"/>
        </w:rPr>
      </w:pPr>
      <w:bookmarkStart w:id="215" w:name="_Toc26990"/>
      <w:bookmarkStart w:id="216" w:name="_Toc15692"/>
      <w:bookmarkStart w:id="217" w:name="_Toc17985"/>
      <w:bookmarkStart w:id="218" w:name="_Toc24018"/>
      <w:bookmarkStart w:id="219" w:name="_Toc13019"/>
      <w:bookmarkStart w:id="220" w:name="_Toc20996"/>
      <w:r>
        <w:rPr>
          <w:rFonts w:hint="eastAsia" w:ascii="宋体" w:hAnsi="宋体" w:eastAsia="宋体" w:cs="宋体"/>
          <w:color w:val="auto"/>
          <w:sz w:val="22"/>
          <w:szCs w:val="22"/>
          <w:highlight w:val="none"/>
          <w:shd w:val="clear" w:color="auto" w:fill="auto"/>
        </w:rPr>
        <w:t xml:space="preserve">表5- </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SEQ 表5- \* ARABIC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4</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人民医院设备清单</w:t>
      </w:r>
    </w:p>
    <w:tbl>
      <w:tblPr>
        <w:tblStyle w:val="43"/>
        <w:tblW w:w="5000" w:type="pct"/>
        <w:jc w:val="center"/>
        <w:shd w:val="clear" w:color="auto" w:fill="auto"/>
        <w:tblLayout w:type="autofit"/>
        <w:tblCellMar>
          <w:top w:w="0" w:type="dxa"/>
          <w:left w:w="108" w:type="dxa"/>
          <w:bottom w:w="0" w:type="dxa"/>
          <w:right w:w="108" w:type="dxa"/>
        </w:tblCellMar>
      </w:tblPr>
      <w:tblGrid>
        <w:gridCol w:w="881"/>
        <w:gridCol w:w="1200"/>
        <w:gridCol w:w="2501"/>
        <w:gridCol w:w="816"/>
        <w:gridCol w:w="1746"/>
        <w:gridCol w:w="2710"/>
      </w:tblGrid>
      <w:tr w14:paraId="67526C4F">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23A1521">
            <w:pPr>
              <w:jc w:val="center"/>
              <w:rPr>
                <w:rFonts w:hint="eastAsia"/>
                <w:color w:val="auto"/>
                <w:highlight w:val="none"/>
              </w:rPr>
            </w:pPr>
            <w:r>
              <w:rPr>
                <w:rFonts w:hint="eastAsia"/>
                <w:color w:val="auto"/>
                <w:highlight w:val="none"/>
              </w:rPr>
              <w:t>急诊设备</w:t>
            </w:r>
          </w:p>
        </w:tc>
      </w:tr>
      <w:tr w14:paraId="78AC66BD">
        <w:tblPrEx>
          <w:tblCellMar>
            <w:top w:w="0" w:type="dxa"/>
            <w:left w:w="108" w:type="dxa"/>
            <w:bottom w:w="0" w:type="dxa"/>
            <w:right w:w="108" w:type="dxa"/>
          </w:tblCellMar>
        </w:tblPrEx>
        <w:trPr>
          <w:trHeight w:val="270" w:hRule="atLeast"/>
          <w:jc w:val="center"/>
        </w:trPr>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3FD3AA84">
            <w:pPr>
              <w:jc w:val="center"/>
              <w:rPr>
                <w:rFonts w:hint="eastAsia"/>
                <w:color w:val="auto"/>
                <w:highlight w:val="none"/>
              </w:rPr>
            </w:pPr>
            <w:r>
              <w:rPr>
                <w:rFonts w:hint="eastAsia"/>
                <w:color w:val="auto"/>
                <w:highlight w:val="none"/>
              </w:rPr>
              <w:t>序号</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14:paraId="3F1193C0">
            <w:pPr>
              <w:jc w:val="center"/>
              <w:rPr>
                <w:rFonts w:hint="eastAsia"/>
                <w:color w:val="auto"/>
                <w:highlight w:val="none"/>
              </w:rPr>
            </w:pPr>
            <w:r>
              <w:rPr>
                <w:rFonts w:hint="eastAsia"/>
                <w:color w:val="auto"/>
                <w:highlight w:val="none"/>
              </w:rPr>
              <w:t>产品名称</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4B9078E4">
            <w:pPr>
              <w:jc w:val="center"/>
              <w:rPr>
                <w:rFonts w:hint="eastAsia"/>
                <w:color w:val="auto"/>
                <w:highlight w:val="none"/>
              </w:rPr>
            </w:pPr>
            <w:r>
              <w:rPr>
                <w:rFonts w:hint="eastAsia"/>
                <w:color w:val="auto"/>
                <w:highlight w:val="none"/>
              </w:rPr>
              <w:t>产品规格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575E50D4">
            <w:pPr>
              <w:jc w:val="center"/>
              <w:rPr>
                <w:rFonts w:hint="eastAsia"/>
                <w:color w:val="auto"/>
                <w:highlight w:val="none"/>
              </w:rPr>
            </w:pPr>
            <w:r>
              <w:rPr>
                <w:rFonts w:hint="eastAsia"/>
                <w:color w:val="auto"/>
                <w:highlight w:val="none"/>
              </w:rPr>
              <w:t>数量</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14:paraId="571263CB">
            <w:pPr>
              <w:jc w:val="center"/>
              <w:rPr>
                <w:rFonts w:hint="eastAsia"/>
                <w:color w:val="auto"/>
                <w:highlight w:val="none"/>
              </w:rPr>
            </w:pPr>
            <w:r>
              <w:rPr>
                <w:rFonts w:hint="eastAsia"/>
                <w:color w:val="auto"/>
                <w:highlight w:val="none"/>
              </w:rPr>
              <w:t>用途</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14:paraId="26255058">
            <w:pPr>
              <w:jc w:val="center"/>
              <w:rPr>
                <w:rFonts w:hint="eastAsia"/>
                <w:color w:val="auto"/>
                <w:highlight w:val="none"/>
              </w:rPr>
            </w:pPr>
            <w:r>
              <w:rPr>
                <w:rFonts w:hint="eastAsia"/>
                <w:color w:val="auto"/>
                <w:highlight w:val="none"/>
              </w:rPr>
              <w:t>部署位置</w:t>
            </w:r>
          </w:p>
        </w:tc>
      </w:tr>
      <w:tr w14:paraId="2EB4A573">
        <w:tblPrEx>
          <w:tblCellMar>
            <w:top w:w="0" w:type="dxa"/>
            <w:left w:w="108" w:type="dxa"/>
            <w:bottom w:w="0" w:type="dxa"/>
            <w:right w:w="108" w:type="dxa"/>
          </w:tblCellMar>
        </w:tblPrEx>
        <w:trPr>
          <w:trHeight w:val="1275" w:hRule="atLeast"/>
          <w:jc w:val="center"/>
        </w:trPr>
        <w:tc>
          <w:tcPr>
            <w:tcW w:w="447" w:type="pct"/>
            <w:tcBorders>
              <w:top w:val="single" w:color="auto" w:sz="4" w:space="0"/>
              <w:left w:val="single" w:color="000000" w:sz="4" w:space="0"/>
              <w:bottom w:val="single" w:color="000000" w:sz="4" w:space="0"/>
              <w:right w:val="single" w:color="000000" w:sz="4" w:space="0"/>
            </w:tcBorders>
            <w:shd w:val="clear" w:color="auto" w:fill="auto"/>
            <w:vAlign w:val="center"/>
          </w:tcPr>
          <w:p w14:paraId="0CBC5EDC">
            <w:pPr>
              <w:jc w:val="center"/>
              <w:rPr>
                <w:rFonts w:hint="eastAsia"/>
                <w:color w:val="auto"/>
                <w:highlight w:val="none"/>
              </w:rPr>
            </w:pPr>
            <w:r>
              <w:rPr>
                <w:rFonts w:hint="eastAsia"/>
                <w:color w:val="auto"/>
                <w:highlight w:val="none"/>
              </w:rPr>
              <w:t>1</w:t>
            </w:r>
          </w:p>
        </w:tc>
        <w:tc>
          <w:tcPr>
            <w:tcW w:w="609" w:type="pct"/>
            <w:tcBorders>
              <w:top w:val="single" w:color="auto" w:sz="4" w:space="0"/>
              <w:left w:val="single" w:color="000000" w:sz="4" w:space="0"/>
              <w:bottom w:val="single" w:color="000000" w:sz="4" w:space="0"/>
              <w:right w:val="single" w:color="000000" w:sz="4" w:space="0"/>
            </w:tcBorders>
            <w:shd w:val="clear" w:color="auto" w:fill="auto"/>
            <w:vAlign w:val="center"/>
          </w:tcPr>
          <w:p w14:paraId="18745918">
            <w:pPr>
              <w:jc w:val="center"/>
              <w:rPr>
                <w:rFonts w:hint="eastAsia"/>
                <w:color w:val="auto"/>
                <w:highlight w:val="none"/>
              </w:rPr>
            </w:pPr>
            <w:r>
              <w:rPr>
                <w:rFonts w:hint="eastAsia"/>
                <w:color w:val="auto"/>
                <w:highlight w:val="none"/>
              </w:rPr>
              <w:t>急诊大屏</w:t>
            </w:r>
          </w:p>
        </w:tc>
        <w:tc>
          <w:tcPr>
            <w:tcW w:w="1269" w:type="pct"/>
            <w:tcBorders>
              <w:top w:val="single" w:color="auto" w:sz="4" w:space="0"/>
              <w:left w:val="single" w:color="000000" w:sz="4" w:space="0"/>
              <w:bottom w:val="single" w:color="000000" w:sz="4" w:space="0"/>
              <w:right w:val="single" w:color="000000" w:sz="4" w:space="0"/>
            </w:tcBorders>
            <w:shd w:val="clear" w:color="auto" w:fill="auto"/>
            <w:vAlign w:val="center"/>
          </w:tcPr>
          <w:p w14:paraId="29CDE4B9">
            <w:pPr>
              <w:jc w:val="center"/>
              <w:rPr>
                <w:rFonts w:hint="eastAsia"/>
                <w:color w:val="auto"/>
                <w:highlight w:val="none"/>
              </w:rPr>
            </w:pPr>
            <w:r>
              <w:rPr>
                <w:rFonts w:hint="eastAsia"/>
                <w:color w:val="auto"/>
                <w:highlight w:val="none"/>
              </w:rPr>
              <w:t>屏幕尺寸：≥</w:t>
            </w:r>
            <w:r>
              <w:rPr>
                <w:rFonts w:hint="eastAsia"/>
                <w:color w:val="auto"/>
                <w:highlight w:val="none"/>
                <w:lang w:val="en-US" w:eastAsia="zh-CN"/>
              </w:rPr>
              <w:t>6</w:t>
            </w:r>
            <w:r>
              <w:rPr>
                <w:rFonts w:hint="eastAsia"/>
                <w:color w:val="auto"/>
                <w:highlight w:val="none"/>
              </w:rPr>
              <w:t>5 英寸；内存容量：≥</w:t>
            </w:r>
            <w:r>
              <w:rPr>
                <w:rFonts w:hint="eastAsia"/>
                <w:color w:val="auto"/>
                <w:highlight w:val="none"/>
                <w:lang w:val="en-US" w:eastAsia="zh-CN"/>
              </w:rPr>
              <w:t>4</w:t>
            </w:r>
            <w:r>
              <w:rPr>
                <w:rFonts w:hint="eastAsia"/>
                <w:color w:val="auto"/>
                <w:highlight w:val="none"/>
              </w:rPr>
              <w:t>GB；存储容量：≥8G；</w:t>
            </w:r>
          </w:p>
        </w:tc>
        <w:tc>
          <w:tcPr>
            <w:tcW w:w="41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FD2C877">
            <w:pPr>
              <w:jc w:val="center"/>
              <w:rPr>
                <w:rFonts w:hint="eastAsia"/>
                <w:color w:val="auto"/>
                <w:highlight w:val="none"/>
              </w:rPr>
            </w:pPr>
            <w:r>
              <w:rPr>
                <w:rFonts w:hint="eastAsia"/>
                <w:color w:val="auto"/>
                <w:highlight w:val="none"/>
              </w:rPr>
              <w:t>1</w:t>
            </w:r>
          </w:p>
        </w:tc>
        <w:tc>
          <w:tcPr>
            <w:tcW w:w="886" w:type="pct"/>
            <w:tcBorders>
              <w:top w:val="single" w:color="auto" w:sz="4" w:space="0"/>
              <w:left w:val="single" w:color="000000" w:sz="4" w:space="0"/>
              <w:bottom w:val="single" w:color="000000" w:sz="4" w:space="0"/>
              <w:right w:val="single" w:color="000000" w:sz="4" w:space="0"/>
            </w:tcBorders>
            <w:shd w:val="clear" w:color="auto" w:fill="auto"/>
            <w:vAlign w:val="center"/>
          </w:tcPr>
          <w:p w14:paraId="08F63EF4">
            <w:pPr>
              <w:jc w:val="center"/>
              <w:rPr>
                <w:rFonts w:hint="eastAsia"/>
                <w:color w:val="auto"/>
                <w:highlight w:val="none"/>
              </w:rPr>
            </w:pPr>
            <w:r>
              <w:rPr>
                <w:rFonts w:hint="eastAsia"/>
                <w:color w:val="auto"/>
                <w:highlight w:val="none"/>
              </w:rPr>
              <w:t>用来展示急诊系统统计概览</w:t>
            </w:r>
          </w:p>
        </w:tc>
        <w:tc>
          <w:tcPr>
            <w:tcW w:w="1373" w:type="pct"/>
            <w:tcBorders>
              <w:top w:val="single" w:color="auto" w:sz="4" w:space="0"/>
              <w:left w:val="single" w:color="000000" w:sz="4" w:space="0"/>
              <w:bottom w:val="single" w:color="000000" w:sz="4" w:space="0"/>
              <w:right w:val="single" w:color="000000" w:sz="4" w:space="0"/>
            </w:tcBorders>
            <w:shd w:val="clear" w:color="auto" w:fill="auto"/>
            <w:vAlign w:val="center"/>
          </w:tcPr>
          <w:p w14:paraId="1E380024">
            <w:pPr>
              <w:jc w:val="center"/>
              <w:rPr>
                <w:rFonts w:hint="eastAsia"/>
                <w:color w:val="auto"/>
                <w:highlight w:val="none"/>
              </w:rPr>
            </w:pPr>
            <w:r>
              <w:rPr>
                <w:rFonts w:hint="eastAsia"/>
                <w:color w:val="auto"/>
                <w:highlight w:val="none"/>
              </w:rPr>
              <w:t>放在急诊科的墙上，分诊台后面</w:t>
            </w:r>
          </w:p>
        </w:tc>
      </w:tr>
      <w:tr w14:paraId="4D042F3A">
        <w:tblPrEx>
          <w:tblCellMar>
            <w:top w:w="0" w:type="dxa"/>
            <w:left w:w="108" w:type="dxa"/>
            <w:bottom w:w="0" w:type="dxa"/>
            <w:right w:w="108" w:type="dxa"/>
          </w:tblCellMar>
        </w:tblPrEx>
        <w:trPr>
          <w:trHeight w:val="1275"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A9C64">
            <w:pPr>
              <w:jc w:val="center"/>
              <w:rPr>
                <w:rFonts w:hint="eastAsia"/>
                <w:color w:val="auto"/>
                <w:highlight w:val="none"/>
              </w:rPr>
            </w:pPr>
            <w:r>
              <w:rPr>
                <w:rFonts w:hint="eastAsia"/>
                <w:color w:val="auto"/>
                <w:highlight w:val="none"/>
              </w:rPr>
              <w:t>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5E958">
            <w:pPr>
              <w:jc w:val="center"/>
              <w:rPr>
                <w:rFonts w:hint="eastAsia"/>
                <w:color w:val="auto"/>
                <w:highlight w:val="none"/>
              </w:rPr>
            </w:pPr>
            <w:r>
              <w:rPr>
                <w:rFonts w:hint="eastAsia"/>
                <w:color w:val="auto"/>
                <w:highlight w:val="none"/>
              </w:rPr>
              <w:t>急诊移动护理PDA</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74BD2">
            <w:pPr>
              <w:jc w:val="center"/>
              <w:rPr>
                <w:rFonts w:hint="eastAsia"/>
                <w:color w:val="auto"/>
                <w:highlight w:val="none"/>
              </w:rPr>
            </w:pPr>
            <w:r>
              <w:rPr>
                <w:rFonts w:hint="eastAsia"/>
                <w:color w:val="auto"/>
                <w:highlight w:val="none"/>
              </w:rPr>
              <w:t>屏幕尺寸：5.7 英寸；内存容量：4GB；存储容量：64G；系统： WiFi/蓝牙/4G全网通；</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DAE49">
            <w:pPr>
              <w:jc w:val="center"/>
              <w:rPr>
                <w:rFonts w:hint="eastAsia"/>
                <w:color w:val="auto"/>
                <w:highlight w:val="none"/>
              </w:rPr>
            </w:pPr>
            <w:r>
              <w:rPr>
                <w:rFonts w:hint="eastAsia"/>
                <w:color w:val="auto"/>
                <w:highlight w:val="none"/>
              </w:rPr>
              <w:t>4</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DFBAF">
            <w:pPr>
              <w:jc w:val="center"/>
              <w:rPr>
                <w:rFonts w:hint="eastAsia"/>
                <w:color w:val="auto"/>
                <w:highlight w:val="none"/>
              </w:rPr>
            </w:pPr>
            <w:r>
              <w:rPr>
                <w:rFonts w:hint="eastAsia"/>
                <w:color w:val="auto"/>
                <w:highlight w:val="none"/>
              </w:rPr>
              <w:t>护士移动护理，扫描等工具</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51868">
            <w:pPr>
              <w:jc w:val="center"/>
              <w:rPr>
                <w:rFonts w:hint="eastAsia"/>
                <w:color w:val="auto"/>
                <w:highlight w:val="none"/>
              </w:rPr>
            </w:pPr>
            <w:r>
              <w:rPr>
                <w:rFonts w:hint="eastAsia"/>
                <w:color w:val="auto"/>
                <w:highlight w:val="none"/>
              </w:rPr>
              <w:t>用在移动护理上的，配合的硬件</w:t>
            </w:r>
          </w:p>
        </w:tc>
      </w:tr>
      <w:tr w14:paraId="2C6F76B9">
        <w:tblPrEx>
          <w:shd w:val="clear" w:color="auto" w:fill="auto"/>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D811B3B">
            <w:pPr>
              <w:jc w:val="center"/>
              <w:rPr>
                <w:rFonts w:hint="eastAsia"/>
                <w:color w:val="auto"/>
                <w:highlight w:val="none"/>
              </w:rPr>
            </w:pPr>
            <w:r>
              <w:rPr>
                <w:rFonts w:hint="eastAsia"/>
                <w:color w:val="auto"/>
                <w:highlight w:val="none"/>
              </w:rPr>
              <w:t>五大中心设备</w:t>
            </w:r>
          </w:p>
        </w:tc>
      </w:tr>
      <w:tr w14:paraId="12DB00CC">
        <w:tblPrEx>
          <w:tblCellMar>
            <w:top w:w="0" w:type="dxa"/>
            <w:left w:w="108" w:type="dxa"/>
            <w:bottom w:w="0" w:type="dxa"/>
            <w:right w:w="108" w:type="dxa"/>
          </w:tblCellMar>
        </w:tblPrEx>
        <w:trPr>
          <w:trHeight w:val="270" w:hRule="atLeast"/>
          <w:jc w:val="center"/>
        </w:trPr>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36F44DA6">
            <w:pPr>
              <w:jc w:val="center"/>
              <w:rPr>
                <w:rFonts w:hint="eastAsia"/>
                <w:color w:val="auto"/>
                <w:highlight w:val="none"/>
              </w:rPr>
            </w:pPr>
            <w:r>
              <w:rPr>
                <w:rFonts w:hint="eastAsia"/>
                <w:color w:val="auto"/>
                <w:highlight w:val="none"/>
              </w:rPr>
              <w:t>序号</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14:paraId="417A93C9">
            <w:pPr>
              <w:jc w:val="center"/>
              <w:rPr>
                <w:rFonts w:hint="eastAsia"/>
                <w:color w:val="auto"/>
                <w:highlight w:val="none"/>
              </w:rPr>
            </w:pPr>
            <w:r>
              <w:rPr>
                <w:rFonts w:hint="eastAsia"/>
                <w:color w:val="auto"/>
                <w:highlight w:val="none"/>
              </w:rPr>
              <w:t>产品</w:t>
            </w:r>
          </w:p>
          <w:p w14:paraId="08B19A50">
            <w:pPr>
              <w:jc w:val="center"/>
              <w:rPr>
                <w:rFonts w:hint="eastAsia"/>
                <w:color w:val="auto"/>
                <w:highlight w:val="none"/>
              </w:rPr>
            </w:pPr>
            <w:r>
              <w:rPr>
                <w:rFonts w:hint="eastAsia"/>
                <w:color w:val="auto"/>
                <w:highlight w:val="none"/>
              </w:rPr>
              <w:t>名称</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3F48B1D5">
            <w:pPr>
              <w:jc w:val="center"/>
              <w:rPr>
                <w:rFonts w:hint="eastAsia"/>
                <w:color w:val="auto"/>
                <w:highlight w:val="none"/>
              </w:rPr>
            </w:pPr>
            <w:r>
              <w:rPr>
                <w:rFonts w:hint="eastAsia"/>
                <w:color w:val="auto"/>
                <w:highlight w:val="none"/>
              </w:rPr>
              <w:t>产品规格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2CE3F24">
            <w:pPr>
              <w:jc w:val="center"/>
              <w:rPr>
                <w:rFonts w:hint="eastAsia"/>
                <w:color w:val="auto"/>
                <w:highlight w:val="none"/>
              </w:rPr>
            </w:pPr>
            <w:r>
              <w:rPr>
                <w:rFonts w:hint="eastAsia"/>
                <w:color w:val="auto"/>
                <w:highlight w:val="none"/>
              </w:rPr>
              <w:t>数量</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14:paraId="20494F23">
            <w:pPr>
              <w:jc w:val="center"/>
              <w:rPr>
                <w:rFonts w:hint="eastAsia"/>
                <w:color w:val="auto"/>
                <w:highlight w:val="none"/>
              </w:rPr>
            </w:pPr>
            <w:r>
              <w:rPr>
                <w:rFonts w:hint="eastAsia"/>
                <w:color w:val="auto"/>
                <w:highlight w:val="none"/>
              </w:rPr>
              <w:t>用途</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14:paraId="02652CF6">
            <w:pPr>
              <w:jc w:val="center"/>
              <w:rPr>
                <w:rFonts w:hint="eastAsia"/>
                <w:color w:val="auto"/>
                <w:highlight w:val="none"/>
              </w:rPr>
            </w:pPr>
            <w:r>
              <w:rPr>
                <w:rFonts w:hint="eastAsia"/>
                <w:color w:val="auto"/>
                <w:highlight w:val="none"/>
              </w:rPr>
              <w:t>部署位置</w:t>
            </w:r>
          </w:p>
        </w:tc>
      </w:tr>
      <w:tr w14:paraId="58604C57">
        <w:tblPrEx>
          <w:shd w:val="clear" w:color="auto" w:fill="auto"/>
          <w:tblCellMar>
            <w:top w:w="0" w:type="dxa"/>
            <w:left w:w="108" w:type="dxa"/>
            <w:bottom w:w="0" w:type="dxa"/>
            <w:right w:w="108" w:type="dxa"/>
          </w:tblCellMar>
        </w:tblPrEx>
        <w:trPr>
          <w:trHeight w:val="765" w:hRule="atLeast"/>
          <w:jc w:val="center"/>
        </w:trPr>
        <w:tc>
          <w:tcPr>
            <w:tcW w:w="447" w:type="pct"/>
            <w:tcBorders>
              <w:top w:val="single" w:color="auto" w:sz="4" w:space="0"/>
              <w:left w:val="single" w:color="000000" w:sz="4" w:space="0"/>
              <w:bottom w:val="single" w:color="000000" w:sz="4" w:space="0"/>
              <w:right w:val="single" w:color="000000" w:sz="4" w:space="0"/>
            </w:tcBorders>
            <w:shd w:val="clear" w:color="auto" w:fill="auto"/>
            <w:vAlign w:val="center"/>
          </w:tcPr>
          <w:p w14:paraId="0BB289F9">
            <w:pPr>
              <w:jc w:val="center"/>
              <w:rPr>
                <w:rFonts w:hint="eastAsia"/>
                <w:color w:val="auto"/>
                <w:highlight w:val="none"/>
              </w:rPr>
            </w:pPr>
            <w:r>
              <w:rPr>
                <w:rFonts w:hint="eastAsia"/>
                <w:color w:val="auto"/>
                <w:highlight w:val="none"/>
              </w:rPr>
              <w:t>1</w:t>
            </w:r>
          </w:p>
        </w:tc>
        <w:tc>
          <w:tcPr>
            <w:tcW w:w="609" w:type="pct"/>
            <w:tcBorders>
              <w:top w:val="single" w:color="auto" w:sz="4" w:space="0"/>
              <w:left w:val="single" w:color="000000" w:sz="4" w:space="0"/>
              <w:bottom w:val="single" w:color="000000" w:sz="4" w:space="0"/>
              <w:right w:val="single" w:color="000000" w:sz="4" w:space="0"/>
            </w:tcBorders>
            <w:shd w:val="clear" w:color="auto" w:fill="auto"/>
            <w:vAlign w:val="center"/>
          </w:tcPr>
          <w:p w14:paraId="396CDD76">
            <w:pPr>
              <w:jc w:val="center"/>
              <w:rPr>
                <w:rFonts w:hint="eastAsia"/>
                <w:color w:val="auto"/>
                <w:highlight w:val="none"/>
              </w:rPr>
            </w:pPr>
            <w:r>
              <w:rPr>
                <w:rFonts w:hint="eastAsia"/>
                <w:color w:val="auto"/>
                <w:highlight w:val="none"/>
              </w:rPr>
              <w:t>分诊台读写设备</w:t>
            </w:r>
          </w:p>
        </w:tc>
        <w:tc>
          <w:tcPr>
            <w:tcW w:w="1269" w:type="pct"/>
            <w:tcBorders>
              <w:top w:val="single" w:color="auto" w:sz="4" w:space="0"/>
              <w:left w:val="single" w:color="000000" w:sz="4" w:space="0"/>
              <w:bottom w:val="single" w:color="000000" w:sz="4" w:space="0"/>
              <w:right w:val="single" w:color="000000" w:sz="4" w:space="0"/>
            </w:tcBorders>
            <w:shd w:val="clear" w:color="auto" w:fill="auto"/>
            <w:vAlign w:val="center"/>
          </w:tcPr>
          <w:p w14:paraId="03DDAB17">
            <w:pPr>
              <w:jc w:val="center"/>
              <w:rPr>
                <w:rFonts w:hint="eastAsia"/>
                <w:color w:val="auto"/>
                <w:highlight w:val="none"/>
              </w:rPr>
            </w:pPr>
            <w:r>
              <w:rPr>
                <w:rFonts w:hint="eastAsia"/>
                <w:color w:val="auto"/>
                <w:highlight w:val="none"/>
              </w:rPr>
              <w:t>USB 接口|主/被动模式|可读可写|读写距离0~10CM</w:t>
            </w:r>
          </w:p>
        </w:tc>
        <w:tc>
          <w:tcPr>
            <w:tcW w:w="41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91FB4E0">
            <w:pPr>
              <w:jc w:val="center"/>
              <w:rPr>
                <w:rFonts w:hint="eastAsia"/>
                <w:color w:val="auto"/>
                <w:highlight w:val="none"/>
              </w:rPr>
            </w:pPr>
            <w:r>
              <w:rPr>
                <w:rFonts w:hint="eastAsia"/>
                <w:color w:val="auto"/>
                <w:highlight w:val="none"/>
              </w:rPr>
              <w:t>1</w:t>
            </w:r>
          </w:p>
        </w:tc>
        <w:tc>
          <w:tcPr>
            <w:tcW w:w="886" w:type="pct"/>
            <w:tcBorders>
              <w:top w:val="single" w:color="auto" w:sz="4" w:space="0"/>
              <w:left w:val="single" w:color="000000" w:sz="4" w:space="0"/>
              <w:bottom w:val="single" w:color="000000" w:sz="4" w:space="0"/>
              <w:right w:val="single" w:color="000000" w:sz="4" w:space="0"/>
            </w:tcBorders>
            <w:shd w:val="clear" w:color="auto" w:fill="auto"/>
            <w:vAlign w:val="center"/>
          </w:tcPr>
          <w:p w14:paraId="0240A165">
            <w:pPr>
              <w:jc w:val="center"/>
              <w:rPr>
                <w:rFonts w:hint="eastAsia"/>
                <w:color w:val="auto"/>
                <w:highlight w:val="none"/>
              </w:rPr>
            </w:pPr>
            <w:r>
              <w:rPr>
                <w:rFonts w:hint="eastAsia"/>
                <w:color w:val="auto"/>
                <w:highlight w:val="none"/>
              </w:rPr>
              <w:t>用来读取手环的设备编号</w:t>
            </w:r>
          </w:p>
        </w:tc>
        <w:tc>
          <w:tcPr>
            <w:tcW w:w="1373" w:type="pct"/>
            <w:tcBorders>
              <w:top w:val="single" w:color="auto" w:sz="4" w:space="0"/>
              <w:left w:val="single" w:color="000000" w:sz="4" w:space="0"/>
              <w:bottom w:val="single" w:color="000000" w:sz="4" w:space="0"/>
              <w:right w:val="single" w:color="000000" w:sz="4" w:space="0"/>
            </w:tcBorders>
            <w:shd w:val="clear" w:color="auto" w:fill="auto"/>
            <w:vAlign w:val="center"/>
          </w:tcPr>
          <w:p w14:paraId="6BABD62F">
            <w:pPr>
              <w:jc w:val="center"/>
              <w:rPr>
                <w:rFonts w:hint="eastAsia"/>
                <w:color w:val="auto"/>
                <w:highlight w:val="none"/>
              </w:rPr>
            </w:pPr>
            <w:r>
              <w:rPr>
                <w:rFonts w:hint="eastAsia"/>
                <w:color w:val="auto"/>
                <w:highlight w:val="none"/>
              </w:rPr>
              <w:t>放置在急诊室的分诊台</w:t>
            </w:r>
          </w:p>
        </w:tc>
      </w:tr>
      <w:tr w14:paraId="3525979E">
        <w:tblPrEx>
          <w:tblCellMar>
            <w:top w:w="0" w:type="dxa"/>
            <w:left w:w="108" w:type="dxa"/>
            <w:bottom w:w="0" w:type="dxa"/>
            <w:right w:w="108" w:type="dxa"/>
          </w:tblCellMar>
        </w:tblPrEx>
        <w:trPr>
          <w:trHeight w:val="758"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6CB26">
            <w:pPr>
              <w:jc w:val="center"/>
              <w:rPr>
                <w:rFonts w:hint="eastAsia"/>
                <w:color w:val="auto"/>
                <w:highlight w:val="none"/>
              </w:rPr>
            </w:pPr>
            <w:r>
              <w:rPr>
                <w:rFonts w:hint="eastAsia"/>
                <w:color w:val="auto"/>
                <w:highlight w:val="none"/>
              </w:rPr>
              <w:t>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86CB">
            <w:pPr>
              <w:jc w:val="center"/>
              <w:rPr>
                <w:rFonts w:hint="eastAsia"/>
                <w:color w:val="auto"/>
                <w:highlight w:val="none"/>
              </w:rPr>
            </w:pPr>
            <w:r>
              <w:rPr>
                <w:rFonts w:hint="eastAsia"/>
                <w:color w:val="auto"/>
                <w:highlight w:val="none"/>
              </w:rPr>
              <w:t>超高频 RFID 读写器一体机</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42B5">
            <w:pPr>
              <w:jc w:val="center"/>
              <w:rPr>
                <w:rFonts w:hint="eastAsia"/>
                <w:color w:val="auto"/>
                <w:highlight w:val="none"/>
              </w:rPr>
            </w:pPr>
            <w:r>
              <w:rPr>
                <w:rFonts w:hint="eastAsia"/>
                <w:color w:val="auto"/>
                <w:highlight w:val="none"/>
              </w:rPr>
              <w:t>读卡距离：读距≥0-25米；天线增益： 9DBI 圆极化；通讯接口： WG26/34、RS232/485、TCP/IP 网口；工作模式：主动|应答|触发</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35750">
            <w:pPr>
              <w:jc w:val="center"/>
              <w:rPr>
                <w:rFonts w:hint="eastAsia"/>
                <w:color w:val="auto"/>
                <w:highlight w:val="none"/>
              </w:rPr>
            </w:pPr>
            <w:r>
              <w:rPr>
                <w:rFonts w:hint="eastAsia"/>
                <w:color w:val="auto"/>
                <w:highlight w:val="none"/>
              </w:rPr>
              <w:t>8</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6C67">
            <w:pPr>
              <w:jc w:val="center"/>
              <w:rPr>
                <w:rFonts w:hint="eastAsia"/>
                <w:color w:val="auto"/>
                <w:highlight w:val="none"/>
              </w:rPr>
            </w:pPr>
            <w:r>
              <w:rPr>
                <w:rFonts w:hint="eastAsia"/>
                <w:color w:val="auto"/>
                <w:highlight w:val="none"/>
              </w:rPr>
              <w:t>用来扫描患者手环经过指定位置的时间</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E871">
            <w:pPr>
              <w:jc w:val="center"/>
              <w:rPr>
                <w:rFonts w:hint="eastAsia"/>
                <w:color w:val="auto"/>
                <w:highlight w:val="none"/>
              </w:rPr>
            </w:pPr>
            <w:r>
              <w:rPr>
                <w:rFonts w:hint="eastAsia"/>
                <w:color w:val="auto"/>
                <w:highlight w:val="none"/>
              </w:rPr>
              <w:t>部署位置有：1.分诊台，2.留抢室大门口，3.CT室门口，4.CTA室门口，5.导管室门口，6.核磁共振门口，7.手术室门口,8.重症监护室门口</w:t>
            </w:r>
          </w:p>
        </w:tc>
      </w:tr>
      <w:tr w14:paraId="0DAFD734">
        <w:tblPrEx>
          <w:shd w:val="clear" w:color="auto" w:fill="auto"/>
          <w:tblCellMar>
            <w:top w:w="0" w:type="dxa"/>
            <w:left w:w="108" w:type="dxa"/>
            <w:bottom w:w="0" w:type="dxa"/>
            <w:right w:w="108" w:type="dxa"/>
          </w:tblCellMar>
        </w:tblPrEx>
        <w:trPr>
          <w:trHeight w:val="153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90962">
            <w:pPr>
              <w:jc w:val="center"/>
              <w:rPr>
                <w:rFonts w:hint="eastAsia"/>
                <w:color w:val="auto"/>
                <w:highlight w:val="none"/>
              </w:rPr>
            </w:pPr>
            <w:r>
              <w:rPr>
                <w:rFonts w:hint="eastAsia"/>
                <w:color w:val="auto"/>
                <w:highlight w:val="none"/>
              </w:rPr>
              <w:t>3</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5A4D">
            <w:pPr>
              <w:jc w:val="center"/>
              <w:rPr>
                <w:rFonts w:hint="eastAsia"/>
                <w:color w:val="auto"/>
                <w:highlight w:val="none"/>
              </w:rPr>
            </w:pPr>
            <w:r>
              <w:rPr>
                <w:rFonts w:hint="eastAsia"/>
                <w:color w:val="auto"/>
                <w:highlight w:val="none"/>
              </w:rPr>
              <w:t>RFID 抗人体硅胶无源手环腕带</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5820">
            <w:pPr>
              <w:jc w:val="center"/>
              <w:rPr>
                <w:rFonts w:hint="eastAsia"/>
                <w:color w:val="auto"/>
                <w:highlight w:val="none"/>
              </w:rPr>
            </w:pPr>
            <w:r>
              <w:rPr>
                <w:rFonts w:hint="eastAsia"/>
                <w:color w:val="auto"/>
                <w:highlight w:val="none"/>
              </w:rPr>
              <w:t>R6芯片；抗人体干扰；防水防潮防摔；硅胶+内置陶瓷标签</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48D8">
            <w:pPr>
              <w:jc w:val="center"/>
              <w:rPr>
                <w:rFonts w:hint="eastAsia"/>
                <w:color w:val="auto"/>
                <w:highlight w:val="none"/>
              </w:rPr>
            </w:pPr>
            <w:r>
              <w:rPr>
                <w:rFonts w:hint="eastAsia"/>
                <w:color w:val="auto"/>
                <w:highlight w:val="none"/>
              </w:rPr>
              <w:t>40</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76DED">
            <w:pPr>
              <w:jc w:val="center"/>
              <w:rPr>
                <w:rFonts w:hint="eastAsia"/>
                <w:color w:val="auto"/>
                <w:highlight w:val="none"/>
              </w:rPr>
            </w:pPr>
            <w:r>
              <w:rPr>
                <w:rFonts w:hint="eastAsia"/>
                <w:color w:val="auto"/>
                <w:highlight w:val="none"/>
              </w:rPr>
              <w:t>用来给患者佩戴，以便指定位置通过的“超高频 RFID 读写器一体机”设备的读取</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4429C">
            <w:pPr>
              <w:jc w:val="center"/>
              <w:rPr>
                <w:rFonts w:hint="eastAsia"/>
                <w:color w:val="auto"/>
                <w:highlight w:val="none"/>
              </w:rPr>
            </w:pPr>
            <w:r>
              <w:rPr>
                <w:rFonts w:hint="eastAsia"/>
                <w:color w:val="auto"/>
                <w:highlight w:val="none"/>
              </w:rPr>
              <w:t>一个中心配置10个手环，循环使用</w:t>
            </w:r>
          </w:p>
        </w:tc>
      </w:tr>
      <w:tr w14:paraId="6E362D1A">
        <w:tblPrEx>
          <w:tblCellMar>
            <w:top w:w="0" w:type="dxa"/>
            <w:left w:w="108" w:type="dxa"/>
            <w:bottom w:w="0" w:type="dxa"/>
            <w:right w:w="108" w:type="dxa"/>
          </w:tblCellMar>
        </w:tblPrEx>
        <w:trPr>
          <w:trHeight w:val="1275"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070FA">
            <w:pPr>
              <w:jc w:val="center"/>
              <w:rPr>
                <w:rFonts w:hint="eastAsia"/>
                <w:color w:val="auto"/>
                <w:highlight w:val="none"/>
              </w:rPr>
            </w:pPr>
            <w:r>
              <w:rPr>
                <w:rFonts w:hint="eastAsia"/>
                <w:color w:val="auto"/>
                <w:highlight w:val="none"/>
              </w:rPr>
              <w:t>4</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FE48">
            <w:pPr>
              <w:jc w:val="center"/>
              <w:rPr>
                <w:rFonts w:hint="eastAsia"/>
                <w:color w:val="auto"/>
                <w:highlight w:val="none"/>
              </w:rPr>
            </w:pPr>
            <w:r>
              <w:rPr>
                <w:rFonts w:hint="eastAsia"/>
                <w:color w:val="auto"/>
                <w:highlight w:val="none"/>
              </w:rPr>
              <w:t>中心移动处理单元WiFi版（带保护套）</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7C1C">
            <w:pPr>
              <w:jc w:val="center"/>
              <w:rPr>
                <w:rFonts w:hint="eastAsia"/>
                <w:color w:val="auto"/>
                <w:highlight w:val="none"/>
              </w:rPr>
            </w:pPr>
            <w:r>
              <w:rPr>
                <w:rFonts w:hint="eastAsia"/>
                <w:color w:val="auto"/>
                <w:highlight w:val="none"/>
              </w:rPr>
              <w:t>内存容量：≥6GB；存储容量： ≥128GB；网络连接：WiFi版本；定位类型：北斗/GPS</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A829">
            <w:pPr>
              <w:jc w:val="center"/>
              <w:rPr>
                <w:rFonts w:hint="eastAsia"/>
                <w:color w:val="auto"/>
                <w:highlight w:val="none"/>
              </w:rPr>
            </w:pPr>
            <w:r>
              <w:rPr>
                <w:rFonts w:hint="eastAsia"/>
                <w:color w:val="auto"/>
                <w:highlight w:val="none"/>
              </w:rPr>
              <w:t>12</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5037D">
            <w:pPr>
              <w:jc w:val="center"/>
              <w:rPr>
                <w:rFonts w:hint="eastAsia"/>
                <w:color w:val="auto"/>
                <w:highlight w:val="none"/>
              </w:rPr>
            </w:pPr>
            <w:r>
              <w:rPr>
                <w:rFonts w:hint="eastAsia"/>
                <w:color w:val="auto"/>
                <w:highlight w:val="none"/>
              </w:rPr>
              <w:t>四大中心APP安装的平板</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8483">
            <w:pPr>
              <w:jc w:val="center"/>
              <w:rPr>
                <w:rFonts w:hint="eastAsia"/>
                <w:color w:val="auto"/>
                <w:highlight w:val="none"/>
              </w:rPr>
            </w:pPr>
            <w:r>
              <w:rPr>
                <w:rFonts w:hint="eastAsia"/>
                <w:color w:val="auto"/>
                <w:highlight w:val="none"/>
              </w:rPr>
              <w:t>分配规则：急诊科2台，CTA室1台，导管室1台，其他每个中心各2台</w:t>
            </w:r>
          </w:p>
        </w:tc>
      </w:tr>
      <w:tr w14:paraId="6675E9CD">
        <w:tblPrEx>
          <w:tblCellMar>
            <w:top w:w="0" w:type="dxa"/>
            <w:left w:w="108" w:type="dxa"/>
            <w:bottom w:w="0" w:type="dxa"/>
            <w:right w:w="108" w:type="dxa"/>
          </w:tblCellMar>
        </w:tblPrEx>
        <w:trPr>
          <w:trHeight w:val="9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CD957">
            <w:pPr>
              <w:jc w:val="center"/>
              <w:rPr>
                <w:rFonts w:hint="eastAsia"/>
                <w:color w:val="auto"/>
                <w:highlight w:val="none"/>
              </w:rPr>
            </w:pPr>
            <w:r>
              <w:rPr>
                <w:rFonts w:hint="eastAsia"/>
                <w:color w:val="auto"/>
                <w:highlight w:val="none"/>
              </w:rPr>
              <w:t>5</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73CD">
            <w:pPr>
              <w:jc w:val="center"/>
              <w:rPr>
                <w:rFonts w:hint="eastAsia"/>
                <w:color w:val="auto"/>
                <w:highlight w:val="none"/>
              </w:rPr>
            </w:pPr>
            <w:r>
              <w:rPr>
                <w:rFonts w:hint="eastAsia"/>
                <w:color w:val="auto"/>
                <w:highlight w:val="none"/>
              </w:rPr>
              <w:t>中心大屏</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C6EC7">
            <w:pPr>
              <w:jc w:val="center"/>
              <w:rPr>
                <w:rFonts w:hint="eastAsia"/>
                <w:color w:val="auto"/>
                <w:highlight w:val="none"/>
              </w:rPr>
            </w:pPr>
            <w:r>
              <w:rPr>
                <w:rFonts w:hint="eastAsia"/>
                <w:color w:val="auto"/>
                <w:highlight w:val="none"/>
              </w:rPr>
              <w:t>屏幕尺寸：≥</w:t>
            </w:r>
            <w:r>
              <w:rPr>
                <w:rFonts w:hint="eastAsia"/>
                <w:color w:val="auto"/>
                <w:highlight w:val="none"/>
                <w:lang w:val="en-US" w:eastAsia="zh-CN"/>
              </w:rPr>
              <w:t>6</w:t>
            </w:r>
            <w:r>
              <w:rPr>
                <w:rFonts w:hint="eastAsia"/>
                <w:color w:val="auto"/>
                <w:highlight w:val="none"/>
              </w:rPr>
              <w:t>5 英寸；内存容量：≥</w:t>
            </w:r>
            <w:r>
              <w:rPr>
                <w:rFonts w:hint="eastAsia"/>
                <w:color w:val="auto"/>
                <w:highlight w:val="none"/>
                <w:lang w:val="en-US" w:eastAsia="zh-CN"/>
              </w:rPr>
              <w:t>4</w:t>
            </w:r>
            <w:r>
              <w:rPr>
                <w:rFonts w:hint="eastAsia"/>
                <w:color w:val="auto"/>
                <w:highlight w:val="none"/>
              </w:rPr>
              <w:t>GB；存储容量：≥8G；</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F088">
            <w:pPr>
              <w:jc w:val="center"/>
              <w:rPr>
                <w:rFonts w:hint="eastAsia"/>
                <w:color w:val="auto"/>
                <w:highlight w:val="none"/>
              </w:rPr>
            </w:pPr>
            <w:r>
              <w:rPr>
                <w:rFonts w:hint="eastAsia"/>
                <w:color w:val="auto"/>
                <w:highlight w:val="none"/>
              </w:rPr>
              <w:t>2</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D5935">
            <w:pPr>
              <w:jc w:val="center"/>
              <w:rPr>
                <w:rFonts w:hint="eastAsia"/>
                <w:color w:val="auto"/>
                <w:highlight w:val="none"/>
              </w:rPr>
            </w:pPr>
            <w:r>
              <w:rPr>
                <w:rFonts w:hint="eastAsia"/>
                <w:color w:val="auto"/>
                <w:highlight w:val="none"/>
              </w:rPr>
              <w:t>用来展示各大中心统计概览</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CE76A">
            <w:pPr>
              <w:jc w:val="center"/>
              <w:rPr>
                <w:rFonts w:hint="eastAsia"/>
                <w:color w:val="auto"/>
                <w:highlight w:val="none"/>
              </w:rPr>
            </w:pPr>
            <w:r>
              <w:rPr>
                <w:rFonts w:hint="eastAsia"/>
                <w:color w:val="auto"/>
                <w:highlight w:val="none"/>
              </w:rPr>
              <w:t>创伤中心大屏可以放在急诊科办公室</w:t>
            </w:r>
          </w:p>
          <w:p w14:paraId="0C7C53DD">
            <w:pPr>
              <w:jc w:val="center"/>
              <w:rPr>
                <w:rFonts w:hint="eastAsia"/>
                <w:color w:val="auto"/>
                <w:highlight w:val="none"/>
              </w:rPr>
            </w:pPr>
            <w:r>
              <w:rPr>
                <w:rFonts w:hint="eastAsia"/>
                <w:color w:val="auto"/>
                <w:highlight w:val="none"/>
              </w:rPr>
              <w:t>卒中中心大屏可以放在神内科办公室</w:t>
            </w:r>
          </w:p>
          <w:p w14:paraId="6AD93912">
            <w:pPr>
              <w:jc w:val="center"/>
              <w:rPr>
                <w:rFonts w:hint="eastAsia"/>
                <w:color w:val="auto"/>
                <w:highlight w:val="none"/>
              </w:rPr>
            </w:pPr>
          </w:p>
        </w:tc>
      </w:tr>
      <w:tr w14:paraId="2CF21B22">
        <w:tblPrEx>
          <w:tblCellMar>
            <w:top w:w="0" w:type="dxa"/>
            <w:left w:w="108" w:type="dxa"/>
            <w:bottom w:w="0" w:type="dxa"/>
            <w:right w:w="108" w:type="dxa"/>
          </w:tblCellMar>
        </w:tblPrEx>
        <w:trPr>
          <w:trHeight w:val="9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1A69">
            <w:pPr>
              <w:jc w:val="center"/>
              <w:rPr>
                <w:rFonts w:hint="eastAsia"/>
                <w:color w:val="auto"/>
                <w:highlight w:val="none"/>
              </w:rPr>
            </w:pPr>
            <w:r>
              <w:rPr>
                <w:rFonts w:hint="eastAsia"/>
                <w:color w:val="auto"/>
                <w:highlight w:val="none"/>
              </w:rPr>
              <w:t>6</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D6C4A">
            <w:pPr>
              <w:jc w:val="center"/>
              <w:rPr>
                <w:rFonts w:hint="eastAsia"/>
                <w:color w:val="auto"/>
                <w:highlight w:val="none"/>
              </w:rPr>
            </w:pPr>
            <w:r>
              <w:rPr>
                <w:rFonts w:hint="eastAsia"/>
                <w:color w:val="auto"/>
                <w:highlight w:val="none"/>
              </w:rPr>
              <w:t>RFID安装费</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1E43">
            <w:pPr>
              <w:jc w:val="center"/>
              <w:rPr>
                <w:rFonts w:hint="eastAsia"/>
                <w:color w:val="auto"/>
                <w:highlight w:val="none"/>
              </w:rPr>
            </w:pPr>
            <w:r>
              <w:rPr>
                <w:rFonts w:hint="eastAsia"/>
                <w:color w:val="auto"/>
                <w:highlight w:val="none"/>
              </w:rPr>
              <w:t>含耗材电源线等辅材</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5117">
            <w:pPr>
              <w:jc w:val="center"/>
              <w:rPr>
                <w:rFonts w:hint="eastAsia"/>
                <w:color w:val="auto"/>
                <w:highlight w:val="none"/>
              </w:rPr>
            </w:pPr>
            <w:r>
              <w:rPr>
                <w:rFonts w:hint="eastAsia"/>
                <w:color w:val="auto"/>
                <w:highlight w:val="none"/>
              </w:rPr>
              <w:t>1</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67DC">
            <w:pPr>
              <w:jc w:val="center"/>
              <w:rPr>
                <w:rFonts w:hint="eastAsia"/>
                <w:color w:val="auto"/>
                <w:highlight w:val="none"/>
              </w:rPr>
            </w:pPr>
            <w:r>
              <w:rPr>
                <w:rFonts w:hint="eastAsia"/>
                <w:color w:val="auto"/>
                <w:highlight w:val="none"/>
              </w:rPr>
              <w:t>“超高频 RFID 读写器一体机”设备的安装，布线</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B929">
            <w:pPr>
              <w:jc w:val="center"/>
              <w:rPr>
                <w:rFonts w:hint="eastAsia"/>
                <w:color w:val="auto"/>
                <w:highlight w:val="none"/>
              </w:rPr>
            </w:pPr>
          </w:p>
        </w:tc>
      </w:tr>
      <w:tr w14:paraId="6CC98B28">
        <w:tblPrEx>
          <w:tblCellMar>
            <w:top w:w="0" w:type="dxa"/>
            <w:left w:w="108" w:type="dxa"/>
            <w:bottom w:w="0" w:type="dxa"/>
            <w:right w:w="108" w:type="dxa"/>
          </w:tblCellMar>
        </w:tblPrEx>
        <w:trPr>
          <w:trHeight w:val="2193"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98D8">
            <w:pPr>
              <w:jc w:val="center"/>
              <w:rPr>
                <w:rFonts w:hint="eastAsia"/>
                <w:color w:val="auto"/>
                <w:highlight w:val="none"/>
              </w:rPr>
            </w:pPr>
            <w:r>
              <w:rPr>
                <w:rFonts w:hint="eastAsia"/>
                <w:color w:val="auto"/>
                <w:highlight w:val="none"/>
              </w:rPr>
              <w:t>7</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5907">
            <w:pPr>
              <w:jc w:val="center"/>
              <w:rPr>
                <w:rFonts w:hint="eastAsia"/>
                <w:color w:val="auto"/>
                <w:highlight w:val="none"/>
              </w:rPr>
            </w:pPr>
            <w:r>
              <w:rPr>
                <w:rFonts w:hint="eastAsia"/>
                <w:color w:val="auto"/>
                <w:highlight w:val="none"/>
              </w:rPr>
              <w:t>电视安装费</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5B10">
            <w:pPr>
              <w:jc w:val="center"/>
              <w:rPr>
                <w:rFonts w:hint="eastAsia"/>
                <w:color w:val="auto"/>
                <w:highlight w:val="none"/>
              </w:rPr>
            </w:pPr>
            <w:r>
              <w:rPr>
                <w:rFonts w:hint="eastAsia"/>
                <w:color w:val="auto"/>
                <w:highlight w:val="none"/>
              </w:rPr>
              <w:t>找当地的师傅上门安装，含支架</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67092">
            <w:pPr>
              <w:jc w:val="center"/>
              <w:rPr>
                <w:rFonts w:hint="eastAsia"/>
                <w:color w:val="auto"/>
                <w:highlight w:val="none"/>
              </w:rPr>
            </w:pPr>
            <w:r>
              <w:rPr>
                <w:rFonts w:hint="eastAsia"/>
                <w:color w:val="auto"/>
                <w:highlight w:val="none"/>
              </w:rPr>
              <w:t>2</w:t>
            </w:r>
          </w:p>
        </w:tc>
        <w:tc>
          <w:tcPr>
            <w:tcW w:w="8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EB028">
            <w:pPr>
              <w:jc w:val="center"/>
              <w:rPr>
                <w:rFonts w:hint="eastAsia"/>
                <w:color w:val="auto"/>
                <w:highlight w:val="none"/>
              </w:rPr>
            </w:pPr>
            <w:r>
              <w:rPr>
                <w:rFonts w:hint="eastAsia"/>
                <w:color w:val="auto"/>
                <w:highlight w:val="none"/>
              </w:rPr>
              <w:t>“中心大屏”在指定位置的安装</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D791B">
            <w:pPr>
              <w:jc w:val="center"/>
              <w:rPr>
                <w:rFonts w:hint="eastAsia"/>
                <w:color w:val="auto"/>
                <w:highlight w:val="none"/>
              </w:rPr>
            </w:pPr>
          </w:p>
        </w:tc>
      </w:tr>
    </w:tbl>
    <w:p w14:paraId="7410527C">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val="en-US" w:eastAsia="zh-CN"/>
        </w:rPr>
        <w:t>2)</w:t>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设备清单</w:t>
      </w:r>
    </w:p>
    <w:p w14:paraId="4F553A6E">
      <w:pPr>
        <w:pageBreakBefore w:val="0"/>
        <w:kinsoku/>
        <w:wordWrap/>
        <w:topLinePunct w:val="0"/>
        <w:bidi w:val="0"/>
        <w:snapToGrid/>
        <w:spacing w:line="360" w:lineRule="auto"/>
        <w:ind w:firstLine="440" w:firstLineChars="200"/>
        <w:jc w:val="center"/>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 xml:space="preserve">表5- </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SEQ 表5- \* ARABIC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5</w:t>
      </w:r>
      <w:r>
        <w:rPr>
          <w:rFonts w:hint="eastAsia" w:ascii="宋体" w:hAnsi="宋体" w:eastAsia="宋体" w:cs="宋体"/>
          <w:color w:val="auto"/>
          <w:sz w:val="22"/>
          <w:szCs w:val="22"/>
          <w:highlight w:val="none"/>
          <w:shd w:val="clear" w:color="auto" w:fill="auto"/>
        </w:rPr>
        <w:fldChar w:fldCharType="end"/>
      </w:r>
      <w:r>
        <w:rPr>
          <w:rFonts w:hint="eastAsia" w:ascii="宋体" w:hAnsi="宋体" w:cs="宋体"/>
          <w:color w:val="auto"/>
          <w:sz w:val="22"/>
          <w:szCs w:val="22"/>
          <w:highlight w:val="none"/>
          <w:shd w:val="clear" w:color="auto" w:fill="auto"/>
          <w:lang w:eastAsia="zh-CN"/>
        </w:rPr>
        <w:t>中医医院</w:t>
      </w:r>
      <w:r>
        <w:rPr>
          <w:rFonts w:hint="eastAsia" w:ascii="宋体" w:hAnsi="宋体" w:eastAsia="宋体" w:cs="宋体"/>
          <w:color w:val="auto"/>
          <w:sz w:val="22"/>
          <w:szCs w:val="22"/>
          <w:highlight w:val="none"/>
          <w:shd w:val="clear" w:color="auto" w:fill="auto"/>
        </w:rPr>
        <w:t>设备清单</w:t>
      </w:r>
    </w:p>
    <w:tbl>
      <w:tblPr>
        <w:tblStyle w:val="43"/>
        <w:tblW w:w="5000" w:type="pct"/>
        <w:jc w:val="center"/>
        <w:shd w:val="clear" w:color="auto" w:fill="auto"/>
        <w:tblLayout w:type="autofit"/>
        <w:tblCellMar>
          <w:top w:w="0" w:type="dxa"/>
          <w:left w:w="108" w:type="dxa"/>
          <w:bottom w:w="0" w:type="dxa"/>
          <w:right w:w="108" w:type="dxa"/>
        </w:tblCellMar>
      </w:tblPr>
      <w:tblGrid>
        <w:gridCol w:w="881"/>
        <w:gridCol w:w="1202"/>
        <w:gridCol w:w="2501"/>
        <w:gridCol w:w="816"/>
        <w:gridCol w:w="1748"/>
        <w:gridCol w:w="2706"/>
      </w:tblGrid>
      <w:tr w14:paraId="3C271A6B">
        <w:tblPrEx>
          <w:shd w:val="clear" w:color="auto" w:fill="auto"/>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1EC5FA">
            <w:pPr>
              <w:jc w:val="center"/>
              <w:rPr>
                <w:rFonts w:hint="eastAsia"/>
                <w:color w:val="auto"/>
                <w:highlight w:val="none"/>
              </w:rPr>
            </w:pPr>
            <w:r>
              <w:rPr>
                <w:rFonts w:hint="eastAsia"/>
                <w:color w:val="auto"/>
                <w:highlight w:val="none"/>
              </w:rPr>
              <w:t>急诊设备</w:t>
            </w:r>
          </w:p>
        </w:tc>
      </w:tr>
      <w:tr w14:paraId="43FDDC1D">
        <w:tblPrEx>
          <w:tblCellMar>
            <w:top w:w="0" w:type="dxa"/>
            <w:left w:w="108" w:type="dxa"/>
            <w:bottom w:w="0" w:type="dxa"/>
            <w:right w:w="108" w:type="dxa"/>
          </w:tblCellMar>
        </w:tblPrEx>
        <w:trPr>
          <w:trHeight w:val="270" w:hRule="atLeast"/>
          <w:jc w:val="center"/>
        </w:trPr>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605BF626">
            <w:pPr>
              <w:jc w:val="center"/>
              <w:rPr>
                <w:rFonts w:hint="eastAsia"/>
                <w:color w:val="auto"/>
                <w:highlight w:val="none"/>
              </w:rPr>
            </w:pPr>
            <w:r>
              <w:rPr>
                <w:rFonts w:hint="eastAsia"/>
                <w:color w:val="auto"/>
                <w:highlight w:val="none"/>
              </w:rPr>
              <w:t>序号</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14:paraId="1E580BC5">
            <w:pPr>
              <w:jc w:val="center"/>
              <w:rPr>
                <w:rFonts w:hint="eastAsia"/>
                <w:color w:val="auto"/>
                <w:highlight w:val="none"/>
              </w:rPr>
            </w:pPr>
            <w:r>
              <w:rPr>
                <w:rFonts w:hint="eastAsia"/>
                <w:color w:val="auto"/>
                <w:highlight w:val="none"/>
              </w:rPr>
              <w:t>产品</w:t>
            </w:r>
          </w:p>
          <w:p w14:paraId="2BFC135C">
            <w:pPr>
              <w:jc w:val="center"/>
              <w:rPr>
                <w:rFonts w:hint="eastAsia"/>
                <w:color w:val="auto"/>
                <w:highlight w:val="none"/>
              </w:rPr>
            </w:pPr>
            <w:r>
              <w:rPr>
                <w:rFonts w:hint="eastAsia"/>
                <w:color w:val="auto"/>
                <w:highlight w:val="none"/>
              </w:rPr>
              <w:t>名称</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6E2B54FE">
            <w:pPr>
              <w:jc w:val="center"/>
              <w:rPr>
                <w:rFonts w:hint="eastAsia"/>
                <w:color w:val="auto"/>
                <w:highlight w:val="none"/>
              </w:rPr>
            </w:pPr>
            <w:r>
              <w:rPr>
                <w:rFonts w:hint="eastAsia"/>
                <w:color w:val="auto"/>
                <w:highlight w:val="none"/>
              </w:rPr>
              <w:t>产品规格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6F07AA1B">
            <w:pPr>
              <w:jc w:val="center"/>
              <w:rPr>
                <w:rFonts w:hint="eastAsia"/>
                <w:color w:val="auto"/>
                <w:highlight w:val="none"/>
              </w:rPr>
            </w:pPr>
            <w:r>
              <w:rPr>
                <w:rFonts w:hint="eastAsia"/>
                <w:color w:val="auto"/>
                <w:highlight w:val="none"/>
              </w:rPr>
              <w:t>数量</w:t>
            </w:r>
          </w:p>
        </w:tc>
        <w:tc>
          <w:tcPr>
            <w:tcW w:w="887" w:type="pct"/>
            <w:tcBorders>
              <w:top w:val="single" w:color="auto" w:sz="4" w:space="0"/>
              <w:left w:val="single" w:color="auto" w:sz="4" w:space="0"/>
              <w:bottom w:val="single" w:color="auto" w:sz="4" w:space="0"/>
              <w:right w:val="single" w:color="auto" w:sz="4" w:space="0"/>
            </w:tcBorders>
            <w:shd w:val="clear" w:color="auto" w:fill="auto"/>
            <w:vAlign w:val="center"/>
          </w:tcPr>
          <w:p w14:paraId="7BBD3559">
            <w:pPr>
              <w:jc w:val="center"/>
              <w:rPr>
                <w:rFonts w:hint="eastAsia"/>
                <w:color w:val="auto"/>
                <w:highlight w:val="none"/>
              </w:rPr>
            </w:pPr>
            <w:r>
              <w:rPr>
                <w:rFonts w:hint="eastAsia"/>
                <w:color w:val="auto"/>
                <w:highlight w:val="none"/>
              </w:rPr>
              <w:t>用途</w:t>
            </w:r>
          </w:p>
        </w:tc>
        <w:tc>
          <w:tcPr>
            <w:tcW w:w="1371" w:type="pct"/>
            <w:tcBorders>
              <w:top w:val="single" w:color="auto" w:sz="4" w:space="0"/>
              <w:left w:val="single" w:color="auto" w:sz="4" w:space="0"/>
              <w:bottom w:val="single" w:color="auto" w:sz="4" w:space="0"/>
              <w:right w:val="single" w:color="auto" w:sz="4" w:space="0"/>
            </w:tcBorders>
            <w:shd w:val="clear" w:color="auto" w:fill="auto"/>
            <w:vAlign w:val="center"/>
          </w:tcPr>
          <w:p w14:paraId="7E3D96BD">
            <w:pPr>
              <w:jc w:val="center"/>
              <w:rPr>
                <w:rFonts w:hint="eastAsia"/>
                <w:color w:val="auto"/>
                <w:highlight w:val="none"/>
              </w:rPr>
            </w:pPr>
            <w:r>
              <w:rPr>
                <w:rFonts w:hint="eastAsia"/>
                <w:color w:val="auto"/>
                <w:highlight w:val="none"/>
              </w:rPr>
              <w:t>部署位置</w:t>
            </w:r>
          </w:p>
        </w:tc>
      </w:tr>
      <w:tr w14:paraId="3BBA53DB">
        <w:tblPrEx>
          <w:tblCellMar>
            <w:top w:w="0" w:type="dxa"/>
            <w:left w:w="108" w:type="dxa"/>
            <w:bottom w:w="0" w:type="dxa"/>
            <w:right w:w="108" w:type="dxa"/>
          </w:tblCellMar>
        </w:tblPrEx>
        <w:trPr>
          <w:trHeight w:val="1275" w:hRule="atLeast"/>
          <w:jc w:val="center"/>
        </w:trPr>
        <w:tc>
          <w:tcPr>
            <w:tcW w:w="447" w:type="pct"/>
            <w:tcBorders>
              <w:top w:val="single" w:color="auto" w:sz="4" w:space="0"/>
              <w:left w:val="single" w:color="000000" w:sz="4" w:space="0"/>
              <w:bottom w:val="single" w:color="000000" w:sz="4" w:space="0"/>
              <w:right w:val="single" w:color="000000" w:sz="4" w:space="0"/>
            </w:tcBorders>
            <w:shd w:val="clear" w:color="auto" w:fill="auto"/>
            <w:vAlign w:val="center"/>
          </w:tcPr>
          <w:p w14:paraId="36C8C135">
            <w:pPr>
              <w:jc w:val="center"/>
              <w:rPr>
                <w:rFonts w:hint="eastAsia"/>
                <w:color w:val="auto"/>
                <w:highlight w:val="none"/>
              </w:rPr>
            </w:pPr>
            <w:r>
              <w:rPr>
                <w:rFonts w:hint="eastAsia"/>
                <w:color w:val="auto"/>
                <w:highlight w:val="none"/>
              </w:rPr>
              <w:t>1</w:t>
            </w:r>
          </w:p>
        </w:tc>
        <w:tc>
          <w:tcPr>
            <w:tcW w:w="610" w:type="pct"/>
            <w:tcBorders>
              <w:top w:val="single" w:color="auto" w:sz="4" w:space="0"/>
              <w:left w:val="single" w:color="000000" w:sz="4" w:space="0"/>
              <w:bottom w:val="single" w:color="000000" w:sz="4" w:space="0"/>
              <w:right w:val="single" w:color="000000" w:sz="4" w:space="0"/>
            </w:tcBorders>
            <w:shd w:val="clear" w:color="auto" w:fill="auto"/>
            <w:vAlign w:val="center"/>
          </w:tcPr>
          <w:p w14:paraId="5BA35250">
            <w:pPr>
              <w:jc w:val="center"/>
              <w:rPr>
                <w:rFonts w:hint="eastAsia"/>
                <w:color w:val="auto"/>
                <w:highlight w:val="none"/>
              </w:rPr>
            </w:pPr>
            <w:r>
              <w:rPr>
                <w:rFonts w:hint="eastAsia"/>
                <w:color w:val="auto"/>
                <w:highlight w:val="none"/>
              </w:rPr>
              <w:t>急诊大屏</w:t>
            </w:r>
          </w:p>
        </w:tc>
        <w:tc>
          <w:tcPr>
            <w:tcW w:w="1269" w:type="pct"/>
            <w:tcBorders>
              <w:top w:val="single" w:color="auto" w:sz="4" w:space="0"/>
              <w:left w:val="single" w:color="000000" w:sz="4" w:space="0"/>
              <w:bottom w:val="single" w:color="000000" w:sz="4" w:space="0"/>
              <w:right w:val="single" w:color="000000" w:sz="4" w:space="0"/>
            </w:tcBorders>
            <w:shd w:val="clear" w:color="auto" w:fill="auto"/>
            <w:vAlign w:val="center"/>
          </w:tcPr>
          <w:p w14:paraId="43D6C9EB">
            <w:pPr>
              <w:jc w:val="center"/>
              <w:rPr>
                <w:rFonts w:hint="eastAsia"/>
                <w:color w:val="auto"/>
                <w:highlight w:val="none"/>
              </w:rPr>
            </w:pPr>
            <w:r>
              <w:rPr>
                <w:rFonts w:hint="eastAsia"/>
                <w:color w:val="auto"/>
                <w:highlight w:val="none"/>
              </w:rPr>
              <w:t>屏幕尺寸：≥</w:t>
            </w:r>
            <w:r>
              <w:rPr>
                <w:rFonts w:hint="eastAsia"/>
                <w:color w:val="auto"/>
                <w:highlight w:val="none"/>
                <w:lang w:val="en-US" w:eastAsia="zh-CN"/>
              </w:rPr>
              <w:t>6</w:t>
            </w:r>
            <w:r>
              <w:rPr>
                <w:rFonts w:hint="eastAsia"/>
                <w:color w:val="auto"/>
                <w:highlight w:val="none"/>
              </w:rPr>
              <w:t>5 英寸；内存容量：≥</w:t>
            </w:r>
            <w:r>
              <w:rPr>
                <w:rFonts w:hint="eastAsia"/>
                <w:color w:val="auto"/>
                <w:highlight w:val="none"/>
                <w:lang w:val="en-US" w:eastAsia="zh-CN"/>
              </w:rPr>
              <w:t>4</w:t>
            </w:r>
            <w:r>
              <w:rPr>
                <w:rFonts w:hint="eastAsia"/>
                <w:color w:val="auto"/>
                <w:highlight w:val="none"/>
              </w:rPr>
              <w:t>GB；存储容量：≥8G；</w:t>
            </w:r>
          </w:p>
        </w:tc>
        <w:tc>
          <w:tcPr>
            <w:tcW w:w="41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083076E">
            <w:pPr>
              <w:jc w:val="center"/>
              <w:rPr>
                <w:rFonts w:hint="eastAsia"/>
                <w:color w:val="auto"/>
                <w:highlight w:val="none"/>
              </w:rPr>
            </w:pPr>
            <w:r>
              <w:rPr>
                <w:rFonts w:hint="eastAsia"/>
                <w:color w:val="auto"/>
                <w:highlight w:val="none"/>
              </w:rPr>
              <w:t>1</w:t>
            </w:r>
          </w:p>
        </w:tc>
        <w:tc>
          <w:tcPr>
            <w:tcW w:w="887" w:type="pct"/>
            <w:tcBorders>
              <w:top w:val="single" w:color="auto" w:sz="4" w:space="0"/>
              <w:left w:val="single" w:color="000000" w:sz="4" w:space="0"/>
              <w:bottom w:val="single" w:color="000000" w:sz="4" w:space="0"/>
              <w:right w:val="single" w:color="000000" w:sz="4" w:space="0"/>
            </w:tcBorders>
            <w:shd w:val="clear" w:color="auto" w:fill="auto"/>
            <w:vAlign w:val="center"/>
          </w:tcPr>
          <w:p w14:paraId="21D70BC0">
            <w:pPr>
              <w:jc w:val="center"/>
              <w:rPr>
                <w:rFonts w:hint="eastAsia"/>
                <w:color w:val="auto"/>
                <w:highlight w:val="none"/>
              </w:rPr>
            </w:pPr>
            <w:r>
              <w:rPr>
                <w:rFonts w:hint="eastAsia"/>
                <w:color w:val="auto"/>
                <w:highlight w:val="none"/>
              </w:rPr>
              <w:t>用来展示急诊系统统计概览</w:t>
            </w:r>
          </w:p>
        </w:tc>
        <w:tc>
          <w:tcPr>
            <w:tcW w:w="1371" w:type="pct"/>
            <w:tcBorders>
              <w:top w:val="single" w:color="auto" w:sz="4" w:space="0"/>
              <w:left w:val="single" w:color="000000" w:sz="4" w:space="0"/>
              <w:bottom w:val="single" w:color="000000" w:sz="4" w:space="0"/>
              <w:right w:val="single" w:color="000000" w:sz="4" w:space="0"/>
            </w:tcBorders>
            <w:shd w:val="clear" w:color="auto" w:fill="auto"/>
            <w:vAlign w:val="center"/>
          </w:tcPr>
          <w:p w14:paraId="78072BD6">
            <w:pPr>
              <w:jc w:val="center"/>
              <w:rPr>
                <w:rFonts w:hint="eastAsia"/>
                <w:color w:val="auto"/>
                <w:highlight w:val="none"/>
              </w:rPr>
            </w:pPr>
            <w:r>
              <w:rPr>
                <w:rFonts w:hint="eastAsia"/>
                <w:color w:val="auto"/>
                <w:highlight w:val="none"/>
              </w:rPr>
              <w:t>放在急诊科的墙上，分诊台后面</w:t>
            </w:r>
          </w:p>
        </w:tc>
      </w:tr>
      <w:tr w14:paraId="30932D5A">
        <w:tblPrEx>
          <w:tblCellMar>
            <w:top w:w="0" w:type="dxa"/>
            <w:left w:w="108" w:type="dxa"/>
            <w:bottom w:w="0" w:type="dxa"/>
            <w:right w:w="108" w:type="dxa"/>
          </w:tblCellMar>
        </w:tblPrEx>
        <w:trPr>
          <w:trHeight w:val="1275"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C7544">
            <w:pPr>
              <w:jc w:val="center"/>
              <w:rPr>
                <w:rFonts w:hint="eastAsia"/>
                <w:color w:val="auto"/>
                <w:highlight w:val="none"/>
              </w:rPr>
            </w:pPr>
            <w:r>
              <w:rPr>
                <w:rFonts w:hint="eastAsia"/>
                <w:color w:val="auto"/>
                <w:highlight w:val="none"/>
              </w:rPr>
              <w:t>2</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E3DF0">
            <w:pPr>
              <w:jc w:val="center"/>
              <w:rPr>
                <w:rFonts w:hint="eastAsia"/>
                <w:color w:val="auto"/>
                <w:highlight w:val="none"/>
              </w:rPr>
            </w:pPr>
            <w:r>
              <w:rPr>
                <w:rFonts w:hint="eastAsia"/>
                <w:color w:val="auto"/>
                <w:highlight w:val="none"/>
              </w:rPr>
              <w:t>急诊移动护理PDA</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FFBF">
            <w:pPr>
              <w:jc w:val="center"/>
              <w:rPr>
                <w:rFonts w:hint="eastAsia"/>
                <w:color w:val="auto"/>
                <w:highlight w:val="none"/>
              </w:rPr>
            </w:pPr>
            <w:r>
              <w:rPr>
                <w:rFonts w:hint="eastAsia"/>
                <w:color w:val="auto"/>
                <w:highlight w:val="none"/>
              </w:rPr>
              <w:t>屏幕尺寸：5.7 英寸；内存容量：4GB；存储容量：64G；系统： WiFi/蓝牙/4G全网通；</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8F362">
            <w:pPr>
              <w:jc w:val="center"/>
              <w:rPr>
                <w:rFonts w:hint="eastAsia"/>
                <w:color w:val="auto"/>
                <w:highlight w:val="none"/>
              </w:rPr>
            </w:pPr>
            <w:r>
              <w:rPr>
                <w:rFonts w:hint="eastAsia"/>
                <w:color w:val="auto"/>
                <w:highlight w:val="none"/>
              </w:rPr>
              <w:t>5</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D420">
            <w:pPr>
              <w:jc w:val="center"/>
              <w:rPr>
                <w:rFonts w:hint="eastAsia"/>
                <w:color w:val="auto"/>
                <w:highlight w:val="none"/>
              </w:rPr>
            </w:pPr>
            <w:r>
              <w:rPr>
                <w:rFonts w:hint="eastAsia"/>
                <w:color w:val="auto"/>
                <w:highlight w:val="none"/>
              </w:rPr>
              <w:t>护士移动护理，扫描等工具</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BF9E9">
            <w:pPr>
              <w:jc w:val="center"/>
              <w:rPr>
                <w:rFonts w:hint="eastAsia"/>
                <w:color w:val="auto"/>
                <w:highlight w:val="none"/>
              </w:rPr>
            </w:pPr>
            <w:r>
              <w:rPr>
                <w:rFonts w:hint="eastAsia"/>
                <w:color w:val="auto"/>
                <w:highlight w:val="none"/>
              </w:rPr>
              <w:t>用在移动护理上的，配合的硬件</w:t>
            </w:r>
          </w:p>
        </w:tc>
      </w:tr>
      <w:tr w14:paraId="57B9F795">
        <w:tblPrEx>
          <w:tblCellMar>
            <w:top w:w="0" w:type="dxa"/>
            <w:left w:w="108" w:type="dxa"/>
            <w:bottom w:w="0" w:type="dxa"/>
            <w:right w:w="108" w:type="dxa"/>
          </w:tblCellMar>
        </w:tblPrEx>
        <w:trPr>
          <w:trHeight w:val="315"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43CC81F9">
            <w:pPr>
              <w:jc w:val="center"/>
              <w:rPr>
                <w:rFonts w:hint="eastAsia"/>
                <w:color w:val="auto"/>
                <w:highlight w:val="none"/>
              </w:rPr>
            </w:pPr>
            <w:r>
              <w:rPr>
                <w:rFonts w:hint="eastAsia"/>
                <w:color w:val="auto"/>
                <w:highlight w:val="none"/>
              </w:rPr>
              <w:t>五大中心设备</w:t>
            </w:r>
          </w:p>
        </w:tc>
      </w:tr>
      <w:tr w14:paraId="2F4E2E8B">
        <w:tblPrEx>
          <w:tblCellMar>
            <w:top w:w="0" w:type="dxa"/>
            <w:left w:w="108" w:type="dxa"/>
            <w:bottom w:w="0" w:type="dxa"/>
            <w:right w:w="108" w:type="dxa"/>
          </w:tblCellMar>
        </w:tblPrEx>
        <w:trPr>
          <w:trHeight w:val="270" w:hRule="atLeast"/>
          <w:jc w:val="center"/>
        </w:trPr>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58E759C0">
            <w:pPr>
              <w:jc w:val="center"/>
              <w:rPr>
                <w:rFonts w:hint="eastAsia"/>
                <w:color w:val="auto"/>
                <w:highlight w:val="none"/>
              </w:rPr>
            </w:pPr>
            <w:r>
              <w:rPr>
                <w:rFonts w:hint="eastAsia"/>
                <w:color w:val="auto"/>
                <w:highlight w:val="none"/>
              </w:rPr>
              <w:t>序号</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14:paraId="4CD15233">
            <w:pPr>
              <w:jc w:val="center"/>
              <w:rPr>
                <w:rFonts w:hint="eastAsia"/>
                <w:color w:val="auto"/>
                <w:highlight w:val="none"/>
              </w:rPr>
            </w:pPr>
            <w:r>
              <w:rPr>
                <w:rFonts w:hint="eastAsia"/>
                <w:color w:val="auto"/>
                <w:highlight w:val="none"/>
              </w:rPr>
              <w:t>产品</w:t>
            </w:r>
          </w:p>
          <w:p w14:paraId="77B99A0C">
            <w:pPr>
              <w:jc w:val="center"/>
              <w:rPr>
                <w:rFonts w:hint="eastAsia"/>
                <w:color w:val="auto"/>
                <w:highlight w:val="none"/>
              </w:rPr>
            </w:pPr>
            <w:r>
              <w:rPr>
                <w:rFonts w:hint="eastAsia"/>
                <w:color w:val="auto"/>
                <w:highlight w:val="none"/>
              </w:rPr>
              <w:t>名称</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6469BAE4">
            <w:pPr>
              <w:jc w:val="center"/>
              <w:rPr>
                <w:rFonts w:hint="eastAsia"/>
                <w:color w:val="auto"/>
                <w:highlight w:val="none"/>
              </w:rPr>
            </w:pPr>
            <w:r>
              <w:rPr>
                <w:rFonts w:hint="eastAsia"/>
                <w:color w:val="auto"/>
                <w:highlight w:val="none"/>
              </w:rPr>
              <w:t>产品规格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C05DEA6">
            <w:pPr>
              <w:jc w:val="center"/>
              <w:rPr>
                <w:rFonts w:hint="eastAsia"/>
                <w:color w:val="auto"/>
                <w:highlight w:val="none"/>
              </w:rPr>
            </w:pPr>
            <w:r>
              <w:rPr>
                <w:rFonts w:hint="eastAsia"/>
                <w:color w:val="auto"/>
                <w:highlight w:val="none"/>
              </w:rPr>
              <w:t>数量</w:t>
            </w:r>
          </w:p>
        </w:tc>
        <w:tc>
          <w:tcPr>
            <w:tcW w:w="887" w:type="pct"/>
            <w:tcBorders>
              <w:top w:val="single" w:color="auto" w:sz="4" w:space="0"/>
              <w:left w:val="single" w:color="auto" w:sz="4" w:space="0"/>
              <w:bottom w:val="single" w:color="auto" w:sz="4" w:space="0"/>
              <w:right w:val="single" w:color="auto" w:sz="4" w:space="0"/>
            </w:tcBorders>
            <w:shd w:val="clear" w:color="auto" w:fill="auto"/>
            <w:vAlign w:val="center"/>
          </w:tcPr>
          <w:p w14:paraId="42717D04">
            <w:pPr>
              <w:jc w:val="center"/>
              <w:rPr>
                <w:rFonts w:hint="eastAsia"/>
                <w:color w:val="auto"/>
                <w:highlight w:val="none"/>
              </w:rPr>
            </w:pPr>
            <w:r>
              <w:rPr>
                <w:rFonts w:hint="eastAsia"/>
                <w:color w:val="auto"/>
                <w:highlight w:val="none"/>
              </w:rPr>
              <w:t>用途</w:t>
            </w:r>
          </w:p>
        </w:tc>
        <w:tc>
          <w:tcPr>
            <w:tcW w:w="1371" w:type="pct"/>
            <w:tcBorders>
              <w:top w:val="single" w:color="auto" w:sz="4" w:space="0"/>
              <w:left w:val="single" w:color="auto" w:sz="4" w:space="0"/>
              <w:bottom w:val="single" w:color="auto" w:sz="4" w:space="0"/>
              <w:right w:val="single" w:color="auto" w:sz="4" w:space="0"/>
            </w:tcBorders>
            <w:shd w:val="clear" w:color="auto" w:fill="auto"/>
            <w:vAlign w:val="center"/>
          </w:tcPr>
          <w:p w14:paraId="04FE09BF">
            <w:pPr>
              <w:jc w:val="center"/>
              <w:rPr>
                <w:rFonts w:hint="eastAsia"/>
                <w:color w:val="auto"/>
                <w:highlight w:val="none"/>
              </w:rPr>
            </w:pPr>
            <w:r>
              <w:rPr>
                <w:rFonts w:hint="eastAsia"/>
                <w:color w:val="auto"/>
                <w:highlight w:val="none"/>
              </w:rPr>
              <w:t>部署位置</w:t>
            </w:r>
          </w:p>
        </w:tc>
      </w:tr>
      <w:tr w14:paraId="19AEF27A">
        <w:tblPrEx>
          <w:tblCellMar>
            <w:top w:w="0" w:type="dxa"/>
            <w:left w:w="108" w:type="dxa"/>
            <w:bottom w:w="0" w:type="dxa"/>
            <w:right w:w="108" w:type="dxa"/>
          </w:tblCellMar>
        </w:tblPrEx>
        <w:trPr>
          <w:trHeight w:val="765" w:hRule="atLeast"/>
          <w:jc w:val="center"/>
        </w:trPr>
        <w:tc>
          <w:tcPr>
            <w:tcW w:w="447" w:type="pct"/>
            <w:tcBorders>
              <w:top w:val="single" w:color="auto" w:sz="4" w:space="0"/>
              <w:left w:val="single" w:color="000000" w:sz="4" w:space="0"/>
              <w:bottom w:val="single" w:color="000000" w:sz="4" w:space="0"/>
              <w:right w:val="single" w:color="000000" w:sz="4" w:space="0"/>
            </w:tcBorders>
            <w:shd w:val="clear" w:color="auto" w:fill="auto"/>
            <w:vAlign w:val="center"/>
          </w:tcPr>
          <w:p w14:paraId="557CA85C">
            <w:pPr>
              <w:jc w:val="center"/>
              <w:rPr>
                <w:rFonts w:hint="eastAsia"/>
                <w:color w:val="auto"/>
                <w:highlight w:val="none"/>
              </w:rPr>
            </w:pPr>
            <w:r>
              <w:rPr>
                <w:rFonts w:hint="eastAsia"/>
                <w:color w:val="auto"/>
                <w:highlight w:val="none"/>
              </w:rPr>
              <w:t>1</w:t>
            </w:r>
          </w:p>
        </w:tc>
        <w:tc>
          <w:tcPr>
            <w:tcW w:w="610" w:type="pct"/>
            <w:tcBorders>
              <w:top w:val="single" w:color="auto" w:sz="4" w:space="0"/>
              <w:left w:val="single" w:color="000000" w:sz="4" w:space="0"/>
              <w:bottom w:val="single" w:color="000000" w:sz="4" w:space="0"/>
              <w:right w:val="single" w:color="000000" w:sz="4" w:space="0"/>
            </w:tcBorders>
            <w:shd w:val="clear" w:color="auto" w:fill="auto"/>
            <w:vAlign w:val="center"/>
          </w:tcPr>
          <w:p w14:paraId="68480A94">
            <w:pPr>
              <w:jc w:val="center"/>
              <w:rPr>
                <w:rFonts w:hint="eastAsia"/>
                <w:color w:val="auto"/>
                <w:highlight w:val="none"/>
              </w:rPr>
            </w:pPr>
            <w:r>
              <w:rPr>
                <w:rFonts w:hint="eastAsia"/>
                <w:color w:val="auto"/>
                <w:highlight w:val="none"/>
              </w:rPr>
              <w:t>分诊台读写设备</w:t>
            </w:r>
          </w:p>
        </w:tc>
        <w:tc>
          <w:tcPr>
            <w:tcW w:w="1269" w:type="pct"/>
            <w:tcBorders>
              <w:top w:val="single" w:color="auto" w:sz="4" w:space="0"/>
              <w:left w:val="single" w:color="000000" w:sz="4" w:space="0"/>
              <w:bottom w:val="single" w:color="000000" w:sz="4" w:space="0"/>
              <w:right w:val="single" w:color="000000" w:sz="4" w:space="0"/>
            </w:tcBorders>
            <w:shd w:val="clear" w:color="auto" w:fill="auto"/>
            <w:vAlign w:val="center"/>
          </w:tcPr>
          <w:p w14:paraId="22A91A59">
            <w:pPr>
              <w:jc w:val="center"/>
              <w:rPr>
                <w:rFonts w:hint="eastAsia"/>
                <w:color w:val="auto"/>
                <w:highlight w:val="none"/>
              </w:rPr>
            </w:pPr>
            <w:r>
              <w:rPr>
                <w:rFonts w:hint="eastAsia"/>
                <w:color w:val="auto"/>
                <w:highlight w:val="none"/>
              </w:rPr>
              <w:t>USB 接口|主/被动模式|可读可写|读写距离0~10CM</w:t>
            </w:r>
          </w:p>
        </w:tc>
        <w:tc>
          <w:tcPr>
            <w:tcW w:w="41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CDB9C29">
            <w:pPr>
              <w:jc w:val="center"/>
              <w:rPr>
                <w:rFonts w:hint="eastAsia"/>
                <w:color w:val="auto"/>
                <w:highlight w:val="none"/>
              </w:rPr>
            </w:pPr>
            <w:r>
              <w:rPr>
                <w:rFonts w:hint="eastAsia"/>
                <w:color w:val="auto"/>
                <w:highlight w:val="none"/>
              </w:rPr>
              <w:t>1</w:t>
            </w:r>
          </w:p>
        </w:tc>
        <w:tc>
          <w:tcPr>
            <w:tcW w:w="887" w:type="pct"/>
            <w:tcBorders>
              <w:top w:val="single" w:color="auto" w:sz="4" w:space="0"/>
              <w:left w:val="single" w:color="000000" w:sz="4" w:space="0"/>
              <w:bottom w:val="single" w:color="000000" w:sz="4" w:space="0"/>
              <w:right w:val="single" w:color="000000" w:sz="4" w:space="0"/>
            </w:tcBorders>
            <w:shd w:val="clear" w:color="auto" w:fill="auto"/>
            <w:vAlign w:val="center"/>
          </w:tcPr>
          <w:p w14:paraId="245DE970">
            <w:pPr>
              <w:jc w:val="center"/>
              <w:rPr>
                <w:rFonts w:hint="eastAsia"/>
                <w:color w:val="auto"/>
                <w:highlight w:val="none"/>
              </w:rPr>
            </w:pPr>
            <w:r>
              <w:rPr>
                <w:rFonts w:hint="eastAsia"/>
                <w:color w:val="auto"/>
                <w:highlight w:val="none"/>
              </w:rPr>
              <w:t>用来读取手环的设备编号</w:t>
            </w:r>
          </w:p>
        </w:tc>
        <w:tc>
          <w:tcPr>
            <w:tcW w:w="1371" w:type="pct"/>
            <w:tcBorders>
              <w:top w:val="single" w:color="auto" w:sz="4" w:space="0"/>
              <w:left w:val="single" w:color="000000" w:sz="4" w:space="0"/>
              <w:bottom w:val="single" w:color="000000" w:sz="4" w:space="0"/>
              <w:right w:val="single" w:color="000000" w:sz="4" w:space="0"/>
            </w:tcBorders>
            <w:shd w:val="clear" w:color="auto" w:fill="auto"/>
            <w:vAlign w:val="center"/>
          </w:tcPr>
          <w:p w14:paraId="5978FBBB">
            <w:pPr>
              <w:jc w:val="center"/>
              <w:rPr>
                <w:rFonts w:hint="eastAsia"/>
                <w:color w:val="auto"/>
                <w:highlight w:val="none"/>
              </w:rPr>
            </w:pPr>
            <w:r>
              <w:rPr>
                <w:rFonts w:hint="eastAsia"/>
                <w:color w:val="auto"/>
                <w:highlight w:val="none"/>
              </w:rPr>
              <w:t>放置在急诊室的分诊台</w:t>
            </w:r>
          </w:p>
        </w:tc>
      </w:tr>
      <w:tr w14:paraId="63993A56">
        <w:tblPrEx>
          <w:tblCellMar>
            <w:top w:w="0" w:type="dxa"/>
            <w:left w:w="108" w:type="dxa"/>
            <w:bottom w:w="0" w:type="dxa"/>
            <w:right w:w="108" w:type="dxa"/>
          </w:tblCellMar>
        </w:tblPrEx>
        <w:trPr>
          <w:trHeight w:val="1785"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DDB09">
            <w:pPr>
              <w:jc w:val="center"/>
              <w:rPr>
                <w:rFonts w:hint="eastAsia"/>
                <w:color w:val="auto"/>
                <w:highlight w:val="none"/>
              </w:rPr>
            </w:pPr>
            <w:r>
              <w:rPr>
                <w:rFonts w:hint="eastAsia"/>
                <w:color w:val="auto"/>
                <w:highlight w:val="none"/>
              </w:rPr>
              <w:t>2</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06BDF">
            <w:pPr>
              <w:jc w:val="center"/>
              <w:rPr>
                <w:rFonts w:hint="eastAsia"/>
                <w:color w:val="auto"/>
                <w:highlight w:val="none"/>
              </w:rPr>
            </w:pPr>
            <w:r>
              <w:rPr>
                <w:rFonts w:hint="eastAsia"/>
                <w:color w:val="auto"/>
                <w:highlight w:val="none"/>
              </w:rPr>
              <w:t>超高频 RFID 读写器一体机</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01216">
            <w:pPr>
              <w:jc w:val="center"/>
              <w:rPr>
                <w:rFonts w:hint="eastAsia"/>
                <w:color w:val="auto"/>
                <w:highlight w:val="none"/>
              </w:rPr>
            </w:pPr>
            <w:r>
              <w:rPr>
                <w:rFonts w:hint="eastAsia"/>
                <w:color w:val="auto"/>
                <w:highlight w:val="none"/>
              </w:rPr>
              <w:t>读卡距离：读距≥0-25米；天线增益： 9DBI 圆极化；通讯接口： WG26/34、RS232/485、TCP/IP 网口；工作模式：主动|应答|触发</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4F52">
            <w:pPr>
              <w:jc w:val="center"/>
              <w:rPr>
                <w:rFonts w:hint="eastAsia"/>
                <w:color w:val="auto"/>
                <w:highlight w:val="none"/>
              </w:rPr>
            </w:pPr>
            <w:r>
              <w:rPr>
                <w:rFonts w:hint="eastAsia"/>
                <w:color w:val="auto"/>
                <w:highlight w:val="none"/>
              </w:rPr>
              <w:t>8</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8BCB">
            <w:pPr>
              <w:jc w:val="center"/>
              <w:rPr>
                <w:rFonts w:hint="eastAsia"/>
                <w:color w:val="auto"/>
                <w:highlight w:val="none"/>
              </w:rPr>
            </w:pPr>
            <w:r>
              <w:rPr>
                <w:rFonts w:hint="eastAsia"/>
                <w:color w:val="auto"/>
                <w:highlight w:val="none"/>
              </w:rPr>
              <w:t>用来扫描患者手环经过指定位置的时间</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9FAC4">
            <w:pPr>
              <w:jc w:val="center"/>
              <w:rPr>
                <w:rFonts w:hint="eastAsia"/>
                <w:color w:val="auto"/>
                <w:highlight w:val="none"/>
              </w:rPr>
            </w:pPr>
            <w:r>
              <w:rPr>
                <w:rFonts w:hint="eastAsia"/>
                <w:color w:val="auto"/>
                <w:highlight w:val="none"/>
              </w:rPr>
              <w:t>部署位置有：1.分诊台，2.留抢室大门口，3.CT室门口，4.CTA室门口，5.导管室门口，6.核磁共振门口，7.手术室门口,8.重症监护室门口</w:t>
            </w:r>
          </w:p>
        </w:tc>
      </w:tr>
      <w:tr w14:paraId="37E1938F">
        <w:tblPrEx>
          <w:tblCellMar>
            <w:top w:w="0" w:type="dxa"/>
            <w:left w:w="108" w:type="dxa"/>
            <w:bottom w:w="0" w:type="dxa"/>
            <w:right w:w="108" w:type="dxa"/>
          </w:tblCellMar>
        </w:tblPrEx>
        <w:trPr>
          <w:trHeight w:val="153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44E75">
            <w:pPr>
              <w:jc w:val="center"/>
              <w:rPr>
                <w:rFonts w:hint="eastAsia"/>
                <w:color w:val="auto"/>
                <w:highlight w:val="none"/>
              </w:rPr>
            </w:pPr>
            <w:r>
              <w:rPr>
                <w:rFonts w:hint="eastAsia"/>
                <w:color w:val="auto"/>
                <w:highlight w:val="none"/>
              </w:rPr>
              <w:t>3</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BF7E7">
            <w:pPr>
              <w:jc w:val="center"/>
              <w:rPr>
                <w:rFonts w:hint="eastAsia"/>
                <w:color w:val="auto"/>
                <w:highlight w:val="none"/>
              </w:rPr>
            </w:pPr>
            <w:r>
              <w:rPr>
                <w:rFonts w:hint="eastAsia"/>
                <w:color w:val="auto"/>
                <w:highlight w:val="none"/>
              </w:rPr>
              <w:t>RFID 抗人体硅胶无源手环腕带</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AD940">
            <w:pPr>
              <w:jc w:val="center"/>
              <w:rPr>
                <w:rFonts w:hint="eastAsia"/>
                <w:color w:val="auto"/>
                <w:highlight w:val="none"/>
              </w:rPr>
            </w:pPr>
            <w:r>
              <w:rPr>
                <w:rFonts w:hint="eastAsia"/>
                <w:color w:val="auto"/>
                <w:highlight w:val="none"/>
              </w:rPr>
              <w:t>R6芯片；抗人体干扰；防水防潮防摔；硅胶+内置陶瓷标签</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D847">
            <w:pPr>
              <w:jc w:val="center"/>
              <w:rPr>
                <w:rFonts w:hint="eastAsia"/>
                <w:color w:val="auto"/>
                <w:highlight w:val="none"/>
              </w:rPr>
            </w:pPr>
            <w:r>
              <w:rPr>
                <w:rFonts w:hint="eastAsia"/>
                <w:color w:val="auto"/>
                <w:highlight w:val="none"/>
              </w:rPr>
              <w:t>40</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4B32">
            <w:pPr>
              <w:jc w:val="center"/>
              <w:rPr>
                <w:rFonts w:hint="eastAsia"/>
                <w:color w:val="auto"/>
                <w:highlight w:val="none"/>
              </w:rPr>
            </w:pPr>
            <w:r>
              <w:rPr>
                <w:rFonts w:hint="eastAsia"/>
                <w:color w:val="auto"/>
                <w:highlight w:val="none"/>
              </w:rPr>
              <w:t>用来给患者佩戴，以便指定位置通过的“超高频 RFID 读写器一体机”设备的读取</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795E">
            <w:pPr>
              <w:jc w:val="center"/>
              <w:rPr>
                <w:rFonts w:hint="eastAsia"/>
                <w:color w:val="auto"/>
                <w:highlight w:val="none"/>
              </w:rPr>
            </w:pPr>
            <w:r>
              <w:rPr>
                <w:rFonts w:hint="eastAsia"/>
                <w:color w:val="auto"/>
                <w:highlight w:val="none"/>
              </w:rPr>
              <w:t>一个中心配置10个手环，循环使用</w:t>
            </w:r>
          </w:p>
        </w:tc>
      </w:tr>
      <w:tr w14:paraId="58F74836">
        <w:tblPrEx>
          <w:tblCellMar>
            <w:top w:w="0" w:type="dxa"/>
            <w:left w:w="108" w:type="dxa"/>
            <w:bottom w:w="0" w:type="dxa"/>
            <w:right w:w="108" w:type="dxa"/>
          </w:tblCellMar>
        </w:tblPrEx>
        <w:trPr>
          <w:trHeight w:val="1275"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80421">
            <w:pPr>
              <w:jc w:val="center"/>
              <w:rPr>
                <w:rFonts w:hint="eastAsia"/>
                <w:color w:val="auto"/>
                <w:highlight w:val="none"/>
              </w:rPr>
            </w:pPr>
            <w:r>
              <w:rPr>
                <w:rFonts w:hint="eastAsia"/>
                <w:color w:val="auto"/>
                <w:highlight w:val="none"/>
              </w:rPr>
              <w:t>4</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08B1">
            <w:pPr>
              <w:jc w:val="center"/>
              <w:rPr>
                <w:rFonts w:hint="eastAsia"/>
                <w:color w:val="auto"/>
                <w:highlight w:val="none"/>
              </w:rPr>
            </w:pPr>
            <w:r>
              <w:rPr>
                <w:rFonts w:hint="eastAsia"/>
                <w:color w:val="auto"/>
                <w:highlight w:val="none"/>
              </w:rPr>
              <w:t>中心移动处理单元WiFi版（带保护套）</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5CB44">
            <w:pPr>
              <w:jc w:val="center"/>
              <w:rPr>
                <w:rFonts w:hint="eastAsia"/>
                <w:color w:val="auto"/>
                <w:highlight w:val="none"/>
              </w:rPr>
            </w:pPr>
            <w:r>
              <w:rPr>
                <w:rFonts w:hint="eastAsia"/>
                <w:color w:val="auto"/>
                <w:highlight w:val="none"/>
              </w:rPr>
              <w:t>内存容量： ≥6GB；存储容量： ≥128GB；网络连接：WiFi版本；定位类型：北斗/GPS</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49C54">
            <w:pPr>
              <w:jc w:val="center"/>
              <w:rPr>
                <w:rFonts w:hint="eastAsia"/>
                <w:color w:val="auto"/>
                <w:highlight w:val="none"/>
              </w:rPr>
            </w:pPr>
            <w:r>
              <w:rPr>
                <w:rFonts w:hint="eastAsia"/>
                <w:color w:val="auto"/>
                <w:highlight w:val="none"/>
              </w:rPr>
              <w:t>12</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F496A">
            <w:pPr>
              <w:jc w:val="center"/>
              <w:rPr>
                <w:rFonts w:hint="eastAsia"/>
                <w:color w:val="auto"/>
                <w:highlight w:val="none"/>
              </w:rPr>
            </w:pPr>
            <w:r>
              <w:rPr>
                <w:rFonts w:hint="eastAsia"/>
                <w:color w:val="auto"/>
                <w:highlight w:val="none"/>
              </w:rPr>
              <w:t>四大中心APP安装的平板</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5398D">
            <w:pPr>
              <w:jc w:val="center"/>
              <w:rPr>
                <w:rFonts w:hint="eastAsia"/>
                <w:color w:val="auto"/>
                <w:highlight w:val="none"/>
              </w:rPr>
            </w:pPr>
            <w:r>
              <w:rPr>
                <w:rFonts w:hint="eastAsia"/>
                <w:color w:val="auto"/>
                <w:highlight w:val="none"/>
              </w:rPr>
              <w:t>分配规则：急诊科2台，CTA室1台，导管室1台，其他每个中心各2台</w:t>
            </w:r>
          </w:p>
        </w:tc>
      </w:tr>
      <w:tr w14:paraId="0076F6A4">
        <w:tblPrEx>
          <w:tblCellMar>
            <w:top w:w="0" w:type="dxa"/>
            <w:left w:w="108" w:type="dxa"/>
            <w:bottom w:w="0" w:type="dxa"/>
            <w:right w:w="108" w:type="dxa"/>
          </w:tblCellMar>
        </w:tblPrEx>
        <w:trPr>
          <w:trHeight w:val="2295"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1B5D7">
            <w:pPr>
              <w:jc w:val="center"/>
              <w:rPr>
                <w:rFonts w:hint="eastAsia"/>
                <w:color w:val="auto"/>
                <w:highlight w:val="none"/>
              </w:rPr>
            </w:pPr>
            <w:r>
              <w:rPr>
                <w:rFonts w:hint="eastAsia"/>
                <w:color w:val="auto"/>
                <w:highlight w:val="none"/>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1946E">
            <w:pPr>
              <w:jc w:val="center"/>
              <w:rPr>
                <w:rFonts w:hint="eastAsia"/>
                <w:color w:val="auto"/>
                <w:highlight w:val="none"/>
              </w:rPr>
            </w:pPr>
            <w:r>
              <w:rPr>
                <w:rFonts w:hint="eastAsia"/>
                <w:color w:val="auto"/>
                <w:highlight w:val="none"/>
              </w:rPr>
              <w:t>中心大屏</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77C4">
            <w:pPr>
              <w:jc w:val="center"/>
              <w:rPr>
                <w:rFonts w:hint="eastAsia"/>
                <w:color w:val="auto"/>
                <w:highlight w:val="none"/>
              </w:rPr>
            </w:pPr>
            <w:r>
              <w:rPr>
                <w:rFonts w:hint="eastAsia"/>
                <w:color w:val="auto"/>
                <w:highlight w:val="none"/>
              </w:rPr>
              <w:t>屏幕尺寸：≥</w:t>
            </w:r>
            <w:r>
              <w:rPr>
                <w:rFonts w:hint="eastAsia"/>
                <w:color w:val="auto"/>
                <w:highlight w:val="none"/>
                <w:lang w:val="en-US" w:eastAsia="zh-CN"/>
              </w:rPr>
              <w:t>6</w:t>
            </w:r>
            <w:r>
              <w:rPr>
                <w:rFonts w:hint="eastAsia"/>
                <w:color w:val="auto"/>
                <w:highlight w:val="none"/>
              </w:rPr>
              <w:t>5 英寸；内存容量：≥</w:t>
            </w:r>
            <w:r>
              <w:rPr>
                <w:rFonts w:hint="eastAsia"/>
                <w:color w:val="auto"/>
                <w:highlight w:val="none"/>
                <w:lang w:val="en-US" w:eastAsia="zh-CN"/>
              </w:rPr>
              <w:t>4</w:t>
            </w:r>
            <w:r>
              <w:rPr>
                <w:rFonts w:hint="eastAsia"/>
                <w:color w:val="auto"/>
                <w:highlight w:val="none"/>
              </w:rPr>
              <w:t>GB；存储容量：≥8G；</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D3AF">
            <w:pPr>
              <w:jc w:val="center"/>
              <w:rPr>
                <w:rFonts w:hint="eastAsia"/>
                <w:color w:val="auto"/>
                <w:highlight w:val="none"/>
              </w:rPr>
            </w:pPr>
            <w:r>
              <w:rPr>
                <w:rFonts w:hint="eastAsia"/>
                <w:color w:val="auto"/>
                <w:highlight w:val="none"/>
              </w:rPr>
              <w:t>4</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CFEF">
            <w:pPr>
              <w:jc w:val="center"/>
              <w:rPr>
                <w:rFonts w:hint="eastAsia"/>
                <w:color w:val="auto"/>
                <w:highlight w:val="none"/>
              </w:rPr>
            </w:pPr>
            <w:r>
              <w:rPr>
                <w:rFonts w:hint="eastAsia"/>
                <w:color w:val="auto"/>
                <w:highlight w:val="none"/>
              </w:rPr>
              <w:t>用来展示各大中心统计概览</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7950">
            <w:pPr>
              <w:jc w:val="center"/>
              <w:rPr>
                <w:rFonts w:hint="eastAsia"/>
                <w:color w:val="auto"/>
                <w:highlight w:val="none"/>
              </w:rPr>
            </w:pPr>
            <w:r>
              <w:rPr>
                <w:rFonts w:hint="eastAsia"/>
                <w:color w:val="auto"/>
                <w:highlight w:val="none"/>
              </w:rPr>
              <w:t>每个中心一台概览大屏，</w:t>
            </w:r>
          </w:p>
          <w:p w14:paraId="1FBEBE4E">
            <w:pPr>
              <w:jc w:val="center"/>
              <w:rPr>
                <w:rFonts w:hint="eastAsia"/>
                <w:color w:val="auto"/>
                <w:highlight w:val="none"/>
              </w:rPr>
            </w:pPr>
            <w:r>
              <w:rPr>
                <w:rFonts w:hint="eastAsia"/>
                <w:color w:val="auto"/>
                <w:highlight w:val="none"/>
              </w:rPr>
              <w:t>创伤中心大屏可以放在急诊科办公室</w:t>
            </w:r>
          </w:p>
          <w:p w14:paraId="31593BE9">
            <w:pPr>
              <w:jc w:val="center"/>
              <w:rPr>
                <w:rFonts w:hint="eastAsia"/>
                <w:color w:val="auto"/>
                <w:highlight w:val="none"/>
              </w:rPr>
            </w:pPr>
            <w:r>
              <w:rPr>
                <w:rFonts w:hint="eastAsia"/>
                <w:color w:val="auto"/>
                <w:highlight w:val="none"/>
              </w:rPr>
              <w:t>胸痛中心大屏可以放在心内科办公室</w:t>
            </w:r>
          </w:p>
          <w:p w14:paraId="44593F0C">
            <w:pPr>
              <w:jc w:val="center"/>
              <w:rPr>
                <w:rFonts w:hint="eastAsia"/>
                <w:color w:val="auto"/>
                <w:highlight w:val="none"/>
              </w:rPr>
            </w:pPr>
            <w:r>
              <w:rPr>
                <w:rFonts w:hint="eastAsia"/>
                <w:color w:val="auto"/>
                <w:highlight w:val="none"/>
              </w:rPr>
              <w:t>卒中中心大屏可以放在神内科办公室</w:t>
            </w:r>
          </w:p>
          <w:p w14:paraId="2AA0F559">
            <w:pPr>
              <w:jc w:val="center"/>
              <w:rPr>
                <w:rFonts w:hint="eastAsia"/>
                <w:color w:val="auto"/>
                <w:highlight w:val="none"/>
              </w:rPr>
            </w:pPr>
            <w:r>
              <w:rPr>
                <w:rFonts w:hint="eastAsia"/>
                <w:color w:val="auto"/>
                <w:highlight w:val="none"/>
              </w:rPr>
              <w:t>危重孕产妇大屏可以放在妇产科办公室</w:t>
            </w:r>
          </w:p>
        </w:tc>
      </w:tr>
      <w:tr w14:paraId="239EB3DD">
        <w:tblPrEx>
          <w:tblCellMar>
            <w:top w:w="0" w:type="dxa"/>
            <w:left w:w="108" w:type="dxa"/>
            <w:bottom w:w="0" w:type="dxa"/>
            <w:right w:w="108" w:type="dxa"/>
          </w:tblCellMar>
        </w:tblPrEx>
        <w:trPr>
          <w:trHeight w:val="9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DCDF">
            <w:pPr>
              <w:jc w:val="center"/>
              <w:rPr>
                <w:rFonts w:hint="eastAsia"/>
                <w:color w:val="auto"/>
                <w:highlight w:val="none"/>
              </w:rPr>
            </w:pPr>
            <w:r>
              <w:rPr>
                <w:rFonts w:hint="eastAsia"/>
                <w:color w:val="auto"/>
                <w:highlight w:val="none"/>
              </w:rPr>
              <w:t>6</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8A7AC">
            <w:pPr>
              <w:jc w:val="center"/>
              <w:rPr>
                <w:rFonts w:hint="eastAsia"/>
                <w:color w:val="auto"/>
                <w:highlight w:val="none"/>
              </w:rPr>
            </w:pPr>
            <w:r>
              <w:rPr>
                <w:rFonts w:hint="eastAsia"/>
                <w:color w:val="auto"/>
                <w:highlight w:val="none"/>
              </w:rPr>
              <w:t>RFID安装费</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E84ED">
            <w:pPr>
              <w:jc w:val="center"/>
              <w:rPr>
                <w:rFonts w:hint="eastAsia"/>
                <w:color w:val="auto"/>
                <w:highlight w:val="none"/>
              </w:rPr>
            </w:pPr>
            <w:r>
              <w:rPr>
                <w:rFonts w:hint="eastAsia"/>
                <w:color w:val="auto"/>
                <w:highlight w:val="none"/>
              </w:rPr>
              <w:t>含耗材电源线等辅材</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D238">
            <w:pPr>
              <w:jc w:val="center"/>
              <w:rPr>
                <w:rFonts w:hint="eastAsia"/>
                <w:color w:val="auto"/>
                <w:highlight w:val="none"/>
              </w:rPr>
            </w:pPr>
            <w:r>
              <w:rPr>
                <w:rFonts w:hint="eastAsia"/>
                <w:color w:val="auto"/>
                <w:highlight w:val="none"/>
              </w:rPr>
              <w:t>1</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9F153">
            <w:pPr>
              <w:jc w:val="center"/>
              <w:rPr>
                <w:rFonts w:hint="eastAsia"/>
                <w:color w:val="auto"/>
                <w:highlight w:val="none"/>
              </w:rPr>
            </w:pPr>
            <w:r>
              <w:rPr>
                <w:rFonts w:hint="eastAsia"/>
                <w:color w:val="auto"/>
                <w:highlight w:val="none"/>
              </w:rPr>
              <w:t>“超高频 RFID 读写器一体机”设备的安装，布线</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D86F">
            <w:pPr>
              <w:jc w:val="center"/>
              <w:rPr>
                <w:rFonts w:hint="eastAsia"/>
                <w:color w:val="auto"/>
                <w:highlight w:val="none"/>
              </w:rPr>
            </w:pPr>
          </w:p>
        </w:tc>
      </w:tr>
      <w:tr w14:paraId="019E638F">
        <w:tblPrEx>
          <w:tblCellMar>
            <w:top w:w="0" w:type="dxa"/>
            <w:left w:w="108" w:type="dxa"/>
            <w:bottom w:w="0" w:type="dxa"/>
            <w:right w:w="108" w:type="dxa"/>
          </w:tblCellMar>
        </w:tblPrEx>
        <w:trPr>
          <w:trHeight w:val="510" w:hRule="atLeast"/>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F643E">
            <w:pPr>
              <w:jc w:val="center"/>
              <w:rPr>
                <w:rFonts w:hint="eastAsia"/>
                <w:color w:val="auto"/>
                <w:highlight w:val="none"/>
              </w:rPr>
            </w:pPr>
            <w:r>
              <w:rPr>
                <w:rFonts w:hint="eastAsia"/>
                <w:color w:val="auto"/>
                <w:highlight w:val="none"/>
              </w:rPr>
              <w:t>7</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9F72">
            <w:pPr>
              <w:jc w:val="center"/>
              <w:rPr>
                <w:rFonts w:hint="eastAsia"/>
                <w:color w:val="auto"/>
                <w:highlight w:val="none"/>
              </w:rPr>
            </w:pPr>
            <w:r>
              <w:rPr>
                <w:rFonts w:hint="eastAsia"/>
                <w:color w:val="auto"/>
                <w:highlight w:val="none"/>
              </w:rPr>
              <w:t>电视安装费</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7E7BD">
            <w:pPr>
              <w:jc w:val="center"/>
              <w:rPr>
                <w:rFonts w:hint="eastAsia"/>
                <w:color w:val="auto"/>
                <w:highlight w:val="none"/>
              </w:rPr>
            </w:pPr>
            <w:r>
              <w:rPr>
                <w:rFonts w:hint="eastAsia"/>
                <w:color w:val="auto"/>
                <w:highlight w:val="none"/>
              </w:rPr>
              <w:t>找当地的师傅上门安装，含支架</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E608">
            <w:pPr>
              <w:jc w:val="center"/>
              <w:rPr>
                <w:rFonts w:hint="eastAsia"/>
                <w:color w:val="auto"/>
                <w:highlight w:val="none"/>
              </w:rPr>
            </w:pPr>
            <w:r>
              <w:rPr>
                <w:rFonts w:hint="eastAsia"/>
                <w:color w:val="auto"/>
                <w:highlight w:val="none"/>
              </w:rPr>
              <w:t>4</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8E87">
            <w:pPr>
              <w:jc w:val="center"/>
              <w:rPr>
                <w:rFonts w:hint="eastAsia"/>
                <w:color w:val="auto"/>
                <w:highlight w:val="none"/>
              </w:rPr>
            </w:pPr>
            <w:r>
              <w:rPr>
                <w:rFonts w:hint="eastAsia"/>
                <w:color w:val="auto"/>
                <w:highlight w:val="none"/>
              </w:rPr>
              <w:t>“中心大屏”在指定位置的安装</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B537A">
            <w:pPr>
              <w:jc w:val="center"/>
              <w:rPr>
                <w:rFonts w:hint="eastAsia"/>
                <w:color w:val="auto"/>
                <w:highlight w:val="none"/>
              </w:rPr>
            </w:pPr>
          </w:p>
        </w:tc>
      </w:tr>
    </w:tbl>
    <w:p w14:paraId="170803A2">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p>
    <w:p w14:paraId="225F7730">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shd w:val="clear" w:color="auto" w:fill="auto"/>
        </w:rPr>
      </w:pPr>
      <w:r>
        <w:rPr>
          <w:rFonts w:hint="eastAsia" w:ascii="宋体" w:hAnsi="宋体" w:cs="宋体"/>
          <w:color w:val="auto"/>
          <w:sz w:val="22"/>
          <w:szCs w:val="22"/>
          <w:highlight w:val="none"/>
          <w:shd w:val="clear" w:color="auto" w:fill="auto"/>
          <w:lang w:val="en-US" w:eastAsia="zh-CN"/>
        </w:rPr>
        <w:t>3)</w:t>
      </w:r>
      <w:r>
        <w:rPr>
          <w:rFonts w:hint="eastAsia" w:ascii="宋体" w:hAnsi="宋体" w:eastAsia="宋体" w:cs="宋体"/>
          <w:color w:val="auto"/>
          <w:sz w:val="22"/>
          <w:szCs w:val="22"/>
          <w:highlight w:val="none"/>
          <w:shd w:val="clear" w:color="auto" w:fill="auto"/>
        </w:rPr>
        <w:t>分中心设备清单</w:t>
      </w:r>
    </w:p>
    <w:p w14:paraId="133DCFD8">
      <w:pPr>
        <w:pageBreakBefore w:val="0"/>
        <w:kinsoku/>
        <w:wordWrap/>
        <w:topLinePunct w:val="0"/>
        <w:bidi w:val="0"/>
        <w:snapToGrid/>
        <w:spacing w:line="360" w:lineRule="auto"/>
        <w:ind w:firstLine="440" w:firstLineChars="200"/>
        <w:jc w:val="center"/>
        <w:rPr>
          <w:rFonts w:hint="eastAsia"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rPr>
        <w:t xml:space="preserve">表5- </w:t>
      </w:r>
      <w:r>
        <w:rPr>
          <w:rFonts w:hint="eastAsia" w:ascii="宋体" w:hAnsi="宋体" w:eastAsia="宋体" w:cs="宋体"/>
          <w:color w:val="auto"/>
          <w:sz w:val="22"/>
          <w:szCs w:val="22"/>
          <w:highlight w:val="none"/>
          <w:shd w:val="clear" w:color="auto" w:fill="auto"/>
        </w:rPr>
        <w:fldChar w:fldCharType="begin"/>
      </w:r>
      <w:r>
        <w:rPr>
          <w:rFonts w:hint="eastAsia" w:ascii="宋体" w:hAnsi="宋体" w:eastAsia="宋体" w:cs="宋体"/>
          <w:color w:val="auto"/>
          <w:sz w:val="22"/>
          <w:szCs w:val="22"/>
          <w:highlight w:val="none"/>
          <w:shd w:val="clear" w:color="auto" w:fill="auto"/>
        </w:rPr>
        <w:instrText xml:space="preserve"> SEQ 表5- \* ARABIC </w:instrText>
      </w:r>
      <w:r>
        <w:rPr>
          <w:rFonts w:hint="eastAsia" w:ascii="宋体" w:hAnsi="宋体" w:eastAsia="宋体" w:cs="宋体"/>
          <w:color w:val="auto"/>
          <w:sz w:val="22"/>
          <w:szCs w:val="22"/>
          <w:highlight w:val="none"/>
          <w:shd w:val="clear" w:color="auto" w:fill="auto"/>
        </w:rPr>
        <w:fldChar w:fldCharType="separate"/>
      </w:r>
      <w:r>
        <w:rPr>
          <w:rFonts w:hint="eastAsia" w:ascii="宋体" w:hAnsi="宋体" w:eastAsia="宋体" w:cs="宋体"/>
          <w:color w:val="auto"/>
          <w:sz w:val="22"/>
          <w:szCs w:val="22"/>
          <w:highlight w:val="none"/>
          <w:shd w:val="clear" w:color="auto" w:fill="auto"/>
        </w:rPr>
        <w:t>4</w:t>
      </w:r>
      <w:r>
        <w:rPr>
          <w:rFonts w:hint="eastAsia" w:ascii="宋体" w:hAnsi="宋体" w:eastAsia="宋体" w:cs="宋体"/>
          <w:color w:val="auto"/>
          <w:sz w:val="22"/>
          <w:szCs w:val="22"/>
          <w:highlight w:val="none"/>
          <w:shd w:val="clear" w:color="auto" w:fill="auto"/>
        </w:rPr>
        <w:fldChar w:fldCharType="end"/>
      </w:r>
      <w:r>
        <w:rPr>
          <w:rFonts w:hint="eastAsia" w:ascii="宋体" w:hAnsi="宋体" w:eastAsia="宋体" w:cs="宋体"/>
          <w:color w:val="auto"/>
          <w:sz w:val="22"/>
          <w:szCs w:val="22"/>
          <w:highlight w:val="none"/>
          <w:shd w:val="clear" w:color="auto" w:fill="auto"/>
        </w:rPr>
        <w:t>人民医院设备清单</w:t>
      </w:r>
    </w:p>
    <w:tbl>
      <w:tblPr>
        <w:tblStyle w:val="43"/>
        <w:tblW w:w="5000" w:type="pct"/>
        <w:tblInd w:w="0" w:type="dxa"/>
        <w:shd w:val="clear" w:color="auto" w:fill="auto"/>
        <w:tblLayout w:type="autofit"/>
        <w:tblCellMar>
          <w:top w:w="0" w:type="dxa"/>
          <w:left w:w="108" w:type="dxa"/>
          <w:bottom w:w="0" w:type="dxa"/>
          <w:right w:w="108" w:type="dxa"/>
        </w:tblCellMar>
      </w:tblPr>
      <w:tblGrid>
        <w:gridCol w:w="881"/>
        <w:gridCol w:w="1202"/>
        <w:gridCol w:w="2501"/>
        <w:gridCol w:w="816"/>
        <w:gridCol w:w="1748"/>
        <w:gridCol w:w="2706"/>
      </w:tblGrid>
      <w:tr w14:paraId="0F5151A9">
        <w:tblPrEx>
          <w:tblCellMar>
            <w:top w:w="0" w:type="dxa"/>
            <w:left w:w="108" w:type="dxa"/>
            <w:bottom w:w="0" w:type="dxa"/>
            <w:right w:w="108" w:type="dxa"/>
          </w:tblCellMar>
        </w:tblPrEx>
        <w:trPr>
          <w:trHeight w:val="315"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AFFA595">
            <w:pPr>
              <w:jc w:val="center"/>
              <w:rPr>
                <w:rFonts w:hint="eastAsia"/>
                <w:color w:val="auto"/>
                <w:highlight w:val="none"/>
              </w:rPr>
            </w:pPr>
            <w:r>
              <w:rPr>
                <w:rFonts w:hint="eastAsia"/>
                <w:color w:val="auto"/>
                <w:highlight w:val="none"/>
              </w:rPr>
              <w:t>分中心设备</w:t>
            </w:r>
          </w:p>
        </w:tc>
      </w:tr>
      <w:tr w14:paraId="4D4F74E7">
        <w:tblPrEx>
          <w:tblCellMar>
            <w:top w:w="0" w:type="dxa"/>
            <w:left w:w="108" w:type="dxa"/>
            <w:bottom w:w="0" w:type="dxa"/>
            <w:right w:w="108" w:type="dxa"/>
          </w:tblCellMar>
        </w:tblPrEx>
        <w:trPr>
          <w:trHeight w:val="270" w:hRule="atLeast"/>
        </w:trPr>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7FBCB21D">
            <w:pPr>
              <w:jc w:val="center"/>
              <w:rPr>
                <w:rFonts w:hint="eastAsia"/>
                <w:color w:val="auto"/>
                <w:highlight w:val="none"/>
              </w:rPr>
            </w:pPr>
            <w:r>
              <w:rPr>
                <w:rFonts w:hint="eastAsia"/>
                <w:color w:val="auto"/>
                <w:highlight w:val="none"/>
              </w:rPr>
              <w:t>序号</w:t>
            </w:r>
          </w:p>
        </w:tc>
        <w:tc>
          <w:tcPr>
            <w:tcW w:w="610" w:type="pct"/>
            <w:tcBorders>
              <w:top w:val="single" w:color="auto" w:sz="4" w:space="0"/>
              <w:left w:val="single" w:color="auto" w:sz="4" w:space="0"/>
              <w:bottom w:val="single" w:color="auto" w:sz="4" w:space="0"/>
              <w:right w:val="single" w:color="auto" w:sz="4" w:space="0"/>
            </w:tcBorders>
            <w:shd w:val="clear" w:color="auto" w:fill="auto"/>
            <w:vAlign w:val="center"/>
          </w:tcPr>
          <w:p w14:paraId="790ECDDE">
            <w:pPr>
              <w:jc w:val="center"/>
              <w:rPr>
                <w:rFonts w:hint="eastAsia"/>
                <w:color w:val="auto"/>
                <w:highlight w:val="none"/>
              </w:rPr>
            </w:pPr>
            <w:r>
              <w:rPr>
                <w:rFonts w:hint="eastAsia"/>
                <w:color w:val="auto"/>
                <w:highlight w:val="none"/>
              </w:rPr>
              <w:t>产品</w:t>
            </w:r>
          </w:p>
          <w:p w14:paraId="3120F9DF">
            <w:pPr>
              <w:jc w:val="center"/>
              <w:rPr>
                <w:rFonts w:hint="eastAsia"/>
                <w:color w:val="auto"/>
                <w:highlight w:val="none"/>
              </w:rPr>
            </w:pPr>
            <w:r>
              <w:rPr>
                <w:rFonts w:hint="eastAsia"/>
                <w:color w:val="auto"/>
                <w:highlight w:val="none"/>
              </w:rPr>
              <w:t>名称</w:t>
            </w:r>
          </w:p>
        </w:tc>
        <w:tc>
          <w:tcPr>
            <w:tcW w:w="1269" w:type="pct"/>
            <w:tcBorders>
              <w:top w:val="single" w:color="auto" w:sz="4" w:space="0"/>
              <w:left w:val="single" w:color="auto" w:sz="4" w:space="0"/>
              <w:bottom w:val="single" w:color="auto" w:sz="4" w:space="0"/>
              <w:right w:val="single" w:color="auto" w:sz="4" w:space="0"/>
            </w:tcBorders>
            <w:shd w:val="clear" w:color="auto" w:fill="auto"/>
            <w:vAlign w:val="center"/>
          </w:tcPr>
          <w:p w14:paraId="1F1DEC3F">
            <w:pPr>
              <w:jc w:val="center"/>
              <w:rPr>
                <w:rFonts w:hint="eastAsia"/>
                <w:color w:val="auto"/>
                <w:highlight w:val="none"/>
              </w:rPr>
            </w:pPr>
            <w:r>
              <w:rPr>
                <w:rFonts w:hint="eastAsia"/>
                <w:color w:val="auto"/>
                <w:highlight w:val="none"/>
              </w:rPr>
              <w:t>产品规格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48456D86">
            <w:pPr>
              <w:jc w:val="center"/>
              <w:rPr>
                <w:rFonts w:hint="eastAsia"/>
                <w:color w:val="auto"/>
                <w:highlight w:val="none"/>
              </w:rPr>
            </w:pPr>
            <w:r>
              <w:rPr>
                <w:rFonts w:hint="eastAsia"/>
                <w:color w:val="auto"/>
                <w:highlight w:val="none"/>
              </w:rPr>
              <w:t>数量</w:t>
            </w:r>
          </w:p>
        </w:tc>
        <w:tc>
          <w:tcPr>
            <w:tcW w:w="887" w:type="pct"/>
            <w:tcBorders>
              <w:top w:val="single" w:color="auto" w:sz="4" w:space="0"/>
              <w:left w:val="single" w:color="auto" w:sz="4" w:space="0"/>
              <w:bottom w:val="single" w:color="auto" w:sz="4" w:space="0"/>
              <w:right w:val="single" w:color="auto" w:sz="4" w:space="0"/>
            </w:tcBorders>
            <w:shd w:val="clear" w:color="auto" w:fill="auto"/>
            <w:vAlign w:val="center"/>
          </w:tcPr>
          <w:p w14:paraId="3CCAB4EC">
            <w:pPr>
              <w:jc w:val="center"/>
              <w:rPr>
                <w:rFonts w:hint="eastAsia"/>
                <w:color w:val="auto"/>
                <w:highlight w:val="none"/>
              </w:rPr>
            </w:pPr>
            <w:r>
              <w:rPr>
                <w:rFonts w:hint="eastAsia"/>
                <w:color w:val="auto"/>
                <w:highlight w:val="none"/>
              </w:rPr>
              <w:t>用途</w:t>
            </w:r>
          </w:p>
        </w:tc>
        <w:tc>
          <w:tcPr>
            <w:tcW w:w="1371" w:type="pct"/>
            <w:tcBorders>
              <w:top w:val="single" w:color="auto" w:sz="4" w:space="0"/>
              <w:left w:val="single" w:color="auto" w:sz="4" w:space="0"/>
              <w:bottom w:val="single" w:color="auto" w:sz="4" w:space="0"/>
              <w:right w:val="single" w:color="auto" w:sz="4" w:space="0"/>
            </w:tcBorders>
            <w:shd w:val="clear" w:color="auto" w:fill="auto"/>
            <w:vAlign w:val="center"/>
          </w:tcPr>
          <w:p w14:paraId="6DBA4F14">
            <w:pPr>
              <w:jc w:val="center"/>
              <w:rPr>
                <w:rFonts w:hint="eastAsia"/>
                <w:color w:val="auto"/>
                <w:highlight w:val="none"/>
              </w:rPr>
            </w:pPr>
            <w:r>
              <w:rPr>
                <w:rFonts w:hint="eastAsia"/>
                <w:color w:val="auto"/>
                <w:highlight w:val="none"/>
              </w:rPr>
              <w:t>部署位置</w:t>
            </w:r>
          </w:p>
        </w:tc>
      </w:tr>
      <w:tr w14:paraId="14AFA248">
        <w:tblPrEx>
          <w:tblCellMar>
            <w:top w:w="0" w:type="dxa"/>
            <w:left w:w="108" w:type="dxa"/>
            <w:bottom w:w="0" w:type="dxa"/>
            <w:right w:w="108" w:type="dxa"/>
          </w:tblCellMar>
        </w:tblPrEx>
        <w:trPr>
          <w:trHeight w:val="2295"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13B59">
            <w:pPr>
              <w:jc w:val="center"/>
              <w:rPr>
                <w:rFonts w:hint="eastAsia"/>
                <w:color w:val="auto"/>
                <w:highlight w:val="none"/>
              </w:rPr>
            </w:pPr>
            <w:r>
              <w:rPr>
                <w:rFonts w:hint="eastAsia"/>
                <w:color w:val="auto"/>
                <w:highlight w:val="none"/>
              </w:rPr>
              <w:t>1</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44C3B">
            <w:pPr>
              <w:jc w:val="center"/>
              <w:rPr>
                <w:rFonts w:hint="eastAsia"/>
                <w:color w:val="auto"/>
                <w:highlight w:val="none"/>
              </w:rPr>
            </w:pPr>
            <w:r>
              <w:rPr>
                <w:rFonts w:hint="eastAsia"/>
                <w:color w:val="auto"/>
                <w:highlight w:val="none"/>
              </w:rPr>
              <w:t>中心大屏</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7451B">
            <w:pPr>
              <w:jc w:val="center"/>
              <w:rPr>
                <w:rFonts w:hint="eastAsia"/>
                <w:color w:val="auto"/>
                <w:highlight w:val="none"/>
              </w:rPr>
            </w:pPr>
            <w:r>
              <w:rPr>
                <w:rFonts w:hint="eastAsia"/>
                <w:color w:val="auto"/>
                <w:highlight w:val="none"/>
              </w:rPr>
              <w:t>屏幕尺寸：≥</w:t>
            </w:r>
            <w:r>
              <w:rPr>
                <w:rFonts w:hint="eastAsia"/>
                <w:color w:val="auto"/>
                <w:highlight w:val="none"/>
                <w:lang w:val="en-US" w:eastAsia="zh-CN"/>
              </w:rPr>
              <w:t>6</w:t>
            </w:r>
            <w:r>
              <w:rPr>
                <w:rFonts w:hint="eastAsia"/>
                <w:color w:val="auto"/>
                <w:highlight w:val="none"/>
              </w:rPr>
              <w:t>5 英寸；内存容量：≥</w:t>
            </w:r>
            <w:r>
              <w:rPr>
                <w:rFonts w:hint="eastAsia"/>
                <w:color w:val="auto"/>
                <w:highlight w:val="none"/>
                <w:lang w:val="en-US" w:eastAsia="zh-CN"/>
              </w:rPr>
              <w:t>4</w:t>
            </w:r>
            <w:r>
              <w:rPr>
                <w:rFonts w:hint="eastAsia"/>
                <w:color w:val="auto"/>
                <w:highlight w:val="none"/>
              </w:rPr>
              <w:t>GB；存储容量：≥8G；</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263B">
            <w:pPr>
              <w:jc w:val="center"/>
              <w:rPr>
                <w:rFonts w:hint="eastAsia"/>
                <w:color w:val="auto"/>
                <w:highlight w:val="none"/>
              </w:rPr>
            </w:pPr>
            <w:r>
              <w:rPr>
                <w:rFonts w:hint="eastAsia"/>
                <w:color w:val="auto"/>
                <w:highlight w:val="none"/>
              </w:rPr>
              <w:t>7</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66AC8">
            <w:pPr>
              <w:jc w:val="center"/>
              <w:rPr>
                <w:rFonts w:hint="eastAsia"/>
                <w:color w:val="auto"/>
                <w:highlight w:val="none"/>
              </w:rPr>
            </w:pPr>
            <w:r>
              <w:rPr>
                <w:rFonts w:hint="eastAsia"/>
                <w:color w:val="auto"/>
                <w:highlight w:val="none"/>
              </w:rPr>
              <w:t>用来展示分各大中心统计概览</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B536">
            <w:pPr>
              <w:jc w:val="center"/>
              <w:rPr>
                <w:rFonts w:hint="eastAsia"/>
                <w:color w:val="auto"/>
                <w:highlight w:val="none"/>
              </w:rPr>
            </w:pPr>
            <w:r>
              <w:rPr>
                <w:rFonts w:hint="eastAsia"/>
                <w:color w:val="auto"/>
                <w:highlight w:val="none"/>
              </w:rPr>
              <w:t>分中心大屏部署在各个分中心的进门位置，根据实际情况调整</w:t>
            </w:r>
          </w:p>
          <w:p w14:paraId="0C7E0DFF">
            <w:pPr>
              <w:jc w:val="center"/>
              <w:rPr>
                <w:rFonts w:hint="eastAsia"/>
                <w:color w:val="auto"/>
                <w:highlight w:val="none"/>
              </w:rPr>
            </w:pPr>
          </w:p>
        </w:tc>
      </w:tr>
      <w:tr w14:paraId="0CDDCAA2">
        <w:tblPrEx>
          <w:tblCellMar>
            <w:top w:w="0" w:type="dxa"/>
            <w:left w:w="108" w:type="dxa"/>
            <w:bottom w:w="0" w:type="dxa"/>
            <w:right w:w="108" w:type="dxa"/>
          </w:tblCellMar>
        </w:tblPrEx>
        <w:trPr>
          <w:trHeight w:val="2295" w:hRule="atLeast"/>
        </w:trPr>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4AF9B">
            <w:pPr>
              <w:jc w:val="center"/>
              <w:rPr>
                <w:rFonts w:hint="eastAsia" w:eastAsia="宋体"/>
                <w:color w:val="auto"/>
                <w:highlight w:val="none"/>
                <w:lang w:val="en-US" w:eastAsia="zh-CN"/>
              </w:rPr>
            </w:pPr>
            <w:r>
              <w:rPr>
                <w:rFonts w:hint="eastAsia"/>
                <w:color w:val="auto"/>
                <w:highlight w:val="none"/>
                <w:lang w:val="en-US" w:eastAsia="zh-CN"/>
              </w:rPr>
              <w:t>2</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C6186">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电视安装费</w:t>
            </w:r>
          </w:p>
        </w:tc>
        <w:tc>
          <w:tcPr>
            <w:tcW w:w="1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9C575">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找当地的师傅上门安装，含支架</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9CE0">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4</w:t>
            </w:r>
          </w:p>
        </w:tc>
        <w:tc>
          <w:tcPr>
            <w:tcW w:w="8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186DE">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“中心大屏”在指定位置的安装</w:t>
            </w:r>
          </w:p>
        </w:tc>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74CC4">
            <w:pPr>
              <w:jc w:val="center"/>
              <w:rPr>
                <w:rFonts w:hint="eastAsia"/>
                <w:color w:val="auto"/>
                <w:highlight w:val="none"/>
              </w:rPr>
            </w:pPr>
          </w:p>
        </w:tc>
      </w:tr>
    </w:tbl>
    <w:p w14:paraId="581B0A5A">
      <w:pPr>
        <w:pageBreakBefore w:val="0"/>
        <w:kinsoku/>
        <w:wordWrap/>
        <w:topLinePunct w:val="0"/>
        <w:bidi w:val="0"/>
        <w:snapToGrid/>
        <w:spacing w:line="360" w:lineRule="auto"/>
        <w:ind w:firstLine="442" w:firstLineChars="200"/>
        <w:rPr>
          <w:rFonts w:hint="eastAsia" w:ascii="宋体" w:hAnsi="宋体" w:cs="宋体"/>
          <w:b/>
          <w:bCs/>
          <w:color w:val="auto"/>
          <w:kern w:val="0"/>
          <w:sz w:val="22"/>
          <w:szCs w:val="22"/>
          <w:highlight w:val="none"/>
          <w:u w:val="single"/>
          <w:lang w:val="en-US" w:eastAsia="zh-CN"/>
        </w:rPr>
      </w:pPr>
      <w:r>
        <w:rPr>
          <w:rFonts w:hint="eastAsia" w:ascii="宋体" w:hAnsi="宋体" w:cs="宋体"/>
          <w:b/>
          <w:bCs/>
          <w:color w:val="auto"/>
          <w:kern w:val="0"/>
          <w:sz w:val="22"/>
          <w:szCs w:val="22"/>
          <w:highlight w:val="none"/>
          <w:u w:val="none"/>
          <w:lang w:val="en-US" w:eastAsia="zh-CN"/>
        </w:rPr>
        <w:t>注：</w:t>
      </w:r>
      <w:r>
        <w:rPr>
          <w:rFonts w:hint="eastAsia" w:ascii="宋体" w:hAnsi="宋体" w:eastAsia="宋体" w:cs="宋体"/>
          <w:b/>
          <w:bCs/>
          <w:color w:val="auto"/>
          <w:kern w:val="0"/>
          <w:sz w:val="22"/>
          <w:szCs w:val="22"/>
          <w:highlight w:val="none"/>
          <w:u w:val="single"/>
          <w:lang w:val="en-US" w:eastAsia="zh-CN"/>
        </w:rPr>
        <w:t>▲</w:t>
      </w:r>
      <w:r>
        <w:rPr>
          <w:rFonts w:hint="eastAsia" w:ascii="宋体" w:hAnsi="宋体" w:cs="宋体"/>
          <w:b/>
          <w:bCs/>
          <w:color w:val="auto"/>
          <w:kern w:val="0"/>
          <w:sz w:val="22"/>
          <w:szCs w:val="22"/>
          <w:highlight w:val="none"/>
          <w:u w:val="single"/>
          <w:lang w:val="en-US" w:eastAsia="zh-CN"/>
        </w:rPr>
        <w:t>本次招标要求投标人提供的产品及服务必须符合国家信息技术应用创新产业标准，采用国产化软硬件解决方案，确保供应链安全和数据可控。</w:t>
      </w:r>
    </w:p>
    <w:p w14:paraId="1C0CD78D">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法律法规、政策依据</w:t>
      </w:r>
      <w:bookmarkEnd w:id="215"/>
      <w:bookmarkEnd w:id="216"/>
      <w:bookmarkEnd w:id="217"/>
      <w:bookmarkEnd w:id="218"/>
      <w:bookmarkEnd w:id="219"/>
      <w:bookmarkEnd w:id="220"/>
    </w:p>
    <w:p w14:paraId="4849477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(1)《国务院关于印发“十四五”卫生与健康规划的通知》（国发〔2022〕11号）；</w:t>
      </w:r>
    </w:p>
    <w:p w14:paraId="03F6E0C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(2)《关于印发互联网诊疗管理办法（试行）等3个文件的通知》（国卫医发〔2018〕25号）；</w:t>
      </w:r>
    </w:p>
    <w:p w14:paraId="6037CCD7">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(3)《关于深入开展“互联网+医疗健康”全民健康活动的通知》（国卫规划发〔2018〕22号）；</w:t>
      </w:r>
    </w:p>
    <w:p w14:paraId="4D5F5CC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(4)国家卫生和计划生育委员会国家中医药管理局《关于印发全面提升县级医院综合能力工作方案的通知》（国卫医发〔2014〕48号）；</w:t>
      </w:r>
    </w:p>
    <w:p w14:paraId="6BF837F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(5)《国家卫生和计划生育委员会关于推进医疗机构远程医疗服务的意见》（国卫医发〔2014〕51号）；</w:t>
      </w:r>
    </w:p>
    <w:p w14:paraId="1D83CD70">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(6)《国家卫生健康委办公厅关于做好信息化支撑常态化疫情防控工作的通知》；</w:t>
      </w:r>
    </w:p>
    <w:p w14:paraId="659AB1C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(7)《国家卫生健康委办公厅关于进一步完善预约诊疗制度加强智慧医院建设的通知》（国卫办医函〔2020〕405号）。</w:t>
      </w:r>
    </w:p>
    <w:p w14:paraId="1FA02AD4">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(8)《国务院关于促进健康服务业发展的若干意见》（国发〔2013〕40号）；</w:t>
      </w:r>
    </w:p>
    <w:p w14:paraId="3A0E0B0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(9)《国务院办公厅关于全面推开县级公立医院综合改革的实施意见》（国办发〔2015〕33号）；</w:t>
      </w:r>
    </w:p>
    <w:p w14:paraId="7124F9B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(10)《国务院办公厅关于城市公立医院综合改革试点的指导意见》（国办发〔2015〕38号）；</w:t>
      </w:r>
    </w:p>
    <w:p w14:paraId="04E27DC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(11)《国务院关于积极推进“互联网+”行动的指导意见》（国发〔2015〕40号）；</w:t>
      </w:r>
    </w:p>
    <w:p w14:paraId="0F302EE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(12)《国务院办公厅关于促进和规范健康医疗大数据应用发展的指导意见》（国办发〔2016〕47号）；</w:t>
      </w:r>
    </w:p>
    <w:p w14:paraId="2BB61755">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(13)《国务院关于印发“十三五”深化医药卫生体制改革规划的通知》（国发〔2016〕78号）；</w:t>
      </w:r>
    </w:p>
    <w:p w14:paraId="1F8B80B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(14)《国务院办公厅关于推动医疗联合体建设和发展的指导意见》（国办发〔2017〕32号）；</w:t>
      </w:r>
    </w:p>
    <w:p w14:paraId="5AC3522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(15)《关于印发进一步改善医疗服务行动计划（2018-2020年）的通知》（国卫医发〔2017〕73号）；</w:t>
      </w:r>
    </w:p>
    <w:p w14:paraId="7611C30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(16)《国务院办公厅关于促进“互联网+医疗健康”发展的意见》（国办发〔2018〕26号）；</w:t>
      </w:r>
    </w:p>
    <w:p w14:paraId="23571BC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(17)《国务院办公厅关于加强三级公立医院绩效考核工作的意见》（国办发〔2019〕4号）；</w:t>
      </w:r>
    </w:p>
    <w:p w14:paraId="144E7A5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(18)《关于加强二级公立医院绩效考核工作的通知》（国卫办医发〔2019〕23号）；</w:t>
      </w:r>
    </w:p>
    <w:p w14:paraId="1779D76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(19)《关于开展互联网+院前医疗试点工作的通知》（国卫办医函〔2019〕588号）</w:t>
      </w:r>
    </w:p>
    <w:p w14:paraId="655388E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(20)《关于进一步完善院前医疗急救服务的指导意见》（国卫医发〔2020〕19号）；</w:t>
      </w:r>
    </w:p>
    <w:p w14:paraId="6BB01DE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(21)《关于深入推进“互联网+医疗健康”“五个一”服务行动的通知》（国卫规划发〔2020〕22号）；</w:t>
      </w:r>
    </w:p>
    <w:p w14:paraId="15A6FBC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(22)国家医疗保障局关于积极推进“互联网+”医疗服务医保支付工作的指导意见（医保发〔2020〕45号）；</w:t>
      </w:r>
    </w:p>
    <w:p w14:paraId="1C2FEED0">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(23)《关于全面推进县域医疗卫生服务共同体建设的意见》（浙卫发〔2021〕19号）；</w:t>
      </w:r>
    </w:p>
    <w:p w14:paraId="26597F3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(24)《国务院办公厅关于印发“十四五”全民医疗保障规划的通知》（国办发〔2021〕36号）；</w:t>
      </w:r>
    </w:p>
    <w:p w14:paraId="322F58D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(25)《“十四五”推进国家政务信息化规划》（发改高技〔2021〕1898号）；</w:t>
      </w:r>
    </w:p>
    <w:p w14:paraId="23D61219">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(26)《国务院办公厅关于印发深化医药卫生体制改革2022年重点工作任务的通知》（国办发〔2022〕14号）；</w:t>
      </w:r>
    </w:p>
    <w:p w14:paraId="377182E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(27)《国家卫生健康委国家中医药局国家疾控局关于印发医疗卫生机构网络安全管理办法的通知》（国卫规划发〔2022〕29号）；</w:t>
      </w:r>
    </w:p>
    <w:p w14:paraId="366A580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(28)《国家卫生健康委办公厅关于印发国家三级公立医院绩效考核操作手册（2022版）的通知》（国卫办医函〔2022〕92号）；</w:t>
      </w:r>
    </w:p>
    <w:p w14:paraId="60E3006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(29)《中国信创产业政策普查报告（2022）》；</w:t>
      </w:r>
    </w:p>
    <w:p w14:paraId="32AB894E">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(30)《关于全面推进紧密型县域医疗卫生共同体建设的指导意见》（国卫基层发〔2023〕41号）；</w:t>
      </w:r>
    </w:p>
    <w:p w14:paraId="40F4A3DF">
      <w:pPr>
        <w:pageBreakBefore w:val="0"/>
        <w:kinsoku/>
        <w:wordWrap/>
        <w:topLinePunct w:val="0"/>
        <w:bidi w:val="0"/>
        <w:snapToGrid/>
        <w:spacing w:line="360" w:lineRule="auto"/>
        <w:ind w:firstLine="440" w:firstLineChars="200"/>
        <w:rPr>
          <w:rFonts w:hint="default"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(31)《关于推进温州市卫生健康现代化建设的实施方案》（温政办〔2023〕51号）.</w:t>
      </w:r>
    </w:p>
    <w:p w14:paraId="659020FF">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bookmarkStart w:id="221" w:name="_Toc27021"/>
      <w:bookmarkStart w:id="222" w:name="_Toc10416"/>
      <w:bookmarkStart w:id="223" w:name="_Toc19365"/>
      <w:bookmarkStart w:id="224" w:name="_Toc13035"/>
      <w:bookmarkStart w:id="225" w:name="_Toc21420"/>
      <w:bookmarkStart w:id="226" w:name="_Toc25090"/>
      <w:r>
        <w:rPr>
          <w:rFonts w:hint="eastAsia" w:ascii="宋体" w:hAnsi="宋体" w:eastAsia="宋体" w:cs="宋体"/>
          <w:b/>
          <w:bCs/>
          <w:color w:val="auto"/>
          <w:sz w:val="22"/>
          <w:szCs w:val="22"/>
          <w:highlight w:val="none"/>
          <w:lang w:val="en-US" w:eastAsia="zh-Hans"/>
        </w:rPr>
        <w:t>相关技术标准与规范</w:t>
      </w:r>
      <w:bookmarkEnd w:id="221"/>
      <w:bookmarkEnd w:id="222"/>
      <w:bookmarkEnd w:id="223"/>
      <w:bookmarkEnd w:id="224"/>
      <w:bookmarkEnd w:id="225"/>
      <w:bookmarkEnd w:id="226"/>
    </w:p>
    <w:p w14:paraId="5F120311">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(1)《电子病历基本架构与数据标准(试行)》（卫办发〔2009〕130号）；</w:t>
      </w:r>
    </w:p>
    <w:p w14:paraId="33B0E69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(2)《电子病历系统功能规范（试行）》（卫医政发〔2010〕114号）；</w:t>
      </w:r>
    </w:p>
    <w:p w14:paraId="68B285F8">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(3)《院前医疗急救指挥信息系统基本功能规范》（WST451-2014）；</w:t>
      </w:r>
    </w:p>
    <w:p w14:paraId="63329062">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(4)《医院信息互联互通标准化成熟度测评方案》2020；</w:t>
      </w:r>
    </w:p>
    <w:p w14:paraId="6D5DDE6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(5)《国家医疗健康信息区域（医院）信息互联互通标准化成熟度测评方案》2017年版；</w:t>
      </w:r>
    </w:p>
    <w:p w14:paraId="12F79C89">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(6)《医院信息化建设应用技术指引（2017年版）》（试行）；</w:t>
      </w:r>
    </w:p>
    <w:p w14:paraId="12521DB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(7)《关于印发电子病历系统应用水平分级评价管理办法（试行）及评价标准（试行）的通知》（国卫办医函〔2018〕1079号）；</w:t>
      </w:r>
    </w:p>
    <w:p w14:paraId="15643446">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(8)《国家卫生健康委办公厅关于印发医院智慧服务分级评估标准体系（试行）的通知》（国卫办医函〔2019〕236号）；</w:t>
      </w:r>
    </w:p>
    <w:p w14:paraId="0B94B33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(9)《三级医院评审标准（2020年版）》（国卫医发〔2020〕26号）；</w:t>
      </w:r>
    </w:p>
    <w:p w14:paraId="492A5363">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(10)《关于印发全国医院信息化建设标准与规范（试行）的通知》；</w:t>
      </w:r>
    </w:p>
    <w:p w14:paraId="61DBFC1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(11)《院前医疗急救管理办法》（国家卫生计生委令第3号）；</w:t>
      </w:r>
    </w:p>
    <w:p w14:paraId="64725E6D">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(12)《信息安全技术信息系统安全等级保护基本要求》；</w:t>
      </w:r>
    </w:p>
    <w:p w14:paraId="23F7F60A">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(13)《信息安全技术信息系统安全等级保护定级指南》；</w:t>
      </w:r>
    </w:p>
    <w:p w14:paraId="5A8B356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(14)《WS370卫生信息基本数据集编制规范》；</w:t>
      </w:r>
    </w:p>
    <w:p w14:paraId="284F6ECB">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(15)《WS363卫生信息数据元目录》。</w:t>
      </w:r>
    </w:p>
    <w:p w14:paraId="3E246782">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建设期</w:t>
      </w:r>
      <w:bookmarkEnd w:id="59"/>
      <w:bookmarkEnd w:id="60"/>
      <w:bookmarkEnd w:id="61"/>
      <w:bookmarkEnd w:id="62"/>
      <w:bookmarkEnd w:id="63"/>
      <w:bookmarkEnd w:id="64"/>
      <w:bookmarkEnd w:id="65"/>
      <w:bookmarkEnd w:id="66"/>
      <w:bookmarkEnd w:id="67"/>
    </w:p>
    <w:p w14:paraId="35F54640">
      <w:pPr>
        <w:pageBreakBefore w:val="0"/>
        <w:kinsoku/>
        <w:wordWrap/>
        <w:topLinePunct w:val="0"/>
        <w:bidi w:val="0"/>
        <w:snapToGrid/>
        <w:spacing w:line="360" w:lineRule="auto"/>
        <w:ind w:firstLine="440" w:firstLineChars="200"/>
        <w:rPr>
          <w:rFonts w:hint="default" w:ascii="宋体" w:hAnsi="宋体" w:eastAsia="宋体" w:cs="宋体"/>
          <w:color w:val="auto"/>
          <w:kern w:val="0"/>
          <w:sz w:val="22"/>
          <w:szCs w:val="22"/>
          <w:highlight w:val="none"/>
          <w:lang w:val="en-US" w:eastAsia="zh-CN"/>
        </w:rPr>
      </w:pPr>
      <w:r>
        <w:rPr>
          <w:rFonts w:hint="eastAsia" w:ascii="宋体" w:hAnsi="宋体" w:cs="宋体"/>
          <w:color w:val="auto"/>
          <w:sz w:val="22"/>
          <w:szCs w:val="22"/>
          <w:highlight w:val="none"/>
          <w:lang w:val="en-US" w:eastAsia="zh-CN"/>
        </w:rPr>
        <w:t>合同签订之日起12个月内</w:t>
      </w:r>
      <w:r>
        <w:rPr>
          <w:rFonts w:hint="eastAsia" w:ascii="宋体"/>
          <w:color w:val="auto"/>
          <w:sz w:val="22"/>
          <w:szCs w:val="22"/>
          <w:highlight w:val="none"/>
        </w:rPr>
        <w:t>完成相关的调研、设计、开发、测试</w:t>
      </w:r>
      <w:r>
        <w:rPr>
          <w:rFonts w:hint="eastAsia" w:ascii="宋体"/>
          <w:color w:val="auto"/>
          <w:sz w:val="22"/>
          <w:szCs w:val="22"/>
          <w:highlight w:val="none"/>
          <w:lang w:val="en-US" w:eastAsia="zh-CN"/>
        </w:rPr>
        <w:t>及试点上线</w:t>
      </w:r>
      <w:r>
        <w:rPr>
          <w:rFonts w:hint="eastAsia" w:ascii="宋体"/>
          <w:color w:val="auto"/>
          <w:sz w:val="22"/>
          <w:szCs w:val="22"/>
          <w:highlight w:val="none"/>
        </w:rPr>
        <w:t>等工作</w:t>
      </w:r>
      <w:r>
        <w:rPr>
          <w:rFonts w:hint="eastAsia" w:ascii="宋体"/>
          <w:color w:val="auto"/>
          <w:sz w:val="22"/>
          <w:szCs w:val="22"/>
          <w:highlight w:val="none"/>
          <w:lang w:val="en-US" w:eastAsia="zh-CN"/>
        </w:rPr>
        <w:t>并通过</w:t>
      </w:r>
      <w:r>
        <w:rPr>
          <w:rFonts w:hint="eastAsia" w:ascii="宋体"/>
          <w:color w:val="auto"/>
          <w:sz w:val="22"/>
          <w:szCs w:val="22"/>
          <w:highlight w:val="none"/>
        </w:rPr>
        <w:t>项目初步验收</w:t>
      </w:r>
      <w:r>
        <w:rPr>
          <w:rFonts w:hint="eastAsia" w:ascii="宋体" w:hAnsi="宋体" w:cs="宋体"/>
          <w:color w:val="auto"/>
          <w:sz w:val="22"/>
          <w:szCs w:val="22"/>
          <w:highlight w:val="none"/>
          <w:lang w:val="en-US" w:eastAsia="zh-CN"/>
        </w:rPr>
        <w:t>。</w:t>
      </w:r>
    </w:p>
    <w:p w14:paraId="5804808B">
      <w:pPr>
        <w:pageBreakBefore w:val="0"/>
        <w:numPr>
          <w:ilvl w:val="0"/>
          <w:numId w:val="1"/>
        </w:numPr>
        <w:kinsoku/>
        <w:wordWrap/>
        <w:topLinePunct w:val="0"/>
        <w:bidi w:val="0"/>
        <w:snapToGrid/>
        <w:spacing w:line="360" w:lineRule="auto"/>
        <w:ind w:left="0" w:leftChars="0" w:firstLine="442" w:firstLineChars="200"/>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相关要求说明</w:t>
      </w:r>
    </w:p>
    <w:p w14:paraId="518B37C3">
      <w:pPr>
        <w:pageBreakBefore w:val="0"/>
        <w:kinsoku/>
        <w:wordWrap/>
        <w:topLinePunct w:val="0"/>
        <w:bidi w:val="0"/>
        <w:snapToGrid/>
        <w:spacing w:line="360" w:lineRule="auto"/>
        <w:ind w:firstLine="442" w:firstLineChars="200"/>
        <w:rPr>
          <w:rFonts w:hint="eastAsia" w:ascii="宋体" w:hAnsi="宋体" w:eastAsia="宋体" w:cs="宋体"/>
          <w:color w:val="auto"/>
          <w:kern w:val="0"/>
          <w:sz w:val="22"/>
          <w:szCs w:val="22"/>
          <w:highlight w:val="none"/>
        </w:rPr>
      </w:pPr>
      <w:r>
        <w:rPr>
          <w:rFonts w:hint="eastAsia" w:ascii="宋体" w:hAnsi="宋体" w:eastAsia="宋体" w:cs="宋体"/>
          <w:b/>
          <w:color w:val="auto"/>
          <w:sz w:val="22"/>
          <w:szCs w:val="22"/>
          <w:highlight w:val="none"/>
        </w:rPr>
        <w:t>1）</w:t>
      </w:r>
      <w:r>
        <w:rPr>
          <w:rFonts w:hint="eastAsia" w:ascii="宋体" w:hAnsi="宋体" w:cs="宋体"/>
          <w:color w:val="auto"/>
          <w:kern w:val="0"/>
          <w:sz w:val="22"/>
          <w:szCs w:val="22"/>
          <w:highlight w:val="none"/>
          <w:lang w:eastAsia="zh-CN"/>
        </w:rPr>
        <w:t>投标人</w:t>
      </w:r>
      <w:r>
        <w:rPr>
          <w:rFonts w:hint="eastAsia" w:ascii="宋体" w:hAnsi="宋体" w:eastAsia="宋体" w:cs="宋体"/>
          <w:color w:val="auto"/>
          <w:kern w:val="0"/>
          <w:sz w:val="22"/>
          <w:szCs w:val="22"/>
          <w:highlight w:val="none"/>
        </w:rPr>
        <w:t>在整个项目执行期间提供优良的项目管理服务，并指定一位固定且有经验的项目经理并通知招标人，以便及时联系和处理招标人与</w:t>
      </w:r>
      <w:r>
        <w:rPr>
          <w:rFonts w:hint="eastAsia" w:ascii="宋体" w:hAnsi="宋体" w:cs="宋体"/>
          <w:color w:val="auto"/>
          <w:kern w:val="0"/>
          <w:sz w:val="22"/>
          <w:szCs w:val="22"/>
          <w:highlight w:val="none"/>
          <w:lang w:eastAsia="zh-CN"/>
        </w:rPr>
        <w:t>投标人</w:t>
      </w:r>
      <w:r>
        <w:rPr>
          <w:rFonts w:hint="eastAsia" w:ascii="宋体" w:hAnsi="宋体" w:eastAsia="宋体" w:cs="宋体"/>
          <w:color w:val="auto"/>
          <w:kern w:val="0"/>
          <w:sz w:val="22"/>
          <w:szCs w:val="22"/>
          <w:highlight w:val="none"/>
        </w:rPr>
        <w:t>之间的有关事宜，项目经理需自始至终地负责整个项目的实施及文件、信件（传真）资料往来，项目经理未经招标人同意不得更换（需在投标文件中进行书面承诺，承诺格式自拟，并加盖投标单位公章）。</w:t>
      </w:r>
    </w:p>
    <w:p w14:paraId="1D7B92CF">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2）所有经招标人确认的文件，均为技术附件，并具有与合同附件相同的效力。</w:t>
      </w:r>
    </w:p>
    <w:p w14:paraId="2317524C">
      <w:pPr>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3）中标人应免费为业主提供所有设备日常维护、配置操作的培训，由此所发</w:t>
      </w:r>
      <w:r>
        <w:rPr>
          <w:rFonts w:hint="eastAsia" w:ascii="宋体" w:hAnsi="宋体" w:cs="宋体"/>
          <w:color w:val="auto"/>
          <w:kern w:val="0"/>
          <w:sz w:val="22"/>
          <w:szCs w:val="22"/>
          <w:highlight w:val="none"/>
          <w:lang w:eastAsia="zh-CN"/>
        </w:rPr>
        <w:t>生的</w:t>
      </w:r>
      <w:r>
        <w:rPr>
          <w:rFonts w:hint="eastAsia" w:ascii="宋体" w:hAnsi="宋体" w:eastAsia="宋体" w:cs="宋体"/>
          <w:color w:val="auto"/>
          <w:kern w:val="0"/>
          <w:sz w:val="22"/>
          <w:szCs w:val="22"/>
          <w:highlight w:val="none"/>
        </w:rPr>
        <w:t>一切费用均应含在中标人的设备</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服务</w:t>
      </w:r>
      <w:r>
        <w:rPr>
          <w:rFonts w:hint="eastAsia" w:ascii="宋体" w:hAnsi="宋体" w:eastAsia="宋体" w:cs="宋体"/>
          <w:color w:val="auto"/>
          <w:kern w:val="0"/>
          <w:sz w:val="22"/>
          <w:szCs w:val="22"/>
          <w:highlight w:val="none"/>
        </w:rPr>
        <w:t>报价中。</w:t>
      </w:r>
    </w:p>
    <w:p w14:paraId="63B6738D">
      <w:pPr>
        <w:pageBreakBefore w:val="0"/>
        <w:kinsoku/>
        <w:wordWrap/>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lang w:val="en-US" w:eastAsia="zh-CN"/>
        </w:rPr>
        <w:t>4</w:t>
      </w:r>
      <w:r>
        <w:rPr>
          <w:rFonts w:hint="eastAsia" w:ascii="宋体" w:hAnsi="宋体" w:eastAsia="宋体" w:cs="宋体"/>
          <w:color w:val="auto"/>
          <w:kern w:val="0"/>
          <w:sz w:val="22"/>
          <w:szCs w:val="22"/>
          <w:highlight w:val="none"/>
        </w:rPr>
        <w:t>）本次项目提供3年质保服务（以项目终验时间点起点计算）。</w:t>
      </w:r>
      <w:r>
        <w:rPr>
          <w:rFonts w:hint="eastAsia" w:ascii="宋体" w:hAnsi="宋体" w:eastAsia="宋体" w:cs="宋体"/>
          <w:color w:val="auto"/>
          <w:sz w:val="22"/>
          <w:szCs w:val="22"/>
          <w:highlight w:val="none"/>
        </w:rPr>
        <w:t>在系统开始实施和免费维护期间，成交供应商需为本项目提供以下服务内容：系统运行过程中发现的技术缺陷必须第一时间修改；提供7×24小时响应服务；</w:t>
      </w:r>
    </w:p>
    <w:p w14:paraId="5D65DCA7">
      <w:pPr>
        <w:pStyle w:val="18"/>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 xml:space="preserve"> </w:t>
      </w:r>
      <w:r>
        <w:rPr>
          <w:rFonts w:hint="eastAsia" w:ascii="宋体" w:hAnsi="宋体" w:cs="宋体"/>
          <w:color w:val="auto"/>
          <w:kern w:val="0"/>
          <w:sz w:val="22"/>
          <w:szCs w:val="22"/>
          <w:highlight w:val="none"/>
          <w:lang w:val="en-US" w:eastAsia="zh-CN"/>
        </w:rPr>
        <w:t>5</w:t>
      </w:r>
      <w:r>
        <w:rPr>
          <w:rFonts w:hint="eastAsia" w:ascii="宋体" w:hAnsi="宋体" w:eastAsia="宋体" w:cs="宋体"/>
          <w:color w:val="auto"/>
          <w:kern w:val="0"/>
          <w:sz w:val="22"/>
          <w:szCs w:val="22"/>
          <w:highlight w:val="none"/>
        </w:rPr>
        <w:t>）付款方式</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采购双方按比例支付）</w:t>
      </w:r>
    </w:p>
    <w:p w14:paraId="17E3E4EE">
      <w:pPr>
        <w:pStyle w:val="18"/>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在合同生效以及具备实施条件后7个工作日内，对中小企业合同预付款比例原则上不低于合同金额的40％</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具体</w:t>
      </w:r>
      <w:r>
        <w:rPr>
          <w:rFonts w:hint="eastAsia" w:ascii="宋体" w:hAnsi="宋体" w:eastAsia="宋体" w:cs="宋体"/>
          <w:color w:val="auto"/>
          <w:kern w:val="0"/>
          <w:sz w:val="22"/>
          <w:szCs w:val="22"/>
          <w:highlight w:val="none"/>
        </w:rPr>
        <w:t>双方协商决定付款比例</w:t>
      </w:r>
      <w:r>
        <w:rPr>
          <w:rFonts w:hint="eastAsia" w:ascii="宋体" w:hAnsi="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根据《浙江省财政厅关于进一步发挥政府采购政策功能全力推动经济稳进提质的通知》（浙财采监[2022]3号）的规定，双方协商决定付款比例，如采购人无法按上述约定期限支付对应款项的，采购人与中标供应商根据实际情况另行协商确定付款时间，中标供应商确认不因采购人延期付款的情形要求采购人承担逾期付款利息等违约责任。）</w:t>
      </w:r>
    </w:p>
    <w:p w14:paraId="01710548">
      <w:pPr>
        <w:pStyle w:val="18"/>
        <w:pageBreakBefore w:val="0"/>
        <w:kinsoku/>
        <w:wordWrap/>
        <w:topLinePunct w:val="0"/>
        <w:bidi w:val="0"/>
        <w:snapToGrid/>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7）本次项目报价组成包括；调研、设计、开发、</w:t>
      </w:r>
      <w:r>
        <w:rPr>
          <w:rFonts w:hint="eastAsia" w:ascii="宋体" w:hAnsi="宋体" w:cs="宋体"/>
          <w:color w:val="auto"/>
          <w:kern w:val="0"/>
          <w:sz w:val="22"/>
          <w:szCs w:val="22"/>
          <w:highlight w:val="none"/>
          <w:lang w:val="en-US" w:eastAsia="zh-CN"/>
        </w:rPr>
        <w:t>供货、</w:t>
      </w:r>
      <w:r>
        <w:rPr>
          <w:rFonts w:hint="eastAsia" w:ascii="宋体" w:hAnsi="宋体" w:eastAsia="宋体" w:cs="宋体"/>
          <w:color w:val="auto"/>
          <w:kern w:val="0"/>
          <w:sz w:val="22"/>
          <w:szCs w:val="22"/>
          <w:highlight w:val="none"/>
        </w:rPr>
        <w:t>接口对接、测试、集成、部署、培训、质保等费用。</w:t>
      </w:r>
    </w:p>
    <w:p w14:paraId="46653F90">
      <w:pPr>
        <w:pageBreakBefore w:val="0"/>
        <w:kinsoku/>
        <w:wordWrap/>
        <w:topLinePunct w:val="0"/>
        <w:bidi w:val="0"/>
        <w:snapToGrid/>
        <w:spacing w:line="360" w:lineRule="auto"/>
        <w:ind w:firstLine="440" w:firstLineChars="200"/>
        <w:rPr>
          <w:rFonts w:hint="eastAsia" w:ascii="宋体" w:hAnsi="宋体" w:eastAsia="宋体" w:cs="宋体"/>
          <w:b/>
          <w:bCs/>
          <w:color w:val="auto"/>
          <w:sz w:val="22"/>
          <w:szCs w:val="22"/>
          <w:highlight w:val="none"/>
          <w:u w:val="single"/>
        </w:rPr>
      </w:pPr>
      <w:r>
        <w:rPr>
          <w:rFonts w:hint="eastAsia" w:ascii="宋体" w:hAnsi="宋体" w:eastAsia="宋体" w:cs="宋体"/>
          <w:color w:val="auto"/>
          <w:kern w:val="0"/>
          <w:sz w:val="22"/>
          <w:szCs w:val="22"/>
          <w:highlight w:val="none"/>
        </w:rPr>
        <w:t>8）</w:t>
      </w:r>
      <w:r>
        <w:rPr>
          <w:rFonts w:hint="eastAsia" w:ascii="宋体" w:hAnsi="宋体" w:eastAsia="宋体" w:cs="宋体"/>
          <w:b/>
          <w:bCs/>
          <w:color w:val="auto"/>
          <w:sz w:val="22"/>
          <w:szCs w:val="22"/>
          <w:highlight w:val="none"/>
          <w:u w:val="single"/>
        </w:rPr>
        <w:t>本项目报价一次性包干，平台对接中产生或因其它原因产生的所有费用，均不对项目总价构成影响。中标人不得以任何理由增加该项报价。采购人清单中的货物如有遗漏必须的设备或接口，请中标人自行配齐，成交后采购人将不予调整。</w:t>
      </w:r>
    </w:p>
    <w:p w14:paraId="7A7D78F3">
      <w:pPr>
        <w:pageBreakBefore w:val="0"/>
        <w:kinsoku/>
        <w:wordWrap/>
        <w:topLinePunct w:val="0"/>
        <w:bidi w:val="0"/>
        <w:snapToGrid/>
        <w:spacing w:line="360" w:lineRule="auto"/>
        <w:ind w:firstLine="442" w:firstLineChars="200"/>
        <w:rPr>
          <w:rFonts w:hint="eastAsia" w:ascii="宋体" w:hAnsi="宋体" w:eastAsia="宋体" w:cs="宋体"/>
          <w:b/>
          <w:bCs/>
          <w:color w:val="auto"/>
          <w:kern w:val="0"/>
          <w:sz w:val="22"/>
          <w:szCs w:val="22"/>
          <w:highlight w:val="none"/>
          <w:u w:val="single"/>
        </w:rPr>
      </w:pPr>
      <w:r>
        <w:rPr>
          <w:rFonts w:hint="eastAsia" w:ascii="宋体" w:hAnsi="宋体" w:eastAsia="宋体" w:cs="宋体"/>
          <w:b/>
          <w:bCs/>
          <w:color w:val="auto"/>
          <w:kern w:val="0"/>
          <w:sz w:val="22"/>
          <w:szCs w:val="22"/>
          <w:highlight w:val="none"/>
          <w:u w:val="none"/>
        </w:rPr>
        <w:t>9）</w:t>
      </w:r>
      <w:r>
        <w:rPr>
          <w:rFonts w:hint="eastAsia" w:ascii="宋体" w:hAnsi="宋体" w:eastAsia="宋体" w:cs="宋体"/>
          <w:b/>
          <w:bCs/>
          <w:color w:val="auto"/>
          <w:kern w:val="0"/>
          <w:sz w:val="22"/>
          <w:szCs w:val="22"/>
          <w:highlight w:val="none"/>
          <w:u w:val="single"/>
        </w:rPr>
        <w:t>质保期内，如有需要，必须免费配合采购人完成智慧服务三级、互联互通四甲、智慧医疗五级测评，并且完成相关改造。</w:t>
      </w:r>
    </w:p>
    <w:p w14:paraId="4AB218EE">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u w:val="single"/>
        </w:rPr>
      </w:pPr>
      <w:r>
        <w:rPr>
          <w:rFonts w:hint="eastAsia" w:ascii="宋体" w:hAnsi="宋体" w:cs="宋体"/>
          <w:b/>
          <w:bCs/>
          <w:color w:val="auto"/>
          <w:kern w:val="0"/>
          <w:sz w:val="22"/>
          <w:szCs w:val="22"/>
          <w:highlight w:val="none"/>
          <w:u w:val="none"/>
          <w:lang w:val="en-US" w:eastAsia="zh-CN"/>
        </w:rPr>
        <w:t>10</w:t>
      </w:r>
      <w:r>
        <w:rPr>
          <w:rFonts w:hint="eastAsia" w:ascii="宋体" w:hAnsi="宋体" w:eastAsia="宋体" w:cs="宋体"/>
          <w:b/>
          <w:bCs/>
          <w:color w:val="auto"/>
          <w:kern w:val="0"/>
          <w:sz w:val="22"/>
          <w:szCs w:val="22"/>
          <w:highlight w:val="none"/>
          <w:u w:val="none"/>
        </w:rPr>
        <w:t>）</w:t>
      </w:r>
      <w:r>
        <w:rPr>
          <w:rFonts w:hint="eastAsia" w:ascii="宋体" w:hAnsi="宋体" w:eastAsia="宋体" w:cs="宋体"/>
          <w:b/>
          <w:bCs/>
          <w:color w:val="auto"/>
          <w:sz w:val="22"/>
          <w:szCs w:val="22"/>
          <w:highlight w:val="none"/>
          <w:u w:val="single"/>
        </w:rPr>
        <w:t>如采购内容及技术要求有所遗漏进而造成采购人不能正常使用，中标人须免费提供以上配置清单所需的所有配件并承担项目实施中产生的相关费用。</w:t>
      </w:r>
    </w:p>
    <w:p w14:paraId="350BE22C">
      <w:pPr>
        <w:pageBreakBefore w:val="0"/>
        <w:kinsoku/>
        <w:wordWrap/>
        <w:topLinePunct w:val="0"/>
        <w:bidi w:val="0"/>
        <w:snapToGrid/>
        <w:spacing w:line="360" w:lineRule="auto"/>
        <w:ind w:firstLine="442" w:firstLineChars="20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kern w:val="0"/>
          <w:sz w:val="22"/>
          <w:szCs w:val="22"/>
          <w:highlight w:val="none"/>
          <w:u w:val="none"/>
        </w:rPr>
        <w:t>1</w:t>
      </w:r>
      <w:r>
        <w:rPr>
          <w:rFonts w:hint="eastAsia" w:ascii="宋体" w:hAnsi="宋体" w:cs="宋体"/>
          <w:b/>
          <w:bCs/>
          <w:color w:val="auto"/>
          <w:kern w:val="0"/>
          <w:sz w:val="22"/>
          <w:szCs w:val="22"/>
          <w:highlight w:val="none"/>
          <w:u w:val="none"/>
          <w:lang w:val="en-US" w:eastAsia="zh-CN"/>
        </w:rPr>
        <w:t>1</w:t>
      </w:r>
      <w:r>
        <w:rPr>
          <w:rFonts w:hint="eastAsia" w:ascii="宋体" w:hAnsi="宋体" w:eastAsia="宋体" w:cs="宋体"/>
          <w:b/>
          <w:bCs/>
          <w:color w:val="auto"/>
          <w:kern w:val="0"/>
          <w:sz w:val="22"/>
          <w:szCs w:val="22"/>
          <w:highlight w:val="none"/>
          <w:u w:val="none"/>
        </w:rPr>
        <w:t>）</w:t>
      </w:r>
      <w:r>
        <w:rPr>
          <w:rFonts w:hint="eastAsia" w:ascii="宋体" w:hAnsi="宋体" w:eastAsia="宋体" w:cs="宋体"/>
          <w:b/>
          <w:bCs/>
          <w:color w:val="auto"/>
          <w:sz w:val="22"/>
          <w:szCs w:val="22"/>
          <w:highlight w:val="none"/>
          <w:u w:val="single"/>
        </w:rPr>
        <w:t>如采购内容及技术要求有所遗漏进而造成采购人不能正常使用，中标人须免费提供以上配置清单所需的所有配件并承担项目实施中产生的相关费用。</w:t>
      </w:r>
    </w:p>
    <w:bookmarkEnd w:id="19"/>
    <w:bookmarkEnd w:id="20"/>
    <w:bookmarkEnd w:id="21"/>
    <w:bookmarkEnd w:id="22"/>
    <w:bookmarkEnd w:id="23"/>
    <w:p w14:paraId="5A670F0F">
      <w:pPr>
        <w:rPr>
          <w:rFonts w:cs="新宋体" w:asciiTheme="majorEastAsia" w:hAnsiTheme="majorEastAsia" w:eastAsiaTheme="majorEastAsia"/>
          <w:color w:val="auto"/>
          <w:sz w:val="30"/>
          <w:szCs w:val="30"/>
          <w:highlight w:val="none"/>
        </w:rPr>
      </w:pPr>
      <w:r>
        <w:rPr>
          <w:rFonts w:hint="eastAsia" w:cs="新宋体" w:asciiTheme="majorEastAsia" w:hAnsiTheme="majorEastAsia" w:eastAsiaTheme="majorEastAsia"/>
          <w:color w:val="auto"/>
          <w:sz w:val="30"/>
          <w:szCs w:val="30"/>
          <w:highlight w:val="none"/>
        </w:rPr>
        <w:br w:type="page"/>
      </w:r>
    </w:p>
    <w:p w14:paraId="19F0AFE9">
      <w:pPr>
        <w:pStyle w:val="40"/>
        <w:rPr>
          <w:rFonts w:cs="新宋体" w:asciiTheme="majorEastAsia" w:hAnsiTheme="majorEastAsia" w:eastAsiaTheme="majorEastAsia"/>
          <w:color w:val="auto"/>
          <w:sz w:val="30"/>
          <w:szCs w:val="30"/>
          <w:highlight w:val="none"/>
        </w:rPr>
      </w:pPr>
      <w:bookmarkStart w:id="227" w:name="_Toc15919"/>
      <w:r>
        <w:rPr>
          <w:rFonts w:hint="eastAsia" w:cs="新宋体" w:asciiTheme="majorEastAsia" w:hAnsiTheme="majorEastAsia" w:eastAsiaTheme="majorEastAsia"/>
          <w:color w:val="auto"/>
          <w:sz w:val="30"/>
          <w:szCs w:val="30"/>
          <w:highlight w:val="none"/>
        </w:rPr>
        <w:t>第三部分 供应商须知</w:t>
      </w:r>
      <w:bookmarkEnd w:id="24"/>
      <w:bookmarkEnd w:id="25"/>
      <w:bookmarkEnd w:id="227"/>
    </w:p>
    <w:p w14:paraId="286F8720">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8"/>
          <w:szCs w:val="28"/>
          <w:highlight w:val="none"/>
        </w:rPr>
      </w:pPr>
      <w:bookmarkStart w:id="228" w:name="_Toc461563852"/>
      <w:bookmarkStart w:id="229" w:name="_Toc3034"/>
      <w:r>
        <w:rPr>
          <w:rFonts w:hint="eastAsia" w:cs="Arial" w:asciiTheme="majorEastAsia" w:hAnsiTheme="majorEastAsia" w:eastAsiaTheme="majorEastAsia"/>
          <w:b/>
          <w:bCs/>
          <w:color w:val="auto"/>
          <w:sz w:val="28"/>
          <w:szCs w:val="28"/>
          <w:highlight w:val="none"/>
        </w:rPr>
        <w:t>一、说明</w:t>
      </w:r>
      <w:bookmarkEnd w:id="228"/>
      <w:bookmarkEnd w:id="229"/>
    </w:p>
    <w:p w14:paraId="1DAA2D96">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1、本次采购工作是按照《中华人民共和国政府采购法》、</w:t>
      </w:r>
      <w:r>
        <w:rPr>
          <w:rFonts w:hint="eastAsia" w:ascii="新宋体" w:hAnsi="新宋体" w:eastAsia="新宋体" w:cs="新宋体"/>
          <w:color w:val="auto"/>
          <w:sz w:val="22"/>
          <w:szCs w:val="22"/>
          <w:highlight w:val="none"/>
        </w:rPr>
        <w:t>《中华人民共和国政府采购法实施条例》、</w:t>
      </w:r>
      <w:r>
        <w:rPr>
          <w:rFonts w:hint="eastAsia" w:cs="新宋体" w:asciiTheme="majorEastAsia" w:hAnsiTheme="majorEastAsia" w:eastAsiaTheme="majorEastAsia"/>
          <w:color w:val="auto"/>
          <w:sz w:val="22"/>
          <w:szCs w:val="22"/>
          <w:highlight w:val="none"/>
        </w:rPr>
        <w:t>《政府采购货物和服务招标投标管理办法》及相关法律规章组织和实施。</w:t>
      </w:r>
    </w:p>
    <w:p w14:paraId="3F430E2B">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2、供应商必须对全部内容进行投标报价，只对部分内容进行投标报价的供应商将按无效投标处理。</w:t>
      </w:r>
    </w:p>
    <w:p w14:paraId="168D171A">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3、无论投标过程中的作法和结果如何，供应商自行承担投标活动中所发生的全部费用。</w:t>
      </w:r>
    </w:p>
    <w:p w14:paraId="6B640F02">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供应商须自行现场勘察，确认采购人的实际需求，取得准确的报价依据。如果认为招标文件描述或所列范围、面积与实际情况有较大出入，请在规定的招标质疑截止时间前列出详细的异议意见和数据向采购代理机构书面反映，逾期不得再对招标文件的条款提出质疑，视为接受招标文件，</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中标后不得以各种理由提出增价要求，否则做投标违约处理，采购人有权取消其中标资格。</w:t>
      </w:r>
    </w:p>
    <w:p w14:paraId="3DBC9556">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5、本项目采购预算见采购公告。</w:t>
      </w:r>
    </w:p>
    <w:p w14:paraId="44912EB9">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lang w:val="zh-CN"/>
        </w:rPr>
        <w:t>6、</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认为完成本招标文件规定的项目承包内容所发生的直接成本、间接成本、利润、税金、政策性文件规定的费用等一切费用均应计入投标报价，凡未列入的将被认为均已包含在投标总价中，今后不得以任何理由追加或调整。</w:t>
      </w:r>
    </w:p>
    <w:p w14:paraId="1170B8CA">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7、</w:t>
      </w:r>
      <w:r>
        <w:rPr>
          <w:rFonts w:cs="新宋体" w:asciiTheme="majorEastAsia" w:hAnsiTheme="majorEastAsia" w:eastAsiaTheme="majorEastAsia"/>
          <w:color w:val="auto"/>
          <w:sz w:val="22"/>
          <w:szCs w:val="22"/>
          <w:highlight w:val="none"/>
        </w:rPr>
        <w:t>采用最低评标价法的采购项目，提供相同品牌产品的不同</w:t>
      </w:r>
      <w:r>
        <w:rPr>
          <w:rFonts w:hint="eastAsia" w:cs="新宋体" w:asciiTheme="majorEastAsia" w:hAnsiTheme="majorEastAsia" w:eastAsiaTheme="majorEastAsia"/>
          <w:color w:val="auto"/>
          <w:sz w:val="22"/>
          <w:szCs w:val="22"/>
          <w:highlight w:val="none"/>
          <w:lang w:eastAsia="zh-CN"/>
        </w:rPr>
        <w:t>投标人</w:t>
      </w:r>
      <w:r>
        <w:rPr>
          <w:rFonts w:cs="新宋体" w:asciiTheme="majorEastAsia" w:hAnsiTheme="majorEastAsia" w:eastAsiaTheme="majorEastAsia"/>
          <w:color w:val="auto"/>
          <w:sz w:val="22"/>
          <w:szCs w:val="22"/>
          <w:highlight w:val="none"/>
        </w:rPr>
        <w:t>参加同一合同项下投标的，以其中通过资格审查、符合性审查且报价最低的参加评标；报价相同的，采取随机抽取方式确定，其他投标无效。</w:t>
      </w:r>
    </w:p>
    <w:p w14:paraId="49B54D52">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cs="新宋体" w:asciiTheme="majorEastAsia" w:hAnsiTheme="majorEastAsia" w:eastAsiaTheme="majorEastAsia"/>
          <w:color w:val="auto"/>
          <w:sz w:val="22"/>
          <w:szCs w:val="22"/>
          <w:highlight w:val="none"/>
        </w:rPr>
        <w:t>使用综合评分法的采购项目，提供相同品牌产品且通过资格审查、符合性审查的不同</w:t>
      </w:r>
      <w:r>
        <w:rPr>
          <w:rFonts w:hint="eastAsia" w:cs="新宋体" w:asciiTheme="majorEastAsia" w:hAnsiTheme="majorEastAsia" w:eastAsiaTheme="majorEastAsia"/>
          <w:color w:val="auto"/>
          <w:sz w:val="22"/>
          <w:szCs w:val="22"/>
          <w:highlight w:val="none"/>
          <w:lang w:eastAsia="zh-CN"/>
        </w:rPr>
        <w:t>投标人</w:t>
      </w:r>
      <w:r>
        <w:rPr>
          <w:rFonts w:cs="新宋体" w:asciiTheme="majorEastAsia" w:hAnsiTheme="majorEastAsia" w:eastAsiaTheme="majorEastAsia"/>
          <w:color w:val="auto"/>
          <w:sz w:val="22"/>
          <w:szCs w:val="22"/>
          <w:highlight w:val="none"/>
        </w:rPr>
        <w:t>参加同一合同项下投标的，按一家</w:t>
      </w:r>
      <w:r>
        <w:rPr>
          <w:rFonts w:hint="eastAsia" w:cs="新宋体" w:asciiTheme="majorEastAsia" w:hAnsiTheme="majorEastAsia" w:eastAsiaTheme="majorEastAsia"/>
          <w:color w:val="auto"/>
          <w:sz w:val="22"/>
          <w:szCs w:val="22"/>
          <w:highlight w:val="none"/>
          <w:lang w:eastAsia="zh-CN"/>
        </w:rPr>
        <w:t>投标人</w:t>
      </w:r>
      <w:r>
        <w:rPr>
          <w:rFonts w:cs="新宋体" w:asciiTheme="majorEastAsia" w:hAnsiTheme="majorEastAsia" w:eastAsiaTheme="majorEastAsia"/>
          <w:color w:val="auto"/>
          <w:sz w:val="22"/>
          <w:szCs w:val="22"/>
          <w:highlight w:val="none"/>
        </w:rPr>
        <w:t>计算，评审后得分最高的同品牌</w:t>
      </w:r>
      <w:r>
        <w:rPr>
          <w:rFonts w:hint="eastAsia" w:cs="新宋体" w:asciiTheme="majorEastAsia" w:hAnsiTheme="majorEastAsia" w:eastAsiaTheme="majorEastAsia"/>
          <w:color w:val="auto"/>
          <w:sz w:val="22"/>
          <w:szCs w:val="22"/>
          <w:highlight w:val="none"/>
          <w:lang w:eastAsia="zh-CN"/>
        </w:rPr>
        <w:t>投标人</w:t>
      </w:r>
      <w:r>
        <w:rPr>
          <w:rFonts w:cs="新宋体" w:asciiTheme="majorEastAsia" w:hAnsiTheme="majorEastAsia" w:eastAsiaTheme="majorEastAsia"/>
          <w:color w:val="auto"/>
          <w:sz w:val="22"/>
          <w:szCs w:val="22"/>
          <w:highlight w:val="none"/>
        </w:rPr>
        <w:t>获得中标人推荐资格；评审得分相同的，采取随机抽取方式确定，其他同品牌</w:t>
      </w:r>
      <w:r>
        <w:rPr>
          <w:rFonts w:hint="eastAsia" w:cs="新宋体" w:asciiTheme="majorEastAsia" w:hAnsiTheme="majorEastAsia" w:eastAsiaTheme="majorEastAsia"/>
          <w:color w:val="auto"/>
          <w:sz w:val="22"/>
          <w:szCs w:val="22"/>
          <w:highlight w:val="none"/>
          <w:lang w:eastAsia="zh-CN"/>
        </w:rPr>
        <w:t>投标人</w:t>
      </w:r>
      <w:r>
        <w:rPr>
          <w:rFonts w:cs="新宋体" w:asciiTheme="majorEastAsia" w:hAnsiTheme="majorEastAsia" w:eastAsiaTheme="majorEastAsia"/>
          <w:color w:val="auto"/>
          <w:sz w:val="22"/>
          <w:szCs w:val="22"/>
          <w:highlight w:val="none"/>
        </w:rPr>
        <w:t>不作为中标候选人。</w:t>
      </w:r>
    </w:p>
    <w:p w14:paraId="66A9D3ED">
      <w:pPr>
        <w:widowControl/>
        <w:autoSpaceDE w:val="0"/>
        <w:autoSpaceDN w:val="0"/>
        <w:adjustRightInd w:val="0"/>
        <w:spacing w:line="460" w:lineRule="atLeast"/>
        <w:ind w:firstLine="464" w:firstLineChars="200"/>
        <w:textAlignment w:val="bottom"/>
        <w:rPr>
          <w:rFonts w:cs="新宋体" w:asciiTheme="majorEastAsia" w:hAnsiTheme="majorEastAsia" w:eastAsiaTheme="majorEastAsia"/>
          <w:color w:val="auto"/>
          <w:sz w:val="22"/>
          <w:szCs w:val="22"/>
          <w:highlight w:val="none"/>
        </w:rPr>
      </w:pPr>
      <w:r>
        <w:rPr>
          <w:rFonts w:hint="eastAsia" w:ascii="新宋体" w:hAnsi="新宋体" w:eastAsia="新宋体" w:cs="宋体"/>
          <w:bCs/>
          <w:color w:val="auto"/>
          <w:spacing w:val="6"/>
          <w:sz w:val="22"/>
          <w:szCs w:val="22"/>
          <w:highlight w:val="none"/>
        </w:rPr>
        <w:t>非单一产品采购项目，采购人应当根据采购项目技术构成、产品价格比重等合理确定核心产品，并在采购文件中载明。多家供应商提供的核心产品品牌相同的，按前两款规定处理</w:t>
      </w:r>
      <w:r>
        <w:rPr>
          <w:rFonts w:hint="eastAsia" w:cs="新宋体" w:asciiTheme="majorEastAsia" w:hAnsiTheme="majorEastAsia" w:eastAsiaTheme="majorEastAsia"/>
          <w:color w:val="auto"/>
          <w:sz w:val="22"/>
          <w:szCs w:val="22"/>
          <w:highlight w:val="none"/>
        </w:rPr>
        <w:t>。</w:t>
      </w:r>
    </w:p>
    <w:p w14:paraId="7C9C7FF4">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8、</w:t>
      </w:r>
      <w:r>
        <w:rPr>
          <w:rFonts w:cs="新宋体" w:asciiTheme="majorEastAsia" w:hAnsiTheme="majorEastAsia" w:eastAsiaTheme="majorEastAsia"/>
          <w:color w:val="auto"/>
          <w:sz w:val="22"/>
          <w:szCs w:val="22"/>
          <w:highlight w:val="none"/>
        </w:rPr>
        <w:t>本项目对符合财政扶持政策的中小企业（小型、微型）、监狱企业、残疾人福利性单位给予价格优惠扶持，执行节能产品政府强制采购和优先采购政策，执行环境标志产品政府优先采购政策；</w:t>
      </w:r>
    </w:p>
    <w:p w14:paraId="2E07C49E">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9、“政采金融服务：政采云平台目前为供应商提供政采贷、履约保函、预付款保函等相关金融服务，相关操作帮助及情况介绍见以下链接：https://jinrong.zcygov.cn/finance-service/#/help”</w:t>
      </w:r>
      <w:r>
        <w:rPr>
          <w:rFonts w:cs="新宋体" w:asciiTheme="majorEastAsia" w:hAnsiTheme="majorEastAsia" w:eastAsiaTheme="majorEastAsia"/>
          <w:color w:val="auto"/>
          <w:sz w:val="22"/>
          <w:szCs w:val="22"/>
          <w:highlight w:val="none"/>
        </w:rPr>
        <w:t>。</w:t>
      </w:r>
    </w:p>
    <w:p w14:paraId="196E1056">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10、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1C162C15">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非浙江政府采购网注册的供应商或发生变更且未及时更新的供应商，应当在规定时间内按照《浙江省政府采购供应商注册及诚信管理暂行办法》（浙财采监字［2009］28号）的相关规定及时办理更新或供应商注册事项。一旦被确定为中标人的，在合同签订前按本办法的规定完成注册并成为正式注册供应商</w:t>
      </w:r>
    </w:p>
    <w:p w14:paraId="4C8C9C6D">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12、</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代表指全权代表</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参加投标活动并签署投标文件的人。如果</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代表是法定代表人的，仅须提供身份证扫描件；如果</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代表不是法定代表人，须持有《法定代表人授权书》。</w:t>
      </w:r>
    </w:p>
    <w:p w14:paraId="4F5260ED">
      <w:pPr>
        <w:widowControl/>
        <w:autoSpaceDE w:val="0"/>
        <w:autoSpaceDN w:val="0"/>
        <w:adjustRightInd w:val="0"/>
        <w:spacing w:line="460" w:lineRule="atLeast"/>
        <w:ind w:firstLine="420" w:firstLineChars="200"/>
        <w:textAlignment w:val="bottom"/>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13、</w:t>
      </w:r>
      <w:r>
        <w:rPr>
          <w:rFonts w:hint="eastAsia" w:cs="新宋体" w:asciiTheme="majorEastAsia" w:hAnsiTheme="majorEastAsia" w:eastAsiaTheme="majorEastAsia"/>
          <w:color w:val="auto"/>
          <w:sz w:val="22"/>
          <w:szCs w:val="22"/>
          <w:highlight w:val="none"/>
        </w:rPr>
        <w:t>《浙江省财政厅关于进一步加大政府采购支持中小企业力度助力扎实稳住经济的通知》（浙财采监（2022）8号）已于2022年7月1日开始实施，此前有关规定与上述文件内容不一致的，按上述文件要求执行。</w:t>
      </w:r>
    </w:p>
    <w:p w14:paraId="3E4BD436">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8"/>
          <w:szCs w:val="28"/>
          <w:highlight w:val="none"/>
        </w:rPr>
      </w:pPr>
      <w:bookmarkStart w:id="230" w:name="_Toc461563853"/>
      <w:bookmarkStart w:id="231" w:name="_Toc13701"/>
      <w:r>
        <w:rPr>
          <w:rFonts w:hint="eastAsia" w:cs="Arial" w:asciiTheme="majorEastAsia" w:hAnsiTheme="majorEastAsia" w:eastAsiaTheme="majorEastAsia"/>
          <w:b/>
          <w:bCs/>
          <w:color w:val="auto"/>
          <w:sz w:val="28"/>
          <w:szCs w:val="28"/>
          <w:highlight w:val="none"/>
        </w:rPr>
        <w:t>二、供应商资格条件</w:t>
      </w:r>
      <w:bookmarkEnd w:id="230"/>
      <w:bookmarkEnd w:id="231"/>
    </w:p>
    <w:p w14:paraId="6625DD3C">
      <w:pPr>
        <w:autoSpaceDE w:val="0"/>
        <w:autoSpaceDN w:val="0"/>
        <w:adjustRightInd w:val="0"/>
        <w:spacing w:line="450" w:lineRule="exact"/>
        <w:ind w:firstLine="440" w:firstLineChars="200"/>
        <w:rPr>
          <w:rFonts w:cs="新宋体" w:asciiTheme="majorEastAsia" w:hAnsiTheme="majorEastAsia" w:eastAsiaTheme="majorEastAsia"/>
          <w:color w:val="auto"/>
          <w:sz w:val="22"/>
          <w:szCs w:val="22"/>
          <w:highlight w:val="none"/>
          <w:lang w:val="zh-CN"/>
        </w:rPr>
      </w:pPr>
      <w:r>
        <w:rPr>
          <w:rFonts w:hint="eastAsia" w:cs="新宋体" w:asciiTheme="majorEastAsia" w:hAnsiTheme="majorEastAsia" w:eastAsiaTheme="majorEastAsia"/>
          <w:color w:val="auto"/>
          <w:sz w:val="22"/>
          <w:szCs w:val="22"/>
          <w:highlight w:val="none"/>
          <w:lang w:val="zh-CN"/>
        </w:rPr>
        <w:t>按招标公告要求。</w:t>
      </w:r>
    </w:p>
    <w:p w14:paraId="6D90361D">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8"/>
          <w:szCs w:val="28"/>
          <w:highlight w:val="none"/>
        </w:rPr>
      </w:pPr>
      <w:bookmarkStart w:id="232" w:name="_Toc461563854"/>
      <w:bookmarkStart w:id="233" w:name="_Toc13744"/>
      <w:r>
        <w:rPr>
          <w:rFonts w:hint="eastAsia" w:cs="Arial" w:asciiTheme="majorEastAsia" w:hAnsiTheme="majorEastAsia" w:eastAsiaTheme="majorEastAsia"/>
          <w:b/>
          <w:bCs/>
          <w:color w:val="auto"/>
          <w:sz w:val="28"/>
          <w:szCs w:val="28"/>
          <w:highlight w:val="none"/>
        </w:rPr>
        <w:t>三、招标文件</w:t>
      </w:r>
      <w:bookmarkEnd w:id="232"/>
      <w:bookmarkEnd w:id="233"/>
    </w:p>
    <w:p w14:paraId="045B83F4">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1、招标文件</w:t>
      </w:r>
    </w:p>
    <w:p w14:paraId="250100B9">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1.1招标文件约束力</w:t>
      </w:r>
    </w:p>
    <w:p w14:paraId="67F10795">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u w:val="single"/>
        </w:rPr>
      </w:pPr>
      <w:r>
        <w:rPr>
          <w:rFonts w:hint="eastAsia" w:cs="新宋体" w:asciiTheme="majorEastAsia" w:hAnsiTheme="majorEastAsia" w:eastAsiaTheme="majorEastAsia"/>
          <w:color w:val="auto"/>
          <w:sz w:val="22"/>
          <w:szCs w:val="22"/>
          <w:highlight w:val="none"/>
        </w:rPr>
        <w:t>▲</w:t>
      </w:r>
      <w:r>
        <w:rPr>
          <w:rFonts w:hint="eastAsia" w:cs="新宋体" w:asciiTheme="majorEastAsia" w:hAnsiTheme="majorEastAsia" w:eastAsiaTheme="majorEastAsia"/>
          <w:b/>
          <w:color w:val="auto"/>
          <w:sz w:val="22"/>
          <w:szCs w:val="22"/>
          <w:highlight w:val="none"/>
          <w:u w:val="single"/>
        </w:rPr>
        <w:t>供应商一旦获取了本招标文件并参加投标，即被认为接受了本招标文件中所有条款和规定。</w:t>
      </w:r>
    </w:p>
    <w:p w14:paraId="6E4A329E">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1.2招标文件的组成</w:t>
      </w:r>
    </w:p>
    <w:p w14:paraId="7D033BCD">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招标文件由招标文件总目录所列内容及补充资料等组成。</w:t>
      </w:r>
    </w:p>
    <w:p w14:paraId="6BA0B9B7">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2、质疑</w:t>
      </w:r>
    </w:p>
    <w:p w14:paraId="023FF931">
      <w:pPr>
        <w:autoSpaceDE w:val="0"/>
        <w:autoSpaceDN w:val="0"/>
        <w:adjustRightInd w:val="0"/>
        <w:spacing w:line="460" w:lineRule="atLeast"/>
        <w:ind w:firstLine="440" w:firstLineChars="200"/>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color w:val="auto"/>
          <w:sz w:val="22"/>
          <w:szCs w:val="22"/>
          <w:highlight w:val="none"/>
        </w:rPr>
        <w:t>2.1供应商认为采购文件、采购过程、中标或者成交结果使自己的权益受到损害的，可以在知道或者应知其权益受到损害之日起7个工作日内，以书面形式（包括信函、传真，下同）或政采云系统向采购人、采购代理机构提出质疑。逾期提出的，采购组织机构将不予受理、答复。</w:t>
      </w:r>
      <w:r>
        <w:rPr>
          <w:rFonts w:hint="eastAsia" w:cs="新宋体" w:asciiTheme="majorEastAsia" w:hAnsiTheme="majorEastAsia" w:eastAsiaTheme="majorEastAsia"/>
          <w:b/>
          <w:color w:val="auto"/>
          <w:sz w:val="22"/>
          <w:szCs w:val="22"/>
          <w:highlight w:val="none"/>
        </w:rPr>
        <w:t>任何口头答复均不作为投标依据。</w:t>
      </w:r>
    </w:p>
    <w:p w14:paraId="7EA1444D">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2.2供应商提出质疑应当提交质疑函和必要的证明材料，质疑函范本请到“浙江政府采购网下载专区”下载，质疑函内容及签署等相关要求请参看《政府采购质疑和投诉办法》相关规定。</w:t>
      </w:r>
    </w:p>
    <w:p w14:paraId="58494D07">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2.3提出质疑的供应商应当是参与本项目招标活动的供应商。供应商在法定质疑期内一次性提出针对同一采购程序环节的质疑。</w:t>
      </w:r>
    </w:p>
    <w:p w14:paraId="1EA42AB5">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2.4根据《政府采购质疑和投诉办法》第三十七条的规定，投诉人在全国范围12个月内三次以上投诉查无实据的，由财政部门列入不良行为记录名单。</w:t>
      </w:r>
    </w:p>
    <w:p w14:paraId="2E9761C9">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3、投诉</w:t>
      </w:r>
    </w:p>
    <w:p w14:paraId="7DAA4AD1">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3.1质疑供应商对采购人、采购代理机构的答复不满意或者采购人、采购代理机构未在规定的时间内作出答复的，可以在答复期满后十五个工作日内向同级政府采购监督部门投诉。投诉书范本请到“浙江政府采购网下载专区”下载。</w:t>
      </w:r>
    </w:p>
    <w:p w14:paraId="5970553F">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4、招标文件</w:t>
      </w:r>
      <w:r>
        <w:rPr>
          <w:rFonts w:hint="eastAsia" w:ascii="新宋体" w:hAnsi="新宋体" w:eastAsia="新宋体" w:cs="新宋体"/>
          <w:color w:val="auto"/>
          <w:sz w:val="22"/>
          <w:szCs w:val="22"/>
          <w:highlight w:val="none"/>
        </w:rPr>
        <w:t>的澄清或修改</w:t>
      </w:r>
    </w:p>
    <w:p w14:paraId="0859F5EE">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4.1</w:t>
      </w:r>
      <w:r>
        <w:rPr>
          <w:rFonts w:ascii="宋体"/>
          <w:color w:val="auto"/>
          <w:sz w:val="22"/>
          <w:szCs w:val="22"/>
          <w:highlight w:val="none"/>
        </w:rPr>
        <w:t>采购人或者采购代理机构可以对已发出的采购文件进行必要的澄清或者修改。澄清或者修改在浙江政府采购网上发布公告，同时政采云系统会向所有已按采购文件规定方式获取采购文件的潜在</w:t>
      </w:r>
      <w:r>
        <w:rPr>
          <w:rFonts w:hint="eastAsia" w:ascii="宋体"/>
          <w:color w:val="auto"/>
          <w:sz w:val="22"/>
          <w:szCs w:val="22"/>
          <w:highlight w:val="none"/>
          <w:lang w:eastAsia="zh-CN"/>
        </w:rPr>
        <w:t>投标人</w:t>
      </w:r>
      <w:r>
        <w:rPr>
          <w:rFonts w:ascii="宋体"/>
          <w:color w:val="auto"/>
          <w:sz w:val="22"/>
          <w:szCs w:val="22"/>
          <w:highlight w:val="none"/>
        </w:rPr>
        <w:t>发送更正提醒信息，潜在</w:t>
      </w:r>
      <w:r>
        <w:rPr>
          <w:rFonts w:hint="eastAsia" w:ascii="宋体"/>
          <w:color w:val="auto"/>
          <w:sz w:val="22"/>
          <w:szCs w:val="22"/>
          <w:highlight w:val="none"/>
          <w:lang w:eastAsia="zh-CN"/>
        </w:rPr>
        <w:t>投标人</w:t>
      </w:r>
      <w:r>
        <w:rPr>
          <w:rFonts w:ascii="宋体"/>
          <w:color w:val="auto"/>
          <w:sz w:val="22"/>
          <w:szCs w:val="22"/>
          <w:highlight w:val="none"/>
        </w:rPr>
        <w:t>请自行到浙江省政府采购网上</w:t>
      </w:r>
      <w:r>
        <w:rPr>
          <w:rFonts w:hint="eastAsia" w:ascii="宋体"/>
          <w:color w:val="auto"/>
          <w:sz w:val="22"/>
          <w:szCs w:val="22"/>
          <w:highlight w:val="none"/>
        </w:rPr>
        <w:t>查看</w:t>
      </w:r>
      <w:r>
        <w:rPr>
          <w:rFonts w:ascii="宋体"/>
          <w:color w:val="auto"/>
          <w:sz w:val="22"/>
          <w:szCs w:val="22"/>
          <w:highlight w:val="none"/>
        </w:rPr>
        <w:t>更正</w:t>
      </w:r>
      <w:r>
        <w:rPr>
          <w:rFonts w:hint="eastAsia" w:ascii="宋体"/>
          <w:color w:val="auto"/>
          <w:sz w:val="22"/>
          <w:szCs w:val="22"/>
          <w:highlight w:val="none"/>
        </w:rPr>
        <w:t>（澄清或补充）公告</w:t>
      </w:r>
      <w:r>
        <w:rPr>
          <w:rFonts w:ascii="宋体"/>
          <w:color w:val="auto"/>
          <w:sz w:val="22"/>
          <w:szCs w:val="22"/>
          <w:highlight w:val="none"/>
        </w:rPr>
        <w:t>，潜在</w:t>
      </w:r>
      <w:r>
        <w:rPr>
          <w:rFonts w:hint="eastAsia" w:ascii="宋体"/>
          <w:color w:val="auto"/>
          <w:sz w:val="22"/>
          <w:szCs w:val="22"/>
          <w:highlight w:val="none"/>
          <w:lang w:eastAsia="zh-CN"/>
        </w:rPr>
        <w:t>投标人</w:t>
      </w:r>
      <w:r>
        <w:rPr>
          <w:rFonts w:ascii="宋体"/>
          <w:color w:val="auto"/>
          <w:sz w:val="22"/>
          <w:szCs w:val="22"/>
          <w:highlight w:val="none"/>
        </w:rPr>
        <w:t>在收到该公告后应于1日内，以书面或传真形式（签署意见并加盖公章）向采购代理机构回函给予确认。过期未回复的，视为默认接受。澄清或者修改的内容为采购文件的组成部分</w:t>
      </w:r>
      <w:r>
        <w:rPr>
          <w:rFonts w:hint="eastAsia" w:cs="新宋体" w:asciiTheme="majorEastAsia" w:hAnsiTheme="majorEastAsia" w:eastAsiaTheme="majorEastAsia"/>
          <w:color w:val="auto"/>
          <w:sz w:val="22"/>
          <w:szCs w:val="22"/>
          <w:highlight w:val="none"/>
        </w:rPr>
        <w:t>，对所有</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均有约束力。</w:t>
      </w:r>
    </w:p>
    <w:p w14:paraId="7E425B81">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4.2澄清或者修改的内容可能影响投标文件编制的，采购人或者采购代理机构在投标截止时间至少15日前，以书面形式通知所有获取招标文件的潜在</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；不足15日的，采购人或者采购代理机构顺延提交投标文件的截止时间。</w:t>
      </w:r>
    </w:p>
    <w:p w14:paraId="6C89D1E7">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4.3补充、更正文件在浙江政府采购网（http://www.zjzfcg.gov.cn/）予以公告公布。</w:t>
      </w:r>
      <w:bookmarkEnd w:id="1"/>
      <w:r>
        <w:rPr>
          <w:rFonts w:hint="eastAsia" w:asciiTheme="majorEastAsia" w:hAnsiTheme="majorEastAsia" w:eastAsiaTheme="majorEastAsia"/>
          <w:b/>
          <w:bCs/>
          <w:color w:val="auto"/>
          <w:sz w:val="22"/>
          <w:szCs w:val="22"/>
          <w:highlight w:val="none"/>
        </w:rPr>
        <w:t>供应商须在开标前一日自行查看是否有补充更正文件，并按补充更正文件要求响应，否则责任自负。</w:t>
      </w:r>
    </w:p>
    <w:p w14:paraId="200CEE09">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8"/>
          <w:szCs w:val="28"/>
          <w:highlight w:val="none"/>
        </w:rPr>
      </w:pPr>
      <w:bookmarkStart w:id="234" w:name="_Toc496116252"/>
      <w:bookmarkStart w:id="235" w:name="_Toc24086"/>
      <w:r>
        <w:rPr>
          <w:rFonts w:hint="eastAsia" w:cs="Arial" w:asciiTheme="majorEastAsia" w:hAnsiTheme="majorEastAsia" w:eastAsiaTheme="majorEastAsia"/>
          <w:b/>
          <w:bCs/>
          <w:color w:val="auto"/>
          <w:sz w:val="28"/>
          <w:szCs w:val="28"/>
          <w:highlight w:val="none"/>
        </w:rPr>
        <w:t>四、投标文件</w:t>
      </w:r>
      <w:bookmarkEnd w:id="234"/>
      <w:bookmarkEnd w:id="235"/>
    </w:p>
    <w:p w14:paraId="52D7D0AE">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1、投标文件</w:t>
      </w:r>
    </w:p>
    <w:p w14:paraId="6B514824">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1.1供应商提交的投标文件以及供应商与采购人就有关投标的所有来往函电均应使用中文。供应商可以提交用其它语言印制的资料，但必须译成中文，在有差异和矛盾时以中文为准。</w:t>
      </w:r>
    </w:p>
    <w:p w14:paraId="1DB386E5">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1.2供应商应仔细阅读招标文件中的所有内容，按照招标文件及招标要求，详细编制投标文件。并对招标文件的要求做出实质上响应。实质上响应的投标应该是与招标文件要求的条款没有重大偏离的投标。未实质上响应的投标文件将被拒绝，但允许在基本满足招标技术要求的前提下出现的微小差异。</w:t>
      </w:r>
    </w:p>
    <w:p w14:paraId="5655334E">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1.3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4866E2A6">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1.4供应商应仔细阅读招标文件中的所有内容，按照招标文件要求，详细编制投标文件，所有文件资料必须是针对本次投标。不按招标文件的要求提供的投标文件可能导致被拒绝。</w:t>
      </w:r>
    </w:p>
    <w:p w14:paraId="649222F0">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lang w:val="zh-CN"/>
        </w:rPr>
      </w:pPr>
      <w:r>
        <w:rPr>
          <w:rFonts w:hint="eastAsia" w:cs="新宋体" w:asciiTheme="majorEastAsia" w:hAnsiTheme="majorEastAsia" w:eastAsiaTheme="majorEastAsia"/>
          <w:color w:val="auto"/>
          <w:sz w:val="22"/>
          <w:szCs w:val="22"/>
          <w:highlight w:val="none"/>
          <w:lang w:val="zh-CN"/>
        </w:rPr>
        <w:t>2、投标文件的组成</w:t>
      </w:r>
    </w:p>
    <w:p w14:paraId="73818615">
      <w:pPr>
        <w:autoSpaceDE w:val="0"/>
        <w:autoSpaceDN w:val="0"/>
        <w:adjustRightInd w:val="0"/>
        <w:spacing w:line="460" w:lineRule="atLeast"/>
        <w:ind w:firstLine="442" w:firstLineChars="200"/>
        <w:rPr>
          <w:rFonts w:cs="新宋体" w:asciiTheme="majorEastAsia" w:hAnsiTheme="majorEastAsia" w:eastAsiaTheme="majorEastAsia"/>
          <w:b/>
          <w:color w:val="auto"/>
          <w:sz w:val="22"/>
          <w:szCs w:val="22"/>
          <w:highlight w:val="none"/>
          <w:lang w:val="zh-CN"/>
        </w:rPr>
      </w:pPr>
      <w:r>
        <w:rPr>
          <w:rFonts w:hint="eastAsia" w:cs="新宋体" w:asciiTheme="majorEastAsia" w:hAnsiTheme="majorEastAsia" w:eastAsiaTheme="majorEastAsia"/>
          <w:b/>
          <w:bCs/>
          <w:color w:val="auto"/>
          <w:sz w:val="22"/>
          <w:szCs w:val="22"/>
          <w:highlight w:val="none"/>
          <w:u w:val="single"/>
        </w:rPr>
        <w:t>投标文件由资格证明文件、报价文件部分和技术资信部分三部分组成。</w:t>
      </w:r>
    </w:p>
    <w:p w14:paraId="3E004043">
      <w:pPr>
        <w:autoSpaceDE w:val="0"/>
        <w:autoSpaceDN w:val="0"/>
        <w:adjustRightInd w:val="0"/>
        <w:spacing w:line="450" w:lineRule="atLeast"/>
        <w:ind w:firstLine="442" w:firstLineChars="200"/>
        <w:rPr>
          <w:rFonts w:cs="仿宋_GB2312" w:asciiTheme="majorEastAsia" w:hAnsiTheme="majorEastAsia" w:eastAsiaTheme="majorEastAsia"/>
          <w:b/>
          <w:color w:val="auto"/>
          <w:sz w:val="22"/>
          <w:szCs w:val="22"/>
          <w:highlight w:val="none"/>
          <w:u w:val="single"/>
          <w:lang w:val="zh-CN"/>
        </w:rPr>
      </w:pPr>
      <w:bookmarkStart w:id="236" w:name="_Toc132122412"/>
      <w:bookmarkStart w:id="237" w:name="_Toc132122115"/>
      <w:r>
        <w:rPr>
          <w:rFonts w:hint="eastAsia" w:cs="仿宋_GB2312" w:asciiTheme="majorEastAsia" w:hAnsiTheme="majorEastAsia" w:eastAsiaTheme="majorEastAsia"/>
          <w:b/>
          <w:color w:val="auto"/>
          <w:sz w:val="22"/>
          <w:szCs w:val="22"/>
          <w:highlight w:val="none"/>
          <w:u w:val="single"/>
          <w:lang w:val="zh-CN"/>
        </w:rPr>
        <w:t>2.1资格证明文件部分组成</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7956"/>
        <w:gridCol w:w="1100"/>
      </w:tblGrid>
      <w:tr w14:paraId="7F56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tcBorders>
              <w:top w:val="single" w:color="auto" w:sz="4" w:space="0"/>
              <w:left w:val="single" w:color="auto" w:sz="4" w:space="0"/>
              <w:bottom w:val="single" w:color="auto" w:sz="4" w:space="0"/>
              <w:right w:val="single" w:color="auto" w:sz="4" w:space="0"/>
            </w:tcBorders>
            <w:vAlign w:val="center"/>
          </w:tcPr>
          <w:p w14:paraId="788B58C3">
            <w:pPr>
              <w:autoSpaceDE w:val="0"/>
              <w:autoSpaceDN w:val="0"/>
              <w:adjustRightInd w:val="0"/>
              <w:snapToGrid w:val="0"/>
              <w:spacing w:line="430" w:lineRule="atLeast"/>
              <w:jc w:val="center"/>
              <w:rPr>
                <w:rFonts w:ascii="宋体" w:hAnsi="宋体" w:cs="宋体"/>
                <w:b/>
                <w:bCs/>
                <w:color w:val="auto"/>
                <w:sz w:val="22"/>
                <w:szCs w:val="22"/>
                <w:highlight w:val="none"/>
                <w:lang w:val="zh-CN"/>
              </w:rPr>
            </w:pPr>
            <w:r>
              <w:rPr>
                <w:rFonts w:hint="eastAsia" w:ascii="宋体" w:hAnsi="宋体" w:cs="宋体"/>
                <w:color w:val="auto"/>
                <w:sz w:val="22"/>
                <w:szCs w:val="22"/>
                <w:highlight w:val="none"/>
                <w:lang w:val="zh-CN"/>
              </w:rPr>
              <w:t>序号</w:t>
            </w:r>
          </w:p>
        </w:tc>
        <w:tc>
          <w:tcPr>
            <w:tcW w:w="7956" w:type="dxa"/>
            <w:tcBorders>
              <w:top w:val="single" w:color="auto" w:sz="4" w:space="0"/>
              <w:left w:val="single" w:color="auto" w:sz="4" w:space="0"/>
              <w:bottom w:val="single" w:color="auto" w:sz="4" w:space="0"/>
              <w:right w:val="single" w:color="auto" w:sz="4" w:space="0"/>
            </w:tcBorders>
          </w:tcPr>
          <w:p w14:paraId="47BCFB01">
            <w:pPr>
              <w:autoSpaceDE w:val="0"/>
              <w:autoSpaceDN w:val="0"/>
              <w:adjustRightInd w:val="0"/>
              <w:snapToGrid w:val="0"/>
              <w:spacing w:line="430" w:lineRule="atLeast"/>
              <w:jc w:val="center"/>
              <w:rPr>
                <w:rFonts w:ascii="宋体" w:hAnsi="宋体" w:cs="宋体"/>
                <w:b/>
                <w:bCs/>
                <w:color w:val="auto"/>
                <w:sz w:val="22"/>
                <w:szCs w:val="22"/>
                <w:highlight w:val="none"/>
                <w:lang w:val="zh-CN"/>
              </w:rPr>
            </w:pPr>
            <w:r>
              <w:rPr>
                <w:rFonts w:hint="eastAsia" w:asciiTheme="majorEastAsia" w:hAnsiTheme="majorEastAsia" w:eastAsiaTheme="majorEastAsia"/>
                <w:color w:val="auto"/>
                <w:sz w:val="22"/>
                <w:szCs w:val="22"/>
                <w:highlight w:val="none"/>
                <w:u w:val="single"/>
                <w:lang w:val="zh-CN"/>
              </w:rPr>
              <w:t>内容（▲以下资格证明文件必须提供，否则不能通过资格审查的，责任自负</w:t>
            </w:r>
            <w:r>
              <w:rPr>
                <w:rFonts w:hint="eastAsia" w:asciiTheme="majorEastAsia" w:hAnsiTheme="majorEastAsia" w:eastAsiaTheme="majorEastAsia"/>
                <w:color w:val="auto"/>
                <w:sz w:val="22"/>
                <w:szCs w:val="22"/>
                <w:highlight w:val="none"/>
                <w:lang w:val="zh-CN"/>
              </w:rPr>
              <w:t>）</w:t>
            </w:r>
          </w:p>
        </w:tc>
        <w:tc>
          <w:tcPr>
            <w:tcW w:w="1100" w:type="dxa"/>
            <w:tcBorders>
              <w:top w:val="single" w:color="auto" w:sz="4" w:space="0"/>
              <w:left w:val="single" w:color="auto" w:sz="4" w:space="0"/>
              <w:bottom w:val="single" w:color="auto" w:sz="4" w:space="0"/>
              <w:right w:val="single" w:color="auto" w:sz="4" w:space="0"/>
            </w:tcBorders>
          </w:tcPr>
          <w:p w14:paraId="0E1AE9A2">
            <w:pPr>
              <w:autoSpaceDE w:val="0"/>
              <w:autoSpaceDN w:val="0"/>
              <w:adjustRightInd w:val="0"/>
              <w:snapToGrid w:val="0"/>
              <w:spacing w:line="430" w:lineRule="atLeast"/>
              <w:jc w:val="center"/>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备注</w:t>
            </w:r>
          </w:p>
        </w:tc>
      </w:tr>
      <w:tr w14:paraId="74FA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tcBorders>
              <w:top w:val="single" w:color="auto" w:sz="4" w:space="0"/>
              <w:left w:val="single" w:color="auto" w:sz="4" w:space="0"/>
              <w:bottom w:val="single" w:color="auto" w:sz="4" w:space="0"/>
              <w:right w:val="single" w:color="auto" w:sz="4" w:space="0"/>
            </w:tcBorders>
            <w:vAlign w:val="center"/>
          </w:tcPr>
          <w:p w14:paraId="226CB767">
            <w:pPr>
              <w:tabs>
                <w:tab w:val="left" w:pos="4140"/>
              </w:tabs>
              <w:adjustRightInd w:val="0"/>
              <w:snapToGrid w:val="0"/>
              <w:spacing w:line="320" w:lineRule="atLeast"/>
              <w:jc w:val="center"/>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1</w:t>
            </w:r>
          </w:p>
        </w:tc>
        <w:tc>
          <w:tcPr>
            <w:tcW w:w="7956" w:type="dxa"/>
            <w:tcBorders>
              <w:top w:val="single" w:color="auto" w:sz="4" w:space="0"/>
              <w:left w:val="single" w:color="auto" w:sz="4" w:space="0"/>
              <w:bottom w:val="single" w:color="auto" w:sz="4" w:space="0"/>
              <w:right w:val="single" w:color="auto" w:sz="4" w:space="0"/>
            </w:tcBorders>
          </w:tcPr>
          <w:p w14:paraId="1EF2A794">
            <w:pPr>
              <w:tabs>
                <w:tab w:val="left" w:pos="4140"/>
              </w:tabs>
              <w:adjustRightInd w:val="0"/>
              <w:snapToGrid w:val="0"/>
              <w:spacing w:line="320" w:lineRule="atLeast"/>
              <w:rPr>
                <w:rFonts w:ascii="宋体" w:hAnsi="宋体" w:cs="宋体"/>
                <w:color w:val="auto"/>
                <w:sz w:val="22"/>
                <w:szCs w:val="22"/>
                <w:highlight w:val="none"/>
                <w:lang w:val="zh-CN"/>
              </w:rPr>
            </w:pP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的营业执照（或事业法人登记证书或其它工商等登记证明材料）、税务登记证（如为多证合一仅需提供营业执照（或事业法人登记证书或其它工商等登记证明材料），扫描件加盖公章）</w:t>
            </w:r>
          </w:p>
        </w:tc>
        <w:tc>
          <w:tcPr>
            <w:tcW w:w="1100" w:type="dxa"/>
            <w:tcBorders>
              <w:top w:val="single" w:color="auto" w:sz="4" w:space="0"/>
              <w:left w:val="single" w:color="auto" w:sz="4" w:space="0"/>
              <w:bottom w:val="single" w:color="auto" w:sz="4" w:space="0"/>
              <w:right w:val="single" w:color="auto" w:sz="4" w:space="0"/>
            </w:tcBorders>
          </w:tcPr>
          <w:p w14:paraId="00A405EB">
            <w:pPr>
              <w:tabs>
                <w:tab w:val="left" w:pos="4140"/>
              </w:tabs>
              <w:adjustRightInd w:val="0"/>
              <w:snapToGrid w:val="0"/>
              <w:spacing w:line="320" w:lineRule="atLeast"/>
              <w:rPr>
                <w:rFonts w:ascii="宋体" w:hAnsi="宋体" w:cs="宋体"/>
                <w:color w:val="auto"/>
                <w:sz w:val="22"/>
                <w:szCs w:val="22"/>
                <w:highlight w:val="none"/>
              </w:rPr>
            </w:pPr>
          </w:p>
        </w:tc>
      </w:tr>
      <w:tr w14:paraId="3CED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tcBorders>
              <w:top w:val="single" w:color="auto" w:sz="4" w:space="0"/>
              <w:left w:val="single" w:color="auto" w:sz="4" w:space="0"/>
              <w:bottom w:val="single" w:color="auto" w:sz="4" w:space="0"/>
              <w:right w:val="single" w:color="auto" w:sz="4" w:space="0"/>
            </w:tcBorders>
            <w:vAlign w:val="center"/>
          </w:tcPr>
          <w:p w14:paraId="458928C2">
            <w:pPr>
              <w:tabs>
                <w:tab w:val="left" w:pos="4140"/>
              </w:tabs>
              <w:adjustRightInd w:val="0"/>
              <w:snapToGrid w:val="0"/>
              <w:spacing w:line="320" w:lineRule="atLeast"/>
              <w:jc w:val="center"/>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2</w:t>
            </w:r>
          </w:p>
        </w:tc>
        <w:tc>
          <w:tcPr>
            <w:tcW w:w="7956" w:type="dxa"/>
            <w:tcBorders>
              <w:top w:val="single" w:color="auto" w:sz="4" w:space="0"/>
              <w:left w:val="single" w:color="auto" w:sz="4" w:space="0"/>
              <w:bottom w:val="single" w:color="auto" w:sz="4" w:space="0"/>
              <w:right w:val="single" w:color="auto" w:sz="4" w:space="0"/>
            </w:tcBorders>
          </w:tcPr>
          <w:p w14:paraId="22EDD3CE">
            <w:pPr>
              <w:tabs>
                <w:tab w:val="left" w:pos="4140"/>
              </w:tabs>
              <w:adjustRightInd w:val="0"/>
              <w:snapToGrid w:val="0"/>
              <w:spacing w:line="320" w:lineRule="atLeast"/>
              <w:rPr>
                <w:rFonts w:ascii="宋体" w:hAnsi="宋体" w:cs="宋体"/>
                <w:color w:val="auto"/>
                <w:sz w:val="22"/>
                <w:szCs w:val="22"/>
                <w:highlight w:val="none"/>
              </w:rPr>
            </w:pPr>
            <w:r>
              <w:rPr>
                <w:rFonts w:hint="eastAsia" w:ascii="宋体" w:hAnsi="宋体" w:cs="宋体"/>
                <w:color w:val="auto"/>
                <w:sz w:val="22"/>
                <w:szCs w:val="22"/>
                <w:highlight w:val="none"/>
                <w:lang w:val="zh-CN"/>
              </w:rPr>
              <w:t>具有财务会计制度、设备和专业技术能力、</w:t>
            </w:r>
            <w:r>
              <w:rPr>
                <w:rFonts w:hint="eastAsia" w:ascii="宋体" w:hAnsi="宋体" w:cs="宋体"/>
                <w:color w:val="auto"/>
                <w:sz w:val="22"/>
                <w:szCs w:val="22"/>
                <w:highlight w:val="none"/>
              </w:rPr>
              <w:t>依法</w:t>
            </w:r>
            <w:r>
              <w:rPr>
                <w:rFonts w:hint="eastAsia" w:ascii="宋体" w:hAnsi="宋体" w:cs="宋体"/>
                <w:color w:val="auto"/>
                <w:sz w:val="22"/>
                <w:szCs w:val="22"/>
                <w:highlight w:val="none"/>
                <w:lang w:val="zh-CN"/>
              </w:rPr>
              <w:t>缴纳税收和社会保障资金</w:t>
            </w:r>
            <w:r>
              <w:rPr>
                <w:rFonts w:hint="eastAsia" w:ascii="宋体" w:hAnsi="宋体" w:cs="宋体"/>
                <w:color w:val="auto"/>
                <w:sz w:val="22"/>
                <w:szCs w:val="22"/>
                <w:highlight w:val="none"/>
              </w:rPr>
              <w:t>记录</w:t>
            </w: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rPr>
              <w:t>无</w:t>
            </w:r>
            <w:r>
              <w:rPr>
                <w:rFonts w:hint="eastAsia" w:ascii="宋体" w:hAnsi="宋体" w:cs="宋体"/>
                <w:color w:val="auto"/>
                <w:sz w:val="22"/>
                <w:szCs w:val="22"/>
                <w:highlight w:val="none"/>
                <w:lang w:val="zh-CN"/>
              </w:rPr>
              <w:t>重大违法记录的承诺函</w:t>
            </w:r>
          </w:p>
        </w:tc>
        <w:tc>
          <w:tcPr>
            <w:tcW w:w="1100" w:type="dxa"/>
            <w:tcBorders>
              <w:top w:val="single" w:color="auto" w:sz="4" w:space="0"/>
              <w:left w:val="single" w:color="auto" w:sz="4" w:space="0"/>
              <w:bottom w:val="single" w:color="auto" w:sz="4" w:space="0"/>
              <w:right w:val="single" w:color="auto" w:sz="4" w:space="0"/>
            </w:tcBorders>
          </w:tcPr>
          <w:p w14:paraId="23093BEB">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附件一</w:t>
            </w:r>
          </w:p>
        </w:tc>
      </w:tr>
      <w:tr w14:paraId="64DA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tcBorders>
              <w:top w:val="single" w:color="auto" w:sz="4" w:space="0"/>
              <w:left w:val="single" w:color="auto" w:sz="4" w:space="0"/>
              <w:bottom w:val="single" w:color="auto" w:sz="4" w:space="0"/>
              <w:right w:val="single" w:color="auto" w:sz="4" w:space="0"/>
            </w:tcBorders>
            <w:vAlign w:val="center"/>
          </w:tcPr>
          <w:p w14:paraId="25A95355">
            <w:pPr>
              <w:tabs>
                <w:tab w:val="left" w:pos="4140"/>
              </w:tabs>
              <w:adjustRightInd w:val="0"/>
              <w:snapToGrid w:val="0"/>
              <w:spacing w:line="320" w:lineRule="atLeast"/>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7956" w:type="dxa"/>
            <w:tcBorders>
              <w:top w:val="single" w:color="auto" w:sz="4" w:space="0"/>
              <w:left w:val="single" w:color="auto" w:sz="4" w:space="0"/>
              <w:bottom w:val="single" w:color="auto" w:sz="4" w:space="0"/>
              <w:right w:val="single" w:color="auto" w:sz="4" w:space="0"/>
            </w:tcBorders>
          </w:tcPr>
          <w:p w14:paraId="3F0E0C48">
            <w:pPr>
              <w:tabs>
                <w:tab w:val="left" w:pos="4140"/>
              </w:tabs>
              <w:adjustRightInd w:val="0"/>
              <w:snapToGrid w:val="0"/>
              <w:spacing w:line="320" w:lineRule="atLeast"/>
              <w:rPr>
                <w:rFonts w:ascii="宋体" w:hAnsi="宋体" w:cs="宋体"/>
                <w:b/>
                <w:color w:val="auto"/>
                <w:sz w:val="22"/>
                <w:szCs w:val="22"/>
                <w:highlight w:val="none"/>
              </w:rPr>
            </w:pPr>
            <w:r>
              <w:rPr>
                <w:rFonts w:hint="eastAsia" w:ascii="宋体" w:hAnsi="宋体" w:cs="宋体"/>
                <w:color w:val="auto"/>
                <w:sz w:val="22"/>
                <w:szCs w:val="22"/>
                <w:highlight w:val="none"/>
                <w:lang w:eastAsia="zh-CN"/>
              </w:rPr>
              <w:t>投标人</w:t>
            </w:r>
            <w:r>
              <w:rPr>
                <w:rFonts w:hint="eastAsia" w:ascii="宋体" w:hAnsi="宋体" w:cs="宋体"/>
                <w:b/>
                <w:color w:val="auto"/>
                <w:sz w:val="22"/>
                <w:szCs w:val="22"/>
                <w:highlight w:val="none"/>
              </w:rPr>
              <w:t>同时提供以下</w:t>
            </w:r>
            <w:r>
              <w:rPr>
                <w:rFonts w:hint="eastAsia" w:ascii="宋体" w:hAnsi="宋体" w:cs="宋体"/>
                <w:color w:val="auto"/>
                <w:sz w:val="22"/>
                <w:szCs w:val="22"/>
                <w:highlight w:val="none"/>
              </w:rPr>
              <w:t>信用记录查询网页截图或报告（采购公告发布之日至投标文件递交截止时间前关于</w:t>
            </w: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信用记录的查询网页）</w:t>
            </w:r>
            <w:r>
              <w:rPr>
                <w:rFonts w:hint="eastAsia" w:ascii="宋体" w:hAnsi="宋体" w:cs="宋体"/>
                <w:b/>
                <w:color w:val="auto"/>
                <w:sz w:val="22"/>
                <w:szCs w:val="22"/>
                <w:highlight w:val="none"/>
              </w:rPr>
              <w:t>：</w:t>
            </w:r>
          </w:p>
          <w:p w14:paraId="5AD6E443">
            <w:pPr>
              <w:tabs>
                <w:tab w:val="left" w:pos="4140"/>
              </w:tabs>
              <w:adjustRightInd w:val="0"/>
              <w:snapToGrid w:val="0"/>
              <w:spacing w:line="320" w:lineRule="atLeast"/>
              <w:rPr>
                <w:rFonts w:ascii="宋体" w:hAnsi="宋体" w:cs="宋体"/>
                <w:color w:val="auto"/>
                <w:sz w:val="22"/>
                <w:szCs w:val="22"/>
                <w:highlight w:val="none"/>
              </w:rPr>
            </w:pPr>
            <w:r>
              <w:rPr>
                <w:rFonts w:hint="eastAsia" w:ascii="宋体" w:hAnsi="宋体" w:cs="宋体"/>
                <w:color w:val="auto"/>
                <w:sz w:val="22"/>
                <w:szCs w:val="22"/>
                <w:highlight w:val="none"/>
              </w:rPr>
              <w:t>（1）“信用中国”(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50"/>
                <w:rFonts w:hint="eastAsia" w:ascii="宋体" w:hAnsi="宋体" w:cs="宋体"/>
                <w:color w:val="auto"/>
                <w:sz w:val="22"/>
                <w:szCs w:val="22"/>
                <w:highlight w:val="none"/>
              </w:rPr>
              <w:t>www.creditchina.gov.cn</w:t>
            </w:r>
            <w:r>
              <w:rPr>
                <w:rStyle w:val="50"/>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)，在信用中国首页搜索栏中直接输入</w:t>
            </w: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全称搜索信用信息，再找到并点击</w:t>
            </w:r>
            <w:r>
              <w:rPr>
                <w:rFonts w:hint="eastAsia" w:ascii="宋体" w:hAnsi="宋体" w:cs="宋体"/>
                <w:color w:val="auto"/>
                <w:sz w:val="22"/>
                <w:szCs w:val="22"/>
                <w:highlight w:val="none"/>
                <w:lang w:val="en-US" w:eastAsia="zh-CN"/>
              </w:rPr>
              <w:t>进入</w:t>
            </w: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全称的查询页面。</w:t>
            </w:r>
          </w:p>
          <w:p w14:paraId="53FC84B7">
            <w:pPr>
              <w:tabs>
                <w:tab w:val="left" w:pos="4140"/>
              </w:tabs>
              <w:adjustRightInd w:val="0"/>
              <w:snapToGrid w:val="0"/>
              <w:spacing w:line="320" w:lineRule="atLeas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（2）“中国政府采购网”（</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rStyle w:val="50"/>
                <w:rFonts w:ascii="宋体" w:hAnsi="宋体" w:cs="宋体"/>
                <w:color w:val="auto"/>
                <w:sz w:val="22"/>
                <w:szCs w:val="22"/>
                <w:highlight w:val="none"/>
              </w:rPr>
              <w:t>www.ccgp.gov.cn/search/cr/</w:t>
            </w:r>
            <w:r>
              <w:rPr>
                <w:rStyle w:val="50"/>
                <w:rFonts w:ascii="宋体" w:hAnsi="宋体" w:cs="宋体"/>
                <w:color w:val="auto"/>
                <w:sz w:val="22"/>
                <w:szCs w:val="22"/>
                <w:highlight w:val="none"/>
              </w:rPr>
              <w:fldChar w:fldCharType="end"/>
            </w:r>
            <w:r>
              <w:rPr>
                <w:rFonts w:hint="eastAsia" w:ascii="宋体" w:hAnsi="宋体" w:cs="宋体"/>
                <w:color w:val="auto"/>
                <w:sz w:val="22"/>
                <w:szCs w:val="22"/>
                <w:highlight w:val="none"/>
              </w:rPr>
              <w:t>）</w:t>
            </w:r>
            <w:r>
              <w:rPr>
                <w:rFonts w:hint="eastAsia" w:ascii="宋体" w:hAnsi="宋体" w:cs="宋体"/>
                <w:color w:val="auto"/>
                <w:sz w:val="22"/>
                <w:szCs w:val="22"/>
                <w:highlight w:val="none"/>
                <w:lang w:eastAsia="zh-CN"/>
              </w:rPr>
              <w:t>，在“政府采购严重违法失信行为记录名单”。</w:t>
            </w:r>
          </w:p>
          <w:p w14:paraId="6D6FCF82">
            <w:pPr>
              <w:rPr>
                <w:rFonts w:cs="宋体" w:asciiTheme="majorEastAsia" w:hAnsiTheme="majorEastAsia" w:eastAsiaTheme="majorEastAsia"/>
                <w:color w:val="auto"/>
                <w:sz w:val="22"/>
                <w:szCs w:val="22"/>
                <w:highlight w:val="none"/>
              </w:rPr>
            </w:pPr>
            <w:r>
              <w:rPr>
                <w:rFonts w:hint="eastAsia"/>
                <w:color w:val="auto"/>
                <w:highlight w:val="none"/>
              </w:rPr>
              <w:t>注：</w:t>
            </w:r>
            <w:r>
              <w:rPr>
                <w:rFonts w:hint="eastAsia" w:cs="宋体" w:asciiTheme="majorEastAsia" w:hAnsiTheme="majorEastAsia" w:eastAsiaTheme="majorEastAsia"/>
                <w:color w:val="auto"/>
                <w:sz w:val="22"/>
                <w:szCs w:val="22"/>
                <w:highlight w:val="none"/>
              </w:rPr>
              <w:t>①若供应商查询页面“行政处罚”栏显示有行政处罚事项，须将所有行政处罚事项在“信用中国”网页上列出的明细一并打印，并附说明，是否属于“经营活动中的重大违法记录”。</w:t>
            </w:r>
          </w:p>
          <w:p w14:paraId="21747BBC">
            <w:pPr>
              <w:pStyle w:val="10"/>
              <w:ind w:firstLine="442"/>
              <w:rPr>
                <w:color w:val="auto"/>
                <w:highlight w:val="none"/>
              </w:rPr>
            </w:pPr>
            <w:r>
              <w:rPr>
                <w:rFonts w:hint="eastAsia" w:asciiTheme="majorEastAsia" w:hAnsiTheme="majorEastAsia" w:eastAsiaTheme="majorEastAsia"/>
                <w:color w:val="auto"/>
                <w:sz w:val="22"/>
                <w:szCs w:val="22"/>
                <w:highlight w:val="none"/>
              </w:rPr>
              <w:t>②若供应商在“信用中国”无数据，亦须将搜索结果页面打印，并附说明。</w:t>
            </w:r>
          </w:p>
        </w:tc>
        <w:tc>
          <w:tcPr>
            <w:tcW w:w="1100" w:type="dxa"/>
            <w:tcBorders>
              <w:top w:val="single" w:color="auto" w:sz="4" w:space="0"/>
              <w:left w:val="single" w:color="auto" w:sz="4" w:space="0"/>
              <w:bottom w:val="single" w:color="auto" w:sz="4" w:space="0"/>
              <w:right w:val="single" w:color="auto" w:sz="4" w:space="0"/>
            </w:tcBorders>
          </w:tcPr>
          <w:p w14:paraId="4C3AC5ED">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p>
        </w:tc>
      </w:tr>
      <w:tr w14:paraId="0148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98" w:type="dxa"/>
            <w:tcBorders>
              <w:top w:val="single" w:color="auto" w:sz="4" w:space="0"/>
              <w:left w:val="single" w:color="auto" w:sz="4" w:space="0"/>
              <w:bottom w:val="single" w:color="auto" w:sz="4" w:space="0"/>
              <w:right w:val="single" w:color="auto" w:sz="4" w:space="0"/>
            </w:tcBorders>
            <w:vAlign w:val="center"/>
          </w:tcPr>
          <w:p w14:paraId="6B98FA08">
            <w:pPr>
              <w:tabs>
                <w:tab w:val="left" w:pos="4140"/>
              </w:tabs>
              <w:adjustRightInd w:val="0"/>
              <w:snapToGrid w:val="0"/>
              <w:spacing w:line="320" w:lineRule="atLeast"/>
              <w:jc w:val="center"/>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7956" w:type="dxa"/>
            <w:tcBorders>
              <w:top w:val="single" w:color="auto" w:sz="4" w:space="0"/>
              <w:left w:val="single" w:color="auto" w:sz="4" w:space="0"/>
              <w:bottom w:val="single" w:color="auto" w:sz="4" w:space="0"/>
              <w:right w:val="single" w:color="auto" w:sz="4" w:space="0"/>
            </w:tcBorders>
          </w:tcPr>
          <w:p w14:paraId="493FBABF">
            <w:pPr>
              <w:tabs>
                <w:tab w:val="left" w:pos="4140"/>
              </w:tabs>
              <w:adjustRightInd w:val="0"/>
              <w:snapToGrid w:val="0"/>
              <w:spacing w:line="320" w:lineRule="atLeast"/>
              <w:rPr>
                <w:rFonts w:ascii="宋体" w:hAnsi="宋体" w:cs="宋体"/>
                <w:color w:val="auto"/>
                <w:sz w:val="22"/>
                <w:szCs w:val="22"/>
                <w:highlight w:val="none"/>
              </w:rPr>
            </w:pPr>
            <w:r>
              <w:rPr>
                <w:rFonts w:hint="eastAsia" w:ascii="宋体" w:hAnsi="宋体" w:cs="宋体"/>
                <w:color w:val="auto"/>
                <w:sz w:val="22"/>
                <w:szCs w:val="22"/>
                <w:highlight w:val="none"/>
              </w:rPr>
              <w:t>与参加本次项目同一合同项下政府采购活动的其他供应商不存在单位负责人为同一人或者直接控股、管理关系的承诺函</w:t>
            </w:r>
          </w:p>
        </w:tc>
        <w:tc>
          <w:tcPr>
            <w:tcW w:w="1100" w:type="dxa"/>
            <w:tcBorders>
              <w:top w:val="single" w:color="auto" w:sz="4" w:space="0"/>
              <w:left w:val="single" w:color="auto" w:sz="4" w:space="0"/>
              <w:bottom w:val="single" w:color="auto" w:sz="4" w:space="0"/>
              <w:right w:val="single" w:color="auto" w:sz="4" w:space="0"/>
            </w:tcBorders>
            <w:vAlign w:val="center"/>
          </w:tcPr>
          <w:p w14:paraId="6D49B459">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附件二</w:t>
            </w:r>
          </w:p>
        </w:tc>
      </w:tr>
      <w:tr w14:paraId="5203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tcBorders>
              <w:top w:val="single" w:color="auto" w:sz="4" w:space="0"/>
              <w:left w:val="single" w:color="auto" w:sz="4" w:space="0"/>
              <w:bottom w:val="single" w:color="auto" w:sz="4" w:space="0"/>
              <w:right w:val="single" w:color="auto" w:sz="4" w:space="0"/>
            </w:tcBorders>
            <w:vAlign w:val="center"/>
          </w:tcPr>
          <w:p w14:paraId="2E53CC44">
            <w:pPr>
              <w:tabs>
                <w:tab w:val="left" w:pos="4140"/>
              </w:tabs>
              <w:adjustRightInd w:val="0"/>
              <w:snapToGrid w:val="0"/>
              <w:spacing w:line="320" w:lineRule="atLeast"/>
              <w:jc w:val="center"/>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7956" w:type="dxa"/>
            <w:tcBorders>
              <w:top w:val="single" w:color="auto" w:sz="4" w:space="0"/>
              <w:left w:val="single" w:color="auto" w:sz="4" w:space="0"/>
              <w:bottom w:val="single" w:color="auto" w:sz="4" w:space="0"/>
              <w:right w:val="single" w:color="auto" w:sz="4" w:space="0"/>
            </w:tcBorders>
          </w:tcPr>
          <w:p w14:paraId="21636606">
            <w:pPr>
              <w:tabs>
                <w:tab w:val="left" w:pos="4140"/>
              </w:tabs>
              <w:adjustRightInd w:val="0"/>
              <w:snapToGrid w:val="0"/>
              <w:spacing w:line="320" w:lineRule="atLeast"/>
              <w:rPr>
                <w:rFonts w:ascii="宋体" w:hAnsi="宋体" w:cs="宋体"/>
                <w:color w:val="auto"/>
                <w:sz w:val="22"/>
                <w:szCs w:val="22"/>
                <w:highlight w:val="none"/>
              </w:rPr>
            </w:pPr>
            <w:r>
              <w:rPr>
                <w:rFonts w:hint="eastAsia" w:ascii="宋体" w:hAnsi="宋体" w:cs="宋体"/>
                <w:color w:val="auto"/>
                <w:sz w:val="22"/>
                <w:szCs w:val="22"/>
                <w:highlight w:val="none"/>
              </w:rPr>
              <w:t>供应商法定代表人授权书（</w:t>
            </w:r>
            <w:r>
              <w:rPr>
                <w:rFonts w:hint="eastAsia" w:cs="宋体" w:asciiTheme="majorEastAsia" w:hAnsiTheme="majorEastAsia" w:eastAsiaTheme="majorEastAsia"/>
                <w:color w:val="auto"/>
                <w:sz w:val="22"/>
                <w:szCs w:val="22"/>
                <w:highlight w:val="none"/>
              </w:rPr>
              <w:t>如果</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代表是法定代表人的，仅须提供身份证扫描件；如果</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代表不是法定代表人，须持有《法定代表人授权书》</w:t>
            </w:r>
            <w:r>
              <w:rPr>
                <w:rFonts w:hint="eastAsia" w:ascii="宋体" w:hAnsi="宋体" w:cs="宋体"/>
                <w:color w:val="auto"/>
                <w:sz w:val="22"/>
                <w:szCs w:val="22"/>
                <w:highlight w:val="none"/>
              </w:rPr>
              <w:t>）</w:t>
            </w:r>
          </w:p>
        </w:tc>
        <w:tc>
          <w:tcPr>
            <w:tcW w:w="1100" w:type="dxa"/>
            <w:tcBorders>
              <w:top w:val="single" w:color="auto" w:sz="4" w:space="0"/>
              <w:left w:val="single" w:color="auto" w:sz="4" w:space="0"/>
              <w:bottom w:val="single" w:color="auto" w:sz="4" w:space="0"/>
              <w:right w:val="single" w:color="auto" w:sz="4" w:space="0"/>
            </w:tcBorders>
          </w:tcPr>
          <w:p w14:paraId="7691DA34">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附件三</w:t>
            </w:r>
          </w:p>
        </w:tc>
      </w:tr>
    </w:tbl>
    <w:p w14:paraId="391FDC74">
      <w:pPr>
        <w:autoSpaceDE w:val="0"/>
        <w:autoSpaceDN w:val="0"/>
        <w:adjustRightInd w:val="0"/>
        <w:spacing w:line="450" w:lineRule="atLeast"/>
        <w:ind w:firstLine="442" w:firstLineChars="200"/>
        <w:rPr>
          <w:rFonts w:cs="仿宋_GB2312" w:asciiTheme="majorEastAsia" w:hAnsiTheme="majorEastAsia" w:eastAsiaTheme="majorEastAsia"/>
          <w:b/>
          <w:color w:val="auto"/>
          <w:sz w:val="22"/>
          <w:szCs w:val="22"/>
          <w:highlight w:val="none"/>
          <w:u w:val="single"/>
          <w:lang w:val="zh-CN"/>
        </w:rPr>
      </w:pPr>
      <w:r>
        <w:rPr>
          <w:rFonts w:hint="eastAsia" w:cs="仿宋_GB2312" w:asciiTheme="majorEastAsia" w:hAnsiTheme="majorEastAsia" w:eastAsiaTheme="majorEastAsia"/>
          <w:b/>
          <w:color w:val="auto"/>
          <w:sz w:val="22"/>
          <w:szCs w:val="22"/>
          <w:highlight w:val="none"/>
          <w:u w:val="single"/>
          <w:lang w:val="zh-CN"/>
        </w:rPr>
        <w:t>2.2报价文件部分组成</w:t>
      </w:r>
    </w:p>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080"/>
        <w:gridCol w:w="1099"/>
      </w:tblGrid>
      <w:tr w14:paraId="18C1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32D54ED">
            <w:pPr>
              <w:autoSpaceDE w:val="0"/>
              <w:autoSpaceDN w:val="0"/>
              <w:adjustRightInd w:val="0"/>
              <w:snapToGrid w:val="0"/>
              <w:spacing w:line="430" w:lineRule="atLeast"/>
              <w:rPr>
                <w:rFonts w:asciiTheme="majorEastAsia" w:hAnsiTheme="majorEastAsia" w:eastAsiaTheme="majorEastAsia"/>
                <w:b/>
                <w:bCs/>
                <w:color w:val="auto"/>
                <w:sz w:val="22"/>
                <w:highlight w:val="none"/>
                <w:lang w:val="zh-CN"/>
              </w:rPr>
            </w:pPr>
            <w:r>
              <w:rPr>
                <w:rFonts w:hint="eastAsia" w:asciiTheme="majorEastAsia" w:hAnsiTheme="majorEastAsia" w:eastAsiaTheme="majorEastAsia"/>
                <w:color w:val="auto"/>
                <w:sz w:val="22"/>
                <w:szCs w:val="22"/>
                <w:highlight w:val="none"/>
                <w:lang w:val="zh-CN"/>
              </w:rPr>
              <w:t>序号</w:t>
            </w:r>
          </w:p>
        </w:tc>
        <w:tc>
          <w:tcPr>
            <w:tcW w:w="8080" w:type="dxa"/>
          </w:tcPr>
          <w:p w14:paraId="0908EF7C">
            <w:pPr>
              <w:autoSpaceDE w:val="0"/>
              <w:autoSpaceDN w:val="0"/>
              <w:adjustRightInd w:val="0"/>
              <w:snapToGrid w:val="0"/>
              <w:spacing w:line="430" w:lineRule="atLeast"/>
              <w:rPr>
                <w:rFonts w:asciiTheme="majorEastAsia" w:hAnsiTheme="majorEastAsia" w:eastAsiaTheme="majorEastAsia"/>
                <w:b/>
                <w:bCs/>
                <w:color w:val="auto"/>
                <w:sz w:val="22"/>
                <w:highlight w:val="none"/>
                <w:lang w:val="zh-CN"/>
              </w:rPr>
            </w:pPr>
            <w:r>
              <w:rPr>
                <w:rFonts w:hint="eastAsia" w:asciiTheme="majorEastAsia" w:hAnsiTheme="majorEastAsia" w:eastAsiaTheme="majorEastAsia"/>
                <w:color w:val="auto"/>
                <w:sz w:val="22"/>
                <w:szCs w:val="22"/>
                <w:highlight w:val="none"/>
                <w:lang w:val="zh-CN"/>
              </w:rPr>
              <w:t>内容（▲</w:t>
            </w:r>
            <w:r>
              <w:rPr>
                <w:rFonts w:hint="eastAsia" w:asciiTheme="majorEastAsia" w:hAnsiTheme="majorEastAsia" w:eastAsiaTheme="majorEastAsia"/>
                <w:color w:val="auto"/>
                <w:sz w:val="22"/>
                <w:szCs w:val="22"/>
                <w:highlight w:val="none"/>
                <w:u w:val="single"/>
                <w:lang w:val="zh-CN"/>
              </w:rPr>
              <w:t>序号</w:t>
            </w:r>
            <w:r>
              <w:rPr>
                <w:rFonts w:asciiTheme="majorEastAsia" w:hAnsiTheme="majorEastAsia" w:eastAsiaTheme="majorEastAsia"/>
                <w:color w:val="auto"/>
                <w:sz w:val="22"/>
                <w:szCs w:val="22"/>
                <w:highlight w:val="none"/>
                <w:u w:val="single"/>
                <w:lang w:val="zh-CN"/>
              </w:rPr>
              <w:t>1</w:t>
            </w:r>
            <w:r>
              <w:rPr>
                <w:rFonts w:hint="eastAsia" w:asciiTheme="majorEastAsia" w:hAnsiTheme="majorEastAsia" w:eastAsiaTheme="majorEastAsia"/>
                <w:color w:val="auto"/>
                <w:sz w:val="22"/>
                <w:szCs w:val="22"/>
                <w:highlight w:val="none"/>
                <w:u w:val="single"/>
                <w:lang w:val="zh-CN"/>
              </w:rPr>
              <w:t>、</w:t>
            </w:r>
            <w:r>
              <w:rPr>
                <w:rFonts w:hint="eastAsia" w:asciiTheme="majorEastAsia" w:hAnsiTheme="majorEastAsia" w:eastAsiaTheme="majorEastAsia"/>
                <w:color w:val="auto"/>
                <w:sz w:val="22"/>
                <w:szCs w:val="22"/>
                <w:highlight w:val="none"/>
                <w:u w:val="single"/>
              </w:rPr>
              <w:t>2</w:t>
            </w:r>
            <w:r>
              <w:rPr>
                <w:rFonts w:hint="eastAsia" w:asciiTheme="majorEastAsia" w:hAnsiTheme="majorEastAsia" w:eastAsiaTheme="majorEastAsia"/>
                <w:color w:val="auto"/>
                <w:sz w:val="22"/>
                <w:szCs w:val="22"/>
                <w:highlight w:val="none"/>
                <w:u w:val="single"/>
                <w:lang w:val="zh-CN"/>
              </w:rPr>
              <w:t>项供应商必须提供，否则不能通过符合性审查的，责任自负</w:t>
            </w:r>
            <w:r>
              <w:rPr>
                <w:rFonts w:hint="eastAsia" w:asciiTheme="majorEastAsia" w:hAnsiTheme="majorEastAsia" w:eastAsiaTheme="majorEastAsia"/>
                <w:color w:val="auto"/>
                <w:sz w:val="22"/>
                <w:szCs w:val="22"/>
                <w:highlight w:val="none"/>
                <w:lang w:val="zh-CN"/>
              </w:rPr>
              <w:t>）</w:t>
            </w:r>
          </w:p>
        </w:tc>
        <w:tc>
          <w:tcPr>
            <w:tcW w:w="1099" w:type="dxa"/>
          </w:tcPr>
          <w:p w14:paraId="442E6C7A">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lang w:val="zh-CN"/>
              </w:rPr>
            </w:pPr>
            <w:r>
              <w:rPr>
                <w:rFonts w:hint="eastAsia" w:asciiTheme="majorEastAsia" w:hAnsiTheme="majorEastAsia" w:eastAsiaTheme="majorEastAsia"/>
                <w:color w:val="auto"/>
                <w:sz w:val="22"/>
                <w:szCs w:val="22"/>
                <w:highlight w:val="none"/>
                <w:lang w:val="zh-CN"/>
              </w:rPr>
              <w:t>备注</w:t>
            </w:r>
          </w:p>
        </w:tc>
      </w:tr>
      <w:tr w14:paraId="0E76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8766F03">
            <w:pPr>
              <w:autoSpaceDE w:val="0"/>
              <w:autoSpaceDN w:val="0"/>
              <w:adjustRightInd w:val="0"/>
              <w:snapToGrid w:val="0"/>
              <w:spacing w:line="430" w:lineRule="atLeast"/>
              <w:jc w:val="center"/>
              <w:rPr>
                <w:rFonts w:asciiTheme="majorEastAsia" w:hAnsiTheme="majorEastAsia" w:eastAsiaTheme="majorEastAsia"/>
                <w:b/>
                <w:bCs/>
                <w:color w:val="auto"/>
                <w:sz w:val="22"/>
                <w:highlight w:val="none"/>
                <w:lang w:val="zh-CN"/>
              </w:rPr>
            </w:pPr>
            <w:r>
              <w:rPr>
                <w:rFonts w:asciiTheme="majorEastAsia" w:hAnsiTheme="majorEastAsia" w:eastAsiaTheme="majorEastAsia"/>
                <w:color w:val="auto"/>
                <w:sz w:val="22"/>
                <w:szCs w:val="22"/>
                <w:highlight w:val="none"/>
                <w:lang w:val="zh-CN"/>
              </w:rPr>
              <w:t>1</w:t>
            </w:r>
          </w:p>
        </w:tc>
        <w:tc>
          <w:tcPr>
            <w:tcW w:w="8080" w:type="dxa"/>
          </w:tcPr>
          <w:p w14:paraId="5470AA4A">
            <w:pPr>
              <w:autoSpaceDE w:val="0"/>
              <w:autoSpaceDN w:val="0"/>
              <w:adjustRightInd w:val="0"/>
              <w:spacing w:line="430" w:lineRule="atLeast"/>
              <w:textAlignment w:val="bottom"/>
              <w:rPr>
                <w:rFonts w:asciiTheme="majorEastAsia" w:hAnsiTheme="majorEastAsia" w:eastAsiaTheme="majorEastAsia"/>
                <w:b/>
                <w:bCs/>
                <w:color w:val="auto"/>
                <w:sz w:val="22"/>
                <w:highlight w:val="none"/>
              </w:rPr>
            </w:pPr>
            <w:r>
              <w:rPr>
                <w:rFonts w:hint="eastAsia" w:asciiTheme="majorEastAsia" w:hAnsiTheme="majorEastAsia" w:eastAsiaTheme="majorEastAsia"/>
                <w:color w:val="auto"/>
                <w:sz w:val="22"/>
                <w:szCs w:val="22"/>
                <w:highlight w:val="none"/>
              </w:rPr>
              <w:t>报价一览表</w:t>
            </w:r>
          </w:p>
        </w:tc>
        <w:tc>
          <w:tcPr>
            <w:tcW w:w="1099" w:type="dxa"/>
          </w:tcPr>
          <w:p w14:paraId="0D9F9D4B">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附件四</w:t>
            </w:r>
          </w:p>
        </w:tc>
      </w:tr>
      <w:tr w14:paraId="0EAE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221FD15">
            <w:pPr>
              <w:autoSpaceDE w:val="0"/>
              <w:autoSpaceDN w:val="0"/>
              <w:adjustRightInd w:val="0"/>
              <w:snapToGrid w:val="0"/>
              <w:spacing w:line="430" w:lineRule="atLeast"/>
              <w:jc w:val="center"/>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rPr>
              <w:t>2</w:t>
            </w:r>
          </w:p>
        </w:tc>
        <w:tc>
          <w:tcPr>
            <w:tcW w:w="8080" w:type="dxa"/>
          </w:tcPr>
          <w:p w14:paraId="4B81D60A">
            <w:pPr>
              <w:autoSpaceDE w:val="0"/>
              <w:autoSpaceDN w:val="0"/>
              <w:adjustRightInd w:val="0"/>
              <w:spacing w:line="430" w:lineRule="atLeast"/>
              <w:textAlignment w:val="bottom"/>
              <w:rPr>
                <w:rFonts w:cs="宋体" w:asciiTheme="majorEastAsia" w:hAnsiTheme="majorEastAsia" w:eastAsiaTheme="majorEastAsia"/>
                <w:bCs/>
                <w:color w:val="auto"/>
                <w:sz w:val="22"/>
                <w:szCs w:val="22"/>
                <w:highlight w:val="none"/>
              </w:rPr>
            </w:pPr>
            <w:r>
              <w:rPr>
                <w:rFonts w:hint="eastAsia" w:cs="宋体" w:asciiTheme="majorEastAsia" w:hAnsiTheme="majorEastAsia" w:eastAsiaTheme="majorEastAsia"/>
                <w:bCs/>
                <w:color w:val="auto"/>
                <w:sz w:val="22"/>
                <w:szCs w:val="22"/>
                <w:highlight w:val="none"/>
                <w:lang w:val="zh-CN"/>
              </w:rPr>
              <w:t>分项报价表</w:t>
            </w:r>
          </w:p>
        </w:tc>
        <w:tc>
          <w:tcPr>
            <w:tcW w:w="1099" w:type="dxa"/>
          </w:tcPr>
          <w:p w14:paraId="70CB4126">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附件五</w:t>
            </w:r>
          </w:p>
        </w:tc>
      </w:tr>
      <w:tr w14:paraId="1C27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3D0BA9E">
            <w:pPr>
              <w:autoSpaceDE w:val="0"/>
              <w:autoSpaceDN w:val="0"/>
              <w:adjustRightInd w:val="0"/>
              <w:snapToGrid w:val="0"/>
              <w:spacing w:line="430" w:lineRule="atLeast"/>
              <w:jc w:val="center"/>
              <w:rPr>
                <w:rFonts w:cs="宋体" w:asciiTheme="majorEastAsia" w:hAnsiTheme="majorEastAsia" w:eastAsiaTheme="majorEastAsia"/>
                <w:color w:val="auto"/>
                <w:sz w:val="22"/>
                <w:highlight w:val="none"/>
                <w:lang w:val="zh-CN"/>
              </w:rPr>
            </w:pPr>
            <w:r>
              <w:rPr>
                <w:rFonts w:hint="eastAsia" w:cs="宋体" w:asciiTheme="majorEastAsia" w:hAnsiTheme="majorEastAsia" w:eastAsiaTheme="majorEastAsia"/>
                <w:color w:val="auto"/>
                <w:sz w:val="22"/>
                <w:szCs w:val="22"/>
                <w:highlight w:val="none"/>
              </w:rPr>
              <w:t>3</w:t>
            </w:r>
          </w:p>
        </w:tc>
        <w:tc>
          <w:tcPr>
            <w:tcW w:w="8080" w:type="dxa"/>
          </w:tcPr>
          <w:p w14:paraId="29502CEC">
            <w:pPr>
              <w:autoSpaceDE w:val="0"/>
              <w:autoSpaceDN w:val="0"/>
              <w:adjustRightInd w:val="0"/>
              <w:snapToGrid w:val="0"/>
              <w:spacing w:line="430" w:lineRule="atLeast"/>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szCs w:val="22"/>
                <w:highlight w:val="none"/>
              </w:rPr>
              <w:t>享受小微企业（含监狱企业、残疾人福利性单位）价格折扣须按供应商单位性质提供以下相关的证明材料：</w:t>
            </w:r>
          </w:p>
          <w:p w14:paraId="62156DE0">
            <w:pPr>
              <w:autoSpaceDE w:val="0"/>
              <w:autoSpaceDN w:val="0"/>
              <w:adjustRightInd w:val="0"/>
              <w:snapToGrid w:val="0"/>
              <w:spacing w:line="430" w:lineRule="atLeast"/>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szCs w:val="22"/>
                <w:highlight w:val="none"/>
              </w:rPr>
              <w:t>（1）《中小企业声明函》（原件，加盖供应商公章，格式见招标文件第四部分）</w:t>
            </w:r>
          </w:p>
          <w:p w14:paraId="78134468">
            <w:pPr>
              <w:autoSpaceDE w:val="0"/>
              <w:autoSpaceDN w:val="0"/>
              <w:adjustRightInd w:val="0"/>
              <w:snapToGrid w:val="0"/>
              <w:spacing w:line="430" w:lineRule="atLeast"/>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szCs w:val="22"/>
                <w:highlight w:val="none"/>
              </w:rPr>
              <w:t>（2）监狱企业参加政府采购活动时，应当提供由省级以上监狱管理局、戒毒管理局(含新疆生产建设兵团)出具的属于监狱企业的证明文件（原件或扫描件加盖公章）。在政府采购活动中，监狱企业视同小型、微型企业，享受评审中价格扣除政策。</w:t>
            </w:r>
          </w:p>
          <w:p w14:paraId="2BDFE6FE">
            <w:pPr>
              <w:autoSpaceDE w:val="0"/>
              <w:autoSpaceDN w:val="0"/>
              <w:adjustRightInd w:val="0"/>
              <w:spacing w:line="500" w:lineRule="atLeast"/>
              <w:rPr>
                <w:rFonts w:cs="宋体" w:asciiTheme="majorEastAsia" w:hAnsiTheme="majorEastAsia" w:eastAsiaTheme="majorEastAsia"/>
                <w:color w:val="auto"/>
                <w:sz w:val="22"/>
                <w:highlight w:val="none"/>
              </w:rPr>
            </w:pPr>
            <w:r>
              <w:rPr>
                <w:rFonts w:hint="eastAsia" w:cs="宋体" w:asciiTheme="majorEastAsia" w:hAnsiTheme="majorEastAsia" w:eastAsiaTheme="majorEastAsia"/>
                <w:color w:val="auto"/>
                <w:sz w:val="22"/>
                <w:szCs w:val="22"/>
                <w:highlight w:val="none"/>
              </w:rPr>
              <w:t>（3）残疾人福利性单位声明函（原件，加盖供应商公章，格式见招标文件第四部分）在政府采购活动中，残疾人福利性单位视同小型、微型企业，享受评审中价格扣除政策。</w:t>
            </w:r>
          </w:p>
        </w:tc>
        <w:tc>
          <w:tcPr>
            <w:tcW w:w="1099" w:type="dxa"/>
          </w:tcPr>
          <w:p w14:paraId="2901D32C">
            <w:pPr>
              <w:autoSpaceDE w:val="0"/>
              <w:autoSpaceDN w:val="0"/>
              <w:adjustRightInd w:val="0"/>
              <w:spacing w:line="430" w:lineRule="atLeast"/>
              <w:jc w:val="center"/>
              <w:textAlignment w:val="bottom"/>
              <w:rPr>
                <w:rFonts w:asciiTheme="majorEastAsia" w:hAnsiTheme="majorEastAsia" w:eastAsiaTheme="majorEastAsia"/>
                <w:color w:val="auto"/>
                <w:sz w:val="22"/>
                <w:szCs w:val="22"/>
                <w:highlight w:val="none"/>
              </w:rPr>
            </w:pPr>
          </w:p>
        </w:tc>
      </w:tr>
    </w:tbl>
    <w:p w14:paraId="719C9BE8">
      <w:pPr>
        <w:autoSpaceDE w:val="0"/>
        <w:autoSpaceDN w:val="0"/>
        <w:adjustRightInd w:val="0"/>
        <w:spacing w:line="450" w:lineRule="atLeast"/>
        <w:ind w:firstLine="442" w:firstLineChars="200"/>
        <w:rPr>
          <w:rFonts w:cs="仿宋_GB2312" w:asciiTheme="majorEastAsia" w:hAnsiTheme="majorEastAsia" w:eastAsiaTheme="majorEastAsia"/>
          <w:b/>
          <w:color w:val="auto"/>
          <w:sz w:val="22"/>
          <w:szCs w:val="22"/>
          <w:highlight w:val="none"/>
          <w:u w:val="single"/>
          <w:lang w:val="zh-CN"/>
        </w:rPr>
      </w:pPr>
      <w:bookmarkStart w:id="238" w:name="_Toc132122410"/>
      <w:bookmarkStart w:id="239" w:name="_Toc132122113"/>
      <w:r>
        <w:rPr>
          <w:rFonts w:hint="eastAsia" w:cs="仿宋_GB2312" w:asciiTheme="majorEastAsia" w:hAnsiTheme="majorEastAsia" w:eastAsiaTheme="majorEastAsia"/>
          <w:b/>
          <w:color w:val="auto"/>
          <w:sz w:val="22"/>
          <w:szCs w:val="22"/>
          <w:highlight w:val="none"/>
          <w:u w:val="single"/>
          <w:lang w:val="zh-CN"/>
        </w:rPr>
        <w:t>2.3商务技术文件部分组成</w:t>
      </w:r>
    </w:p>
    <w:bookmarkEnd w:id="238"/>
    <w:bookmarkEnd w:id="239"/>
    <w:tbl>
      <w:tblPr>
        <w:tblStyle w:val="4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080"/>
        <w:gridCol w:w="1099"/>
      </w:tblGrid>
      <w:tr w14:paraId="0803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A0525E6">
            <w:pPr>
              <w:autoSpaceDE w:val="0"/>
              <w:autoSpaceDN w:val="0"/>
              <w:adjustRightInd w:val="0"/>
              <w:snapToGrid w:val="0"/>
              <w:spacing w:line="430" w:lineRule="atLeast"/>
              <w:jc w:val="center"/>
              <w:rPr>
                <w:rFonts w:asciiTheme="majorEastAsia" w:hAnsiTheme="majorEastAsia" w:eastAsiaTheme="majorEastAsia"/>
                <w:b/>
                <w:color w:val="auto"/>
                <w:sz w:val="22"/>
                <w:highlight w:val="none"/>
                <w:lang w:val="zh-CN"/>
              </w:rPr>
            </w:pPr>
            <w:r>
              <w:rPr>
                <w:rFonts w:hint="eastAsia" w:asciiTheme="majorEastAsia" w:hAnsiTheme="majorEastAsia" w:eastAsiaTheme="majorEastAsia"/>
                <w:color w:val="auto"/>
                <w:sz w:val="22"/>
                <w:szCs w:val="22"/>
                <w:highlight w:val="none"/>
                <w:lang w:val="zh-CN"/>
              </w:rPr>
              <w:t>序号</w:t>
            </w:r>
          </w:p>
        </w:tc>
        <w:tc>
          <w:tcPr>
            <w:tcW w:w="8080" w:type="dxa"/>
          </w:tcPr>
          <w:p w14:paraId="79E2CFEC">
            <w:pPr>
              <w:autoSpaceDE w:val="0"/>
              <w:autoSpaceDN w:val="0"/>
              <w:adjustRightInd w:val="0"/>
              <w:snapToGrid w:val="0"/>
              <w:spacing w:line="430" w:lineRule="atLeast"/>
              <w:jc w:val="center"/>
              <w:rPr>
                <w:rFonts w:asciiTheme="majorEastAsia" w:hAnsiTheme="majorEastAsia" w:eastAsiaTheme="majorEastAsia"/>
                <w:b/>
                <w:color w:val="auto"/>
                <w:sz w:val="22"/>
                <w:highlight w:val="none"/>
                <w:lang w:val="zh-CN"/>
              </w:rPr>
            </w:pPr>
            <w:r>
              <w:rPr>
                <w:rFonts w:hint="eastAsia" w:asciiTheme="majorEastAsia" w:hAnsiTheme="majorEastAsia" w:eastAsiaTheme="majorEastAsia"/>
                <w:color w:val="auto"/>
                <w:sz w:val="22"/>
                <w:szCs w:val="22"/>
                <w:highlight w:val="none"/>
                <w:lang w:val="zh-CN"/>
              </w:rPr>
              <w:t>内容</w:t>
            </w:r>
          </w:p>
        </w:tc>
        <w:tc>
          <w:tcPr>
            <w:tcW w:w="1099" w:type="dxa"/>
          </w:tcPr>
          <w:p w14:paraId="6EFD8C02">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lang w:val="zh-CN"/>
              </w:rPr>
            </w:pPr>
            <w:r>
              <w:rPr>
                <w:rFonts w:hint="eastAsia" w:asciiTheme="majorEastAsia" w:hAnsiTheme="majorEastAsia" w:eastAsiaTheme="majorEastAsia"/>
                <w:color w:val="auto"/>
                <w:sz w:val="22"/>
                <w:szCs w:val="22"/>
                <w:highlight w:val="none"/>
                <w:lang w:val="zh-CN"/>
              </w:rPr>
              <w:t>备注</w:t>
            </w:r>
          </w:p>
        </w:tc>
      </w:tr>
      <w:tr w14:paraId="61E0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2"/>
          </w:tcPr>
          <w:p w14:paraId="2628B242">
            <w:pPr>
              <w:autoSpaceDE w:val="0"/>
              <w:autoSpaceDN w:val="0"/>
              <w:adjustRightInd w:val="0"/>
              <w:snapToGrid w:val="0"/>
              <w:spacing w:line="430" w:lineRule="atLeast"/>
              <w:rPr>
                <w:rFonts w:asciiTheme="majorEastAsia" w:hAnsiTheme="majorEastAsia" w:eastAsiaTheme="majorEastAsia"/>
                <w:b/>
                <w:color w:val="auto"/>
                <w:sz w:val="22"/>
                <w:highlight w:val="none"/>
                <w:lang w:val="zh-CN"/>
              </w:rPr>
            </w:pPr>
            <w:r>
              <w:rPr>
                <w:rFonts w:hint="eastAsia" w:asciiTheme="majorEastAsia" w:hAnsiTheme="majorEastAsia" w:eastAsiaTheme="majorEastAsia"/>
                <w:color w:val="auto"/>
                <w:sz w:val="22"/>
                <w:szCs w:val="22"/>
                <w:highlight w:val="none"/>
                <w:lang w:val="zh-CN"/>
              </w:rPr>
              <w:t>资信部分（▲</w:t>
            </w:r>
            <w:r>
              <w:rPr>
                <w:rFonts w:hint="eastAsia" w:asciiTheme="majorEastAsia" w:hAnsiTheme="majorEastAsia" w:eastAsiaTheme="majorEastAsia"/>
                <w:color w:val="auto"/>
                <w:sz w:val="22"/>
                <w:szCs w:val="22"/>
                <w:highlight w:val="none"/>
                <w:u w:val="single"/>
                <w:lang w:val="zh-CN"/>
              </w:rPr>
              <w:t>序号1-</w:t>
            </w:r>
            <w:r>
              <w:rPr>
                <w:rFonts w:hint="eastAsia" w:asciiTheme="majorEastAsia" w:hAnsiTheme="majorEastAsia" w:eastAsiaTheme="majorEastAsia"/>
                <w:color w:val="auto"/>
                <w:sz w:val="22"/>
                <w:szCs w:val="22"/>
                <w:highlight w:val="none"/>
                <w:u w:val="single"/>
              </w:rPr>
              <w:t>2、6</w:t>
            </w:r>
            <w:r>
              <w:rPr>
                <w:rFonts w:hint="eastAsia" w:asciiTheme="majorEastAsia" w:hAnsiTheme="majorEastAsia" w:eastAsiaTheme="majorEastAsia"/>
                <w:color w:val="auto"/>
                <w:sz w:val="22"/>
                <w:szCs w:val="22"/>
                <w:highlight w:val="none"/>
                <w:u w:val="single"/>
                <w:lang w:val="zh-CN"/>
              </w:rPr>
              <w:t>项供应商必须提供，否则不能通过符合性审查的，责任自负。</w:t>
            </w:r>
            <w:r>
              <w:rPr>
                <w:rFonts w:hint="eastAsia" w:asciiTheme="majorEastAsia" w:hAnsiTheme="majorEastAsia" w:eastAsiaTheme="majorEastAsia"/>
                <w:color w:val="auto"/>
                <w:sz w:val="22"/>
                <w:szCs w:val="22"/>
                <w:highlight w:val="none"/>
                <w:lang w:val="zh-CN"/>
              </w:rPr>
              <w:t>）</w:t>
            </w:r>
          </w:p>
        </w:tc>
        <w:tc>
          <w:tcPr>
            <w:tcW w:w="1099" w:type="dxa"/>
          </w:tcPr>
          <w:p w14:paraId="2E95DEDA">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lang w:val="zh-CN"/>
              </w:rPr>
            </w:pPr>
          </w:p>
        </w:tc>
      </w:tr>
      <w:tr w14:paraId="267E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tcPr>
          <w:p w14:paraId="56DB7271">
            <w:pPr>
              <w:autoSpaceDE w:val="0"/>
              <w:autoSpaceDN w:val="0"/>
              <w:adjustRightInd w:val="0"/>
              <w:snapToGrid w:val="0"/>
              <w:spacing w:line="430" w:lineRule="atLeast"/>
              <w:jc w:val="center"/>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1</w:t>
            </w:r>
          </w:p>
        </w:tc>
        <w:tc>
          <w:tcPr>
            <w:tcW w:w="8080" w:type="dxa"/>
          </w:tcPr>
          <w:p w14:paraId="050EA616">
            <w:pPr>
              <w:autoSpaceDE w:val="0"/>
              <w:autoSpaceDN w:val="0"/>
              <w:adjustRightInd w:val="0"/>
              <w:snapToGrid w:val="0"/>
              <w:spacing w:line="430" w:lineRule="atLeast"/>
              <w:rPr>
                <w:rFonts w:asciiTheme="majorEastAsia" w:hAnsiTheme="majorEastAsia" w:eastAsiaTheme="majorEastAsia"/>
                <w:b/>
                <w:color w:val="auto"/>
                <w:sz w:val="22"/>
                <w:highlight w:val="none"/>
                <w:lang w:val="zh-CN"/>
              </w:rPr>
            </w:pPr>
            <w:r>
              <w:rPr>
                <w:rFonts w:hint="eastAsia" w:asciiTheme="majorEastAsia" w:hAnsiTheme="majorEastAsia" w:eastAsiaTheme="majorEastAsia"/>
                <w:color w:val="auto"/>
                <w:sz w:val="22"/>
                <w:szCs w:val="22"/>
                <w:highlight w:val="none"/>
              </w:rPr>
              <w:t>投标函</w:t>
            </w:r>
          </w:p>
        </w:tc>
        <w:tc>
          <w:tcPr>
            <w:tcW w:w="1099" w:type="dxa"/>
          </w:tcPr>
          <w:p w14:paraId="1C42D45B">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附件六</w:t>
            </w:r>
          </w:p>
        </w:tc>
      </w:tr>
      <w:tr w14:paraId="08B9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905F731">
            <w:pPr>
              <w:autoSpaceDE w:val="0"/>
              <w:autoSpaceDN w:val="0"/>
              <w:adjustRightInd w:val="0"/>
              <w:snapToGrid w:val="0"/>
              <w:spacing w:line="430" w:lineRule="atLeast"/>
              <w:jc w:val="center"/>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2</w:t>
            </w:r>
          </w:p>
        </w:tc>
        <w:tc>
          <w:tcPr>
            <w:tcW w:w="8080" w:type="dxa"/>
          </w:tcPr>
          <w:p w14:paraId="4153977D">
            <w:pPr>
              <w:autoSpaceDE w:val="0"/>
              <w:autoSpaceDN w:val="0"/>
              <w:adjustRightInd w:val="0"/>
              <w:snapToGrid w:val="0"/>
              <w:spacing w:line="430" w:lineRule="atLeast"/>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法定代表人诚信投标承诺书</w:t>
            </w:r>
          </w:p>
        </w:tc>
        <w:tc>
          <w:tcPr>
            <w:tcW w:w="1099" w:type="dxa"/>
          </w:tcPr>
          <w:p w14:paraId="1B89E7E8">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附件七</w:t>
            </w:r>
          </w:p>
        </w:tc>
      </w:tr>
      <w:tr w14:paraId="732D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5AB017F">
            <w:pPr>
              <w:autoSpaceDE w:val="0"/>
              <w:autoSpaceDN w:val="0"/>
              <w:adjustRightInd w:val="0"/>
              <w:snapToGrid w:val="0"/>
              <w:spacing w:line="430" w:lineRule="atLeast"/>
              <w:jc w:val="center"/>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3</w:t>
            </w:r>
          </w:p>
        </w:tc>
        <w:tc>
          <w:tcPr>
            <w:tcW w:w="8080" w:type="dxa"/>
          </w:tcPr>
          <w:p w14:paraId="41CDCD71">
            <w:pPr>
              <w:autoSpaceDE w:val="0"/>
              <w:autoSpaceDN w:val="0"/>
              <w:adjustRightInd w:val="0"/>
              <w:snapToGrid w:val="0"/>
              <w:spacing w:line="430" w:lineRule="atLeast"/>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供应商相关资质、资信或信用证书、获奖证书等（如有则提供，扫描件加盖有效公章）</w:t>
            </w:r>
          </w:p>
        </w:tc>
        <w:tc>
          <w:tcPr>
            <w:tcW w:w="1099" w:type="dxa"/>
          </w:tcPr>
          <w:p w14:paraId="1499EBF1">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r w14:paraId="5389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37F10EB">
            <w:pPr>
              <w:autoSpaceDE w:val="0"/>
              <w:autoSpaceDN w:val="0"/>
              <w:adjustRightInd w:val="0"/>
              <w:snapToGrid w:val="0"/>
              <w:spacing w:line="430" w:lineRule="atLeast"/>
              <w:jc w:val="center"/>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4</w:t>
            </w:r>
          </w:p>
        </w:tc>
        <w:tc>
          <w:tcPr>
            <w:tcW w:w="8080" w:type="dxa"/>
          </w:tcPr>
          <w:p w14:paraId="6333ABC6">
            <w:pPr>
              <w:autoSpaceDE w:val="0"/>
              <w:autoSpaceDN w:val="0"/>
              <w:adjustRightInd w:val="0"/>
              <w:snapToGrid w:val="0"/>
              <w:spacing w:line="430" w:lineRule="atLeast"/>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类似业绩（如有，</w:t>
            </w:r>
            <w:r>
              <w:rPr>
                <w:rFonts w:hint="eastAsia" w:ascii="宋体"/>
                <w:color w:val="auto"/>
                <w:sz w:val="22"/>
                <w:szCs w:val="22"/>
                <w:highlight w:val="none"/>
              </w:rPr>
              <w:t>具体以评分细则中的要求为准</w:t>
            </w:r>
            <w:r>
              <w:rPr>
                <w:rFonts w:hint="eastAsia" w:asciiTheme="majorEastAsia" w:hAnsiTheme="majorEastAsia" w:eastAsiaTheme="majorEastAsia"/>
                <w:color w:val="auto"/>
                <w:sz w:val="22"/>
                <w:szCs w:val="22"/>
                <w:highlight w:val="none"/>
              </w:rPr>
              <w:t>）</w:t>
            </w:r>
          </w:p>
        </w:tc>
        <w:tc>
          <w:tcPr>
            <w:tcW w:w="1099" w:type="dxa"/>
          </w:tcPr>
          <w:p w14:paraId="49440094">
            <w:pPr>
              <w:autoSpaceDE w:val="0"/>
              <w:autoSpaceDN w:val="0"/>
              <w:adjustRightInd w:val="0"/>
              <w:snapToGrid w:val="0"/>
              <w:spacing w:line="430" w:lineRule="atLeast"/>
              <w:jc w:val="center"/>
              <w:rPr>
                <w:rFonts w:cs="仿宋_GB2312" w:asciiTheme="majorEastAsia" w:hAnsiTheme="majorEastAsia" w:eastAsiaTheme="majorEastAsia"/>
                <w:color w:val="auto"/>
                <w:sz w:val="22"/>
                <w:szCs w:val="22"/>
                <w:highlight w:val="none"/>
                <w:lang w:val="zh-CN"/>
              </w:rPr>
            </w:pPr>
            <w:r>
              <w:rPr>
                <w:rFonts w:hint="eastAsia" w:cs="Arial" w:asciiTheme="majorEastAsia" w:hAnsiTheme="majorEastAsia" w:eastAsiaTheme="majorEastAsia"/>
                <w:color w:val="auto"/>
                <w:sz w:val="22"/>
                <w:szCs w:val="22"/>
                <w:highlight w:val="none"/>
              </w:rPr>
              <w:t>附件八</w:t>
            </w:r>
          </w:p>
        </w:tc>
      </w:tr>
      <w:tr w14:paraId="0E8A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AF7405F">
            <w:pPr>
              <w:autoSpaceDE w:val="0"/>
              <w:autoSpaceDN w:val="0"/>
              <w:adjustRightInd w:val="0"/>
              <w:snapToGrid w:val="0"/>
              <w:spacing w:line="430" w:lineRule="atLeast"/>
              <w:jc w:val="center"/>
              <w:rPr>
                <w:rFonts w:asciiTheme="majorEastAsia" w:hAnsiTheme="majorEastAsia" w:eastAsiaTheme="majorEastAsia"/>
                <w:b/>
                <w:color w:val="auto"/>
                <w:sz w:val="22"/>
                <w:highlight w:val="none"/>
              </w:rPr>
            </w:pPr>
            <w:r>
              <w:rPr>
                <w:rFonts w:asciiTheme="majorEastAsia" w:hAnsiTheme="majorEastAsia" w:eastAsiaTheme="majorEastAsia"/>
                <w:color w:val="auto"/>
                <w:sz w:val="22"/>
                <w:szCs w:val="22"/>
                <w:highlight w:val="none"/>
              </w:rPr>
              <w:t>5</w:t>
            </w:r>
          </w:p>
        </w:tc>
        <w:tc>
          <w:tcPr>
            <w:tcW w:w="8080" w:type="dxa"/>
            <w:vAlign w:val="center"/>
          </w:tcPr>
          <w:p w14:paraId="21D1F405">
            <w:pPr>
              <w:tabs>
                <w:tab w:val="left" w:pos="4140"/>
              </w:tabs>
              <w:adjustRightInd w:val="0"/>
              <w:snapToGrid w:val="0"/>
              <w:spacing w:line="320" w:lineRule="atLeast"/>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其它须说明的资料（如有则提供）</w:t>
            </w:r>
          </w:p>
        </w:tc>
        <w:tc>
          <w:tcPr>
            <w:tcW w:w="1099" w:type="dxa"/>
            <w:vAlign w:val="center"/>
          </w:tcPr>
          <w:p w14:paraId="147974EE">
            <w:pPr>
              <w:tabs>
                <w:tab w:val="left" w:pos="4140"/>
              </w:tabs>
              <w:adjustRightInd w:val="0"/>
              <w:snapToGrid w:val="0"/>
              <w:spacing w:line="320" w:lineRule="atLeast"/>
              <w:jc w:val="center"/>
              <w:rPr>
                <w:rFonts w:asciiTheme="majorEastAsia" w:hAnsiTheme="majorEastAsia" w:eastAsiaTheme="majorEastAsia"/>
                <w:color w:val="auto"/>
                <w:sz w:val="22"/>
                <w:szCs w:val="22"/>
                <w:highlight w:val="none"/>
                <w:lang w:val="zh-CN"/>
              </w:rPr>
            </w:pPr>
          </w:p>
        </w:tc>
      </w:tr>
      <w:tr w14:paraId="3437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2"/>
          </w:tcPr>
          <w:p w14:paraId="11D6DABD">
            <w:pPr>
              <w:autoSpaceDE w:val="0"/>
              <w:autoSpaceDN w:val="0"/>
              <w:adjustRightInd w:val="0"/>
              <w:snapToGrid w:val="0"/>
              <w:spacing w:line="430" w:lineRule="atLeast"/>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lang w:val="zh-CN"/>
              </w:rPr>
              <w:t>技术部分（如资料提供不齐全，将可能导致不利的评定）</w:t>
            </w:r>
          </w:p>
        </w:tc>
        <w:tc>
          <w:tcPr>
            <w:tcW w:w="1099" w:type="dxa"/>
          </w:tcPr>
          <w:p w14:paraId="38CDECCF">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lang w:val="zh-CN"/>
              </w:rPr>
            </w:pPr>
          </w:p>
        </w:tc>
      </w:tr>
      <w:tr w14:paraId="5769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69FE9523">
            <w:pPr>
              <w:autoSpaceDE w:val="0"/>
              <w:autoSpaceDN w:val="0"/>
              <w:adjustRightInd w:val="0"/>
              <w:snapToGrid w:val="0"/>
              <w:spacing w:line="430" w:lineRule="atLeast"/>
              <w:jc w:val="center"/>
              <w:rPr>
                <w:rFonts w:asciiTheme="majorEastAsia" w:hAnsiTheme="majorEastAsia" w:eastAsiaTheme="majorEastAsia"/>
                <w:bCs/>
                <w:color w:val="auto"/>
                <w:sz w:val="22"/>
                <w:highlight w:val="none"/>
              </w:rPr>
            </w:pPr>
            <w:r>
              <w:rPr>
                <w:rFonts w:asciiTheme="majorEastAsia" w:hAnsiTheme="majorEastAsia" w:eastAsiaTheme="majorEastAsia"/>
                <w:bCs/>
                <w:color w:val="auto"/>
                <w:sz w:val="22"/>
                <w:highlight w:val="none"/>
              </w:rPr>
              <w:t>6</w:t>
            </w:r>
          </w:p>
        </w:tc>
        <w:tc>
          <w:tcPr>
            <w:tcW w:w="8080" w:type="dxa"/>
          </w:tcPr>
          <w:p w14:paraId="51FC7B9D">
            <w:pPr>
              <w:autoSpaceDE w:val="0"/>
              <w:autoSpaceDN w:val="0"/>
              <w:adjustRightInd w:val="0"/>
              <w:snapToGrid w:val="0"/>
              <w:spacing w:line="430" w:lineRule="atLeast"/>
              <w:rPr>
                <w:rFonts w:asciiTheme="majorEastAsia" w:hAnsiTheme="majorEastAsia" w:eastAsiaTheme="majorEastAsia"/>
                <w:b/>
                <w:color w:val="auto"/>
                <w:sz w:val="22"/>
                <w:highlight w:val="none"/>
              </w:rPr>
            </w:pPr>
            <w:r>
              <w:rPr>
                <w:rFonts w:hint="eastAsia" w:asciiTheme="majorEastAsia" w:hAnsiTheme="majorEastAsia" w:eastAsiaTheme="majorEastAsia"/>
                <w:color w:val="auto"/>
                <w:sz w:val="22"/>
                <w:szCs w:val="22"/>
                <w:highlight w:val="none"/>
              </w:rPr>
              <w:t>商务、技术偏离表</w:t>
            </w:r>
          </w:p>
        </w:tc>
        <w:tc>
          <w:tcPr>
            <w:tcW w:w="1099" w:type="dxa"/>
          </w:tcPr>
          <w:p w14:paraId="7A62EEB2">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附件九</w:t>
            </w:r>
          </w:p>
        </w:tc>
      </w:tr>
      <w:tr w14:paraId="31E1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C57A130">
            <w:pPr>
              <w:autoSpaceDE w:val="0"/>
              <w:autoSpaceDN w:val="0"/>
              <w:adjustRightInd w:val="0"/>
              <w:snapToGrid w:val="0"/>
              <w:spacing w:line="430" w:lineRule="atLeast"/>
              <w:jc w:val="center"/>
              <w:rPr>
                <w:rFonts w:asciiTheme="majorEastAsia" w:hAnsiTheme="majorEastAsia" w:eastAsiaTheme="majorEastAsia"/>
                <w:bCs/>
                <w:color w:val="auto"/>
                <w:sz w:val="22"/>
                <w:highlight w:val="none"/>
              </w:rPr>
            </w:pPr>
            <w:r>
              <w:rPr>
                <w:rFonts w:hint="eastAsia" w:asciiTheme="majorEastAsia" w:hAnsiTheme="majorEastAsia" w:eastAsiaTheme="majorEastAsia"/>
                <w:bCs/>
                <w:color w:val="auto"/>
                <w:sz w:val="22"/>
                <w:highlight w:val="none"/>
              </w:rPr>
              <w:t>7</w:t>
            </w:r>
          </w:p>
        </w:tc>
        <w:tc>
          <w:tcPr>
            <w:tcW w:w="8080" w:type="dxa"/>
            <w:vAlign w:val="center"/>
          </w:tcPr>
          <w:p w14:paraId="50427B71">
            <w:pPr>
              <w:autoSpaceDE w:val="0"/>
              <w:autoSpaceDN w:val="0"/>
              <w:adjustRightInd w:val="0"/>
              <w:snapToGrid w:val="0"/>
              <w:spacing w:line="430" w:lineRule="atLeast"/>
              <w:rPr>
                <w:rFonts w:ascii="宋体"/>
                <w:b/>
                <w:color w:val="auto"/>
                <w:sz w:val="22"/>
                <w:szCs w:val="22"/>
                <w:highlight w:val="none"/>
              </w:rPr>
            </w:pPr>
            <w:r>
              <w:rPr>
                <w:rFonts w:hint="eastAsia" w:ascii="宋体"/>
                <w:color w:val="auto"/>
                <w:sz w:val="22"/>
                <w:szCs w:val="22"/>
                <w:highlight w:val="none"/>
              </w:rPr>
              <w:t>针对本项目的实施方案</w:t>
            </w:r>
          </w:p>
        </w:tc>
        <w:tc>
          <w:tcPr>
            <w:tcW w:w="1099" w:type="dxa"/>
          </w:tcPr>
          <w:p w14:paraId="01D64086">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r w14:paraId="1841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8DD1EF3">
            <w:pPr>
              <w:autoSpaceDE w:val="0"/>
              <w:autoSpaceDN w:val="0"/>
              <w:adjustRightInd w:val="0"/>
              <w:snapToGrid w:val="0"/>
              <w:spacing w:line="430" w:lineRule="atLeast"/>
              <w:jc w:val="center"/>
              <w:rPr>
                <w:rFonts w:asciiTheme="majorEastAsia" w:hAnsiTheme="majorEastAsia" w:eastAsiaTheme="majorEastAsia"/>
                <w:bCs/>
                <w:color w:val="auto"/>
                <w:sz w:val="22"/>
                <w:highlight w:val="none"/>
              </w:rPr>
            </w:pPr>
            <w:r>
              <w:rPr>
                <w:rFonts w:hint="eastAsia" w:asciiTheme="majorEastAsia" w:hAnsiTheme="majorEastAsia" w:eastAsiaTheme="majorEastAsia"/>
                <w:bCs/>
                <w:color w:val="auto"/>
                <w:sz w:val="22"/>
                <w:highlight w:val="none"/>
              </w:rPr>
              <w:t>8</w:t>
            </w:r>
          </w:p>
        </w:tc>
        <w:tc>
          <w:tcPr>
            <w:tcW w:w="8080" w:type="dxa"/>
            <w:vAlign w:val="center"/>
          </w:tcPr>
          <w:p w14:paraId="01D64AB3">
            <w:pPr>
              <w:autoSpaceDE w:val="0"/>
              <w:autoSpaceDN w:val="0"/>
              <w:adjustRightInd w:val="0"/>
              <w:snapToGrid w:val="0"/>
              <w:spacing w:line="430" w:lineRule="atLeast"/>
              <w:rPr>
                <w:rFonts w:ascii="宋体"/>
                <w:b/>
                <w:color w:val="auto"/>
                <w:sz w:val="22"/>
                <w:szCs w:val="22"/>
                <w:highlight w:val="none"/>
              </w:rPr>
            </w:pPr>
            <w:r>
              <w:rPr>
                <w:rFonts w:hint="eastAsia" w:ascii="宋体"/>
                <w:color w:val="auto"/>
                <w:sz w:val="22"/>
                <w:szCs w:val="22"/>
                <w:highlight w:val="none"/>
              </w:rPr>
              <w:t>针对本项目拟投入的项目组成员情况</w:t>
            </w:r>
          </w:p>
        </w:tc>
        <w:tc>
          <w:tcPr>
            <w:tcW w:w="1099" w:type="dxa"/>
          </w:tcPr>
          <w:p w14:paraId="1EABD7C3">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附件十</w:t>
            </w:r>
          </w:p>
        </w:tc>
      </w:tr>
      <w:tr w14:paraId="1748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14:paraId="0071924F">
            <w:pPr>
              <w:autoSpaceDE w:val="0"/>
              <w:autoSpaceDN w:val="0"/>
              <w:adjustRightInd w:val="0"/>
              <w:snapToGrid w:val="0"/>
              <w:spacing w:line="430" w:lineRule="atLeast"/>
              <w:jc w:val="center"/>
              <w:rPr>
                <w:rFonts w:hint="eastAsia" w:cs="Times New Roman" w:asciiTheme="majorEastAsia" w:hAnsiTheme="majorEastAsia" w:eastAsiaTheme="majorEastAsia"/>
                <w:bCs/>
                <w:color w:val="auto"/>
                <w:kern w:val="2"/>
                <w:sz w:val="22"/>
                <w:szCs w:val="24"/>
                <w:highlight w:val="none"/>
                <w:lang w:val="en-US" w:eastAsia="zh-CN" w:bidi="ar-SA"/>
              </w:rPr>
            </w:pPr>
            <w:r>
              <w:rPr>
                <w:rFonts w:hint="eastAsia" w:asciiTheme="majorEastAsia" w:hAnsiTheme="majorEastAsia" w:eastAsiaTheme="majorEastAsia"/>
                <w:bCs/>
                <w:color w:val="auto"/>
                <w:sz w:val="22"/>
                <w:highlight w:val="none"/>
              </w:rPr>
              <w:t>9</w:t>
            </w:r>
          </w:p>
        </w:tc>
        <w:tc>
          <w:tcPr>
            <w:tcW w:w="8080" w:type="dxa"/>
            <w:vAlign w:val="center"/>
          </w:tcPr>
          <w:p w14:paraId="528B59C4">
            <w:pPr>
              <w:autoSpaceDE w:val="0"/>
              <w:autoSpaceDN w:val="0"/>
              <w:adjustRightInd w:val="0"/>
              <w:snapToGrid w:val="0"/>
              <w:spacing w:line="430" w:lineRule="atLeast"/>
              <w:rPr>
                <w:rFonts w:hint="default" w:ascii="宋体" w:eastAsia="宋体"/>
                <w:color w:val="auto"/>
                <w:sz w:val="22"/>
                <w:szCs w:val="22"/>
                <w:highlight w:val="none"/>
                <w:lang w:val="en-US" w:eastAsia="zh-CN"/>
              </w:rPr>
            </w:pPr>
            <w:r>
              <w:rPr>
                <w:rFonts w:hint="eastAsia" w:ascii="宋体"/>
                <w:color w:val="auto"/>
                <w:sz w:val="22"/>
                <w:szCs w:val="22"/>
                <w:highlight w:val="none"/>
              </w:rPr>
              <w:t>投标产品的数量、配置及主要技术参数表</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如有</w:t>
            </w:r>
            <w:r>
              <w:rPr>
                <w:rFonts w:hint="eastAsia" w:ascii="宋体"/>
                <w:color w:val="auto"/>
                <w:sz w:val="22"/>
                <w:szCs w:val="22"/>
                <w:highlight w:val="none"/>
                <w:lang w:eastAsia="zh-CN"/>
              </w:rPr>
              <w:t>）</w:t>
            </w:r>
          </w:p>
        </w:tc>
        <w:tc>
          <w:tcPr>
            <w:tcW w:w="1099" w:type="dxa"/>
          </w:tcPr>
          <w:p w14:paraId="4286A234">
            <w:pPr>
              <w:autoSpaceDE w:val="0"/>
              <w:autoSpaceDN w:val="0"/>
              <w:adjustRightInd w:val="0"/>
              <w:snapToGrid w:val="0"/>
              <w:spacing w:line="430" w:lineRule="atLeast"/>
              <w:jc w:val="center"/>
              <w:rPr>
                <w:rFonts w:hint="eastAsia" w:asciiTheme="majorEastAsia" w:hAnsiTheme="majorEastAsia" w:eastAsiaTheme="majorEastAsia"/>
                <w:color w:val="auto"/>
                <w:sz w:val="22"/>
                <w:szCs w:val="22"/>
                <w:highlight w:val="none"/>
                <w:lang w:val="en-US" w:eastAsia="zh-CN"/>
              </w:rPr>
            </w:pPr>
            <w:r>
              <w:rPr>
                <w:rFonts w:hint="eastAsia" w:asciiTheme="majorEastAsia" w:hAnsiTheme="majorEastAsia" w:eastAsiaTheme="majorEastAsia"/>
                <w:color w:val="auto"/>
                <w:sz w:val="22"/>
                <w:szCs w:val="22"/>
                <w:highlight w:val="none"/>
              </w:rPr>
              <w:t>附件十</w:t>
            </w:r>
            <w:r>
              <w:rPr>
                <w:rFonts w:hint="eastAsia" w:asciiTheme="majorEastAsia" w:hAnsiTheme="majorEastAsia" w:eastAsiaTheme="majorEastAsia"/>
                <w:color w:val="auto"/>
                <w:sz w:val="22"/>
                <w:szCs w:val="22"/>
                <w:highlight w:val="none"/>
                <w:lang w:val="en-US" w:eastAsia="zh-CN"/>
              </w:rPr>
              <w:t>一</w:t>
            </w:r>
          </w:p>
        </w:tc>
      </w:tr>
      <w:tr w14:paraId="35F6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14:paraId="46B37AAB">
            <w:pPr>
              <w:autoSpaceDE w:val="0"/>
              <w:autoSpaceDN w:val="0"/>
              <w:adjustRightInd w:val="0"/>
              <w:snapToGrid w:val="0"/>
              <w:spacing w:line="430" w:lineRule="atLeast"/>
              <w:jc w:val="center"/>
              <w:rPr>
                <w:rFonts w:cs="Times New Roman" w:asciiTheme="majorEastAsia" w:hAnsiTheme="majorEastAsia" w:eastAsiaTheme="majorEastAsia"/>
                <w:bCs/>
                <w:color w:val="auto"/>
                <w:kern w:val="2"/>
                <w:sz w:val="22"/>
                <w:szCs w:val="24"/>
                <w:highlight w:val="none"/>
                <w:lang w:val="en-US" w:eastAsia="zh-CN" w:bidi="ar-SA"/>
              </w:rPr>
            </w:pPr>
            <w:r>
              <w:rPr>
                <w:rFonts w:hint="eastAsia" w:asciiTheme="majorEastAsia" w:hAnsiTheme="majorEastAsia" w:eastAsiaTheme="majorEastAsia"/>
                <w:bCs/>
                <w:color w:val="auto"/>
                <w:sz w:val="22"/>
                <w:highlight w:val="none"/>
              </w:rPr>
              <w:t>10</w:t>
            </w:r>
          </w:p>
        </w:tc>
        <w:tc>
          <w:tcPr>
            <w:tcW w:w="8080" w:type="dxa"/>
            <w:vAlign w:val="center"/>
          </w:tcPr>
          <w:p w14:paraId="306F57E9">
            <w:pPr>
              <w:autoSpaceDE w:val="0"/>
              <w:autoSpaceDN w:val="0"/>
              <w:adjustRightInd w:val="0"/>
              <w:snapToGrid w:val="0"/>
              <w:spacing w:line="430" w:lineRule="atLeast"/>
              <w:rPr>
                <w:rFonts w:ascii="宋体"/>
                <w:b/>
                <w:color w:val="auto"/>
                <w:sz w:val="22"/>
                <w:szCs w:val="22"/>
                <w:highlight w:val="none"/>
              </w:rPr>
            </w:pPr>
            <w:r>
              <w:rPr>
                <w:rFonts w:hint="eastAsia" w:ascii="宋体"/>
                <w:color w:val="auto"/>
                <w:sz w:val="22"/>
                <w:szCs w:val="22"/>
                <w:highlight w:val="none"/>
              </w:rPr>
              <w:t>项目实施周期计划、技术支持及服务力量</w:t>
            </w:r>
          </w:p>
        </w:tc>
        <w:tc>
          <w:tcPr>
            <w:tcW w:w="1099" w:type="dxa"/>
          </w:tcPr>
          <w:p w14:paraId="141ABD1A">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r w14:paraId="5599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14:paraId="0D33653A">
            <w:pPr>
              <w:autoSpaceDE w:val="0"/>
              <w:autoSpaceDN w:val="0"/>
              <w:adjustRightInd w:val="0"/>
              <w:snapToGrid w:val="0"/>
              <w:spacing w:line="430" w:lineRule="atLeast"/>
              <w:jc w:val="center"/>
              <w:rPr>
                <w:rFonts w:cs="Times New Roman" w:asciiTheme="majorEastAsia" w:hAnsiTheme="majorEastAsia" w:eastAsiaTheme="majorEastAsia"/>
                <w:bCs/>
                <w:color w:val="auto"/>
                <w:kern w:val="2"/>
                <w:sz w:val="22"/>
                <w:szCs w:val="24"/>
                <w:highlight w:val="none"/>
                <w:lang w:val="en-US" w:eastAsia="zh-CN" w:bidi="ar-SA"/>
              </w:rPr>
            </w:pPr>
            <w:r>
              <w:rPr>
                <w:rFonts w:hint="eastAsia" w:asciiTheme="majorEastAsia" w:hAnsiTheme="majorEastAsia" w:eastAsiaTheme="majorEastAsia"/>
                <w:bCs/>
                <w:color w:val="auto"/>
                <w:sz w:val="22"/>
                <w:highlight w:val="none"/>
              </w:rPr>
              <w:t>11</w:t>
            </w:r>
          </w:p>
        </w:tc>
        <w:tc>
          <w:tcPr>
            <w:tcW w:w="8080" w:type="dxa"/>
            <w:vAlign w:val="center"/>
          </w:tcPr>
          <w:p w14:paraId="73359D8E">
            <w:pPr>
              <w:autoSpaceDE w:val="0"/>
              <w:autoSpaceDN w:val="0"/>
              <w:adjustRightInd w:val="0"/>
              <w:textAlignment w:val="bottom"/>
              <w:rPr>
                <w:rFonts w:ascii="宋体"/>
                <w:b/>
                <w:color w:val="auto"/>
                <w:sz w:val="22"/>
                <w:szCs w:val="22"/>
                <w:highlight w:val="none"/>
              </w:rPr>
            </w:pPr>
            <w:r>
              <w:rPr>
                <w:rFonts w:hint="eastAsia" w:ascii="宋体" w:cs="新宋体"/>
                <w:color w:val="auto"/>
                <w:sz w:val="22"/>
                <w:szCs w:val="22"/>
                <w:highlight w:val="none"/>
                <w:lang w:val="zh-CN"/>
              </w:rPr>
              <w:t>售后服务承诺：技术服务和售后服务的内容、措施、承诺，包括质保期、距采购人最近的服务网点的详细介绍，资质资格、技术力量、成立时间</w:t>
            </w:r>
          </w:p>
        </w:tc>
        <w:tc>
          <w:tcPr>
            <w:tcW w:w="1099" w:type="dxa"/>
          </w:tcPr>
          <w:p w14:paraId="45CC70A8">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r w14:paraId="6CE4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14:paraId="47024473">
            <w:pPr>
              <w:autoSpaceDE w:val="0"/>
              <w:autoSpaceDN w:val="0"/>
              <w:adjustRightInd w:val="0"/>
              <w:snapToGrid w:val="0"/>
              <w:spacing w:line="430" w:lineRule="atLeast"/>
              <w:jc w:val="center"/>
              <w:rPr>
                <w:rFonts w:cs="Times New Roman" w:asciiTheme="majorEastAsia" w:hAnsiTheme="majorEastAsia" w:eastAsiaTheme="majorEastAsia"/>
                <w:bCs/>
                <w:color w:val="auto"/>
                <w:kern w:val="2"/>
                <w:sz w:val="22"/>
                <w:szCs w:val="24"/>
                <w:highlight w:val="none"/>
                <w:lang w:val="en-US" w:eastAsia="zh-CN" w:bidi="ar-SA"/>
              </w:rPr>
            </w:pPr>
            <w:r>
              <w:rPr>
                <w:rFonts w:hint="eastAsia" w:asciiTheme="majorEastAsia" w:hAnsiTheme="majorEastAsia" w:eastAsiaTheme="majorEastAsia"/>
                <w:bCs/>
                <w:color w:val="auto"/>
                <w:sz w:val="22"/>
                <w:highlight w:val="none"/>
              </w:rPr>
              <w:t>12</w:t>
            </w:r>
          </w:p>
        </w:tc>
        <w:tc>
          <w:tcPr>
            <w:tcW w:w="8080" w:type="dxa"/>
          </w:tcPr>
          <w:p w14:paraId="5BFEA272">
            <w:pPr>
              <w:autoSpaceDE w:val="0"/>
              <w:autoSpaceDN w:val="0"/>
              <w:adjustRightInd w:val="0"/>
              <w:snapToGrid w:val="0"/>
              <w:spacing w:line="430" w:lineRule="atLeast"/>
              <w:rPr>
                <w:rFonts w:ascii="宋体"/>
                <w:b/>
                <w:color w:val="auto"/>
                <w:sz w:val="22"/>
                <w:szCs w:val="22"/>
                <w:highlight w:val="none"/>
              </w:rPr>
            </w:pPr>
            <w:r>
              <w:rPr>
                <w:rFonts w:hint="eastAsia" w:ascii="宋体" w:cs="新宋体"/>
                <w:color w:val="auto"/>
                <w:sz w:val="22"/>
                <w:szCs w:val="22"/>
                <w:highlight w:val="none"/>
                <w:lang w:val="zh-CN"/>
              </w:rPr>
              <w:t>技术服务、培训、质量保证、惩罚保证、优惠条件及其他承诺</w:t>
            </w:r>
          </w:p>
        </w:tc>
        <w:tc>
          <w:tcPr>
            <w:tcW w:w="1099" w:type="dxa"/>
          </w:tcPr>
          <w:p w14:paraId="4F359788">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r w14:paraId="1DEB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top"/>
          </w:tcPr>
          <w:p w14:paraId="277559E1">
            <w:pPr>
              <w:autoSpaceDE w:val="0"/>
              <w:autoSpaceDN w:val="0"/>
              <w:adjustRightInd w:val="0"/>
              <w:snapToGrid w:val="0"/>
              <w:spacing w:line="430" w:lineRule="atLeast"/>
              <w:jc w:val="center"/>
              <w:rPr>
                <w:rFonts w:cs="Times New Roman" w:asciiTheme="majorEastAsia" w:hAnsiTheme="majorEastAsia" w:eastAsiaTheme="majorEastAsia"/>
                <w:bCs/>
                <w:color w:val="auto"/>
                <w:kern w:val="2"/>
                <w:sz w:val="22"/>
                <w:szCs w:val="24"/>
                <w:highlight w:val="none"/>
                <w:lang w:val="en-US" w:eastAsia="zh-CN" w:bidi="ar-SA"/>
              </w:rPr>
            </w:pPr>
            <w:r>
              <w:rPr>
                <w:rFonts w:hint="eastAsia" w:asciiTheme="majorEastAsia" w:hAnsiTheme="majorEastAsia" w:eastAsiaTheme="majorEastAsia"/>
                <w:bCs/>
                <w:color w:val="auto"/>
                <w:sz w:val="22"/>
                <w:highlight w:val="none"/>
              </w:rPr>
              <w:t>13</w:t>
            </w:r>
          </w:p>
        </w:tc>
        <w:tc>
          <w:tcPr>
            <w:tcW w:w="8080" w:type="dxa"/>
          </w:tcPr>
          <w:p w14:paraId="7512D7C6">
            <w:pPr>
              <w:autoSpaceDE w:val="0"/>
              <w:autoSpaceDN w:val="0"/>
              <w:adjustRightInd w:val="0"/>
              <w:snapToGrid w:val="0"/>
              <w:spacing w:line="430" w:lineRule="atLeast"/>
              <w:rPr>
                <w:rFonts w:ascii="宋体"/>
                <w:b/>
                <w:color w:val="auto"/>
                <w:sz w:val="22"/>
                <w:szCs w:val="22"/>
                <w:highlight w:val="none"/>
              </w:rPr>
            </w:pPr>
            <w:r>
              <w:rPr>
                <w:rFonts w:hint="eastAsia" w:ascii="宋体"/>
                <w:color w:val="auto"/>
                <w:sz w:val="22"/>
                <w:szCs w:val="22"/>
                <w:highlight w:val="none"/>
              </w:rPr>
              <w:t>根据采购文件中的采购内容与技术要求、评标细则，需要提供的其它文件和资料。</w:t>
            </w:r>
          </w:p>
        </w:tc>
        <w:tc>
          <w:tcPr>
            <w:tcW w:w="1099" w:type="dxa"/>
          </w:tcPr>
          <w:p w14:paraId="72A47071">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r w14:paraId="2DC6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4877312">
            <w:pPr>
              <w:autoSpaceDE w:val="0"/>
              <w:autoSpaceDN w:val="0"/>
              <w:adjustRightInd w:val="0"/>
              <w:snapToGrid w:val="0"/>
              <w:spacing w:line="430" w:lineRule="atLeast"/>
              <w:jc w:val="center"/>
              <w:rPr>
                <w:rFonts w:hint="default" w:asciiTheme="majorEastAsia" w:hAnsiTheme="majorEastAsia" w:eastAsiaTheme="majorEastAsia"/>
                <w:bCs/>
                <w:color w:val="auto"/>
                <w:sz w:val="22"/>
                <w:highlight w:val="none"/>
                <w:lang w:val="en-US" w:eastAsia="zh-CN"/>
              </w:rPr>
            </w:pPr>
            <w:r>
              <w:rPr>
                <w:rFonts w:hint="eastAsia" w:asciiTheme="majorEastAsia" w:hAnsiTheme="majorEastAsia" w:eastAsiaTheme="majorEastAsia"/>
                <w:bCs/>
                <w:color w:val="auto"/>
                <w:sz w:val="22"/>
                <w:highlight w:val="none"/>
                <w:lang w:val="en-US" w:eastAsia="zh-CN"/>
              </w:rPr>
              <w:t>14</w:t>
            </w:r>
          </w:p>
        </w:tc>
        <w:tc>
          <w:tcPr>
            <w:tcW w:w="8080" w:type="dxa"/>
          </w:tcPr>
          <w:p w14:paraId="6BD213DF">
            <w:pPr>
              <w:autoSpaceDE w:val="0"/>
              <w:autoSpaceDN w:val="0"/>
              <w:adjustRightInd w:val="0"/>
              <w:snapToGrid w:val="0"/>
              <w:spacing w:line="430" w:lineRule="atLeast"/>
              <w:rPr>
                <w:rFonts w:ascii="宋体"/>
                <w:b/>
                <w:color w:val="auto"/>
                <w:sz w:val="22"/>
                <w:szCs w:val="22"/>
                <w:highlight w:val="none"/>
              </w:rPr>
            </w:pPr>
            <w:r>
              <w:rPr>
                <w:rFonts w:hint="eastAsia" w:ascii="宋体"/>
                <w:color w:val="auto"/>
                <w:sz w:val="22"/>
                <w:szCs w:val="22"/>
                <w:highlight w:val="none"/>
              </w:rPr>
              <w:t>其它供应商须说明的资料（如有则提供）</w:t>
            </w:r>
          </w:p>
        </w:tc>
        <w:tc>
          <w:tcPr>
            <w:tcW w:w="1099" w:type="dxa"/>
          </w:tcPr>
          <w:p w14:paraId="1E01DFD9">
            <w:pPr>
              <w:autoSpaceDE w:val="0"/>
              <w:autoSpaceDN w:val="0"/>
              <w:adjustRightInd w:val="0"/>
              <w:snapToGrid w:val="0"/>
              <w:spacing w:line="430" w:lineRule="atLeast"/>
              <w:jc w:val="center"/>
              <w:rPr>
                <w:rFonts w:asciiTheme="majorEastAsia" w:hAnsiTheme="majorEastAsia" w:eastAsiaTheme="majorEastAsia"/>
                <w:color w:val="auto"/>
                <w:sz w:val="22"/>
                <w:szCs w:val="22"/>
                <w:highlight w:val="none"/>
              </w:rPr>
            </w:pPr>
          </w:p>
        </w:tc>
      </w:tr>
    </w:tbl>
    <w:p w14:paraId="00C98A6D">
      <w:pPr>
        <w:spacing w:line="430" w:lineRule="exact"/>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备注：</w:t>
      </w:r>
    </w:p>
    <w:p w14:paraId="110393B3">
      <w:pPr>
        <w:numPr>
          <w:ilvl w:val="0"/>
          <w:numId w:val="2"/>
        </w:numPr>
        <w:spacing w:line="430" w:lineRule="exact"/>
        <w:rPr>
          <w:rFonts w:ascii="新宋体" w:hAnsi="新宋体" w:eastAsia="新宋体" w:cs="新宋体"/>
          <w:color w:val="auto"/>
          <w:highlight w:val="none"/>
        </w:rPr>
      </w:pPr>
      <w:r>
        <w:rPr>
          <w:rFonts w:hint="eastAsia" w:ascii="新宋体" w:hAnsi="新宋体" w:eastAsia="新宋体" w:cs="新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6C0A74EF">
      <w:pPr>
        <w:numPr>
          <w:ilvl w:val="0"/>
          <w:numId w:val="2"/>
        </w:numPr>
        <w:spacing w:line="43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文件中应承诺：供应商所提供的技术资料的所有权归采购人所有。如若发生第三方侵权事件，其侵权责任与采购人及采购代理机构无关，由供应商承担全部责任。侵权造成的所有相关费用，均由供应商支付，保证不伤害采购人的利益。</w:t>
      </w:r>
    </w:p>
    <w:p w14:paraId="3ED71ACE">
      <w:pPr>
        <w:numPr>
          <w:ilvl w:val="0"/>
          <w:numId w:val="2"/>
        </w:numPr>
        <w:spacing w:line="43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以上所需的各种证书、证件、证明等若系扫描件、扫描件，须加盖供应商有效的公章。</w:t>
      </w:r>
    </w:p>
    <w:p w14:paraId="2C96984D">
      <w:pPr>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3、投标文件编制</w:t>
      </w:r>
    </w:p>
    <w:p w14:paraId="49BBD98B">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3.1本项目通过“政采云平台（www.zcygov.cn）”实行在线投标响应（电子投标）。供应商应通过“政采云电子交易客户端”，并按照本招标文件和“政采云平台”的要求编制并加密投标文件。</w:t>
      </w:r>
    </w:p>
    <w:p w14:paraId="0998639A">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3.2</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应当按照本章节 “投标文件组成”规定的内容及顺序在“政采云电子交易客户端”编制投标文件。其中 “技术资信文件”中不得出现本项目投标报价，如因</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原因提前泄露投标报价，是</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的责任。</w:t>
      </w:r>
    </w:p>
    <w:p w14:paraId="6DA2E6E1">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3.3本招标文件“投标文件格式”中有提供格式的，</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须参照格式进行编制（格式中要求提供相关证明材料的还需后附相关证明材料），并按格式要求在指定位置根据要求进行签章，否则视为未提供；本文件“投标文件格式”未提供格式的，请各投标单位自行拟定格式，并加盖单位公章并由法定代表人或其授权代表签署（签字或盖章），否则视为未提供。</w:t>
      </w:r>
    </w:p>
    <w:p w14:paraId="1476D9E0">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3.4投标文件内容不完整、编排混乱导致投标文件被误读、漏读或者查找不到相关内容的，是</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的责任。</w:t>
      </w:r>
    </w:p>
    <w:p w14:paraId="002315AC">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3.5投标文件因字迹潦草或表达不清所引起的后果由</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负责。</w:t>
      </w:r>
    </w:p>
    <w:p w14:paraId="5FEE9B5B">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3.6 </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没有按照本章节 “投标文件组成”要求提供全部资料，或者没有仔细阅读招标文件，或者没有对招标文件在各方面的要求作出实质性响应是</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的风险，由此造成的一切后果由</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自行承担。</w:t>
      </w:r>
    </w:p>
    <w:p w14:paraId="0A8A17FF">
      <w:pPr>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4、投标文件的签章</w:t>
      </w:r>
    </w:p>
    <w:p w14:paraId="09C244D2">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4.1投标文件的签章要求：</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须知前附表；</w:t>
      </w:r>
    </w:p>
    <w:p w14:paraId="32158B64">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4.2投标文件应由</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法定代表人或其授权代表签章，并加盖</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公章。</w:t>
      </w:r>
    </w:p>
    <w:p w14:paraId="40BEAA21">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4.3电子签章操作指南详见采购公告附件《供应商项目采购-电子招投标操作指南》。</w:t>
      </w:r>
    </w:p>
    <w:p w14:paraId="619AA614">
      <w:pPr>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5、投标文件的形式</w:t>
      </w:r>
    </w:p>
    <w:p w14:paraId="25459E5D">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5.1投标文件的形式：见</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须知前附表；</w:t>
      </w:r>
    </w:p>
    <w:p w14:paraId="277DF521">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5.2“电子加密投标文件”：“电子加密投标文件”是指通过“政采云电子交易客户端”完成投标文件编制后生成并加密的数据电文形式的投标文件。</w:t>
      </w:r>
    </w:p>
    <w:p w14:paraId="693C765B">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5.3“备份投标文件”：“备份投标文件”是指与“电子加密投标文件”同时生成的数据电文形式的电子文件（备份标书），其他方式编制的“备份投标文件”视为无效的“备份投标文件”。</w:t>
      </w:r>
    </w:p>
    <w:p w14:paraId="1B8E3D64">
      <w:pPr>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6、投标文件的份数</w:t>
      </w:r>
    </w:p>
    <w:p w14:paraId="1144C6E3">
      <w:pPr>
        <w:autoSpaceDE w:val="0"/>
        <w:autoSpaceDN w:val="0"/>
        <w:adjustRightInd w:val="0"/>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6.1投标文件的份数：见</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须知前附表。</w:t>
      </w:r>
    </w:p>
    <w:p w14:paraId="124C2665">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7、投标报价</w:t>
      </w:r>
      <w:bookmarkEnd w:id="236"/>
      <w:bookmarkEnd w:id="237"/>
    </w:p>
    <w:p w14:paraId="26D55DD9">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bookmarkStart w:id="240" w:name="_Toc132122413"/>
      <w:bookmarkStart w:id="241" w:name="_Toc132122116"/>
      <w:r>
        <w:rPr>
          <w:rFonts w:hint="eastAsia" w:cs="新宋体" w:asciiTheme="majorEastAsia" w:hAnsiTheme="majorEastAsia" w:eastAsiaTheme="majorEastAsia"/>
          <w:bCs/>
          <w:color w:val="auto"/>
          <w:sz w:val="22"/>
          <w:szCs w:val="22"/>
          <w:highlight w:val="none"/>
        </w:rPr>
        <w:t>7.1供应商应按招标文件中《开标一览表》及《投标分项报价表》（如有）填写投标总价及分项报价。</w:t>
      </w:r>
    </w:p>
    <w:p w14:paraId="43213196">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7.2本次招标只允许有一个报价，有选择的报价将不予接受。</w:t>
      </w:r>
    </w:p>
    <w:p w14:paraId="097006B3">
      <w:pPr>
        <w:autoSpaceDE w:val="0"/>
        <w:autoSpaceDN w:val="0"/>
        <w:adjustRightInd w:val="0"/>
        <w:spacing w:line="360" w:lineRule="auto"/>
        <w:ind w:firstLine="440" w:firstLineChars="200"/>
        <w:textAlignment w:val="bottom"/>
        <w:rPr>
          <w:rFonts w:ascii="宋体"/>
          <w:color w:val="auto"/>
          <w:sz w:val="22"/>
          <w:szCs w:val="22"/>
          <w:highlight w:val="none"/>
        </w:rPr>
      </w:pPr>
      <w:r>
        <w:rPr>
          <w:rFonts w:hint="eastAsia" w:ascii="宋体"/>
          <w:color w:val="auto"/>
          <w:sz w:val="22"/>
          <w:szCs w:val="22"/>
          <w:highlight w:val="none"/>
        </w:rPr>
        <w:t>7.3投标报价应按包含以下费用。</w:t>
      </w:r>
    </w:p>
    <w:p w14:paraId="76DFA442">
      <w:pPr>
        <w:numPr>
          <w:ilvl w:val="0"/>
          <w:numId w:val="3"/>
        </w:numPr>
        <w:tabs>
          <w:tab w:val="left" w:pos="965"/>
          <w:tab w:val="left" w:pos="1025"/>
          <w:tab w:val="clear" w:pos="425"/>
        </w:tabs>
        <w:adjustRightInd w:val="0"/>
        <w:spacing w:line="360" w:lineRule="auto"/>
        <w:ind w:left="630" w:leftChars="300"/>
        <w:rPr>
          <w:rFonts w:ascii="宋体"/>
          <w:color w:val="auto"/>
          <w:sz w:val="22"/>
          <w:szCs w:val="22"/>
          <w:highlight w:val="none"/>
        </w:rPr>
      </w:pPr>
      <w:r>
        <w:rPr>
          <w:rFonts w:hint="eastAsia" w:ascii="宋体"/>
          <w:color w:val="auto"/>
          <w:sz w:val="22"/>
          <w:szCs w:val="22"/>
          <w:highlight w:val="none"/>
          <w:lang w:val="en-US" w:eastAsia="zh-CN"/>
        </w:rPr>
        <w:t>货物、</w:t>
      </w:r>
      <w:r>
        <w:rPr>
          <w:rFonts w:hint="eastAsia" w:ascii="宋体"/>
          <w:color w:val="auto"/>
          <w:sz w:val="22"/>
          <w:szCs w:val="22"/>
          <w:highlight w:val="none"/>
        </w:rPr>
        <w:t>服务价格</w:t>
      </w:r>
    </w:p>
    <w:p w14:paraId="5AC664B3">
      <w:pPr>
        <w:numPr>
          <w:ilvl w:val="0"/>
          <w:numId w:val="3"/>
        </w:numPr>
        <w:tabs>
          <w:tab w:val="left" w:pos="965"/>
          <w:tab w:val="left" w:pos="1025"/>
          <w:tab w:val="clear" w:pos="425"/>
        </w:tabs>
        <w:adjustRightInd w:val="0"/>
        <w:spacing w:line="360" w:lineRule="auto"/>
        <w:ind w:left="630" w:leftChars="300"/>
        <w:rPr>
          <w:rFonts w:ascii="宋体"/>
          <w:color w:val="auto"/>
          <w:sz w:val="22"/>
          <w:szCs w:val="22"/>
          <w:highlight w:val="none"/>
        </w:rPr>
      </w:pPr>
      <w:r>
        <w:rPr>
          <w:rFonts w:hint="eastAsia" w:ascii="宋体"/>
          <w:color w:val="auto"/>
          <w:sz w:val="22"/>
          <w:szCs w:val="22"/>
          <w:highlight w:val="none"/>
        </w:rPr>
        <w:t>关税、增值税等其它税，须将税费及税率单列</w:t>
      </w:r>
    </w:p>
    <w:p w14:paraId="6A67D224">
      <w:pPr>
        <w:numPr>
          <w:ilvl w:val="0"/>
          <w:numId w:val="3"/>
        </w:numPr>
        <w:tabs>
          <w:tab w:val="left" w:pos="965"/>
          <w:tab w:val="left" w:pos="1025"/>
          <w:tab w:val="clear" w:pos="425"/>
        </w:tabs>
        <w:adjustRightInd w:val="0"/>
        <w:spacing w:line="360" w:lineRule="auto"/>
        <w:ind w:left="630" w:leftChars="300"/>
        <w:rPr>
          <w:rFonts w:ascii="宋体"/>
          <w:color w:val="auto"/>
          <w:sz w:val="22"/>
          <w:szCs w:val="22"/>
          <w:highlight w:val="none"/>
        </w:rPr>
      </w:pPr>
      <w:r>
        <w:rPr>
          <w:rFonts w:hint="eastAsia" w:ascii="宋体"/>
          <w:color w:val="auto"/>
          <w:sz w:val="22"/>
          <w:szCs w:val="22"/>
          <w:highlight w:val="none"/>
        </w:rPr>
        <w:t>代理服务费</w:t>
      </w:r>
    </w:p>
    <w:p w14:paraId="695E5AC2">
      <w:pPr>
        <w:numPr>
          <w:ilvl w:val="0"/>
          <w:numId w:val="3"/>
        </w:numPr>
        <w:tabs>
          <w:tab w:val="left" w:pos="965"/>
          <w:tab w:val="left" w:pos="1025"/>
          <w:tab w:val="clear" w:pos="425"/>
        </w:tabs>
        <w:adjustRightInd w:val="0"/>
        <w:spacing w:line="360" w:lineRule="auto"/>
        <w:ind w:left="630" w:leftChars="300"/>
        <w:rPr>
          <w:rFonts w:cs="新宋体" w:asciiTheme="majorEastAsia" w:hAnsiTheme="majorEastAsia" w:eastAsiaTheme="majorEastAsia"/>
          <w:bCs/>
          <w:color w:val="auto"/>
          <w:sz w:val="22"/>
          <w:szCs w:val="22"/>
          <w:highlight w:val="none"/>
        </w:rPr>
      </w:pPr>
      <w:r>
        <w:rPr>
          <w:rFonts w:hint="eastAsia" w:ascii="宋体"/>
          <w:color w:val="auto"/>
          <w:sz w:val="22"/>
          <w:szCs w:val="22"/>
          <w:highlight w:val="none"/>
        </w:rPr>
        <w:t>其他费用</w:t>
      </w:r>
    </w:p>
    <w:p w14:paraId="78531A3C">
      <w:pPr>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sz w:val="22"/>
          <w:szCs w:val="22"/>
          <w:highlight w:val="none"/>
          <w:u w:val="single"/>
        </w:rPr>
      </w:pPr>
      <w:r>
        <w:rPr>
          <w:rFonts w:hint="eastAsia" w:cs="新宋体" w:asciiTheme="majorEastAsia" w:hAnsiTheme="majorEastAsia" w:eastAsiaTheme="majorEastAsia"/>
          <w:b/>
          <w:bCs/>
          <w:color w:val="auto"/>
          <w:sz w:val="22"/>
          <w:szCs w:val="22"/>
          <w:highlight w:val="none"/>
          <w:u w:val="single"/>
        </w:rPr>
        <w:t>供应商在投标报价中应充分考虑所有可能发生的费用，否则采购人将视投标总价中已包括所有费用。</w:t>
      </w:r>
    </w:p>
    <w:p w14:paraId="700BA404">
      <w:pPr>
        <w:autoSpaceDE w:val="0"/>
        <w:autoSpaceDN w:val="0"/>
        <w:adjustRightInd w:val="0"/>
        <w:spacing w:line="460" w:lineRule="atLeast"/>
        <w:ind w:firstLine="442" w:firstLineChars="200"/>
        <w:textAlignment w:val="bottom"/>
        <w:rPr>
          <w:rFonts w:cs="新宋体" w:asciiTheme="majorEastAsia" w:hAnsiTheme="majorEastAsia" w:eastAsiaTheme="majorEastAsia"/>
          <w:bCs/>
          <w:color w:val="auto"/>
          <w:sz w:val="22"/>
          <w:szCs w:val="22"/>
          <w:highlight w:val="none"/>
          <w:u w:val="single"/>
        </w:rPr>
      </w:pPr>
      <w:r>
        <w:rPr>
          <w:rFonts w:hint="eastAsia" w:cs="新宋体" w:asciiTheme="majorEastAsia" w:hAnsiTheme="majorEastAsia" w:eastAsiaTheme="majorEastAsia"/>
          <w:b/>
          <w:bCs/>
          <w:color w:val="auto"/>
          <w:sz w:val="22"/>
          <w:szCs w:val="22"/>
          <w:highlight w:val="none"/>
          <w:u w:val="single"/>
        </w:rPr>
        <w:t>供应商对在合同执行中，除上述费用及招标文件规定的由中标供应商负责的工作范围以外需要采购人协调或提供便利的工作应当在投标文件中说明。</w:t>
      </w:r>
    </w:p>
    <w:p w14:paraId="10BB35CC">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填写报价表格时，各项费用应如实填写。</w:t>
      </w:r>
    </w:p>
    <w:p w14:paraId="1ADAC6F1">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8、采购人要求分类报价是为了方便评标，但在任何情况下不限制采购人以其认为最合适的条款签订合同的权利。</w:t>
      </w:r>
    </w:p>
    <w:bookmarkEnd w:id="240"/>
    <w:bookmarkEnd w:id="241"/>
    <w:p w14:paraId="53423BAF">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bookmarkStart w:id="242" w:name="_Toc132122117"/>
      <w:bookmarkStart w:id="243" w:name="_Toc132122414"/>
      <w:bookmarkStart w:id="244" w:name="_Toc332809833"/>
      <w:bookmarkStart w:id="245" w:name="_Toc132125096"/>
      <w:bookmarkStart w:id="246" w:name="_Toc132126155"/>
      <w:bookmarkStart w:id="247" w:name="_Toc132655777"/>
      <w:bookmarkStart w:id="248" w:name="_Toc132125575"/>
      <w:bookmarkStart w:id="249" w:name="_Toc132122120"/>
      <w:bookmarkStart w:id="250" w:name="_Toc132125984"/>
      <w:bookmarkStart w:id="251" w:name="_Toc132123635"/>
      <w:bookmarkStart w:id="252" w:name="_Toc132123839"/>
      <w:bookmarkStart w:id="253" w:name="_Toc132124595"/>
      <w:bookmarkStart w:id="254" w:name="_Toc132123548"/>
      <w:bookmarkStart w:id="255" w:name="_Toc132123440"/>
      <w:bookmarkStart w:id="256" w:name="_Toc132125152"/>
      <w:bookmarkStart w:id="257" w:name="_Toc132123882"/>
      <w:bookmarkStart w:id="258" w:name="_Toc132125038"/>
      <w:bookmarkStart w:id="259" w:name="_Toc132122417"/>
      <w:r>
        <w:rPr>
          <w:rFonts w:hint="eastAsia" w:cs="新宋体" w:asciiTheme="majorEastAsia" w:hAnsiTheme="majorEastAsia" w:eastAsiaTheme="majorEastAsia"/>
          <w:bCs/>
          <w:color w:val="auto"/>
          <w:sz w:val="22"/>
          <w:szCs w:val="22"/>
          <w:highlight w:val="none"/>
        </w:rPr>
        <w:t>9、投标文件的有效期</w:t>
      </w:r>
      <w:bookmarkEnd w:id="242"/>
      <w:bookmarkEnd w:id="243"/>
    </w:p>
    <w:p w14:paraId="2F641606">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9.1 自投标截止时间起90天内，投标文件应保持有效。有效期短于这个规定期限的投标将被拒绝。</w:t>
      </w:r>
    </w:p>
    <w:p w14:paraId="74A454B7">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9.2 在特殊情况下，采购人可与供应商协商延长投标文件的有效期，这种要求和答复均应以书面形式进行。</w:t>
      </w:r>
    </w:p>
    <w:p w14:paraId="4EEDBFF8">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9.3 供应商可拒绝接受延期要求。同意延长有效期的供应商不能修改投标文件。</w:t>
      </w:r>
    </w:p>
    <w:p w14:paraId="6D294F00">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10、</w:t>
      </w:r>
      <w:r>
        <w:rPr>
          <w:rFonts w:hint="eastAsia" w:cs="新宋体" w:asciiTheme="majorEastAsia" w:hAnsiTheme="majorEastAsia" w:eastAsiaTheme="majorEastAsia"/>
          <w:bCs/>
          <w:color w:val="auto"/>
          <w:sz w:val="22"/>
          <w:szCs w:val="22"/>
          <w:highlight w:val="none"/>
          <w:lang w:eastAsia="zh-CN"/>
        </w:rPr>
        <w:t>投标人</w:t>
      </w:r>
      <w:r>
        <w:rPr>
          <w:rFonts w:hint="eastAsia" w:cs="新宋体" w:asciiTheme="majorEastAsia" w:hAnsiTheme="majorEastAsia" w:eastAsiaTheme="majorEastAsia"/>
          <w:bCs/>
          <w:color w:val="auto"/>
          <w:sz w:val="22"/>
          <w:szCs w:val="22"/>
          <w:highlight w:val="none"/>
        </w:rPr>
        <w:t>如发生下列情况之一，将上报同级政府采购监督管理部门，追究其责任：</w:t>
      </w:r>
    </w:p>
    <w:p w14:paraId="5AB9CA60">
      <w:pPr>
        <w:pStyle w:val="84"/>
        <w:numPr>
          <w:ilvl w:val="0"/>
          <w:numId w:val="4"/>
        </w:numPr>
        <w:autoSpaceDE w:val="0"/>
        <w:autoSpaceDN w:val="0"/>
        <w:adjustRightInd w:val="0"/>
        <w:spacing w:line="460" w:lineRule="atLeast"/>
        <w:ind w:firstLineChars="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lang w:eastAsia="zh-CN"/>
        </w:rPr>
        <w:t>投标人</w:t>
      </w:r>
      <w:r>
        <w:rPr>
          <w:rFonts w:hint="eastAsia" w:cs="新宋体" w:asciiTheme="majorEastAsia" w:hAnsiTheme="majorEastAsia" w:eastAsiaTheme="majorEastAsia"/>
          <w:bCs/>
          <w:color w:val="auto"/>
          <w:sz w:val="22"/>
          <w:szCs w:val="22"/>
          <w:highlight w:val="none"/>
        </w:rPr>
        <w:t>在招标文件规定的投标有效期内撤回投标；</w:t>
      </w:r>
    </w:p>
    <w:p w14:paraId="54628213">
      <w:pPr>
        <w:pStyle w:val="84"/>
        <w:numPr>
          <w:ilvl w:val="0"/>
          <w:numId w:val="4"/>
        </w:numPr>
        <w:autoSpaceDE w:val="0"/>
        <w:autoSpaceDN w:val="0"/>
        <w:adjustRightInd w:val="0"/>
        <w:spacing w:line="460" w:lineRule="atLeast"/>
        <w:ind w:firstLineChars="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中标人未按中标通知书中规定的时间与采购人签订合同；</w:t>
      </w:r>
    </w:p>
    <w:p w14:paraId="069FA381">
      <w:pPr>
        <w:pStyle w:val="84"/>
        <w:numPr>
          <w:ilvl w:val="0"/>
          <w:numId w:val="4"/>
        </w:numPr>
        <w:autoSpaceDE w:val="0"/>
        <w:autoSpaceDN w:val="0"/>
        <w:adjustRightInd w:val="0"/>
        <w:spacing w:line="460" w:lineRule="atLeast"/>
        <w:ind w:firstLineChars="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lang w:eastAsia="zh-CN"/>
        </w:rPr>
        <w:t>投标人</w:t>
      </w:r>
      <w:r>
        <w:rPr>
          <w:rFonts w:hint="eastAsia" w:cs="新宋体" w:asciiTheme="majorEastAsia" w:hAnsiTheme="majorEastAsia" w:eastAsiaTheme="majorEastAsia"/>
          <w:bCs/>
          <w:color w:val="auto"/>
          <w:sz w:val="22"/>
          <w:szCs w:val="22"/>
          <w:highlight w:val="none"/>
        </w:rPr>
        <w:t>在招标文件中提供虚假技术指标及参数，经评标委员会确认属实的。</w:t>
      </w:r>
    </w:p>
    <w:p w14:paraId="57DCA8B9">
      <w:pPr>
        <w:pStyle w:val="84"/>
        <w:numPr>
          <w:ilvl w:val="0"/>
          <w:numId w:val="4"/>
        </w:numPr>
        <w:autoSpaceDE w:val="0"/>
        <w:autoSpaceDN w:val="0"/>
        <w:adjustRightInd w:val="0"/>
        <w:spacing w:line="460" w:lineRule="atLeast"/>
        <w:ind w:firstLineChars="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经同级政府采购监督管理部门审查认定</w:t>
      </w:r>
      <w:r>
        <w:rPr>
          <w:rFonts w:hint="eastAsia" w:cs="新宋体" w:asciiTheme="majorEastAsia" w:hAnsiTheme="majorEastAsia" w:eastAsiaTheme="majorEastAsia"/>
          <w:bCs/>
          <w:color w:val="auto"/>
          <w:sz w:val="22"/>
          <w:szCs w:val="22"/>
          <w:highlight w:val="none"/>
          <w:lang w:eastAsia="zh-CN"/>
        </w:rPr>
        <w:t>投标人</w:t>
      </w:r>
      <w:r>
        <w:rPr>
          <w:rFonts w:hint="eastAsia" w:cs="新宋体" w:asciiTheme="majorEastAsia" w:hAnsiTheme="majorEastAsia" w:eastAsiaTheme="majorEastAsia"/>
          <w:bCs/>
          <w:color w:val="auto"/>
          <w:sz w:val="22"/>
          <w:szCs w:val="22"/>
          <w:highlight w:val="none"/>
        </w:rPr>
        <w:t>有违反《中华人民共和国政府采购法》等有关法律法规的行为。</w:t>
      </w:r>
    </w:p>
    <w:p w14:paraId="1DCB9C57">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8"/>
          <w:szCs w:val="28"/>
          <w:highlight w:val="none"/>
        </w:rPr>
      </w:pPr>
      <w:bookmarkStart w:id="260" w:name="_Toc132125574"/>
      <w:bookmarkStart w:id="261" w:name="_Toc18653"/>
      <w:bookmarkStart w:id="262" w:name="_Toc132125151"/>
      <w:bookmarkStart w:id="263" w:name="_Toc132123547"/>
      <w:bookmarkStart w:id="264" w:name="_Toc132123634"/>
      <w:bookmarkStart w:id="265" w:name="_Toc132123838"/>
      <w:bookmarkStart w:id="266" w:name="_Toc132123881"/>
      <w:bookmarkStart w:id="267" w:name="_Toc132122416"/>
      <w:bookmarkStart w:id="268" w:name="_Toc132125983"/>
      <w:bookmarkStart w:id="269" w:name="_Toc132655776"/>
      <w:bookmarkStart w:id="270" w:name="_Toc496116253"/>
      <w:bookmarkStart w:id="271" w:name="_Toc132122119"/>
      <w:bookmarkStart w:id="272" w:name="_Toc132126154"/>
      <w:bookmarkStart w:id="273" w:name="_Toc132125037"/>
      <w:bookmarkStart w:id="274" w:name="_Toc132124594"/>
      <w:bookmarkStart w:id="275" w:name="_Toc132123439"/>
      <w:bookmarkStart w:id="276" w:name="_Toc132125095"/>
      <w:r>
        <w:rPr>
          <w:rFonts w:hint="eastAsia" w:cs="Arial" w:asciiTheme="majorEastAsia" w:hAnsiTheme="majorEastAsia" w:eastAsiaTheme="majorEastAsia"/>
          <w:b/>
          <w:bCs/>
          <w:color w:val="auto"/>
          <w:sz w:val="28"/>
          <w:szCs w:val="28"/>
          <w:highlight w:val="none"/>
        </w:rPr>
        <w:t>五、投标文件的</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Fonts w:hint="eastAsia" w:cs="Arial" w:asciiTheme="majorEastAsia" w:hAnsiTheme="majorEastAsia" w:eastAsiaTheme="majorEastAsia"/>
          <w:b/>
          <w:bCs/>
          <w:color w:val="auto"/>
          <w:sz w:val="28"/>
          <w:szCs w:val="28"/>
          <w:highlight w:val="none"/>
        </w:rPr>
        <w:t>递交</w:t>
      </w:r>
    </w:p>
    <w:p w14:paraId="3882CE63">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1、投标文件的递交</w:t>
      </w:r>
    </w:p>
    <w:p w14:paraId="1B136E43">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sz w:val="22"/>
          <w:szCs w:val="22"/>
          <w:highlight w:val="none"/>
        </w:rPr>
        <w:t>1.1投标文件的上传、递交：见</w:t>
      </w:r>
      <w:r>
        <w:rPr>
          <w:rFonts w:hint="eastAsia" w:cs="新宋体" w:asciiTheme="majorEastAsia" w:hAnsiTheme="majorEastAsia" w:eastAsiaTheme="majorEastAsia"/>
          <w:bCs/>
          <w:color w:val="auto"/>
          <w:sz w:val="22"/>
          <w:szCs w:val="22"/>
          <w:highlight w:val="none"/>
          <w:lang w:eastAsia="zh-CN"/>
        </w:rPr>
        <w:t>投标人</w:t>
      </w:r>
      <w:r>
        <w:rPr>
          <w:rFonts w:hint="eastAsia" w:cs="新宋体" w:asciiTheme="majorEastAsia" w:hAnsiTheme="majorEastAsia" w:eastAsiaTheme="majorEastAsia"/>
          <w:bCs/>
          <w:color w:val="auto"/>
          <w:sz w:val="22"/>
          <w:szCs w:val="22"/>
          <w:highlight w:val="none"/>
        </w:rPr>
        <w:t>须知前附表。</w:t>
      </w:r>
    </w:p>
    <w:p w14:paraId="5182A1A2">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2、 “电子加密投标文件”解密和异常情况处理。</w:t>
      </w:r>
    </w:p>
    <w:p w14:paraId="1AF29051">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sz w:val="22"/>
          <w:szCs w:val="22"/>
          <w:highlight w:val="none"/>
        </w:rPr>
      </w:pPr>
      <w:r>
        <w:rPr>
          <w:rFonts w:hint="eastAsia" w:cs="新宋体" w:asciiTheme="majorEastAsia" w:hAnsiTheme="majorEastAsia" w:eastAsiaTheme="majorEastAsia"/>
          <w:bCs/>
          <w:color w:val="auto"/>
          <w:sz w:val="22"/>
          <w:szCs w:val="22"/>
          <w:highlight w:val="none"/>
        </w:rPr>
        <w:t>2.1“电子加密投标文件”解密：见</w:t>
      </w:r>
      <w:r>
        <w:rPr>
          <w:rFonts w:hint="eastAsia" w:cs="新宋体" w:asciiTheme="majorEastAsia" w:hAnsiTheme="majorEastAsia" w:eastAsiaTheme="majorEastAsia"/>
          <w:bCs/>
          <w:color w:val="auto"/>
          <w:sz w:val="22"/>
          <w:szCs w:val="22"/>
          <w:highlight w:val="none"/>
          <w:lang w:eastAsia="zh-CN"/>
        </w:rPr>
        <w:t>投标人</w:t>
      </w:r>
      <w:r>
        <w:rPr>
          <w:rFonts w:hint="eastAsia" w:cs="新宋体" w:asciiTheme="majorEastAsia" w:hAnsiTheme="majorEastAsia" w:eastAsiaTheme="majorEastAsia"/>
          <w:bCs/>
          <w:color w:val="auto"/>
          <w:sz w:val="22"/>
          <w:szCs w:val="22"/>
          <w:highlight w:val="none"/>
        </w:rPr>
        <w:t>须知前附表。</w:t>
      </w:r>
    </w:p>
    <w:p w14:paraId="318A6257">
      <w:pPr>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3、 投标文件的补充、修改或撤回</w:t>
      </w:r>
    </w:p>
    <w:p w14:paraId="5AEC723D">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3.1供应商应当在投标文件递交截止时间前完成投标文件的上传、递交，并可以补充、修改或者撤回投标文件。补充或者修改投标文件的，应当先行撤回原文件，补充、修改后重新上传、递交。投标文件递交截止时间前未完成上传、递交的，视为撤回投标文件。投标文件递交截止时间后递交的投标文件，“政采云平台”将予以拒收。</w:t>
      </w:r>
    </w:p>
    <w:p w14:paraId="04852E71">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3.2投标文件递交截止时间后，</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不得撤回、修改投标文件。</w:t>
      </w:r>
    </w:p>
    <w:p w14:paraId="1694FD13">
      <w:pPr>
        <w:autoSpaceDE w:val="0"/>
        <w:autoSpaceDN w:val="0"/>
        <w:adjustRightInd w:val="0"/>
        <w:spacing w:line="460" w:lineRule="atLeast"/>
        <w:ind w:firstLine="442"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4、投标文件的备选方案</w:t>
      </w:r>
    </w:p>
    <w:p w14:paraId="2A70F03D">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4.1</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不得递交任何的投标备选（替代）方案，否则其投标文件将作无效标处理。与“电子加密投标文件”同时生成的“备份投标文件”不是投标备选（替代）方案。</w:t>
      </w:r>
    </w:p>
    <w:p w14:paraId="66E5838B">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2"/>
          <w:szCs w:val="22"/>
          <w:highlight w:val="none"/>
        </w:rPr>
      </w:pPr>
      <w:bookmarkStart w:id="277" w:name="_Toc496116254"/>
      <w:bookmarkStart w:id="278" w:name="_Toc144"/>
      <w:r>
        <w:rPr>
          <w:rFonts w:hint="eastAsia" w:cs="Arial" w:asciiTheme="majorEastAsia" w:hAnsiTheme="majorEastAsia" w:eastAsiaTheme="majorEastAsia"/>
          <w:b/>
          <w:bCs/>
          <w:color w:val="auto"/>
          <w:sz w:val="28"/>
          <w:szCs w:val="28"/>
          <w:highlight w:val="none"/>
        </w:rPr>
        <w:t>六、开标和评标</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77"/>
      <w:bookmarkEnd w:id="278"/>
    </w:p>
    <w:p w14:paraId="3FBE266A">
      <w:pPr>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1、开标形式</w:t>
      </w:r>
    </w:p>
    <w:p w14:paraId="1D2ACC36">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1.1 采购组织机构将按照招标文件规定的时间通过“政采云平台”组织开标、开启投标文件，所有供应商均应当准时在线参加。</w:t>
      </w:r>
    </w:p>
    <w:p w14:paraId="19C577E4">
      <w:pPr>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2、 开标准备</w:t>
      </w:r>
    </w:p>
    <w:p w14:paraId="68442088">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2.1开标的准备工作由采购组织机构负责落实。</w:t>
      </w:r>
    </w:p>
    <w:p w14:paraId="2B32533D">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2.2采购组织机构将按照招标文件规定的时间通过“政采云平台”组织开标、开启投标文件，所有供应商均应当准时在线参加。</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如不参加开标大会的，视同认可开标结果，事后不得对采购相关人员、开标过程和开标结果提出异议，同时</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因未在线参加开标而导致投标文件无法按时解密等一切后果由供应商自己承担。</w:t>
      </w:r>
    </w:p>
    <w:p w14:paraId="7C0CAC00">
      <w:pPr>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3、开标流程（两阶段）</w:t>
      </w:r>
    </w:p>
    <w:p w14:paraId="0BE6F9EC">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3.1开标第一阶段</w:t>
      </w:r>
    </w:p>
    <w:p w14:paraId="7FF067A1">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（1）向各</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发出电子加密投标文件【开始解密】通知，由供应商按招标文件规定的时间内自行进行投标文件解密。</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在规定的时间内（开标时间起30分钟内）无法完成已递交的“电子加密投标文件”解密的，如已按规定递交了备份投标文件的，将由采购组织机构按“政采云平台”操作规范将备份投标文件上传至“政采云平台”，上传成功后，“电子加密投标文件”自动失效；</w:t>
      </w:r>
    </w:p>
    <w:p w14:paraId="3A95C53E">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（2）开启投标文件，进入资格审查；</w:t>
      </w:r>
    </w:p>
    <w:p w14:paraId="313DECCC">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（3）资格审查通过的</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的技术资信文件进入符合性审查、技术评审；</w:t>
      </w:r>
    </w:p>
    <w:p w14:paraId="288D295C">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（4）第一阶段开标结束。</w:t>
      </w:r>
    </w:p>
    <w:p w14:paraId="0953268E">
      <w:pPr>
        <w:tabs>
          <w:tab w:val="left" w:pos="540"/>
        </w:tabs>
        <w:spacing w:line="460" w:lineRule="exact"/>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备注：开标大会的第一阶段结束后，采购人或采购代理机构将对依法对</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的资格进行审查，资格审查结束后进入符合性审查和技术资信文件的评审工作，具体见本章节“</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资格审查”相关规定。</w:t>
      </w:r>
    </w:p>
    <w:p w14:paraId="4A7FB225">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3.2开标第二阶段</w:t>
      </w:r>
    </w:p>
    <w:p w14:paraId="4476D6CF">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（1）符合性审查、技术资信文件的评审结束后，举行开标大会第二阶段会议。首先在“政采云平台”系统平台上公布符合性审查、技术资信评审无效供应商名称及理由；公布经技术资信评审后有效</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的名单，同时公布其技术资信部分得分情况。</w:t>
      </w:r>
    </w:p>
    <w:p w14:paraId="2C2EE655">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（2）开启通过符合性审查、技术资信文件评审有效</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的商务（报价）文件，在“政采云平台”系统平台上公布开标一览表有关内容，同时当场制作开标记录。开标结束后，由评标委员会对报价的合理性、准确性等进行审查核实。</w:t>
      </w:r>
    </w:p>
    <w:p w14:paraId="2FBC615B">
      <w:pPr>
        <w:spacing w:line="460" w:lineRule="exact"/>
        <w:ind w:firstLine="440" w:firstLineChars="200"/>
        <w:rPr>
          <w:rFonts w:ascii="新宋体" w:hAnsi="新宋体" w:eastAsia="新宋体" w:cs="新宋体"/>
          <w:color w:val="auto"/>
          <w:kern w:val="0"/>
          <w:sz w:val="22"/>
          <w:szCs w:val="22"/>
          <w:highlight w:val="none"/>
        </w:rPr>
      </w:pPr>
      <w:r>
        <w:rPr>
          <w:rFonts w:hint="eastAsia" w:ascii="新宋体" w:hAnsi="新宋体" w:eastAsia="新宋体" w:cs="宋体"/>
          <w:color w:val="auto"/>
          <w:sz w:val="22"/>
          <w:highlight w:val="none"/>
        </w:rPr>
        <w:t>投标文件报价出现前后不一致的，除采购文件另有规定外，按照下列规定修正</w:t>
      </w:r>
      <w:r>
        <w:rPr>
          <w:rFonts w:hint="eastAsia" w:ascii="新宋体" w:hAnsi="新宋体" w:eastAsia="新宋体" w:cs="新宋体"/>
          <w:color w:val="auto"/>
          <w:kern w:val="0"/>
          <w:sz w:val="22"/>
          <w:szCs w:val="22"/>
          <w:highlight w:val="none"/>
        </w:rPr>
        <w:t>：</w:t>
      </w:r>
    </w:p>
    <w:p w14:paraId="407C08A4">
      <w:pPr>
        <w:spacing w:line="460" w:lineRule="exact"/>
        <w:ind w:firstLine="418" w:firstLineChars="19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w:t>
      </w:r>
      <w:r>
        <w:rPr>
          <w:rFonts w:hint="eastAsia" w:ascii="新宋体" w:hAnsi="新宋体" w:eastAsia="新宋体" w:cs="宋体"/>
          <w:color w:val="auto"/>
          <w:sz w:val="22"/>
          <w:highlight w:val="none"/>
        </w:rPr>
        <w:t>投标文件中开标一览表（报价表）内容与投标文件中相应内容不一致的，以开标一览表（报价表）为准</w:t>
      </w:r>
      <w:r>
        <w:rPr>
          <w:rFonts w:hint="eastAsia" w:ascii="新宋体" w:hAnsi="新宋体" w:eastAsia="新宋体" w:cs="新宋体"/>
          <w:color w:val="auto"/>
          <w:kern w:val="0"/>
          <w:sz w:val="22"/>
          <w:szCs w:val="22"/>
          <w:highlight w:val="none"/>
        </w:rPr>
        <w:t>。</w:t>
      </w:r>
    </w:p>
    <w:p w14:paraId="4DC3096B">
      <w:pPr>
        <w:spacing w:line="460" w:lineRule="exact"/>
        <w:ind w:firstLine="418" w:firstLineChars="190"/>
        <w:rPr>
          <w:rFonts w:ascii="新宋体" w:hAnsi="新宋体" w:eastAsia="新宋体" w:cs="宋体"/>
          <w:color w:val="auto"/>
          <w:sz w:val="22"/>
          <w:highlight w:val="none"/>
        </w:rPr>
      </w:pPr>
      <w:r>
        <w:rPr>
          <w:rFonts w:hint="eastAsia" w:ascii="新宋体" w:hAnsi="新宋体" w:eastAsia="新宋体" w:cs="新宋体"/>
          <w:color w:val="auto"/>
          <w:kern w:val="0"/>
          <w:sz w:val="22"/>
          <w:szCs w:val="22"/>
          <w:highlight w:val="none"/>
        </w:rPr>
        <w:t>2）</w:t>
      </w:r>
      <w:r>
        <w:rPr>
          <w:rFonts w:hint="eastAsia" w:ascii="新宋体" w:hAnsi="新宋体" w:eastAsia="新宋体" w:cs="宋体"/>
          <w:color w:val="auto"/>
          <w:sz w:val="22"/>
          <w:highlight w:val="none"/>
        </w:rPr>
        <w:t>大写金额和小写金额不一致的，以大写金额为准。</w:t>
      </w:r>
    </w:p>
    <w:p w14:paraId="44727622">
      <w:pPr>
        <w:spacing w:line="460" w:lineRule="exact"/>
        <w:ind w:firstLine="418" w:firstLineChars="190"/>
        <w:rPr>
          <w:rFonts w:ascii="新宋体" w:hAnsi="新宋体" w:eastAsia="新宋体" w:cs="宋体"/>
          <w:color w:val="auto"/>
          <w:sz w:val="22"/>
          <w:highlight w:val="none"/>
        </w:rPr>
      </w:pPr>
      <w:r>
        <w:rPr>
          <w:rFonts w:hint="eastAsia" w:ascii="新宋体" w:hAnsi="新宋体" w:eastAsia="新宋体" w:cs="宋体"/>
          <w:color w:val="auto"/>
          <w:sz w:val="22"/>
          <w:highlight w:val="none"/>
        </w:rPr>
        <w:t>3）单价金额小数点或者百分比有明显错位的，以开标一览表的总价为准，并修改单价。</w:t>
      </w:r>
    </w:p>
    <w:p w14:paraId="716A5C79">
      <w:pPr>
        <w:spacing w:line="460" w:lineRule="exact"/>
        <w:ind w:firstLine="418" w:firstLineChars="190"/>
        <w:rPr>
          <w:rFonts w:ascii="新宋体" w:hAnsi="新宋体" w:eastAsia="新宋体" w:cs="宋体"/>
          <w:color w:val="auto"/>
          <w:sz w:val="22"/>
          <w:highlight w:val="none"/>
        </w:rPr>
      </w:pPr>
      <w:r>
        <w:rPr>
          <w:rFonts w:hint="eastAsia" w:ascii="新宋体" w:hAnsi="新宋体" w:eastAsia="新宋体" w:cs="宋体"/>
          <w:color w:val="auto"/>
          <w:sz w:val="22"/>
          <w:highlight w:val="none"/>
        </w:rPr>
        <w:t>4）总价金额与按单价汇总金额不一致的，以单价金额计算结果为准。</w:t>
      </w:r>
    </w:p>
    <w:p w14:paraId="5DE24A38">
      <w:pPr>
        <w:spacing w:line="460" w:lineRule="exact"/>
        <w:ind w:firstLine="418" w:firstLineChars="190"/>
        <w:rPr>
          <w:rFonts w:ascii="新宋体" w:hAnsi="新宋体" w:eastAsia="新宋体" w:cs="宋体"/>
          <w:color w:val="auto"/>
          <w:sz w:val="22"/>
          <w:highlight w:val="none"/>
        </w:rPr>
      </w:pPr>
      <w:r>
        <w:rPr>
          <w:rFonts w:hint="eastAsia" w:ascii="新宋体" w:hAnsi="新宋体" w:eastAsia="新宋体" w:cs="宋体"/>
          <w:color w:val="auto"/>
          <w:sz w:val="22"/>
          <w:highlight w:val="none"/>
        </w:rPr>
        <w:t>5）</w:t>
      </w:r>
      <w:r>
        <w:rPr>
          <w:rFonts w:hint="eastAsia" w:ascii="新宋体" w:hAnsi="新宋体" w:eastAsia="新宋体" w:cs="新宋体"/>
          <w:color w:val="auto"/>
          <w:sz w:val="22"/>
          <w:szCs w:val="22"/>
          <w:highlight w:val="none"/>
          <w:lang w:eastAsia="zh-CN"/>
        </w:rPr>
        <w:t>投标人</w:t>
      </w:r>
      <w:r>
        <w:rPr>
          <w:rFonts w:hint="eastAsia" w:ascii="新宋体" w:hAnsi="新宋体" w:eastAsia="新宋体" w:cs="新宋体"/>
          <w:color w:val="auto"/>
          <w:sz w:val="22"/>
          <w:szCs w:val="22"/>
          <w:highlight w:val="none"/>
        </w:rPr>
        <w:t>在政采云</w:t>
      </w:r>
      <w:r>
        <w:rPr>
          <w:rFonts w:hint="eastAsia" w:ascii="宋体" w:hAnsi="宋体" w:cs="宋体"/>
          <w:color w:val="auto"/>
          <w:sz w:val="22"/>
          <w:szCs w:val="22"/>
          <w:highlight w:val="none"/>
        </w:rPr>
        <w:t>客户端填写的报价与以pdf格式上传文件中的报价不一致的，应以Pdf格式上传文件中的报价为准，修正客户端的报价。</w:t>
      </w:r>
    </w:p>
    <w:p w14:paraId="36CC979B">
      <w:pPr>
        <w:spacing w:line="460" w:lineRule="exact"/>
        <w:ind w:firstLine="420" w:firstLineChars="190"/>
        <w:rPr>
          <w:rFonts w:ascii="新宋体" w:hAnsi="新宋体" w:eastAsia="新宋体" w:cs="宋体"/>
          <w:b/>
          <w:bCs/>
          <w:color w:val="auto"/>
          <w:sz w:val="22"/>
          <w:szCs w:val="22"/>
          <w:highlight w:val="none"/>
        </w:rPr>
      </w:pPr>
      <w:r>
        <w:rPr>
          <w:rFonts w:hint="eastAsia" w:ascii="新宋体" w:hAnsi="新宋体" w:eastAsia="新宋体" w:cs="宋体"/>
          <w:b/>
          <w:bCs/>
          <w:color w:val="auto"/>
          <w:sz w:val="22"/>
          <w:highlight w:val="none"/>
        </w:rPr>
        <w:t>同时出现两种以上不一致的，按照前款规定的顺序修正。修正后的报价按照本采购文件规定经供应商确认后产生约束力，供应商不确认的，其投标无效。</w:t>
      </w:r>
    </w:p>
    <w:p w14:paraId="3D0A93DE">
      <w:pPr>
        <w:tabs>
          <w:tab w:val="left" w:pos="540"/>
        </w:tabs>
        <w:spacing w:line="460" w:lineRule="exact"/>
        <w:ind w:firstLine="325" w:firstLineChars="147"/>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（3）评审结束后，在“政采云平台”系统平台上公布中标（成交）候选供应商名单，及采购人最终确定中标或成交供应商名单的时间和公告方式等。</w:t>
      </w:r>
    </w:p>
    <w:p w14:paraId="18A51A20">
      <w:pPr>
        <w:tabs>
          <w:tab w:val="left" w:pos="540"/>
        </w:tabs>
        <w:spacing w:line="460" w:lineRule="exact"/>
        <w:rPr>
          <w:rFonts w:cs="新宋体" w:asciiTheme="majorEastAsia" w:hAnsiTheme="majorEastAsia" w:eastAsiaTheme="majorEastAsia"/>
          <w:b/>
          <w:bCs/>
          <w:color w:val="auto"/>
          <w:kern w:val="0"/>
          <w:sz w:val="22"/>
          <w:szCs w:val="22"/>
          <w:highlight w:val="none"/>
        </w:rPr>
      </w:pPr>
      <w:r>
        <w:rPr>
          <w:rFonts w:hint="eastAsia" w:cs="新宋体" w:asciiTheme="majorEastAsia" w:hAnsiTheme="majorEastAsia" w:eastAsiaTheme="majorEastAsia"/>
          <w:b/>
          <w:bCs/>
          <w:color w:val="auto"/>
          <w:kern w:val="0"/>
          <w:sz w:val="22"/>
          <w:szCs w:val="22"/>
          <w:highlight w:val="none"/>
        </w:rPr>
        <w:t>特别说明：如遇“政采云平台”电子化开标或评审程序调整的，按调整后程序执行。</w:t>
      </w:r>
    </w:p>
    <w:p w14:paraId="1AD1780A">
      <w:pPr>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kern w:val="0"/>
          <w:sz w:val="22"/>
          <w:szCs w:val="22"/>
          <w:highlight w:val="none"/>
        </w:rPr>
      </w:pPr>
      <w:bookmarkStart w:id="279" w:name="_Toc33194393"/>
      <w:bookmarkStart w:id="280" w:name="_Toc24550037"/>
      <w:r>
        <w:rPr>
          <w:rFonts w:hint="eastAsia" w:cs="新宋体" w:asciiTheme="majorEastAsia" w:hAnsiTheme="majorEastAsia" w:eastAsiaTheme="majorEastAsia"/>
          <w:b/>
          <w:bCs/>
          <w:color w:val="auto"/>
          <w:kern w:val="0"/>
          <w:sz w:val="22"/>
          <w:szCs w:val="22"/>
          <w:highlight w:val="none"/>
        </w:rPr>
        <w:t xml:space="preserve">4、 </w:t>
      </w:r>
      <w:r>
        <w:rPr>
          <w:rFonts w:hint="eastAsia" w:cs="新宋体" w:asciiTheme="majorEastAsia" w:hAnsiTheme="majorEastAsia" w:eastAsiaTheme="majorEastAsia"/>
          <w:b/>
          <w:bCs/>
          <w:color w:val="auto"/>
          <w:kern w:val="0"/>
          <w:sz w:val="22"/>
          <w:szCs w:val="22"/>
          <w:highlight w:val="none"/>
          <w:lang w:eastAsia="zh-CN"/>
        </w:rPr>
        <w:t>投标人</w:t>
      </w:r>
      <w:r>
        <w:rPr>
          <w:rFonts w:hint="eastAsia" w:cs="新宋体" w:asciiTheme="majorEastAsia" w:hAnsiTheme="majorEastAsia" w:eastAsiaTheme="majorEastAsia"/>
          <w:b/>
          <w:bCs/>
          <w:color w:val="auto"/>
          <w:kern w:val="0"/>
          <w:sz w:val="22"/>
          <w:szCs w:val="22"/>
          <w:highlight w:val="none"/>
        </w:rPr>
        <w:t>资格审查</w:t>
      </w:r>
      <w:bookmarkEnd w:id="279"/>
      <w:bookmarkEnd w:id="280"/>
    </w:p>
    <w:p w14:paraId="1EDE76CA">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4.1开标大会第一阶段结束后，采购人或采购代理机构首先依法对各</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的资格进行审查，审查各</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的资格是否满足招标文件的要求。采购人或采购代理机构对</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所提交的资格审查材料仅负审核的责任。如发现</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所提交的资格审查材料不合法或与事实不符，采购人可取消其中标资格并追究</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的法律责任。</w:t>
      </w:r>
    </w:p>
    <w:p w14:paraId="5F27EB73">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4.2</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提交的资格审查材料无法证明其符合招标文件规定的“</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资格要求”的，采购人或采购代理机构将对其作资格审查不通过处理（无效投标），并不再将其投标提交评标委员会进行后续评审。</w:t>
      </w:r>
    </w:p>
    <w:p w14:paraId="7F130188">
      <w:pPr>
        <w:autoSpaceDE w:val="0"/>
        <w:autoSpaceDN w:val="0"/>
        <w:adjustRightInd w:val="0"/>
        <w:spacing w:line="460" w:lineRule="atLeast"/>
        <w:ind w:firstLine="440" w:firstLineChars="200"/>
        <w:textAlignment w:val="bottom"/>
        <w:rPr>
          <w:rFonts w:cs="新宋体" w:asciiTheme="majorEastAsia" w:hAnsiTheme="majorEastAsia" w:eastAsiaTheme="majorEastAsia"/>
          <w:bCs/>
          <w:color w:val="auto"/>
          <w:kern w:val="0"/>
          <w:sz w:val="22"/>
          <w:szCs w:val="22"/>
          <w:highlight w:val="none"/>
        </w:rPr>
      </w:pPr>
      <w:r>
        <w:rPr>
          <w:rFonts w:hint="eastAsia" w:cs="新宋体" w:asciiTheme="majorEastAsia" w:hAnsiTheme="majorEastAsia" w:eastAsiaTheme="majorEastAsia"/>
          <w:bCs/>
          <w:color w:val="auto"/>
          <w:kern w:val="0"/>
          <w:sz w:val="22"/>
          <w:szCs w:val="22"/>
          <w:highlight w:val="none"/>
        </w:rPr>
        <w:t>4.3单位负责人为同一人或者存在直接控股、管理关系的不同供应商参加同一合同项下的政府采购活动的，相关</w:t>
      </w:r>
      <w:r>
        <w:rPr>
          <w:rFonts w:hint="eastAsia" w:cs="新宋体" w:asciiTheme="majorEastAsia" w:hAnsiTheme="majorEastAsia" w:eastAsiaTheme="majorEastAsia"/>
          <w:bCs/>
          <w:color w:val="auto"/>
          <w:kern w:val="0"/>
          <w:sz w:val="22"/>
          <w:szCs w:val="22"/>
          <w:highlight w:val="none"/>
          <w:lang w:eastAsia="zh-CN"/>
        </w:rPr>
        <w:t>投标人</w:t>
      </w:r>
      <w:r>
        <w:rPr>
          <w:rFonts w:hint="eastAsia" w:cs="新宋体" w:asciiTheme="majorEastAsia" w:hAnsiTheme="majorEastAsia" w:eastAsiaTheme="majorEastAsia"/>
          <w:bCs/>
          <w:color w:val="auto"/>
          <w:kern w:val="0"/>
          <w:sz w:val="22"/>
          <w:szCs w:val="22"/>
          <w:highlight w:val="none"/>
        </w:rPr>
        <w:t>均作资格无效处理。</w:t>
      </w:r>
    </w:p>
    <w:p w14:paraId="2C6FA998">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5、评标</w:t>
      </w:r>
    </w:p>
    <w:p w14:paraId="26FEAA1F">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5.1评标由采购人依法组建的评标委员会负责，并独立履行下列职责：</w:t>
      </w:r>
    </w:p>
    <w:p w14:paraId="4D5477B8">
      <w:pPr>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1）审查投标文件是否符合招标文件要求，并</w:t>
      </w:r>
      <w:r>
        <w:rPr>
          <w:rFonts w:hint="eastAsia" w:cs="新宋体" w:asciiTheme="majorEastAsia" w:hAnsiTheme="majorEastAsia" w:eastAsiaTheme="majorEastAsia"/>
          <w:color w:val="auto"/>
          <w:sz w:val="22"/>
          <w:szCs w:val="22"/>
          <w:highlight w:val="none"/>
          <w:lang w:eastAsia="zh-CN"/>
        </w:rPr>
        <w:t>作出评价</w:t>
      </w:r>
      <w:r>
        <w:rPr>
          <w:rFonts w:hint="eastAsia" w:cs="新宋体" w:asciiTheme="majorEastAsia" w:hAnsiTheme="majorEastAsia" w:eastAsiaTheme="majorEastAsia"/>
          <w:color w:val="auto"/>
          <w:sz w:val="22"/>
          <w:szCs w:val="22"/>
          <w:highlight w:val="none"/>
        </w:rPr>
        <w:t>；</w:t>
      </w:r>
    </w:p>
    <w:p w14:paraId="651F601B">
      <w:pPr>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2）要求供应商对投标文件有关事项</w:t>
      </w:r>
      <w:r>
        <w:rPr>
          <w:rFonts w:hint="eastAsia" w:cs="新宋体" w:asciiTheme="majorEastAsia" w:hAnsiTheme="majorEastAsia" w:eastAsiaTheme="majorEastAsia"/>
          <w:color w:val="auto"/>
          <w:sz w:val="22"/>
          <w:szCs w:val="22"/>
          <w:highlight w:val="none"/>
          <w:lang w:eastAsia="zh-CN"/>
        </w:rPr>
        <w:t>作出解释</w:t>
      </w:r>
      <w:r>
        <w:rPr>
          <w:rFonts w:hint="eastAsia" w:cs="新宋体" w:asciiTheme="majorEastAsia" w:hAnsiTheme="majorEastAsia" w:eastAsiaTheme="majorEastAsia"/>
          <w:color w:val="auto"/>
          <w:sz w:val="22"/>
          <w:szCs w:val="22"/>
          <w:highlight w:val="none"/>
        </w:rPr>
        <w:t>或者澄清；</w:t>
      </w:r>
    </w:p>
    <w:p w14:paraId="421A5F79">
      <w:pPr>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3）按照招标文件确定的评标办法确定中标人，并对其排序；综合得分最高的供应商推荐为中标人；</w:t>
      </w:r>
    </w:p>
    <w:p w14:paraId="107AA4BA">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4）向采购人或者有关部门报告非法干预评标工作的行为。</w:t>
      </w:r>
    </w:p>
    <w:p w14:paraId="16BDC50D">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5）根据采购人的授权确定中标人名单；</w:t>
      </w:r>
    </w:p>
    <w:p w14:paraId="506C124E">
      <w:pPr>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5.2评标应当遵循下列工作程序：</w:t>
      </w:r>
    </w:p>
    <w:p w14:paraId="0754BB22">
      <w:pPr>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1）投标文件初审。初审为符合性检查。</w:t>
      </w:r>
    </w:p>
    <w:p w14:paraId="69BC911F">
      <w:pPr>
        <w:snapToGrid w:val="0"/>
        <w:spacing w:line="460" w:lineRule="atLeast"/>
        <w:ind w:firstLine="323" w:firstLineChars="14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（1)符合性检查。依据招标文件的规定，从投标文件的有效性、完整性和对招标文件的响应程度进行审查，以确定是否对招标文件的实质性要求做出响应。</w:t>
      </w:r>
    </w:p>
    <w:p w14:paraId="07670FDF">
      <w:pPr>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澄清有关问题。对投标文件中含义不明确、同类问题表述不一致或者有明显文字和计算错误的内容，评标委员会可以书面形式要求供应商做出必要的澄清、说明或者纠正。供应商的澄清、说明或者补正应当采用书面形式，由其授权的代表签字，并不得超出投标文件的范围或者改变投标文件的实质性内容。</w:t>
      </w:r>
    </w:p>
    <w:p w14:paraId="064EC3CE">
      <w:pPr>
        <w:adjustRightInd w:val="0"/>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实质上没有响应招标文件要求的投标将被拒绝。供应商不得通过修正或</w:t>
      </w:r>
      <w:r>
        <w:rPr>
          <w:rFonts w:hint="eastAsia" w:cs="新宋体" w:asciiTheme="majorEastAsia" w:hAnsiTheme="majorEastAsia" w:eastAsiaTheme="majorEastAsia"/>
          <w:b/>
          <w:color w:val="auto"/>
          <w:sz w:val="22"/>
          <w:szCs w:val="22"/>
          <w:highlight w:val="none"/>
          <w:lang w:eastAsia="zh-CN"/>
        </w:rPr>
        <w:t>撤销</w:t>
      </w:r>
      <w:r>
        <w:rPr>
          <w:rFonts w:hint="eastAsia" w:cs="新宋体" w:asciiTheme="majorEastAsia" w:hAnsiTheme="majorEastAsia" w:eastAsiaTheme="majorEastAsia"/>
          <w:b/>
          <w:color w:val="auto"/>
          <w:sz w:val="22"/>
          <w:szCs w:val="22"/>
          <w:highlight w:val="none"/>
        </w:rPr>
        <w:t>不合要求的偏离从而使其投标成为实质上响应的投标。</w:t>
      </w:r>
    </w:p>
    <w:p w14:paraId="79459DBB">
      <w:pPr>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评标委员会对投标文件的判定，只依据投标文件内容本身，不依靠开标后的任何外来证明。</w:t>
      </w:r>
    </w:p>
    <w:p w14:paraId="0827779A">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3）比较与评价。按招标文件中规定的评标方法和标准，对资格性检查和符合性检查合格的投标文件进行商务和技术评估，综合比较与评价。</w:t>
      </w:r>
    </w:p>
    <w:p w14:paraId="46A255C7">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4）推荐中标人候选人名单，并根据采购人的授权确定中标人。</w:t>
      </w:r>
    </w:p>
    <w:p w14:paraId="3C1599A1">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u w:val="single"/>
        </w:rPr>
      </w:pPr>
      <w:r>
        <w:rPr>
          <w:rFonts w:hint="eastAsia" w:cs="新宋体" w:asciiTheme="majorEastAsia" w:hAnsiTheme="majorEastAsia" w:eastAsiaTheme="majorEastAsia"/>
          <w:b/>
          <w:color w:val="auto"/>
          <w:sz w:val="22"/>
          <w:szCs w:val="22"/>
          <w:highlight w:val="none"/>
        </w:rPr>
        <w:t xml:space="preserve">5.3 </w:t>
      </w:r>
      <w:r>
        <w:rPr>
          <w:rFonts w:hint="eastAsia" w:cs="新宋体" w:asciiTheme="majorEastAsia" w:hAnsiTheme="majorEastAsia" w:eastAsiaTheme="majorEastAsia"/>
          <w:b/>
          <w:color w:val="auto"/>
          <w:sz w:val="22"/>
          <w:szCs w:val="22"/>
          <w:highlight w:val="none"/>
          <w:u w:val="single"/>
        </w:rPr>
        <w:t>▲</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存在下列情况之一的，投标无效:</w:t>
      </w:r>
    </w:p>
    <w:p w14:paraId="214B0E1A">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1）投标文件未按招标文件要求签署、盖章的；</w:t>
      </w:r>
    </w:p>
    <w:p w14:paraId="3601AAE3">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2）不具备招标文件中规定的资格要求的；</w:t>
      </w:r>
    </w:p>
    <w:p w14:paraId="35B2E871">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3）报价超过招标文件中规定的预算金额或者最高限价的；</w:t>
      </w:r>
    </w:p>
    <w:p w14:paraId="4D5C7073">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4）投标文件含有采购人不能接受的附加条件的（包括招标文件中明确要求不得偏离的招标要求，存在负偏离的）;</w:t>
      </w:r>
    </w:p>
    <w:p w14:paraId="2507D99C">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5）仅提交“备份投标文件”的；</w:t>
      </w:r>
    </w:p>
    <w:p w14:paraId="4341171F">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6）对关键条文的偏离、保留或反对，例如关于付款方式、完工期、免费质保期、适用法律法规、标准、税费等其他内容；</w:t>
      </w:r>
    </w:p>
    <w:p w14:paraId="79A8383D">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7）存在串标、抬标或弄虚作假情况的；</w:t>
      </w:r>
    </w:p>
    <w:p w14:paraId="379E8AFE">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8）法律、法规和招标文件规定的其他无效情形（或出现重大偏差）。</w:t>
      </w:r>
    </w:p>
    <w:p w14:paraId="087566A8">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5.4 ▲</w:t>
      </w:r>
      <w:r>
        <w:rPr>
          <w:rFonts w:hint="eastAsia" w:cs="新宋体" w:asciiTheme="majorEastAsia" w:hAnsiTheme="majorEastAsia" w:eastAsiaTheme="majorEastAsia"/>
          <w:b/>
          <w:color w:val="auto"/>
          <w:sz w:val="22"/>
          <w:szCs w:val="22"/>
          <w:highlight w:val="none"/>
          <w:u w:val="single"/>
        </w:rPr>
        <w:t>评标委员会发现投标文件有下列情形之一的属于重大偏差(评标委员会按少数服从多数原则认定),按照无效投标处理：</w:t>
      </w:r>
    </w:p>
    <w:p w14:paraId="0C161384">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1）未按招标文件要求编制或字迹模糊、辨认不清的投标文件；</w:t>
      </w:r>
    </w:p>
    <w:p w14:paraId="100567F2">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2）供应商技术资信投标文件中出现投标报价；</w:t>
      </w:r>
    </w:p>
    <w:p w14:paraId="32FAE59D">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3）除5.3条款以外，出现其它明显不符合技术规格、技术标准的要求或不满足招标文件技术规格书中的主要参数的投标文件；</w:t>
      </w:r>
    </w:p>
    <w:p w14:paraId="601CCCDA">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4）除5.3条款以外，出现投标服务内容与招标文件对比出现较大偏差；商务报价明细表计算错误，出现较大差错；</w:t>
      </w:r>
    </w:p>
    <w:p w14:paraId="26634F9F">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5）除5.3条款以外，出现其它不符合招标文件中规定的实质性要求的投标文件，是否为偏离实质性要求由评标委员会认定。</w:t>
      </w:r>
    </w:p>
    <w:p w14:paraId="0AB4248A">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5.5 开启供应商商务报价文件后发现价格、数量有误，其投标价将按下述原则处理：</w:t>
      </w:r>
    </w:p>
    <w:p w14:paraId="16A0FC3E">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 任何有漏去一些小项货物或服务的投标将被视为其费用已包含在投标总价中，投标价格不予调整。如果供应商不接受上述处理方式，将作为无效投标。</w:t>
      </w:r>
    </w:p>
    <w:p w14:paraId="0B50BD87">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 任何有多报一些小项工程或服务的投标其投标价不予调整，如果该供应商中标，则合同价格必须为核减掉多报的一些小项工程或服务后的价格。如果供应商不接受上述处理方式，将作为无效投标。</w:t>
      </w:r>
    </w:p>
    <w:p w14:paraId="068F13B8">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3）对于计算错误的其投标价不予调整，如果该供应商中标，如其投标价格计算错误导致多报者合同价格予以据实核减，少报者合同价格不予调整。如果供应商不接受上述处理方式，将作为无效投标。</w:t>
      </w:r>
    </w:p>
    <w:p w14:paraId="7A1CB406">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u w:val="single"/>
        </w:rPr>
      </w:pPr>
      <w:r>
        <w:rPr>
          <w:rFonts w:hint="eastAsia" w:cs="新宋体" w:asciiTheme="majorEastAsia" w:hAnsiTheme="majorEastAsia" w:eastAsiaTheme="majorEastAsia"/>
          <w:color w:val="auto"/>
          <w:sz w:val="22"/>
          <w:szCs w:val="22"/>
          <w:highlight w:val="none"/>
          <w:u w:val="single"/>
        </w:rPr>
        <w:t>4）对于计算错误，多报或漏报的一些小项工程或服务的仅仅为非实质性重大偏差范围内的偏离，并经过评标委员会按少数服从多数原则认定为细微偏差，评审时其投标价不予调整。</w:t>
      </w:r>
      <w:r>
        <w:rPr>
          <w:rFonts w:hint="eastAsia" w:cs="新宋体" w:asciiTheme="majorEastAsia" w:hAnsiTheme="majorEastAsia" w:eastAsiaTheme="majorEastAsia"/>
          <w:b/>
          <w:color w:val="auto"/>
          <w:sz w:val="22"/>
          <w:szCs w:val="22"/>
          <w:highlight w:val="none"/>
          <w:u w:val="single"/>
        </w:rPr>
        <w:t>如认定为重大偏差的，</w:t>
      </w:r>
      <w:r>
        <w:rPr>
          <w:rFonts w:hint="eastAsia" w:cs="新宋体" w:asciiTheme="majorEastAsia" w:hAnsiTheme="majorEastAsia" w:eastAsiaTheme="majorEastAsia"/>
          <w:b/>
          <w:color w:val="auto"/>
          <w:sz w:val="22"/>
          <w:szCs w:val="22"/>
          <w:highlight w:val="none"/>
          <w:u w:val="single"/>
          <w:lang w:eastAsia="zh-CN"/>
        </w:rPr>
        <w:t>作</w:t>
      </w:r>
      <w:r>
        <w:rPr>
          <w:rFonts w:hint="eastAsia" w:cs="新宋体" w:asciiTheme="majorEastAsia" w:hAnsiTheme="majorEastAsia" w:eastAsiaTheme="majorEastAsia"/>
          <w:b/>
          <w:color w:val="auto"/>
          <w:sz w:val="22"/>
          <w:szCs w:val="22"/>
          <w:highlight w:val="none"/>
          <w:u w:val="single"/>
        </w:rPr>
        <w:t>无效投标处理。</w:t>
      </w:r>
    </w:p>
    <w:p w14:paraId="1E55182F">
      <w:pPr>
        <w:adjustRightInd w:val="0"/>
        <w:snapToGrid w:val="0"/>
        <w:spacing w:line="460" w:lineRule="atLeast"/>
        <w:ind w:firstLine="435" w:firstLineChars="197"/>
        <w:rPr>
          <w:rFonts w:cs="新宋体" w:asciiTheme="majorEastAsia" w:hAnsiTheme="majorEastAsia" w:eastAsiaTheme="majorEastAsia"/>
          <w:b/>
          <w:color w:val="auto"/>
          <w:sz w:val="22"/>
          <w:szCs w:val="22"/>
          <w:highlight w:val="none"/>
          <w:u w:val="single"/>
        </w:rPr>
      </w:pPr>
      <w:r>
        <w:rPr>
          <w:rFonts w:hint="eastAsia" w:cs="新宋体" w:asciiTheme="majorEastAsia" w:hAnsiTheme="majorEastAsia" w:eastAsiaTheme="majorEastAsia"/>
          <w:b/>
          <w:color w:val="auto"/>
          <w:sz w:val="22"/>
          <w:szCs w:val="22"/>
          <w:highlight w:val="none"/>
          <w:u w:val="single"/>
        </w:rPr>
        <w:t>5.6▲评标委员会认为</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的报价明显低于其他通过符合性审查</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的报价，有可能影响产品质量或者不能诚信履约的，将要求其在合理时间内在“政采云平台”上作出在线澄清并提供书面说明，必要时提交相关证明材料；</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不能证明其报价合理性的，评标委员会应当将其作为无效投标处理。</w:t>
      </w:r>
    </w:p>
    <w:p w14:paraId="18A5046A">
      <w:pPr>
        <w:adjustRightInd w:val="0"/>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u w:val="single"/>
        </w:rPr>
        <w:t>5.7如果</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代表拒绝按评标委员会要求在“政采云平台”作出在线回复且无其他有效回复方式的，评标委员会可以对其作出否决投标处理。</w:t>
      </w:r>
    </w:p>
    <w:p w14:paraId="7D4231F0">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5.8 经澄清后，若偏差仍存在，且不可接受，则投标文件将被认定为“没有实质性响应招标文件要求”，按无效投标处理，不再进入下一步评审。评标委员会在评标中，不得改变招标文件中规定的评标标准、方法和中标条件。</w:t>
      </w:r>
    </w:p>
    <w:p w14:paraId="42AD2E7E">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5.9 评标时如遇到招标文件未规定的特殊情况，由评标委员会按少数服从多数原则集体决定处理。</w:t>
      </w:r>
    </w:p>
    <w:p w14:paraId="632E520B">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6、投标文件的澄清</w:t>
      </w:r>
    </w:p>
    <w:p w14:paraId="0AE8EAAB">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6.1 </w:t>
      </w:r>
      <w:r>
        <w:rPr>
          <w:rFonts w:hint="eastAsia" w:cs="宋体" w:asciiTheme="majorEastAsia" w:hAnsiTheme="majorEastAsia" w:eastAsiaTheme="majorEastAsia"/>
          <w:b/>
          <w:bCs/>
          <w:color w:val="auto"/>
          <w:sz w:val="22"/>
          <w:szCs w:val="22"/>
          <w:highlight w:val="none"/>
        </w:rPr>
        <w:t>为有助于投标文件的审查、评价和比较，评标小组可以在“政采云平台”在线询标或其他有效形式要求</w:t>
      </w:r>
      <w:r>
        <w:rPr>
          <w:rFonts w:hint="eastAsia" w:cs="宋体" w:asciiTheme="majorEastAsia" w:hAnsiTheme="majorEastAsia" w:eastAsiaTheme="majorEastAsia"/>
          <w:b/>
          <w:bCs/>
          <w:color w:val="auto"/>
          <w:sz w:val="22"/>
          <w:szCs w:val="22"/>
          <w:highlight w:val="none"/>
          <w:lang w:eastAsia="zh-CN"/>
        </w:rPr>
        <w:t>投标人</w:t>
      </w:r>
      <w:r>
        <w:rPr>
          <w:rFonts w:hint="eastAsia" w:cs="宋体" w:asciiTheme="majorEastAsia" w:hAnsiTheme="majorEastAsia" w:eastAsiaTheme="majorEastAsia"/>
          <w:b/>
          <w:bCs/>
          <w:color w:val="auto"/>
          <w:sz w:val="22"/>
          <w:szCs w:val="22"/>
          <w:highlight w:val="none"/>
        </w:rPr>
        <w:t>对同一份投标文件含义不明确或同类问题表述不一致的内容（招标文件其它地方有规定处理方法的除外）作必要的澄清或说明，</w:t>
      </w:r>
      <w:r>
        <w:rPr>
          <w:rFonts w:hint="eastAsia" w:cs="宋体" w:asciiTheme="majorEastAsia" w:hAnsiTheme="majorEastAsia" w:eastAsiaTheme="majorEastAsia"/>
          <w:b/>
          <w:bCs/>
          <w:color w:val="auto"/>
          <w:sz w:val="22"/>
          <w:szCs w:val="22"/>
          <w:highlight w:val="none"/>
          <w:lang w:eastAsia="zh-CN"/>
        </w:rPr>
        <w:t>投标人</w:t>
      </w:r>
      <w:r>
        <w:rPr>
          <w:rFonts w:hint="eastAsia" w:cs="宋体" w:asciiTheme="majorEastAsia" w:hAnsiTheme="majorEastAsia" w:eastAsiaTheme="majorEastAsia"/>
          <w:b/>
          <w:bCs/>
          <w:color w:val="auto"/>
          <w:sz w:val="22"/>
          <w:szCs w:val="22"/>
          <w:highlight w:val="none"/>
        </w:rPr>
        <w:t>应采用在线回复或其他有效形式在询标规定时间内进行澄清或说明（需盖电子签章或实体公章），但不得超出投标文件的范围或改变投标文件的实质性内容。凡属于评标小组在评标中发现的计算错误并进行核实的修改不在此列</w:t>
      </w:r>
      <w:r>
        <w:rPr>
          <w:rFonts w:hint="eastAsia" w:cs="新宋体" w:asciiTheme="majorEastAsia" w:hAnsiTheme="majorEastAsia" w:eastAsiaTheme="majorEastAsia"/>
          <w:color w:val="auto"/>
          <w:sz w:val="22"/>
          <w:szCs w:val="22"/>
          <w:highlight w:val="none"/>
        </w:rPr>
        <w:t>。</w:t>
      </w:r>
    </w:p>
    <w:p w14:paraId="4B3B0575">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6.2 若投标文件中所提交的证书、证明等材料若出现已过有效期、时间或其他主要信息不明确，且</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书面澄清（书面澄清仅限在投标文件递交截止时间前所提交投标文件及相关材料中未被评标委员会审查出的内容）亦不明确的，评审过程中将不予认可，不再寻求外部证据（外部证据包括</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在澄清过程中申请补交的证明材料或网络查询结果等非投标文件本身内容）。</w:t>
      </w:r>
    </w:p>
    <w:p w14:paraId="3E3FDE05">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6.3 供应商对投标文件的澄清不得寻求、提供或允许改变投标价格等实质性内容。 </w:t>
      </w:r>
    </w:p>
    <w:p w14:paraId="67BCBA82">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7、禁止供应商相互串通投标。</w:t>
      </w:r>
    </w:p>
    <w:p w14:paraId="4B3BE762">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7.1、有下列情形之一的，视为供应商相互串通投标：</w:t>
      </w:r>
    </w:p>
    <w:p w14:paraId="3983B50D">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（一）不同供应商的投标文件由同一单位或者个人编制；</w:t>
      </w:r>
    </w:p>
    <w:p w14:paraId="429B236B">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（二）不同供应商委托同一单位或者个人办理投标事宜；</w:t>
      </w:r>
    </w:p>
    <w:p w14:paraId="24F5444E">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（三）不同供应商的投标文件载明的项目管理成员为同一人；</w:t>
      </w:r>
    </w:p>
    <w:p w14:paraId="758F9B8B">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（四）不同供应商的投标文件异常一致或者投标报价呈规律性差异；</w:t>
      </w:r>
    </w:p>
    <w:p w14:paraId="1B2BA025">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（五）不同供应商的投标文件相互混装；</w:t>
      </w:r>
    </w:p>
    <w:p w14:paraId="28D29DE6">
      <w:pPr>
        <w:adjustRightInd w:val="0"/>
        <w:snapToGrid w:val="0"/>
        <w:spacing w:line="460" w:lineRule="atLeast"/>
        <w:ind w:left="414" w:left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7.2、经评标委员会认定供应商进行串通投标的，评标委员会可以对相关供应商做出无效投标处理，并上报政府采购管理部门进行进一步处理。</w:t>
      </w:r>
    </w:p>
    <w:p w14:paraId="5BF598C8">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8、评标原则</w:t>
      </w:r>
    </w:p>
    <w:p w14:paraId="4740A345">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8.1 ▲</w:t>
      </w:r>
      <w:r>
        <w:rPr>
          <w:rFonts w:hint="eastAsia" w:cs="新宋体" w:asciiTheme="majorEastAsia" w:hAnsiTheme="majorEastAsia" w:eastAsiaTheme="majorEastAsia"/>
          <w:b/>
          <w:color w:val="auto"/>
          <w:sz w:val="22"/>
          <w:szCs w:val="22"/>
          <w:highlight w:val="none"/>
          <w:u w:val="single"/>
        </w:rPr>
        <w:t>投标截止时或评审过程中有效</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不足三家的，不予开标或评标。</w:t>
      </w:r>
    </w:p>
    <w:p w14:paraId="674FF3E1">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9、确定中标候选人</w:t>
      </w:r>
    </w:p>
    <w:p w14:paraId="77E542D8">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9.1本次招标由评标委员会推荐中标候选人，采购人根据评标委员会的推荐结果进行最终确认。</w:t>
      </w:r>
    </w:p>
    <w:p w14:paraId="5FCDF669">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9.2评标委员会依据法律、法规及招标文件有关规定在有效标中按</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的最终得分（即技术分与商务分之和）高低进行排序，得分前二名的</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推荐为第一中标候选人与第二中标候选人（得分相同投标报价低的排序第一；得分且投标报价相同的，由评标委员会成员抽签决定排序）。</w:t>
      </w:r>
    </w:p>
    <w:p w14:paraId="2A8E2B2D">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9.3若出现以下情形之一，采购人可视具体情况确定是否由下一候选人为中标人或重新组织招标：</w:t>
      </w:r>
    </w:p>
    <w:p w14:paraId="75365706">
      <w:pPr>
        <w:spacing w:line="460" w:lineRule="exact"/>
        <w:ind w:firstLine="418" w:firstLineChars="190"/>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1）中标候选人放弃中标资格；</w:t>
      </w:r>
    </w:p>
    <w:p w14:paraId="06649E98">
      <w:pPr>
        <w:spacing w:line="460" w:lineRule="exact"/>
        <w:ind w:firstLine="418" w:firstLineChars="190"/>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2）中标候选人因不可抗力提出不能履行合同；</w:t>
      </w:r>
    </w:p>
    <w:p w14:paraId="4BCAD2FC">
      <w:pPr>
        <w:spacing w:line="460" w:lineRule="exact"/>
        <w:ind w:firstLine="418" w:firstLineChars="190"/>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3）中标候选人未能在规定时间内与采购单位签订合同；</w:t>
      </w:r>
    </w:p>
    <w:p w14:paraId="13A3B72C">
      <w:pPr>
        <w:spacing w:line="460" w:lineRule="exact"/>
        <w:ind w:firstLine="418" w:firstLineChars="190"/>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4）经质疑，采购人审查后，中标候选人确实在本次采购活动中存在违法违规行为或其他原因使质疑成立的。</w:t>
      </w:r>
    </w:p>
    <w:p w14:paraId="6F0E421D">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9.4采购人、采购代理机构及评标委员会对未中标的供应商不作解释。</w:t>
      </w:r>
    </w:p>
    <w:p w14:paraId="682859D3">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10、评标细则详见“评标原则及方法”。</w:t>
      </w:r>
    </w:p>
    <w:p w14:paraId="0A17AD88">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 可中止电子交易活动的情形</w:t>
      </w:r>
    </w:p>
    <w:p w14:paraId="456A995C">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11.1采购过程中出现以下情形，导致电子交易平台无法正常运行，或者无法保证电子交易的公平、公正和安全时，采购组织机构可中止电子交易活动：</w:t>
      </w:r>
    </w:p>
    <w:p w14:paraId="369060B6">
      <w:pPr>
        <w:numPr>
          <w:ilvl w:val="2"/>
          <w:numId w:val="5"/>
        </w:numPr>
        <w:tabs>
          <w:tab w:val="left" w:pos="993"/>
        </w:tabs>
        <w:spacing w:line="460" w:lineRule="exact"/>
        <w:ind w:left="993" w:hanging="426"/>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电子交易平台发生故障而无法登录访问的；</w:t>
      </w:r>
    </w:p>
    <w:p w14:paraId="2332564C">
      <w:pPr>
        <w:numPr>
          <w:ilvl w:val="2"/>
          <w:numId w:val="5"/>
        </w:numPr>
        <w:tabs>
          <w:tab w:val="left" w:pos="993"/>
        </w:tabs>
        <w:spacing w:line="460" w:lineRule="exact"/>
        <w:ind w:left="993" w:hanging="426"/>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电子交易平台应用或数据库出现错误，不能进行正常操作的；</w:t>
      </w:r>
    </w:p>
    <w:p w14:paraId="566E92A9">
      <w:pPr>
        <w:numPr>
          <w:ilvl w:val="2"/>
          <w:numId w:val="5"/>
        </w:numPr>
        <w:tabs>
          <w:tab w:val="left" w:pos="993"/>
        </w:tabs>
        <w:spacing w:line="460" w:lineRule="exact"/>
        <w:ind w:left="993" w:hanging="426"/>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电子交易平台发现严重安全漏洞，有潜在泄密危险的；</w:t>
      </w:r>
    </w:p>
    <w:p w14:paraId="51F6045A">
      <w:pPr>
        <w:numPr>
          <w:ilvl w:val="2"/>
          <w:numId w:val="5"/>
        </w:numPr>
        <w:tabs>
          <w:tab w:val="left" w:pos="993"/>
        </w:tabs>
        <w:spacing w:line="460" w:lineRule="exact"/>
        <w:ind w:left="993" w:hanging="426"/>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病毒发作导致不能进行正常操作的；</w:t>
      </w:r>
    </w:p>
    <w:p w14:paraId="167BEFEC">
      <w:pPr>
        <w:numPr>
          <w:ilvl w:val="2"/>
          <w:numId w:val="5"/>
        </w:numPr>
        <w:tabs>
          <w:tab w:val="left" w:pos="993"/>
        </w:tabs>
        <w:spacing w:line="460" w:lineRule="exact"/>
        <w:ind w:left="993" w:hanging="426"/>
        <w:rPr>
          <w:rFonts w:cs="新宋体" w:asciiTheme="majorEastAsia" w:hAnsiTheme="majorEastAsia" w:eastAsiaTheme="majorEastAsia"/>
          <w:color w:val="auto"/>
          <w:kern w:val="0"/>
          <w:sz w:val="22"/>
          <w:szCs w:val="22"/>
          <w:highlight w:val="none"/>
        </w:rPr>
      </w:pPr>
      <w:r>
        <w:rPr>
          <w:rFonts w:hint="eastAsia" w:cs="新宋体" w:asciiTheme="majorEastAsia" w:hAnsiTheme="majorEastAsia" w:eastAsiaTheme="majorEastAsia"/>
          <w:color w:val="auto"/>
          <w:kern w:val="0"/>
          <w:sz w:val="22"/>
          <w:szCs w:val="22"/>
          <w:highlight w:val="none"/>
        </w:rPr>
        <w:t>其他无法保证电子交易的公平、公正和安全的情况。</w:t>
      </w:r>
    </w:p>
    <w:p w14:paraId="0B03EFFD">
      <w:pPr>
        <w:adjustRightInd w:val="0"/>
        <w:snapToGrid w:val="0"/>
        <w:spacing w:line="460" w:lineRule="atLeast"/>
        <w:ind w:left="414" w:left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11.2出现前款规定情形，不影响采购公平、公正性的，采购组织机构可以待上述情形消除后继续组织电子交易活动；影响或可能影响采购公平、公正性的，应当重新采购。</w:t>
      </w:r>
    </w:p>
    <w:p w14:paraId="2F536D7B">
      <w:pPr>
        <w:autoSpaceDE w:val="0"/>
        <w:autoSpaceDN w:val="0"/>
        <w:adjustRightInd w:val="0"/>
        <w:snapToGrid w:val="0"/>
        <w:spacing w:line="440" w:lineRule="exact"/>
        <w:ind w:firstLine="422" w:firstLineChars="150"/>
        <w:jc w:val="center"/>
        <w:textAlignment w:val="bottom"/>
        <w:outlineLvl w:val="1"/>
        <w:rPr>
          <w:rFonts w:cs="Arial" w:asciiTheme="majorEastAsia" w:hAnsiTheme="majorEastAsia" w:eastAsiaTheme="majorEastAsia"/>
          <w:b/>
          <w:bCs/>
          <w:color w:val="auto"/>
          <w:sz w:val="28"/>
          <w:szCs w:val="28"/>
          <w:highlight w:val="none"/>
        </w:rPr>
      </w:pPr>
      <w:bookmarkStart w:id="281" w:name="_Toc496116255"/>
      <w:bookmarkStart w:id="282" w:name="_Toc17810"/>
      <w:r>
        <w:rPr>
          <w:rFonts w:hint="eastAsia" w:cs="Arial" w:asciiTheme="majorEastAsia" w:hAnsiTheme="majorEastAsia" w:eastAsiaTheme="majorEastAsia"/>
          <w:b/>
          <w:bCs/>
          <w:color w:val="auto"/>
          <w:sz w:val="28"/>
          <w:szCs w:val="28"/>
          <w:highlight w:val="none"/>
        </w:rPr>
        <w:t>七、授予合同</w:t>
      </w:r>
      <w:bookmarkEnd w:id="281"/>
      <w:bookmarkEnd w:id="282"/>
    </w:p>
    <w:p w14:paraId="60F2A08D">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1、决标</w:t>
      </w:r>
    </w:p>
    <w:p w14:paraId="26B80E6C">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1.1、评标结束后，评标委员会按照招标文件确定的评标办法推荐中标供应商。</w:t>
      </w:r>
    </w:p>
    <w:p w14:paraId="7154A21F">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2、中标通知书</w:t>
      </w:r>
    </w:p>
    <w:p w14:paraId="1B7ACD17">
      <w:pPr>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2.1、采购人依法确认中标供应商后，代理机构在浙江省政府采购网上公告中标结果，公告期限为1个工作日。同时向中标供应商发出中标通知书。</w:t>
      </w:r>
    </w:p>
    <w:p w14:paraId="0B22BABF">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2.2、中标通知书对采购人和中标人具有法律约束力。中标通知书发出后，采购人改变中标结果或者中标人放弃中标的，应当承担法律责任。</w:t>
      </w:r>
    </w:p>
    <w:p w14:paraId="0CD1E829">
      <w:pPr>
        <w:adjustRightInd w:val="0"/>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2.3、中标无效</w:t>
      </w:r>
    </w:p>
    <w:p w14:paraId="05AE49D5">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u w:val="single"/>
        </w:rPr>
      </w:pPr>
      <w:r>
        <w:rPr>
          <w:rFonts w:hint="eastAsia" w:cs="新宋体" w:asciiTheme="majorEastAsia" w:hAnsiTheme="majorEastAsia" w:eastAsiaTheme="majorEastAsia"/>
          <w:color w:val="auto"/>
          <w:sz w:val="22"/>
          <w:szCs w:val="22"/>
          <w:highlight w:val="none"/>
          <w:u w:val="single"/>
        </w:rPr>
        <w:t>1）发现中标供应商资格无效或中标供应商放弃中标或拒绝与采购人签订合同的,采购人可以按照评审报告推荐的中标候选人名单排序，确定下一候选人为中标供应商，也可以重新开展政府采购活动。</w:t>
      </w:r>
    </w:p>
    <w:p w14:paraId="1CBC9062">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2）有《中华人民共和国政府采购法实施条例》第七十一条、第七十二条、第七十三条、第七十四条规定的违法行为之一，由政府采购监管部门依法处理。</w:t>
      </w:r>
    </w:p>
    <w:p w14:paraId="4F94E0AD">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4、签订合同</w:t>
      </w:r>
    </w:p>
    <w:p w14:paraId="5D82F721">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4.1 中标供应商须主动联系采购人或采购代理机构领取中标通知书。中标供应商应当在中标通知书发出之日起30日历天内与采购人签订合同。中标供应商未经采购人许可，在规定时间内未到采购人处与采购人签订合同，则视为拒签合同。</w:t>
      </w:r>
    </w:p>
    <w:p w14:paraId="50701100">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4.2 招标文件、中标供应商的投标文件及投标修改文件、评标过程中有关澄清文件及经双方签字的询标纪要（承诺）和中标通知书均作为合同附件。</w:t>
      </w:r>
    </w:p>
    <w:p w14:paraId="56AFC472">
      <w:pPr>
        <w:adjustRightInd w:val="0"/>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4.3 拒签合同的责任</w:t>
      </w:r>
    </w:p>
    <w:p w14:paraId="7BD00FBB">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中标供应商在规定时间内（30日历天）借故否认已经承诺的条件、拒签合同或拒交履约保证金者，以投标违约处理，赔偿采购人由此造成的直接经济损失；采购人重新组织招标的，所需费用由原中标供应商承担。</w:t>
      </w:r>
    </w:p>
    <w:p w14:paraId="4A25EFEC">
      <w:pPr>
        <w:pStyle w:val="25"/>
        <w:snapToGrid w:val="0"/>
        <w:spacing w:line="460" w:lineRule="atLeast"/>
        <w:ind w:firstLine="433" w:firstLineChars="197"/>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4.4 采购人在授予合同时有权对采购的服务予以增加或减少，但不得对单价或其他的条款和条件做任何改变。</w:t>
      </w:r>
    </w:p>
    <w:p w14:paraId="054441A3">
      <w:pPr>
        <w:pStyle w:val="25"/>
        <w:snapToGrid w:val="0"/>
        <w:spacing w:line="460" w:lineRule="atLeast"/>
        <w:ind w:firstLine="435" w:firstLineChars="197"/>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5、履约保证金</w:t>
      </w:r>
    </w:p>
    <w:p w14:paraId="080A6CF9">
      <w:pPr>
        <w:autoSpaceDE w:val="0"/>
        <w:autoSpaceDN w:val="0"/>
        <w:adjustRightInd w:val="0"/>
        <w:snapToGrid w:val="0"/>
        <w:spacing w:line="460" w:lineRule="atLeast"/>
        <w:ind w:firstLine="433" w:firstLineChars="197"/>
        <w:textAlignment w:val="bottom"/>
        <w:rPr>
          <w:rFonts w:cs="新宋体" w:asciiTheme="majorEastAsia" w:hAnsiTheme="majorEastAsia" w:eastAsiaTheme="majorEastAsia"/>
          <w:color w:val="auto"/>
          <w:sz w:val="22"/>
          <w:szCs w:val="22"/>
          <w:highlight w:val="none"/>
          <w:u w:val="single"/>
        </w:rPr>
      </w:pPr>
      <w:r>
        <w:rPr>
          <w:rFonts w:hint="eastAsia" w:cs="新宋体" w:asciiTheme="majorEastAsia" w:hAnsiTheme="majorEastAsia" w:eastAsiaTheme="majorEastAsia"/>
          <w:color w:val="auto"/>
          <w:sz w:val="22"/>
          <w:szCs w:val="22"/>
          <w:highlight w:val="none"/>
          <w:u w:val="single"/>
        </w:rPr>
        <w:t>履约保证金按招标文件规定，在中标人与采购人签订合同后递交。</w:t>
      </w:r>
    </w:p>
    <w:p w14:paraId="4918A09A">
      <w:pPr>
        <w:pStyle w:val="10"/>
        <w:ind w:firstLine="422"/>
        <w:rPr>
          <w:color w:val="auto"/>
          <w:highlight w:val="none"/>
        </w:rPr>
      </w:pPr>
      <w:r>
        <w:rPr>
          <w:rFonts w:hint="eastAsia"/>
          <w:color w:val="auto"/>
          <w:highlight w:val="none"/>
        </w:rPr>
        <w:t>6、</w:t>
      </w:r>
      <w:r>
        <w:rPr>
          <w:rFonts w:hint="eastAsia" w:cs="新宋体" w:asciiTheme="majorEastAsia" w:hAnsiTheme="majorEastAsia" w:eastAsiaTheme="majorEastAsia"/>
          <w:color w:val="auto"/>
          <w:sz w:val="22"/>
          <w:szCs w:val="22"/>
          <w:highlight w:val="none"/>
        </w:rPr>
        <w:t>招标代理服务费</w:t>
      </w:r>
    </w:p>
    <w:p w14:paraId="606E6A1C">
      <w:pPr>
        <w:autoSpaceDE w:val="0"/>
        <w:autoSpaceDN w:val="0"/>
        <w:adjustRightInd w:val="0"/>
        <w:snapToGrid w:val="0"/>
        <w:spacing w:line="460" w:lineRule="atLeast"/>
        <w:ind w:firstLine="433" w:firstLineChars="197"/>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本次项目招标代理服务费按固定金额人民币</w:t>
      </w:r>
      <w:r>
        <w:rPr>
          <w:rFonts w:hint="eastAsia" w:cs="新宋体" w:asciiTheme="majorEastAsia" w:hAnsiTheme="majorEastAsia" w:eastAsiaTheme="majorEastAsia"/>
          <w:color w:val="auto"/>
          <w:sz w:val="22"/>
          <w:szCs w:val="22"/>
          <w:highlight w:val="none"/>
          <w:lang w:val="en-US" w:eastAsia="zh-CN"/>
        </w:rPr>
        <w:t>33000</w:t>
      </w:r>
      <w:r>
        <w:rPr>
          <w:rFonts w:hint="eastAsia" w:cs="新宋体" w:asciiTheme="majorEastAsia" w:hAnsiTheme="majorEastAsia" w:eastAsiaTheme="majorEastAsia"/>
          <w:color w:val="auto"/>
          <w:sz w:val="22"/>
          <w:szCs w:val="22"/>
          <w:highlight w:val="none"/>
        </w:rPr>
        <w:t>元收取。采购人不负责任何招标代理服务费用。招标代理服务费由中标人支付，请报价人在报价时予以考虑。招标代理服务费汇入以下</w:t>
      </w:r>
      <w:r>
        <w:rPr>
          <w:rFonts w:hint="eastAsia" w:cs="新宋体" w:asciiTheme="majorEastAsia" w:hAnsiTheme="majorEastAsia" w:eastAsiaTheme="majorEastAsia"/>
          <w:color w:val="auto"/>
          <w:sz w:val="22"/>
          <w:szCs w:val="22"/>
          <w:highlight w:val="none"/>
          <w:lang w:eastAsia="zh-CN"/>
        </w:rPr>
        <w:t>账户</w:t>
      </w:r>
      <w:r>
        <w:rPr>
          <w:rFonts w:hint="eastAsia" w:cs="新宋体" w:asciiTheme="majorEastAsia" w:hAnsiTheme="majorEastAsia" w:eastAsiaTheme="majorEastAsia"/>
          <w:color w:val="auto"/>
          <w:sz w:val="22"/>
          <w:szCs w:val="22"/>
          <w:highlight w:val="none"/>
        </w:rPr>
        <w:t>：</w:t>
      </w:r>
    </w:p>
    <w:p w14:paraId="332191F8">
      <w:pPr>
        <w:autoSpaceDE w:val="0"/>
        <w:autoSpaceDN w:val="0"/>
        <w:adjustRightInd w:val="0"/>
        <w:snapToGrid w:val="0"/>
        <w:spacing w:line="460" w:lineRule="atLeast"/>
        <w:ind w:firstLine="433" w:firstLineChars="197"/>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开户银行：中国建设银行永嘉广场支行</w:t>
      </w:r>
    </w:p>
    <w:p w14:paraId="121DE20C">
      <w:pPr>
        <w:autoSpaceDE w:val="0"/>
        <w:autoSpaceDN w:val="0"/>
        <w:adjustRightInd w:val="0"/>
        <w:snapToGrid w:val="0"/>
        <w:spacing w:line="460" w:lineRule="atLeast"/>
        <w:ind w:firstLine="433" w:firstLineChars="197"/>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开户名称：温州市中概工程管理咨询有限公司</w:t>
      </w:r>
    </w:p>
    <w:p w14:paraId="4B62B136">
      <w:pPr>
        <w:autoSpaceDE w:val="0"/>
        <w:autoSpaceDN w:val="0"/>
        <w:adjustRightInd w:val="0"/>
        <w:snapToGrid w:val="0"/>
        <w:spacing w:line="460" w:lineRule="atLeast"/>
        <w:ind w:firstLine="433" w:firstLineChars="197"/>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lang w:eastAsia="zh-CN"/>
        </w:rPr>
        <w:t>开户账号</w:t>
      </w:r>
      <w:r>
        <w:rPr>
          <w:rFonts w:hint="eastAsia" w:cs="新宋体" w:asciiTheme="majorEastAsia" w:hAnsiTheme="majorEastAsia" w:eastAsiaTheme="majorEastAsia"/>
          <w:color w:val="auto"/>
          <w:sz w:val="22"/>
          <w:szCs w:val="22"/>
          <w:highlight w:val="none"/>
        </w:rPr>
        <w:t>：33050162766300000011</w:t>
      </w:r>
    </w:p>
    <w:p w14:paraId="46344D13">
      <w:pPr>
        <w:autoSpaceDE w:val="0"/>
        <w:autoSpaceDN w:val="0"/>
        <w:adjustRightInd w:val="0"/>
        <w:snapToGrid w:val="0"/>
        <w:spacing w:line="460" w:lineRule="atLeast"/>
        <w:ind w:firstLine="433" w:firstLineChars="197"/>
        <w:textAlignment w:val="bottom"/>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招标代理服务费须在领取《中标通知书》前付清。</w:t>
      </w:r>
    </w:p>
    <w:p w14:paraId="0A1667AC">
      <w:pPr>
        <w:spacing w:line="360" w:lineRule="auto"/>
        <w:ind w:left="480" w:hanging="480" w:hangingChars="200"/>
        <w:rPr>
          <w:rFonts w:cs="新宋体" w:asciiTheme="majorEastAsia" w:hAnsiTheme="majorEastAsia" w:eastAsiaTheme="majorEastAsia"/>
          <w:color w:val="auto"/>
          <w:sz w:val="24"/>
          <w:highlight w:val="none"/>
        </w:rPr>
      </w:pPr>
      <w:bookmarkStart w:id="283" w:name="_Toc293038718"/>
    </w:p>
    <w:bookmarkEnd w:id="283"/>
    <w:p w14:paraId="509B90DB">
      <w:pPr>
        <w:spacing w:line="360" w:lineRule="auto"/>
        <w:ind w:left="480" w:hanging="480" w:hangingChars="200"/>
        <w:rPr>
          <w:rFonts w:cs="新宋体" w:asciiTheme="majorEastAsia" w:hAnsiTheme="majorEastAsia" w:eastAsiaTheme="majorEastAsia"/>
          <w:color w:val="auto"/>
          <w:sz w:val="24"/>
          <w:highlight w:val="none"/>
        </w:rPr>
        <w:sectPr>
          <w:footerReference r:id="rId9" w:type="first"/>
          <w:footerReference r:id="rId8" w:type="default"/>
          <w:pgSz w:w="11906" w:h="16838"/>
          <w:pgMar w:top="1134" w:right="1134" w:bottom="1134" w:left="1134" w:header="851" w:footer="850" w:gutter="0"/>
          <w:pgBorders>
            <w:top w:val="none" w:sz="0" w:space="0"/>
            <w:left w:val="none" w:sz="0" w:space="0"/>
            <w:bottom w:val="none" w:sz="0" w:space="0"/>
            <w:right w:val="none" w:sz="0" w:space="0"/>
          </w:pgBorders>
          <w:pgNumType w:start="1"/>
          <w:cols w:space="720" w:num="1"/>
          <w:titlePg/>
          <w:docGrid w:type="lines" w:linePitch="312" w:charSpace="0"/>
        </w:sectPr>
      </w:pPr>
    </w:p>
    <w:p w14:paraId="2344DEF4">
      <w:pPr>
        <w:pStyle w:val="40"/>
        <w:rPr>
          <w:rFonts w:cs="宋体" w:asciiTheme="majorEastAsia" w:hAnsiTheme="majorEastAsia" w:eastAsiaTheme="majorEastAsia"/>
          <w:color w:val="auto"/>
          <w:sz w:val="30"/>
          <w:szCs w:val="30"/>
          <w:highlight w:val="none"/>
        </w:rPr>
      </w:pPr>
      <w:bookmarkStart w:id="284" w:name="_Toc30125"/>
      <w:bookmarkStart w:id="285" w:name="_Toc498343170"/>
      <w:bookmarkStart w:id="286" w:name="_Toc293038719"/>
      <w:r>
        <w:rPr>
          <w:rFonts w:hint="eastAsia" w:cs="新宋体" w:asciiTheme="majorEastAsia" w:hAnsiTheme="majorEastAsia" w:eastAsiaTheme="majorEastAsia"/>
          <w:color w:val="auto"/>
          <w:sz w:val="30"/>
          <w:szCs w:val="30"/>
          <w:highlight w:val="none"/>
        </w:rPr>
        <w:t>第四部分</w:t>
      </w:r>
      <w:r>
        <w:rPr>
          <w:rFonts w:hint="eastAsia" w:cs="宋体" w:asciiTheme="majorEastAsia" w:hAnsiTheme="majorEastAsia" w:eastAsiaTheme="majorEastAsia"/>
          <w:color w:val="auto"/>
          <w:sz w:val="30"/>
          <w:szCs w:val="30"/>
          <w:highlight w:val="none"/>
        </w:rPr>
        <w:t xml:space="preserve">  政府采购政策功能相关说明</w:t>
      </w:r>
      <w:bookmarkEnd w:id="284"/>
    </w:p>
    <w:p w14:paraId="5CB0B700">
      <w:pPr>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一、小、微企业（含监狱企业、残疾人福利性单位）扶持政策说明</w:t>
      </w:r>
    </w:p>
    <w:p w14:paraId="6340407B">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1、文件依据</w:t>
      </w:r>
    </w:p>
    <w:p w14:paraId="53C30A70">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（1）关于印发《政府采购促进中小企业发展管理办法》的通知（财库〔2020〕46号）</w:t>
      </w:r>
    </w:p>
    <w:p w14:paraId="38EE3BBF">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（2）浙江省省财政厅《关于开展政府采购</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网上注册登记和诚信管理工作的通知》（浙财采监〔2010〕8号)</w:t>
      </w:r>
    </w:p>
    <w:p w14:paraId="0DC7599E">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（3）《工业和信息化部、国家统计局、国家发展和改革委员会、财政部关于印发中小企业划型标准规定的通知》（工信部联企业[2011]300号）</w:t>
      </w:r>
    </w:p>
    <w:p w14:paraId="3D42C65C">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（4）财政部、司法部《关于政府采购支持监狱企业发展有关问题的通知》（财库〔2014〕68号）</w:t>
      </w:r>
    </w:p>
    <w:p w14:paraId="7B9E17D5">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（5）《财政部 民政部 中国残疾人联合会关于促进残疾人就业政府采购政策的通知》（财库〔2017〕 141号）</w:t>
      </w:r>
    </w:p>
    <w:p w14:paraId="2D42D644">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（6）《浙江省财政厅  浙江省经济和信息化委员会关于简化中小企业类别确认流程有关事项的通知》（浙财采监〔2018〕2号)</w:t>
      </w:r>
    </w:p>
    <w:p w14:paraId="28515D9E">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（7）《浙江省财政厅关于进一步发挥政府采购政策功能全力推动经济稳进提质的通知》（浙财采监〔2022〕3号）</w:t>
      </w:r>
    </w:p>
    <w:p w14:paraId="1AC0D8BE">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（8）《浙江省财政厅关于进一步加大政府采购支持中小企业力度 助力扎实稳住经济的通知》（浙财采监〔2022〕8号）</w:t>
      </w:r>
    </w:p>
    <w:p w14:paraId="56CF6FB3">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2、享受小微企业价格折扣应具备的条件与价格折扣比例</w:t>
      </w:r>
    </w:p>
    <w:p w14:paraId="4657AF44">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（1）在货物采购项目中，货物由中小企业制造，即货物由中小企业生产且使用该中小企业商号或者注册商标；</w:t>
      </w:r>
    </w:p>
    <w:p w14:paraId="7255EC1C">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（2）在工程采购项目中，工程由中小企业承建，即工程施工单位为中小企业；</w:t>
      </w:r>
    </w:p>
    <w:p w14:paraId="605542C9">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（3）在服务采购项目中，服务由中小企业承接，即提供服务的人员为中小企业依照《中华人民共和国劳动合同法》订立劳动合同的从业人员。</w:t>
      </w:r>
    </w:p>
    <w:p w14:paraId="254E2BB1">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在货物采购项目中，供应商提供的货物既有中小企业制造货物，也有大型企业制造货物的，不享受本办法规定的中小企业扶持政策。</w:t>
      </w:r>
    </w:p>
    <w:p w14:paraId="439D2CD5">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以联合体形式参加政府采购活动，联合体各方均为中小企业的，联合体视同中小企业。其中，联合体各方均为小微企业的，联合体视同小微企业。</w:t>
      </w:r>
    </w:p>
    <w:p w14:paraId="567A0B0C">
      <w:pPr>
        <w:spacing w:line="440" w:lineRule="atLeast"/>
        <w:jc w:val="left"/>
        <w:rPr>
          <w:rFonts w:cs="宋体" w:asciiTheme="majorEastAsia" w:hAnsiTheme="majorEastAsia" w:eastAsiaTheme="majorEastAsia"/>
          <w:color w:val="auto"/>
          <w:sz w:val="22"/>
          <w:szCs w:val="22"/>
          <w:highlight w:val="none"/>
          <w:u w:val="single"/>
        </w:rPr>
      </w:pPr>
      <w:r>
        <w:rPr>
          <w:rFonts w:hint="eastAsia" w:cs="宋体" w:asciiTheme="majorEastAsia" w:hAnsiTheme="majorEastAsia" w:eastAsiaTheme="majorEastAsia"/>
          <w:color w:val="auto"/>
          <w:sz w:val="22"/>
          <w:szCs w:val="22"/>
          <w:highlight w:val="none"/>
          <w:u w:val="single"/>
        </w:rPr>
        <w:t>（4）本项目对小型和微型企业的价格给予10%的扣除，用扣除后的价格参与评审</w:t>
      </w:r>
      <w:r>
        <w:rPr>
          <w:rFonts w:hint="eastAsia" w:ascii="宋体" w:hAnsi="宋体" w:cs="宋体"/>
          <w:color w:val="auto"/>
          <w:sz w:val="22"/>
          <w:szCs w:val="22"/>
          <w:highlight w:val="none"/>
        </w:rPr>
        <w:t>。</w:t>
      </w:r>
    </w:p>
    <w:p w14:paraId="42073F7B">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u w:val="single"/>
        </w:rPr>
        <w:t>3、享受小微企业价格折扣投标文件中应提供以下证明材料</w:t>
      </w:r>
      <w:r>
        <w:rPr>
          <w:rFonts w:hint="eastAsia" w:cs="宋体" w:asciiTheme="majorEastAsia" w:hAnsiTheme="majorEastAsia" w:eastAsiaTheme="majorEastAsia"/>
          <w:color w:val="auto"/>
          <w:sz w:val="22"/>
          <w:szCs w:val="22"/>
          <w:highlight w:val="none"/>
        </w:rPr>
        <w:t>：</w:t>
      </w:r>
    </w:p>
    <w:p w14:paraId="40B06D62">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（1）《中小企业声明函》（原件，加盖</w:t>
      </w:r>
      <w:r>
        <w:rPr>
          <w:rFonts w:hint="eastAsia" w:cs="宋体" w:asciiTheme="majorEastAsia" w:hAnsiTheme="majorEastAsia" w:eastAsiaTheme="majorEastAsia"/>
          <w:color w:val="auto"/>
          <w:sz w:val="22"/>
          <w:szCs w:val="22"/>
          <w:highlight w:val="none"/>
          <w:lang w:eastAsia="zh-CN"/>
        </w:rPr>
        <w:t>投标人</w:t>
      </w:r>
      <w:r>
        <w:rPr>
          <w:rFonts w:hint="eastAsia" w:cs="宋体" w:asciiTheme="majorEastAsia" w:hAnsiTheme="majorEastAsia" w:eastAsiaTheme="majorEastAsia"/>
          <w:color w:val="auto"/>
          <w:sz w:val="22"/>
          <w:szCs w:val="22"/>
          <w:highlight w:val="none"/>
        </w:rPr>
        <w:t>公章，格式见附件1）</w:t>
      </w:r>
    </w:p>
    <w:p w14:paraId="63A0DCDE">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4、</w:t>
      </w:r>
      <w:r>
        <w:rPr>
          <w:rFonts w:hint="eastAsia" w:cs="宋体" w:asciiTheme="majorEastAsia" w:hAnsiTheme="majorEastAsia" w:eastAsiaTheme="majorEastAsia"/>
          <w:color w:val="auto"/>
          <w:sz w:val="22"/>
          <w:szCs w:val="22"/>
          <w:highlight w:val="none"/>
          <w:u w:val="single"/>
        </w:rPr>
        <w:t>享受监狱企业价格折扣应提供以下证明材料（投标文件中，不提供的不享受价格折扣或政策扶持）</w:t>
      </w:r>
      <w:r>
        <w:rPr>
          <w:rFonts w:hint="eastAsia" w:cs="宋体" w:asciiTheme="majorEastAsia" w:hAnsiTheme="majorEastAsia" w:eastAsiaTheme="majorEastAsia"/>
          <w:color w:val="auto"/>
          <w:sz w:val="22"/>
          <w:szCs w:val="22"/>
          <w:highlight w:val="none"/>
        </w:rPr>
        <w:t>：</w:t>
      </w:r>
    </w:p>
    <w:p w14:paraId="258DF19E">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监狱企业参加政府采购活动时，应当提供由省级以上监狱管理局、戒毒管理局(含新疆生产建设兵团)出具的属于监狱企业的证明文件（原件或扫描件加盖公章）。在政府采购活动中，监狱企业视同小型、微型企业，享受价格折扣或政策扶持。</w:t>
      </w:r>
    </w:p>
    <w:p w14:paraId="70C2E341">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5、</w:t>
      </w:r>
      <w:r>
        <w:rPr>
          <w:rFonts w:hint="eastAsia" w:cs="宋体" w:asciiTheme="majorEastAsia" w:hAnsiTheme="majorEastAsia" w:eastAsiaTheme="majorEastAsia"/>
          <w:color w:val="auto"/>
          <w:sz w:val="22"/>
          <w:szCs w:val="22"/>
          <w:highlight w:val="none"/>
          <w:u w:val="single"/>
        </w:rPr>
        <w:t>享受残疾人福利性单位格折扣应提供以下证明材料（投标文件中，不提供的不享受价格折扣或政策扶持）</w:t>
      </w:r>
      <w:r>
        <w:rPr>
          <w:rFonts w:hint="eastAsia" w:cs="宋体" w:asciiTheme="majorEastAsia" w:hAnsiTheme="majorEastAsia" w:eastAsiaTheme="majorEastAsia"/>
          <w:color w:val="auto"/>
          <w:sz w:val="22"/>
          <w:szCs w:val="22"/>
          <w:highlight w:val="none"/>
        </w:rPr>
        <w:t>：</w:t>
      </w:r>
    </w:p>
    <w:p w14:paraId="04EB5B97">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（1）残疾人福利性单位声明函（附件2）；</w:t>
      </w:r>
    </w:p>
    <w:p w14:paraId="663B88DC">
      <w:pPr>
        <w:spacing w:line="440" w:lineRule="atLeast"/>
        <w:jc w:val="lef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或政策扶持。</w:t>
      </w:r>
    </w:p>
    <w:p w14:paraId="166EEAD6">
      <w:pPr>
        <w:spacing w:line="440" w:lineRule="atLeast"/>
        <w:jc w:val="left"/>
        <w:rPr>
          <w:rFonts w:cs="宋体" w:asciiTheme="majorEastAsia" w:hAnsiTheme="majorEastAsia" w:eastAsiaTheme="majorEastAsia"/>
          <w:b/>
          <w:bCs/>
          <w:color w:val="auto"/>
          <w:sz w:val="22"/>
          <w:szCs w:val="22"/>
          <w:highlight w:val="none"/>
        </w:rPr>
      </w:pPr>
    </w:p>
    <w:p w14:paraId="70BEB3D1">
      <w:pPr>
        <w:spacing w:line="440" w:lineRule="atLeast"/>
        <w:jc w:val="left"/>
        <w:rPr>
          <w:rFonts w:cs="宋体" w:asciiTheme="majorEastAsia" w:hAnsiTheme="majorEastAsia" w:eastAsiaTheme="majorEastAsia"/>
          <w:b/>
          <w:bCs/>
          <w:color w:val="auto"/>
          <w:sz w:val="22"/>
          <w:szCs w:val="22"/>
          <w:highlight w:val="none"/>
        </w:rPr>
      </w:pPr>
    </w:p>
    <w:p w14:paraId="4C68D0C4">
      <w:pPr>
        <w:spacing w:line="440" w:lineRule="atLeast"/>
        <w:jc w:val="left"/>
        <w:rPr>
          <w:rFonts w:cs="宋体" w:asciiTheme="majorEastAsia" w:hAnsiTheme="majorEastAsia" w:eastAsiaTheme="majorEastAsia"/>
          <w:b/>
          <w:bCs/>
          <w:color w:val="auto"/>
          <w:sz w:val="22"/>
          <w:szCs w:val="22"/>
          <w:highlight w:val="none"/>
        </w:rPr>
      </w:pPr>
    </w:p>
    <w:p w14:paraId="76AAC9FD">
      <w:pPr>
        <w:spacing w:line="440" w:lineRule="atLeast"/>
        <w:jc w:val="left"/>
        <w:rPr>
          <w:rFonts w:cs="宋体" w:asciiTheme="majorEastAsia" w:hAnsiTheme="majorEastAsia" w:eastAsiaTheme="majorEastAsia"/>
          <w:b/>
          <w:bCs/>
          <w:color w:val="auto"/>
          <w:sz w:val="22"/>
          <w:szCs w:val="22"/>
          <w:highlight w:val="none"/>
        </w:rPr>
      </w:pPr>
    </w:p>
    <w:p w14:paraId="263B2552">
      <w:pPr>
        <w:spacing w:line="440" w:lineRule="atLeast"/>
        <w:jc w:val="left"/>
        <w:rPr>
          <w:rFonts w:cs="宋体" w:asciiTheme="majorEastAsia" w:hAnsiTheme="majorEastAsia" w:eastAsiaTheme="majorEastAsia"/>
          <w:b/>
          <w:bCs/>
          <w:color w:val="auto"/>
          <w:sz w:val="22"/>
          <w:szCs w:val="22"/>
          <w:highlight w:val="none"/>
        </w:rPr>
      </w:pPr>
    </w:p>
    <w:p w14:paraId="547887AC">
      <w:pPr>
        <w:spacing w:line="440" w:lineRule="atLeast"/>
        <w:jc w:val="left"/>
        <w:rPr>
          <w:rFonts w:cs="宋体" w:asciiTheme="majorEastAsia" w:hAnsiTheme="majorEastAsia" w:eastAsiaTheme="majorEastAsia"/>
          <w:b/>
          <w:bCs/>
          <w:color w:val="auto"/>
          <w:sz w:val="22"/>
          <w:szCs w:val="22"/>
          <w:highlight w:val="none"/>
        </w:rPr>
      </w:pPr>
    </w:p>
    <w:p w14:paraId="384BD116">
      <w:pPr>
        <w:spacing w:line="440" w:lineRule="atLeast"/>
        <w:jc w:val="left"/>
        <w:rPr>
          <w:rFonts w:cs="宋体" w:asciiTheme="majorEastAsia" w:hAnsiTheme="majorEastAsia" w:eastAsiaTheme="majorEastAsia"/>
          <w:b/>
          <w:bCs/>
          <w:color w:val="auto"/>
          <w:sz w:val="22"/>
          <w:szCs w:val="22"/>
          <w:highlight w:val="none"/>
        </w:rPr>
      </w:pPr>
    </w:p>
    <w:p w14:paraId="608ADBC3">
      <w:pPr>
        <w:spacing w:line="440" w:lineRule="atLeast"/>
        <w:jc w:val="left"/>
        <w:rPr>
          <w:rFonts w:cs="宋体" w:asciiTheme="majorEastAsia" w:hAnsiTheme="majorEastAsia" w:eastAsiaTheme="majorEastAsia"/>
          <w:b/>
          <w:bCs/>
          <w:color w:val="auto"/>
          <w:sz w:val="22"/>
          <w:szCs w:val="22"/>
          <w:highlight w:val="none"/>
        </w:rPr>
      </w:pPr>
    </w:p>
    <w:p w14:paraId="0D8CB179">
      <w:pPr>
        <w:spacing w:line="440" w:lineRule="atLeast"/>
        <w:jc w:val="left"/>
        <w:rPr>
          <w:rFonts w:cs="宋体" w:asciiTheme="majorEastAsia" w:hAnsiTheme="majorEastAsia" w:eastAsiaTheme="majorEastAsia"/>
          <w:b/>
          <w:bCs/>
          <w:color w:val="auto"/>
          <w:sz w:val="22"/>
          <w:szCs w:val="22"/>
          <w:highlight w:val="none"/>
        </w:rPr>
      </w:pPr>
    </w:p>
    <w:p w14:paraId="391FA204">
      <w:pPr>
        <w:spacing w:line="440" w:lineRule="atLeast"/>
        <w:jc w:val="left"/>
        <w:rPr>
          <w:rFonts w:cs="宋体" w:asciiTheme="majorEastAsia" w:hAnsiTheme="majorEastAsia" w:eastAsiaTheme="majorEastAsia"/>
          <w:b/>
          <w:bCs/>
          <w:color w:val="auto"/>
          <w:sz w:val="22"/>
          <w:szCs w:val="22"/>
          <w:highlight w:val="none"/>
        </w:rPr>
      </w:pPr>
    </w:p>
    <w:p w14:paraId="7203DE0E">
      <w:pPr>
        <w:spacing w:line="440" w:lineRule="atLeast"/>
        <w:jc w:val="left"/>
        <w:rPr>
          <w:rFonts w:cs="宋体" w:asciiTheme="majorEastAsia" w:hAnsiTheme="majorEastAsia" w:eastAsiaTheme="majorEastAsia"/>
          <w:b/>
          <w:bCs/>
          <w:color w:val="auto"/>
          <w:sz w:val="22"/>
          <w:szCs w:val="22"/>
          <w:highlight w:val="none"/>
        </w:rPr>
      </w:pPr>
    </w:p>
    <w:p w14:paraId="7C0F1E0D">
      <w:pPr>
        <w:widowControl/>
        <w:spacing w:before="100" w:beforeAutospacing="1" w:after="100" w:afterAutospacing="1" w:line="440" w:lineRule="atLeast"/>
        <w:jc w:val="left"/>
        <w:rPr>
          <w:rFonts w:cs="宋体" w:asciiTheme="majorEastAsia" w:hAnsiTheme="majorEastAsia" w:eastAsiaTheme="majorEastAsia"/>
          <w:b/>
          <w:bCs/>
          <w:color w:val="auto"/>
          <w:sz w:val="24"/>
          <w:highlight w:val="none"/>
        </w:rPr>
      </w:pPr>
    </w:p>
    <w:p w14:paraId="74B8696C">
      <w:pP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br w:type="page"/>
      </w:r>
    </w:p>
    <w:p w14:paraId="0B5D363C">
      <w:pPr>
        <w:widowControl/>
        <w:spacing w:before="100" w:beforeAutospacing="1" w:after="100" w:afterAutospacing="1" w:line="440" w:lineRule="atLeast"/>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附件1：</w:t>
      </w:r>
    </w:p>
    <w:p w14:paraId="6141FEE3">
      <w:pPr>
        <w:widowControl/>
        <w:jc w:val="left"/>
        <w:rPr>
          <w:rFonts w:cs="宋体" w:asciiTheme="majorEastAsia" w:hAnsiTheme="majorEastAsia" w:eastAsiaTheme="majorEastAsia"/>
          <w:color w:val="auto"/>
          <w:sz w:val="22"/>
          <w:szCs w:val="22"/>
          <w:highlight w:val="none"/>
        </w:rPr>
      </w:pPr>
    </w:p>
    <w:p w14:paraId="7CC62308">
      <w:pPr>
        <w:pStyle w:val="40"/>
        <w:rPr>
          <w:rFonts w:ascii="宋体" w:hAnsi="宋体" w:cs="宋体"/>
          <w:color w:val="auto"/>
          <w:highlight w:val="none"/>
        </w:rPr>
      </w:pPr>
      <w:bookmarkStart w:id="287" w:name="_Toc31622"/>
      <w:bookmarkStart w:id="288" w:name="_Toc61276420"/>
      <w:r>
        <w:rPr>
          <w:rFonts w:hint="eastAsia" w:ascii="宋体" w:hAnsi="宋体" w:cs="宋体"/>
          <w:color w:val="auto"/>
          <w:highlight w:val="none"/>
        </w:rPr>
        <w:t>中小企业声明函（工程、服务）</w:t>
      </w:r>
      <w:bookmarkEnd w:id="287"/>
      <w:bookmarkEnd w:id="288"/>
    </w:p>
    <w:p w14:paraId="19F74921">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本公司（联合体）郑重声明，根据《政府采购促进中小企业发展管理办法》（财库﹝2020﹞46 号）的规定，本公司（联合体）参加</w:t>
      </w:r>
      <w:r>
        <w:rPr>
          <w:rFonts w:hint="eastAsia" w:ascii="宋体"/>
          <w:color w:val="auto"/>
          <w:sz w:val="22"/>
          <w:szCs w:val="22"/>
          <w:highlight w:val="none"/>
          <w:u w:val="single"/>
        </w:rPr>
        <w:t xml:space="preserve"> （单位名称）</w:t>
      </w:r>
      <w:r>
        <w:rPr>
          <w:rFonts w:hint="eastAsia" w:ascii="宋体"/>
          <w:color w:val="auto"/>
          <w:sz w:val="22"/>
          <w:szCs w:val="22"/>
          <w:highlight w:val="none"/>
        </w:rPr>
        <w:t xml:space="preserve"> 的 </w:t>
      </w:r>
      <w:r>
        <w:rPr>
          <w:rFonts w:hint="eastAsia" w:ascii="宋体"/>
          <w:color w:val="auto"/>
          <w:sz w:val="22"/>
          <w:szCs w:val="22"/>
          <w:highlight w:val="none"/>
          <w:u w:val="single"/>
        </w:rPr>
        <w:t>（项目名称）</w:t>
      </w:r>
      <w:r>
        <w:rPr>
          <w:rFonts w:hint="eastAsia" w:ascii="宋体"/>
          <w:color w:val="auto"/>
          <w:sz w:val="22"/>
          <w:szCs w:val="22"/>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14:paraId="2FEE0963">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 xml:space="preserve">1. </w:t>
      </w:r>
      <w:r>
        <w:rPr>
          <w:rFonts w:hint="eastAsia" w:ascii="宋体"/>
          <w:color w:val="auto"/>
          <w:sz w:val="22"/>
          <w:szCs w:val="22"/>
          <w:highlight w:val="none"/>
          <w:u w:val="single"/>
        </w:rPr>
        <w:t xml:space="preserve">（标的名称） </w:t>
      </w:r>
      <w:r>
        <w:rPr>
          <w:rFonts w:hint="eastAsia" w:ascii="宋体"/>
          <w:color w:val="auto"/>
          <w:sz w:val="22"/>
          <w:szCs w:val="22"/>
          <w:highlight w:val="none"/>
        </w:rPr>
        <w:t xml:space="preserve">，属于软件和信息技术服务行业 ；承建（承接）企业为 </w:t>
      </w:r>
      <w:r>
        <w:rPr>
          <w:rFonts w:hint="eastAsia" w:ascii="宋体"/>
          <w:color w:val="auto"/>
          <w:sz w:val="22"/>
          <w:szCs w:val="22"/>
          <w:highlight w:val="none"/>
          <w:u w:val="single"/>
        </w:rPr>
        <w:t xml:space="preserve">（企业名称） </w:t>
      </w:r>
      <w:r>
        <w:rPr>
          <w:rFonts w:hint="eastAsia" w:ascii="宋体"/>
          <w:color w:val="auto"/>
          <w:sz w:val="22"/>
          <w:szCs w:val="22"/>
          <w:highlight w:val="none"/>
        </w:rPr>
        <w:t>，从业人员</w:t>
      </w:r>
      <w:r>
        <w:rPr>
          <w:rFonts w:hint="eastAsia" w:ascii="宋体"/>
          <w:color w:val="auto"/>
          <w:sz w:val="22"/>
          <w:szCs w:val="22"/>
          <w:highlight w:val="none"/>
          <w:u w:val="single"/>
        </w:rPr>
        <w:t xml:space="preserve">        </w:t>
      </w:r>
      <w:r>
        <w:rPr>
          <w:rFonts w:hint="eastAsia" w:ascii="宋体"/>
          <w:color w:val="auto"/>
          <w:sz w:val="22"/>
          <w:szCs w:val="22"/>
          <w:highlight w:val="none"/>
        </w:rPr>
        <w:t>人，营业收入为</w:t>
      </w:r>
      <w:r>
        <w:rPr>
          <w:rFonts w:hint="eastAsia" w:ascii="宋体"/>
          <w:color w:val="auto"/>
          <w:sz w:val="22"/>
          <w:szCs w:val="22"/>
          <w:highlight w:val="none"/>
          <w:u w:val="single"/>
        </w:rPr>
        <w:t xml:space="preserve">        </w:t>
      </w:r>
      <w:r>
        <w:rPr>
          <w:rFonts w:hint="eastAsia" w:ascii="宋体"/>
          <w:color w:val="auto"/>
          <w:sz w:val="22"/>
          <w:szCs w:val="22"/>
          <w:highlight w:val="none"/>
        </w:rPr>
        <w:t>万元，资产总额为</w:t>
      </w:r>
      <w:r>
        <w:rPr>
          <w:rFonts w:hint="eastAsia" w:ascii="宋体"/>
          <w:color w:val="auto"/>
          <w:sz w:val="22"/>
          <w:szCs w:val="22"/>
          <w:highlight w:val="none"/>
          <w:u w:val="single"/>
        </w:rPr>
        <w:t xml:space="preserve">        </w:t>
      </w:r>
      <w:r>
        <w:rPr>
          <w:rFonts w:hint="eastAsia" w:ascii="宋体"/>
          <w:color w:val="auto"/>
          <w:sz w:val="22"/>
          <w:szCs w:val="22"/>
          <w:highlight w:val="none"/>
        </w:rPr>
        <w:t>万元 ，属于</w:t>
      </w:r>
      <w:r>
        <w:rPr>
          <w:rFonts w:hint="eastAsia" w:ascii="宋体"/>
          <w:color w:val="auto"/>
          <w:sz w:val="22"/>
          <w:szCs w:val="22"/>
          <w:highlight w:val="none"/>
          <w:u w:val="single"/>
        </w:rPr>
        <w:t xml:space="preserve">       （中型企业、小型企业、微型企业） </w:t>
      </w:r>
      <w:r>
        <w:rPr>
          <w:rFonts w:hint="eastAsia" w:ascii="宋体"/>
          <w:color w:val="auto"/>
          <w:sz w:val="22"/>
          <w:szCs w:val="22"/>
          <w:highlight w:val="none"/>
        </w:rPr>
        <w:t>；</w:t>
      </w:r>
    </w:p>
    <w:p w14:paraId="11D4A743">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 xml:space="preserve">2. </w:t>
      </w:r>
      <w:r>
        <w:rPr>
          <w:rFonts w:hint="eastAsia" w:ascii="宋体"/>
          <w:color w:val="auto"/>
          <w:sz w:val="22"/>
          <w:szCs w:val="22"/>
          <w:highlight w:val="none"/>
          <w:u w:val="single"/>
        </w:rPr>
        <w:t>（标的名称）</w:t>
      </w:r>
      <w:r>
        <w:rPr>
          <w:rFonts w:hint="eastAsia" w:ascii="宋体"/>
          <w:color w:val="auto"/>
          <w:sz w:val="22"/>
          <w:szCs w:val="22"/>
          <w:highlight w:val="none"/>
        </w:rPr>
        <w:t xml:space="preserve"> ，属于软件和信息技术服务行业</w:t>
      </w:r>
      <w:r>
        <w:rPr>
          <w:rFonts w:hint="eastAsia" w:ascii="宋体"/>
          <w:color w:val="auto"/>
          <w:sz w:val="22"/>
          <w:szCs w:val="22"/>
          <w:highlight w:val="none"/>
          <w:u w:val="single"/>
        </w:rPr>
        <w:t xml:space="preserve"> </w:t>
      </w:r>
      <w:r>
        <w:rPr>
          <w:rFonts w:hint="eastAsia" w:ascii="宋体"/>
          <w:color w:val="auto"/>
          <w:sz w:val="22"/>
          <w:szCs w:val="22"/>
          <w:highlight w:val="none"/>
        </w:rPr>
        <w:t>；承建（承接）企业为</w:t>
      </w:r>
      <w:r>
        <w:rPr>
          <w:rFonts w:hint="eastAsia" w:ascii="宋体"/>
          <w:color w:val="auto"/>
          <w:sz w:val="22"/>
          <w:szCs w:val="22"/>
          <w:highlight w:val="none"/>
          <w:u w:val="single"/>
        </w:rPr>
        <w:t xml:space="preserve"> （企业名称）</w:t>
      </w:r>
      <w:r>
        <w:rPr>
          <w:rFonts w:hint="eastAsia" w:ascii="宋体"/>
          <w:color w:val="auto"/>
          <w:sz w:val="22"/>
          <w:szCs w:val="22"/>
          <w:highlight w:val="none"/>
        </w:rPr>
        <w:t xml:space="preserve"> ，从业人员</w:t>
      </w:r>
      <w:r>
        <w:rPr>
          <w:rFonts w:hint="eastAsia" w:ascii="宋体"/>
          <w:color w:val="auto"/>
          <w:sz w:val="22"/>
          <w:szCs w:val="22"/>
          <w:highlight w:val="none"/>
          <w:u w:val="single"/>
        </w:rPr>
        <w:t xml:space="preserve">        </w:t>
      </w:r>
      <w:r>
        <w:rPr>
          <w:rFonts w:hint="eastAsia" w:ascii="宋体"/>
          <w:color w:val="auto"/>
          <w:sz w:val="22"/>
          <w:szCs w:val="22"/>
          <w:highlight w:val="none"/>
        </w:rPr>
        <w:t>人，营业收入为</w:t>
      </w:r>
      <w:r>
        <w:rPr>
          <w:rFonts w:hint="eastAsia" w:ascii="宋体"/>
          <w:color w:val="auto"/>
          <w:sz w:val="22"/>
          <w:szCs w:val="22"/>
          <w:highlight w:val="none"/>
          <w:u w:val="single"/>
        </w:rPr>
        <w:t xml:space="preserve">        </w:t>
      </w:r>
      <w:r>
        <w:rPr>
          <w:rFonts w:hint="eastAsia" w:ascii="宋体"/>
          <w:color w:val="auto"/>
          <w:sz w:val="22"/>
          <w:szCs w:val="22"/>
          <w:highlight w:val="none"/>
        </w:rPr>
        <w:t>万元，资产总额为</w:t>
      </w:r>
      <w:r>
        <w:rPr>
          <w:rFonts w:hint="eastAsia" w:ascii="宋体"/>
          <w:color w:val="auto"/>
          <w:sz w:val="22"/>
          <w:szCs w:val="22"/>
          <w:highlight w:val="none"/>
          <w:u w:val="single"/>
        </w:rPr>
        <w:t xml:space="preserve">         </w:t>
      </w:r>
      <w:r>
        <w:rPr>
          <w:rFonts w:hint="eastAsia" w:ascii="宋体"/>
          <w:color w:val="auto"/>
          <w:sz w:val="22"/>
          <w:szCs w:val="22"/>
          <w:highlight w:val="none"/>
        </w:rPr>
        <w:t xml:space="preserve">万元，属于 </w:t>
      </w:r>
      <w:r>
        <w:rPr>
          <w:rFonts w:hint="eastAsia" w:ascii="宋体"/>
          <w:color w:val="auto"/>
          <w:sz w:val="22"/>
          <w:szCs w:val="22"/>
          <w:highlight w:val="none"/>
          <w:u w:val="single"/>
        </w:rPr>
        <w:t xml:space="preserve">       （中型企业、小型企业、微型企业）</w:t>
      </w:r>
      <w:r>
        <w:rPr>
          <w:rFonts w:hint="eastAsia" w:ascii="宋体"/>
          <w:color w:val="auto"/>
          <w:sz w:val="22"/>
          <w:szCs w:val="22"/>
          <w:highlight w:val="none"/>
        </w:rPr>
        <w:t xml:space="preserve"> ；</w:t>
      </w:r>
    </w:p>
    <w:p w14:paraId="553C49D9">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w:t>
      </w:r>
    </w:p>
    <w:p w14:paraId="31242422">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以上企业，不属于大企业的分支机构，不存在控股股东为大企业的情形，也不存在与大企业的负责人为同一人的情形。</w:t>
      </w:r>
    </w:p>
    <w:p w14:paraId="51129AB5">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本企业对上述声明内容的真实性负责。如有虚假，将依法承担相应责任。</w:t>
      </w:r>
    </w:p>
    <w:p w14:paraId="78E1B0AF">
      <w:pPr>
        <w:widowControl/>
        <w:spacing w:before="100" w:beforeAutospacing="1" w:after="100" w:afterAutospacing="1" w:line="440" w:lineRule="atLeast"/>
        <w:ind w:firstLine="440" w:firstLineChars="200"/>
        <w:jc w:val="left"/>
        <w:rPr>
          <w:rFonts w:ascii="宋体"/>
          <w:color w:val="auto"/>
          <w:sz w:val="22"/>
          <w:szCs w:val="22"/>
          <w:highlight w:val="none"/>
        </w:rPr>
      </w:pPr>
      <w:r>
        <w:rPr>
          <w:rFonts w:hint="eastAsia" w:ascii="宋体"/>
          <w:color w:val="auto"/>
          <w:sz w:val="22"/>
          <w:szCs w:val="22"/>
          <w:highlight w:val="none"/>
        </w:rPr>
        <w:t>企业名称（盖章）：</w:t>
      </w:r>
    </w:p>
    <w:p w14:paraId="4608F87B">
      <w:pPr>
        <w:widowControl/>
        <w:spacing w:before="100" w:beforeAutospacing="1" w:after="100" w:afterAutospacing="1" w:line="440" w:lineRule="atLeast"/>
        <w:ind w:firstLine="440" w:firstLineChars="200"/>
        <w:jc w:val="left"/>
        <w:rPr>
          <w:rFonts w:cs="宋体" w:asciiTheme="majorEastAsia" w:hAnsiTheme="majorEastAsia" w:eastAsiaTheme="majorEastAsia"/>
          <w:b/>
          <w:bCs/>
          <w:color w:val="auto"/>
          <w:sz w:val="24"/>
          <w:highlight w:val="none"/>
        </w:rPr>
      </w:pPr>
      <w:r>
        <w:rPr>
          <w:rFonts w:hint="eastAsia" w:ascii="宋体"/>
          <w:color w:val="auto"/>
          <w:sz w:val="22"/>
          <w:szCs w:val="22"/>
          <w:highlight w:val="none"/>
        </w:rPr>
        <w:t>日 期：     </w:t>
      </w:r>
      <w:r>
        <w:rPr>
          <w:rFonts w:hint="eastAsia" w:cs="宋体" w:asciiTheme="majorEastAsia" w:hAnsiTheme="majorEastAsia" w:eastAsiaTheme="majorEastAsia"/>
          <w:color w:val="auto"/>
          <w:sz w:val="22"/>
          <w:szCs w:val="22"/>
          <w:highlight w:val="none"/>
        </w:rPr>
        <w:t>             　　　　</w:t>
      </w:r>
      <w:r>
        <w:rPr>
          <w:rFonts w:hint="eastAsia" w:cs="宋体" w:asciiTheme="majorEastAsia" w:hAnsiTheme="majorEastAsia" w:eastAsiaTheme="majorEastAsia"/>
          <w:b/>
          <w:bCs/>
          <w:color w:val="auto"/>
          <w:sz w:val="24"/>
          <w:highlight w:val="none"/>
        </w:rPr>
        <w:t>　</w:t>
      </w:r>
    </w:p>
    <w:p w14:paraId="365CEC5C">
      <w:pPr>
        <w:spacing w:line="440" w:lineRule="atLeast"/>
        <w:rPr>
          <w:rFonts w:cs="宋体" w:asciiTheme="majorEastAsia" w:hAnsiTheme="majorEastAsia" w:eastAsiaTheme="majorEastAsia"/>
          <w:b/>
          <w:bCs/>
          <w:color w:val="auto"/>
          <w:sz w:val="24"/>
          <w:highlight w:val="none"/>
        </w:rPr>
      </w:pPr>
    </w:p>
    <w:p w14:paraId="74B99277">
      <w:pPr>
        <w:widowControl/>
        <w:spacing w:before="100" w:beforeAutospacing="1" w:after="100" w:afterAutospacing="1" w:line="440" w:lineRule="atLeast"/>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注：1 从业人员、营业收入、资产总额填报上一年度数据，无上一年度数据的新成立企业可不填报。</w:t>
      </w:r>
      <w:r>
        <w:rPr>
          <w:rFonts w:hint="eastAsia" w:cs="宋体" w:asciiTheme="majorEastAsia" w:hAnsiTheme="majorEastAsia" w:eastAsiaTheme="majorEastAsia"/>
          <w:color w:val="auto"/>
          <w:sz w:val="22"/>
          <w:szCs w:val="22"/>
          <w:highlight w:val="none"/>
        </w:rPr>
        <w:t>                  　　　　</w:t>
      </w:r>
      <w:r>
        <w:rPr>
          <w:rFonts w:hint="eastAsia" w:cs="宋体" w:asciiTheme="majorEastAsia" w:hAnsiTheme="majorEastAsia" w:eastAsiaTheme="majorEastAsia"/>
          <w:b/>
          <w:bCs/>
          <w:color w:val="auto"/>
          <w:sz w:val="24"/>
          <w:highlight w:val="none"/>
        </w:rPr>
        <w:t>　</w:t>
      </w:r>
    </w:p>
    <w:p w14:paraId="42D6A0FC">
      <w:pPr>
        <w:widowControl/>
        <w:spacing w:before="100" w:beforeAutospacing="1" w:after="100" w:afterAutospacing="1" w:line="440" w:lineRule="atLeast"/>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br w:type="page"/>
      </w:r>
      <w:r>
        <w:rPr>
          <w:rFonts w:hint="eastAsia" w:cs="宋体" w:asciiTheme="majorEastAsia" w:hAnsiTheme="majorEastAsia" w:eastAsiaTheme="majorEastAsia"/>
          <w:b/>
          <w:bCs/>
          <w:color w:val="auto"/>
          <w:sz w:val="24"/>
          <w:highlight w:val="none"/>
        </w:rPr>
        <w:t>附件2</w:t>
      </w:r>
    </w:p>
    <w:p w14:paraId="302D0570">
      <w:pPr>
        <w:widowControl/>
        <w:spacing w:before="100" w:beforeAutospacing="1" w:after="100" w:afterAutospacing="1" w:line="440" w:lineRule="atLeast"/>
        <w:jc w:val="center"/>
        <w:rPr>
          <w:rFonts w:cs="宋体" w:asciiTheme="majorEastAsia" w:hAnsiTheme="majorEastAsia" w:eastAsiaTheme="majorEastAsia"/>
          <w:b/>
          <w:bCs/>
          <w:color w:val="auto"/>
          <w:sz w:val="24"/>
          <w:highlight w:val="none"/>
        </w:rPr>
      </w:pPr>
      <w:bookmarkStart w:id="289" w:name="OLE_LINK14"/>
      <w:bookmarkStart w:id="290" w:name="OLE_LINK13"/>
      <w:r>
        <w:rPr>
          <w:rFonts w:hint="eastAsia" w:cs="宋体" w:asciiTheme="majorEastAsia" w:hAnsiTheme="majorEastAsia" w:eastAsiaTheme="majorEastAsia"/>
          <w:b/>
          <w:bCs/>
          <w:color w:val="auto"/>
          <w:sz w:val="24"/>
          <w:highlight w:val="none"/>
        </w:rPr>
        <w:t>残疾人福利性单位声明函</w:t>
      </w:r>
    </w:p>
    <w:bookmarkEnd w:id="289"/>
    <w:bookmarkEnd w:id="290"/>
    <w:p w14:paraId="3AF0C7D9">
      <w:pPr>
        <w:spacing w:line="588" w:lineRule="exact"/>
        <w:rPr>
          <w:rFonts w:cs="宋体" w:asciiTheme="majorEastAsia" w:hAnsiTheme="majorEastAsia" w:eastAsiaTheme="majorEastAsia"/>
          <w:b/>
          <w:bCs/>
          <w:color w:val="auto"/>
          <w:spacing w:val="6"/>
          <w:sz w:val="30"/>
          <w:szCs w:val="30"/>
          <w:highlight w:val="none"/>
        </w:rPr>
      </w:pPr>
    </w:p>
    <w:p w14:paraId="392C86CC">
      <w:pPr>
        <w:spacing w:line="588" w:lineRule="exact"/>
        <w:ind w:firstLine="464" w:firstLineChars="200"/>
        <w:rPr>
          <w:rFonts w:cs="宋体" w:asciiTheme="majorEastAsia" w:hAnsiTheme="majorEastAsia" w:eastAsiaTheme="majorEastAsia"/>
          <w:color w:val="auto"/>
          <w:spacing w:val="6"/>
          <w:sz w:val="22"/>
          <w:szCs w:val="22"/>
          <w:highlight w:val="none"/>
        </w:rPr>
      </w:pPr>
      <w:r>
        <w:rPr>
          <w:rFonts w:hint="eastAsia" w:cs="宋体" w:asciiTheme="majorEastAsia" w:hAnsiTheme="majorEastAsia" w:eastAsiaTheme="majorEastAsia"/>
          <w:color w:val="auto"/>
          <w:spacing w:val="6"/>
          <w:sz w:val="22"/>
          <w:szCs w:val="22"/>
          <w:highlight w:val="none"/>
        </w:rPr>
        <w:t>本单位郑重声明，根据《财政部 民政部 中国残疾人联合会关于促进残疾人就业政府采购政策的通知》（财库</w:t>
      </w:r>
      <w:r>
        <w:rPr>
          <w:rFonts w:hint="eastAsia" w:cs="宋体" w:asciiTheme="majorEastAsia" w:hAnsiTheme="majorEastAsia" w:eastAsiaTheme="majorEastAsia"/>
          <w:color w:val="auto"/>
          <w:sz w:val="22"/>
          <w:szCs w:val="22"/>
          <w:highlight w:val="none"/>
        </w:rPr>
        <w:t>〔2017〕 141</w:t>
      </w:r>
      <w:r>
        <w:rPr>
          <w:rFonts w:hint="eastAsia" w:cs="宋体" w:asciiTheme="majorEastAsia" w:hAnsiTheme="majorEastAsia" w:eastAsiaTheme="majorEastAsia"/>
          <w:color w:val="auto"/>
          <w:spacing w:val="6"/>
          <w:sz w:val="22"/>
          <w:szCs w:val="2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A6395DC">
      <w:pPr>
        <w:spacing w:line="588" w:lineRule="exact"/>
        <w:ind w:firstLine="464" w:firstLineChars="200"/>
        <w:rPr>
          <w:rFonts w:cs="宋体" w:asciiTheme="majorEastAsia" w:hAnsiTheme="majorEastAsia" w:eastAsiaTheme="majorEastAsia"/>
          <w:color w:val="auto"/>
          <w:spacing w:val="6"/>
          <w:sz w:val="22"/>
          <w:szCs w:val="22"/>
          <w:highlight w:val="none"/>
        </w:rPr>
      </w:pPr>
      <w:r>
        <w:rPr>
          <w:rFonts w:hint="eastAsia" w:cs="宋体" w:asciiTheme="majorEastAsia" w:hAnsiTheme="majorEastAsia" w:eastAsiaTheme="majorEastAsia"/>
          <w:color w:val="auto"/>
          <w:spacing w:val="6"/>
          <w:sz w:val="22"/>
          <w:szCs w:val="22"/>
          <w:highlight w:val="none"/>
        </w:rPr>
        <w:t>本单位对上述声明的真实性负责。如有虚假，将依法承担相应责任。</w:t>
      </w:r>
    </w:p>
    <w:p w14:paraId="43266EC6">
      <w:pPr>
        <w:spacing w:line="588" w:lineRule="exact"/>
        <w:ind w:firstLine="464" w:firstLineChars="200"/>
        <w:rPr>
          <w:rFonts w:cs="宋体" w:asciiTheme="majorEastAsia" w:hAnsiTheme="majorEastAsia" w:eastAsiaTheme="majorEastAsia"/>
          <w:color w:val="auto"/>
          <w:spacing w:val="6"/>
          <w:sz w:val="22"/>
          <w:szCs w:val="22"/>
          <w:highlight w:val="none"/>
        </w:rPr>
      </w:pPr>
    </w:p>
    <w:p w14:paraId="325D1D79">
      <w:pPr>
        <w:tabs>
          <w:tab w:val="left" w:pos="4860"/>
        </w:tabs>
        <w:spacing w:line="588" w:lineRule="exact"/>
        <w:ind w:right="1560" w:firstLine="464" w:firstLineChars="200"/>
        <w:rPr>
          <w:rFonts w:cs="宋体" w:asciiTheme="majorEastAsia" w:hAnsiTheme="majorEastAsia" w:eastAsiaTheme="majorEastAsia"/>
          <w:color w:val="auto"/>
          <w:spacing w:val="6"/>
          <w:sz w:val="22"/>
          <w:szCs w:val="22"/>
          <w:highlight w:val="none"/>
        </w:rPr>
      </w:pPr>
    </w:p>
    <w:p w14:paraId="4A2AEA17">
      <w:pPr>
        <w:tabs>
          <w:tab w:val="left" w:pos="4860"/>
        </w:tabs>
        <w:spacing w:line="588" w:lineRule="exact"/>
        <w:ind w:right="1560" w:firstLine="464" w:firstLineChars="200"/>
        <w:rPr>
          <w:rFonts w:cs="宋体" w:asciiTheme="majorEastAsia" w:hAnsiTheme="majorEastAsia" w:eastAsiaTheme="majorEastAsia"/>
          <w:color w:val="auto"/>
          <w:spacing w:val="6"/>
          <w:sz w:val="22"/>
          <w:szCs w:val="22"/>
          <w:highlight w:val="none"/>
        </w:rPr>
      </w:pPr>
      <w:r>
        <w:rPr>
          <w:rFonts w:hint="eastAsia" w:cs="宋体" w:asciiTheme="majorEastAsia" w:hAnsiTheme="majorEastAsia" w:eastAsiaTheme="majorEastAsia"/>
          <w:color w:val="auto"/>
          <w:spacing w:val="6"/>
          <w:sz w:val="22"/>
          <w:szCs w:val="22"/>
          <w:highlight w:val="none"/>
          <w:lang w:eastAsia="zh-CN"/>
        </w:rPr>
        <w:t>投标人</w:t>
      </w:r>
      <w:r>
        <w:rPr>
          <w:rFonts w:hint="eastAsia" w:cs="宋体" w:asciiTheme="majorEastAsia" w:hAnsiTheme="majorEastAsia" w:eastAsiaTheme="majorEastAsia"/>
          <w:color w:val="auto"/>
          <w:spacing w:val="6"/>
          <w:sz w:val="22"/>
          <w:szCs w:val="22"/>
          <w:highlight w:val="none"/>
        </w:rPr>
        <w:t>全称（盖章）：</w:t>
      </w:r>
    </w:p>
    <w:p w14:paraId="62D60C6E">
      <w:pPr>
        <w:tabs>
          <w:tab w:val="left" w:pos="4860"/>
        </w:tabs>
        <w:spacing w:line="588" w:lineRule="exact"/>
        <w:ind w:right="1560" w:firstLine="464" w:firstLineChars="200"/>
        <w:rPr>
          <w:rFonts w:cs="宋体" w:asciiTheme="majorEastAsia" w:hAnsiTheme="majorEastAsia" w:eastAsiaTheme="majorEastAsia"/>
          <w:color w:val="auto"/>
          <w:spacing w:val="6"/>
          <w:sz w:val="22"/>
          <w:szCs w:val="22"/>
          <w:highlight w:val="none"/>
        </w:rPr>
      </w:pPr>
      <w:r>
        <w:rPr>
          <w:rFonts w:hint="eastAsia" w:cs="宋体" w:asciiTheme="majorEastAsia" w:hAnsiTheme="majorEastAsia" w:eastAsiaTheme="majorEastAsia"/>
          <w:color w:val="auto"/>
          <w:spacing w:val="6"/>
          <w:sz w:val="22"/>
          <w:szCs w:val="22"/>
          <w:highlight w:val="none"/>
        </w:rPr>
        <w:t>日  期：</w:t>
      </w:r>
    </w:p>
    <w:p w14:paraId="6924DB2D">
      <w:pPr>
        <w:tabs>
          <w:tab w:val="left" w:pos="4860"/>
        </w:tabs>
        <w:spacing w:line="588" w:lineRule="exact"/>
        <w:ind w:right="1560" w:firstLine="464" w:firstLineChars="200"/>
        <w:jc w:val="center"/>
        <w:rPr>
          <w:rFonts w:cs="宋体" w:asciiTheme="majorEastAsia" w:hAnsiTheme="majorEastAsia" w:eastAsiaTheme="majorEastAsia"/>
          <w:color w:val="auto"/>
          <w:spacing w:val="6"/>
          <w:sz w:val="22"/>
          <w:szCs w:val="22"/>
          <w:highlight w:val="none"/>
        </w:rPr>
      </w:pPr>
    </w:p>
    <w:p w14:paraId="530BF9A3">
      <w:pPr>
        <w:tabs>
          <w:tab w:val="left" w:pos="4860"/>
        </w:tabs>
        <w:spacing w:line="588" w:lineRule="exact"/>
        <w:ind w:right="1560" w:firstLine="464" w:firstLineChars="200"/>
        <w:jc w:val="center"/>
        <w:rPr>
          <w:rFonts w:cs="宋体" w:asciiTheme="majorEastAsia" w:hAnsiTheme="majorEastAsia" w:eastAsiaTheme="majorEastAsia"/>
          <w:color w:val="auto"/>
          <w:spacing w:val="6"/>
          <w:sz w:val="22"/>
          <w:szCs w:val="22"/>
          <w:highlight w:val="none"/>
        </w:rPr>
      </w:pPr>
    </w:p>
    <w:p w14:paraId="393A477E">
      <w:pPr>
        <w:tabs>
          <w:tab w:val="left" w:pos="4860"/>
        </w:tabs>
        <w:spacing w:line="588" w:lineRule="exact"/>
        <w:ind w:right="1560"/>
        <w:jc w:val="left"/>
        <w:rPr>
          <w:rFonts w:cs="宋体" w:asciiTheme="majorEastAsia" w:hAnsiTheme="majorEastAsia" w:eastAsiaTheme="majorEastAsia"/>
          <w:b/>
          <w:bCs/>
          <w:color w:val="auto"/>
          <w:sz w:val="22"/>
          <w:szCs w:val="22"/>
          <w:highlight w:val="none"/>
        </w:rPr>
      </w:pPr>
      <w:r>
        <w:rPr>
          <w:rFonts w:hint="eastAsia" w:cs="宋体" w:asciiTheme="majorEastAsia" w:hAnsiTheme="majorEastAsia" w:eastAsiaTheme="majorEastAsia"/>
          <w:b/>
          <w:bCs/>
          <w:color w:val="auto"/>
          <w:sz w:val="22"/>
          <w:szCs w:val="22"/>
          <w:highlight w:val="none"/>
        </w:rPr>
        <w:t>备注说明：</w:t>
      </w:r>
    </w:p>
    <w:p w14:paraId="10EE4B0F">
      <w:pPr>
        <w:tabs>
          <w:tab w:val="left" w:pos="4860"/>
        </w:tabs>
        <w:spacing w:line="588" w:lineRule="exact"/>
        <w:ind w:right="1560"/>
        <w:jc w:val="left"/>
        <w:rPr>
          <w:rFonts w:cs="宋体" w:asciiTheme="majorEastAsia" w:hAnsiTheme="majorEastAsia" w:eastAsiaTheme="majorEastAsia"/>
          <w:b/>
          <w:bCs/>
          <w:color w:val="auto"/>
          <w:sz w:val="22"/>
          <w:szCs w:val="22"/>
          <w:highlight w:val="none"/>
        </w:rPr>
      </w:pPr>
      <w:r>
        <w:rPr>
          <w:rFonts w:hint="eastAsia" w:cs="宋体" w:asciiTheme="majorEastAsia" w:hAnsiTheme="majorEastAsia" w:eastAsiaTheme="majorEastAsia"/>
          <w:b/>
          <w:bCs/>
          <w:color w:val="auto"/>
          <w:sz w:val="22"/>
          <w:szCs w:val="22"/>
          <w:highlight w:val="none"/>
        </w:rPr>
        <w:t>1、如中标，将在中标公示中将此声明函予以公示，接受社会监督；</w:t>
      </w:r>
    </w:p>
    <w:p w14:paraId="1B41FCB6">
      <w:pPr>
        <w:autoSpaceDE w:val="0"/>
        <w:autoSpaceDN w:val="0"/>
        <w:adjustRightInd w:val="0"/>
        <w:spacing w:line="460" w:lineRule="atLeast"/>
        <w:textAlignment w:val="bottom"/>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b/>
          <w:bCs/>
          <w:color w:val="auto"/>
          <w:sz w:val="22"/>
          <w:szCs w:val="22"/>
          <w:highlight w:val="none"/>
        </w:rPr>
        <w:t>2、</w:t>
      </w:r>
      <w:r>
        <w:rPr>
          <w:rFonts w:hint="eastAsia" w:cs="宋体" w:asciiTheme="majorEastAsia" w:hAnsiTheme="majorEastAsia" w:eastAsiaTheme="majorEastAsia"/>
          <w:b/>
          <w:bCs/>
          <w:color w:val="auto"/>
          <w:sz w:val="22"/>
          <w:szCs w:val="22"/>
          <w:highlight w:val="none"/>
          <w:lang w:eastAsia="zh-CN"/>
        </w:rPr>
        <w:t>投标人</w:t>
      </w:r>
      <w:r>
        <w:rPr>
          <w:rFonts w:hint="eastAsia" w:cs="宋体" w:asciiTheme="majorEastAsia" w:hAnsiTheme="majorEastAsia" w:eastAsiaTheme="majorEastAsia"/>
          <w:b/>
          <w:bCs/>
          <w:color w:val="auto"/>
          <w:sz w:val="22"/>
          <w:szCs w:val="22"/>
          <w:highlight w:val="none"/>
        </w:rPr>
        <w:t>提供的《残疾人福利性单位声明函》与事实不符的，依照《政府采购法》第七十七条第一款的规定追究法律责任。</w:t>
      </w:r>
    </w:p>
    <w:p w14:paraId="653069FF">
      <w:pPr>
        <w:spacing w:line="360" w:lineRule="auto"/>
        <w:outlineLvl w:val="0"/>
        <w:rPr>
          <w:rFonts w:cs="宋体" w:asciiTheme="majorEastAsia" w:hAnsiTheme="majorEastAsia" w:eastAsiaTheme="majorEastAsia"/>
          <w:b/>
          <w:bCs/>
          <w:color w:val="auto"/>
          <w:sz w:val="28"/>
          <w:szCs w:val="28"/>
          <w:highlight w:val="none"/>
        </w:rPr>
      </w:pPr>
    </w:p>
    <w:p w14:paraId="30495AC6">
      <w:pPr>
        <w:pStyle w:val="40"/>
        <w:rPr>
          <w:rFonts w:cs="宋体" w:asciiTheme="majorEastAsia" w:hAnsiTheme="majorEastAsia" w:eastAsiaTheme="majorEastAsia"/>
          <w:color w:val="auto"/>
          <w:sz w:val="30"/>
          <w:szCs w:val="30"/>
          <w:highlight w:val="none"/>
        </w:rPr>
      </w:pPr>
    </w:p>
    <w:p w14:paraId="3122D66A">
      <w:pPr>
        <w:widowControl/>
        <w:jc w:val="left"/>
        <w:rPr>
          <w:rFonts w:cs="新宋体" w:asciiTheme="majorEastAsia" w:hAnsiTheme="majorEastAsia" w:eastAsiaTheme="majorEastAsia"/>
          <w:b/>
          <w:bCs/>
          <w:color w:val="auto"/>
          <w:sz w:val="30"/>
          <w:szCs w:val="30"/>
          <w:highlight w:val="none"/>
        </w:rPr>
      </w:pPr>
      <w:r>
        <w:rPr>
          <w:rFonts w:cs="新宋体" w:asciiTheme="majorEastAsia" w:hAnsiTheme="majorEastAsia" w:eastAsiaTheme="majorEastAsia"/>
          <w:color w:val="auto"/>
          <w:sz w:val="30"/>
          <w:szCs w:val="30"/>
          <w:highlight w:val="none"/>
        </w:rPr>
        <w:br w:type="page"/>
      </w:r>
    </w:p>
    <w:p w14:paraId="7F80708D">
      <w:pPr>
        <w:spacing w:line="360" w:lineRule="auto"/>
        <w:jc w:val="center"/>
        <w:outlineLvl w:val="0"/>
        <w:rPr>
          <w:b/>
          <w:color w:val="auto"/>
          <w:sz w:val="36"/>
          <w:szCs w:val="36"/>
          <w:highlight w:val="none"/>
        </w:rPr>
      </w:pPr>
      <w:bookmarkStart w:id="291" w:name="_Toc23974"/>
      <w:r>
        <w:rPr>
          <w:rFonts w:hint="eastAsia" w:cs="新宋体" w:asciiTheme="majorEastAsia" w:hAnsiTheme="majorEastAsia" w:eastAsiaTheme="majorEastAsia"/>
          <w:color w:val="auto"/>
          <w:sz w:val="30"/>
          <w:szCs w:val="30"/>
          <w:highlight w:val="none"/>
        </w:rPr>
        <w:t xml:space="preserve">第五部分  </w:t>
      </w:r>
      <w:bookmarkEnd w:id="285"/>
      <w:bookmarkEnd w:id="286"/>
      <w:r>
        <w:rPr>
          <w:rFonts w:hint="eastAsia" w:cs="新宋体" w:asciiTheme="majorEastAsia" w:hAnsiTheme="majorEastAsia" w:eastAsiaTheme="majorEastAsia"/>
          <w:color w:val="auto"/>
          <w:sz w:val="30"/>
          <w:szCs w:val="30"/>
          <w:highlight w:val="none"/>
        </w:rPr>
        <w:t>合同格式（参考格式）</w:t>
      </w:r>
      <w:bookmarkEnd w:id="291"/>
      <w:r>
        <w:rPr>
          <w:rFonts w:hint="eastAsia" w:cs="新宋体" w:asciiTheme="majorEastAsia" w:hAnsiTheme="majorEastAsia" w:eastAsiaTheme="majorEastAsia"/>
          <w:color w:val="auto"/>
          <w:sz w:val="30"/>
          <w:szCs w:val="30"/>
          <w:highlight w:val="none"/>
        </w:rPr>
        <w:t xml:space="preserve">  </w:t>
      </w:r>
    </w:p>
    <w:p w14:paraId="152E840D">
      <w:pPr>
        <w:pStyle w:val="40"/>
        <w:rPr>
          <w:rFonts w:ascii="宋体" w:hAnsi="宋体"/>
          <w:color w:val="auto"/>
          <w:highlight w:val="none"/>
        </w:rPr>
      </w:pPr>
      <w:bookmarkStart w:id="292" w:name="_Toc57361267"/>
      <w:bookmarkStart w:id="293" w:name="_Toc496116263"/>
      <w:bookmarkStart w:id="294" w:name="_Toc498343172"/>
      <w:bookmarkStart w:id="295" w:name="_Toc293038721"/>
      <w:r>
        <w:rPr>
          <w:rFonts w:hint="eastAsia" w:ascii="宋体" w:hAnsi="宋体"/>
          <w:b w:val="0"/>
          <w:color w:val="auto"/>
          <w:sz w:val="22"/>
          <w:szCs w:val="22"/>
          <w:highlight w:val="none"/>
        </w:rPr>
        <w:t>合同编号  ：</w:t>
      </w:r>
      <w:bookmarkEnd w:id="292"/>
    </w:p>
    <w:p w14:paraId="527319CA">
      <w:pPr>
        <w:rPr>
          <w:rFonts w:ascii="宋体" w:cs="Arial"/>
          <w:color w:val="auto"/>
          <w:sz w:val="36"/>
          <w:highlight w:val="none"/>
        </w:rPr>
      </w:pPr>
    </w:p>
    <w:p w14:paraId="10E4B7C1">
      <w:pPr>
        <w:spacing w:line="440" w:lineRule="exact"/>
        <w:ind w:firstLine="440" w:firstLineChars="200"/>
        <w:rPr>
          <w:rFonts w:ascii="宋体" w:cs="新宋体"/>
          <w:color w:val="auto"/>
          <w:sz w:val="22"/>
          <w:szCs w:val="22"/>
          <w:highlight w:val="none"/>
        </w:rPr>
      </w:pPr>
      <w:r>
        <w:rPr>
          <w:rFonts w:hint="eastAsia" w:ascii="宋体" w:cs="新宋体"/>
          <w:color w:val="auto"/>
          <w:sz w:val="22"/>
          <w:szCs w:val="22"/>
          <w:highlight w:val="none"/>
        </w:rPr>
        <w:t>说明：如甲、乙双方同意，合同格式也可以按照其他形式。但合同条款的基本内容应与《中标合同》要求的内容相一致。</w:t>
      </w:r>
    </w:p>
    <w:p w14:paraId="77413A0F">
      <w:pPr>
        <w:rPr>
          <w:rFonts w:ascii="宋体" w:cs="新宋体"/>
          <w:color w:val="auto"/>
          <w:highlight w:val="none"/>
        </w:rPr>
      </w:pPr>
    </w:p>
    <w:p w14:paraId="48382A75">
      <w:pPr>
        <w:autoSpaceDE w:val="0"/>
        <w:autoSpaceDN w:val="0"/>
        <w:spacing w:line="440" w:lineRule="exact"/>
        <w:jc w:val="center"/>
        <w:textAlignment w:val="bottom"/>
        <w:rPr>
          <w:rFonts w:ascii="宋体" w:cs="新宋体"/>
          <w:color w:val="auto"/>
          <w:sz w:val="44"/>
          <w:highlight w:val="none"/>
        </w:rPr>
      </w:pPr>
    </w:p>
    <w:p w14:paraId="1E1D6B61">
      <w:pPr>
        <w:autoSpaceDE w:val="0"/>
        <w:autoSpaceDN w:val="0"/>
        <w:spacing w:line="500" w:lineRule="atLeast"/>
        <w:jc w:val="center"/>
        <w:textAlignment w:val="bottom"/>
        <w:rPr>
          <w:rFonts w:ascii="宋体" w:cs="新宋体"/>
          <w:color w:val="auto"/>
          <w:sz w:val="24"/>
          <w:highlight w:val="none"/>
        </w:rPr>
      </w:pPr>
      <w:r>
        <w:rPr>
          <w:rFonts w:hint="eastAsia" w:ascii="宋体" w:cs="新宋体"/>
          <w:color w:val="auto"/>
          <w:sz w:val="24"/>
          <w:highlight w:val="none"/>
        </w:rPr>
        <w:t>中标合同</w:t>
      </w:r>
    </w:p>
    <w:p w14:paraId="61E2A4BA">
      <w:pPr>
        <w:autoSpaceDE w:val="0"/>
        <w:autoSpaceDN w:val="0"/>
        <w:spacing w:line="500" w:lineRule="atLeast"/>
        <w:jc w:val="center"/>
        <w:textAlignment w:val="bottom"/>
        <w:rPr>
          <w:rFonts w:ascii="宋体" w:cs="新宋体"/>
          <w:color w:val="auto"/>
          <w:sz w:val="24"/>
          <w:highlight w:val="none"/>
        </w:rPr>
      </w:pPr>
    </w:p>
    <w:p w14:paraId="52E9065E">
      <w:pPr>
        <w:autoSpaceDE w:val="0"/>
        <w:autoSpaceDN w:val="0"/>
        <w:spacing w:line="580" w:lineRule="atLeast"/>
        <w:textAlignment w:val="bottom"/>
        <w:rPr>
          <w:rFonts w:ascii="宋体" w:cs="新宋体"/>
          <w:color w:val="auto"/>
          <w:sz w:val="24"/>
          <w:highlight w:val="none"/>
        </w:rPr>
      </w:pP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项目名称：</w:t>
      </w:r>
      <w:r>
        <w:rPr>
          <w:rFonts w:hint="eastAsia" w:ascii="宋体" w:cs="新宋体"/>
          <w:color w:val="auto"/>
          <w:sz w:val="24"/>
          <w:highlight w:val="none"/>
          <w:u w:val="single"/>
        </w:rPr>
        <w:t xml:space="preserve">                      </w:t>
      </w:r>
    </w:p>
    <w:p w14:paraId="7D47D85F">
      <w:pPr>
        <w:autoSpaceDE w:val="0"/>
        <w:autoSpaceDN w:val="0"/>
        <w:spacing w:line="580" w:lineRule="atLeast"/>
        <w:textAlignment w:val="bottom"/>
        <w:rPr>
          <w:rFonts w:ascii="宋体" w:cs="新宋体"/>
          <w:color w:val="auto"/>
          <w:sz w:val="24"/>
          <w:highlight w:val="none"/>
        </w:rPr>
      </w:pP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合同编号：</w:t>
      </w:r>
      <w:r>
        <w:rPr>
          <w:rFonts w:hint="eastAsia" w:ascii="宋体" w:cs="新宋体"/>
          <w:color w:val="auto"/>
          <w:sz w:val="24"/>
          <w:highlight w:val="none"/>
          <w:u w:val="single"/>
        </w:rPr>
        <w:t xml:space="preserve">                      </w:t>
      </w:r>
    </w:p>
    <w:p w14:paraId="5C55587B">
      <w:pPr>
        <w:autoSpaceDE w:val="0"/>
        <w:autoSpaceDN w:val="0"/>
        <w:spacing w:line="580" w:lineRule="atLeast"/>
        <w:textAlignment w:val="bottom"/>
        <w:rPr>
          <w:rFonts w:ascii="宋体" w:cs="新宋体"/>
          <w:color w:val="auto"/>
          <w:sz w:val="24"/>
          <w:highlight w:val="none"/>
        </w:rPr>
      </w:pPr>
    </w:p>
    <w:p w14:paraId="46BF06DF">
      <w:pPr>
        <w:autoSpaceDE w:val="0"/>
        <w:autoSpaceDN w:val="0"/>
        <w:spacing w:line="580" w:lineRule="atLeast"/>
        <w:textAlignment w:val="bottom"/>
        <w:rPr>
          <w:rFonts w:ascii="宋体" w:cs="新宋体"/>
          <w:color w:val="auto"/>
          <w:sz w:val="24"/>
          <w:highlight w:val="none"/>
        </w:rPr>
      </w:pPr>
    </w:p>
    <w:p w14:paraId="3D9A3678">
      <w:pPr>
        <w:autoSpaceDE w:val="0"/>
        <w:autoSpaceDN w:val="0"/>
        <w:spacing w:line="580" w:lineRule="atLeast"/>
        <w:textAlignment w:val="bottom"/>
        <w:rPr>
          <w:rFonts w:ascii="宋体" w:cs="新宋体"/>
          <w:color w:val="auto"/>
          <w:sz w:val="24"/>
          <w:highlight w:val="none"/>
        </w:rPr>
      </w:pPr>
    </w:p>
    <w:p w14:paraId="47D65378">
      <w:pPr>
        <w:autoSpaceDE w:val="0"/>
        <w:autoSpaceDN w:val="0"/>
        <w:spacing w:line="580" w:lineRule="atLeast"/>
        <w:textAlignment w:val="bottom"/>
        <w:rPr>
          <w:rFonts w:ascii="宋体" w:cs="新宋体"/>
          <w:color w:val="auto"/>
          <w:sz w:val="24"/>
          <w:highlight w:val="none"/>
        </w:rPr>
      </w:pPr>
    </w:p>
    <w:p w14:paraId="39441443">
      <w:pPr>
        <w:autoSpaceDE w:val="0"/>
        <w:autoSpaceDN w:val="0"/>
        <w:spacing w:line="580" w:lineRule="atLeast"/>
        <w:textAlignment w:val="bottom"/>
        <w:rPr>
          <w:rFonts w:ascii="宋体" w:cs="新宋体"/>
          <w:color w:val="auto"/>
          <w:sz w:val="24"/>
          <w:highlight w:val="none"/>
          <w:u w:val="single"/>
        </w:rPr>
      </w:pP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甲    方：</w:t>
      </w:r>
      <w:r>
        <w:rPr>
          <w:rFonts w:hint="eastAsia" w:ascii="宋体" w:cs="新宋体"/>
          <w:color w:val="auto"/>
          <w:sz w:val="24"/>
          <w:highlight w:val="none"/>
          <w:u w:val="single"/>
        </w:rPr>
        <w:t xml:space="preserve">                      </w:t>
      </w:r>
    </w:p>
    <w:p w14:paraId="451177EC">
      <w:pPr>
        <w:autoSpaceDE w:val="0"/>
        <w:autoSpaceDN w:val="0"/>
        <w:spacing w:line="580" w:lineRule="atLeast"/>
        <w:textAlignment w:val="bottom"/>
        <w:rPr>
          <w:rFonts w:hint="eastAsia" w:ascii="宋体" w:cs="新宋体"/>
          <w:color w:val="auto"/>
          <w:sz w:val="24"/>
          <w:highlight w:val="none"/>
          <w:u w:val="single"/>
        </w:rPr>
      </w:pP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乙    方：</w:t>
      </w:r>
      <w:r>
        <w:rPr>
          <w:rFonts w:hint="eastAsia" w:ascii="宋体" w:cs="新宋体"/>
          <w:color w:val="auto"/>
          <w:sz w:val="24"/>
          <w:highlight w:val="none"/>
          <w:u w:val="single"/>
        </w:rPr>
        <w:t xml:space="preserve">                      </w:t>
      </w:r>
    </w:p>
    <w:p w14:paraId="62B0584C">
      <w:pPr>
        <w:autoSpaceDE w:val="0"/>
        <w:autoSpaceDN w:val="0"/>
        <w:spacing w:line="580" w:lineRule="atLeast"/>
        <w:ind w:firstLine="1680" w:firstLineChars="700"/>
        <w:textAlignment w:val="bottom"/>
        <w:rPr>
          <w:rFonts w:hint="eastAsia" w:ascii="宋体" w:cs="新宋体"/>
          <w:color w:val="auto"/>
          <w:sz w:val="24"/>
          <w:highlight w:val="none"/>
          <w:u w:val="single"/>
        </w:rPr>
      </w:pPr>
      <w:r>
        <w:rPr>
          <w:rFonts w:hint="eastAsia" w:ascii="宋体" w:hAnsi="Times New Roman" w:eastAsia="宋体" w:cs="新宋体"/>
          <w:color w:val="auto"/>
          <w:sz w:val="24"/>
          <w:highlight w:val="none"/>
          <w:lang w:val="en-US" w:eastAsia="zh-CN"/>
        </w:rPr>
        <w:t>丙</w:t>
      </w:r>
      <w:r>
        <w:rPr>
          <w:rFonts w:hint="eastAsia" w:ascii="宋体" w:hAnsi="Times New Roman" w:eastAsia="宋体" w:cs="新宋体"/>
          <w:color w:val="auto"/>
          <w:sz w:val="24"/>
          <w:highlight w:val="none"/>
        </w:rPr>
        <w:t xml:space="preserve">    </w:t>
      </w:r>
      <w:r>
        <w:rPr>
          <w:rFonts w:hint="eastAsia" w:ascii="宋体" w:cs="新宋体"/>
          <w:color w:val="auto"/>
          <w:sz w:val="24"/>
          <w:highlight w:val="none"/>
        </w:rPr>
        <w:t>方：</w:t>
      </w:r>
      <w:r>
        <w:rPr>
          <w:rFonts w:hint="eastAsia" w:ascii="宋体" w:cs="新宋体"/>
          <w:color w:val="auto"/>
          <w:sz w:val="24"/>
          <w:highlight w:val="none"/>
          <w:u w:val="single"/>
        </w:rPr>
        <w:t xml:space="preserve">                      </w:t>
      </w:r>
    </w:p>
    <w:p w14:paraId="74A7C1A6">
      <w:pPr>
        <w:spacing w:line="460" w:lineRule="exact"/>
        <w:rPr>
          <w:rFonts w:ascii="宋体" w:cs="新宋体"/>
          <w:color w:val="auto"/>
          <w:sz w:val="24"/>
          <w:highlight w:val="none"/>
          <w:u w:val="single"/>
        </w:rPr>
      </w:pP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ab/>
      </w:r>
      <w:r>
        <w:rPr>
          <w:rFonts w:hint="eastAsia" w:ascii="宋体" w:cs="新宋体"/>
          <w:color w:val="auto"/>
          <w:sz w:val="24"/>
          <w:highlight w:val="none"/>
        </w:rPr>
        <w:t>签署日期：</w:t>
      </w:r>
      <w:r>
        <w:rPr>
          <w:rFonts w:hint="eastAsia" w:ascii="宋体" w:cs="新宋体"/>
          <w:color w:val="auto"/>
          <w:sz w:val="24"/>
          <w:highlight w:val="none"/>
          <w:u w:val="single"/>
        </w:rPr>
        <w:t xml:space="preserve">                      </w:t>
      </w:r>
    </w:p>
    <w:p w14:paraId="51697CB8">
      <w:pPr>
        <w:spacing w:line="360" w:lineRule="exact"/>
        <w:rPr>
          <w:rFonts w:ascii="宋体" w:cs="新宋体"/>
          <w:color w:val="auto"/>
          <w:sz w:val="32"/>
          <w:highlight w:val="none"/>
        </w:rPr>
      </w:pPr>
    </w:p>
    <w:p w14:paraId="1E934FA8">
      <w:pPr>
        <w:spacing w:line="430" w:lineRule="atLeast"/>
        <w:rPr>
          <w:rFonts w:ascii="宋体"/>
          <w:color w:val="auto"/>
          <w:sz w:val="22"/>
          <w:szCs w:val="22"/>
          <w:highlight w:val="none"/>
        </w:rPr>
      </w:pPr>
      <w:r>
        <w:rPr>
          <w:rFonts w:hint="eastAsia" w:ascii="宋体"/>
          <w:color w:val="auto"/>
          <w:sz w:val="22"/>
          <w:szCs w:val="22"/>
          <w:highlight w:val="none"/>
        </w:rPr>
        <w:t xml:space="preserve">  </w:t>
      </w:r>
    </w:p>
    <w:p w14:paraId="487BBF13">
      <w:pPr>
        <w:spacing w:line="430" w:lineRule="atLeast"/>
        <w:rPr>
          <w:rFonts w:ascii="宋体"/>
          <w:color w:val="auto"/>
          <w:sz w:val="22"/>
          <w:szCs w:val="22"/>
          <w:highlight w:val="none"/>
          <w:u w:val="single"/>
        </w:rPr>
      </w:pPr>
      <w:r>
        <w:rPr>
          <w:rFonts w:hint="eastAsia" w:ascii="宋体"/>
          <w:color w:val="auto"/>
          <w:sz w:val="22"/>
          <w:szCs w:val="22"/>
          <w:highlight w:val="none"/>
        </w:rPr>
        <w:t xml:space="preserve">  </w:t>
      </w:r>
    </w:p>
    <w:p w14:paraId="6391A6BB">
      <w:pPr>
        <w:pStyle w:val="25"/>
        <w:jc w:val="center"/>
        <w:outlineLvl w:val="0"/>
        <w:rPr>
          <w:rFonts w:hAnsi="宋体"/>
          <w:color w:val="auto"/>
          <w:sz w:val="44"/>
          <w:highlight w:val="none"/>
        </w:rPr>
      </w:pPr>
    </w:p>
    <w:p w14:paraId="55FAE48B">
      <w:pPr>
        <w:pStyle w:val="40"/>
        <w:rPr>
          <w:rFonts w:ascii="宋体" w:hAnsi="宋体"/>
          <w:b w:val="0"/>
          <w:color w:val="auto"/>
          <w:highlight w:val="none"/>
        </w:rPr>
      </w:pPr>
    </w:p>
    <w:p w14:paraId="514F6B24">
      <w:pPr>
        <w:pStyle w:val="40"/>
        <w:rPr>
          <w:rFonts w:ascii="宋体" w:hAnsi="宋体"/>
          <w:b w:val="0"/>
          <w:color w:val="auto"/>
          <w:highlight w:val="none"/>
        </w:rPr>
      </w:pPr>
    </w:p>
    <w:p w14:paraId="07E066DE">
      <w:pPr>
        <w:pStyle w:val="40"/>
        <w:rPr>
          <w:rFonts w:ascii="宋体" w:hAnsi="宋体"/>
          <w:color w:val="auto"/>
          <w:highlight w:val="none"/>
        </w:rPr>
      </w:pPr>
      <w:bookmarkStart w:id="296" w:name="_Toc21593500"/>
      <w:bookmarkStart w:id="297" w:name="_Toc21593329"/>
      <w:r>
        <w:rPr>
          <w:rFonts w:ascii="宋体" w:hAnsi="宋体"/>
          <w:b w:val="0"/>
          <w:color w:val="auto"/>
          <w:highlight w:val="none"/>
        </w:rPr>
        <w:br w:type="page"/>
      </w:r>
      <w:bookmarkStart w:id="298" w:name="_Toc22892521"/>
      <w:bookmarkStart w:id="299" w:name="_Toc57361268"/>
      <w:r>
        <w:rPr>
          <w:rFonts w:hint="eastAsia" w:ascii="宋体" w:hAnsi="宋体"/>
          <w:color w:val="auto"/>
          <w:highlight w:val="none"/>
        </w:rPr>
        <w:t>合同主要条款</w:t>
      </w:r>
      <w:bookmarkEnd w:id="296"/>
      <w:bookmarkEnd w:id="297"/>
      <w:bookmarkEnd w:id="298"/>
      <w:bookmarkEnd w:id="299"/>
    </w:p>
    <w:p w14:paraId="65C3FFA3">
      <w:pPr>
        <w:spacing w:line="440" w:lineRule="exact"/>
        <w:rPr>
          <w:rFonts w:hint="eastAsia" w:ascii="宋体"/>
          <w:color w:val="auto"/>
          <w:sz w:val="22"/>
          <w:szCs w:val="22"/>
          <w:highlight w:val="none"/>
        </w:rPr>
      </w:pPr>
      <w:r>
        <w:rPr>
          <w:rFonts w:hint="eastAsia" w:ascii="宋体"/>
          <w:color w:val="auto"/>
          <w:sz w:val="22"/>
          <w:szCs w:val="22"/>
          <w:highlight w:val="none"/>
        </w:rPr>
        <w:t>采购人</w:t>
      </w:r>
      <w:r>
        <w:rPr>
          <w:rFonts w:hint="eastAsia" w:ascii="宋体"/>
          <w:color w:val="auto"/>
          <w:sz w:val="22"/>
          <w:szCs w:val="22"/>
          <w:highlight w:val="none"/>
          <w:lang w:val="en-US" w:eastAsia="zh-CN"/>
        </w:rPr>
        <w:t>一</w:t>
      </w:r>
      <w:r>
        <w:rPr>
          <w:rFonts w:hint="eastAsia" w:ascii="宋体"/>
          <w:color w:val="auto"/>
          <w:sz w:val="22"/>
          <w:szCs w:val="22"/>
          <w:highlight w:val="none"/>
        </w:rPr>
        <w:t>：（以下简称甲方）：</w:t>
      </w:r>
    </w:p>
    <w:p w14:paraId="60A27E50">
      <w:pPr>
        <w:spacing w:line="440" w:lineRule="exact"/>
        <w:rPr>
          <w:rFonts w:hint="eastAsia" w:ascii="宋体"/>
          <w:color w:val="auto"/>
          <w:sz w:val="22"/>
          <w:szCs w:val="22"/>
          <w:highlight w:val="none"/>
          <w:lang w:val="en-US" w:eastAsia="zh-CN"/>
        </w:rPr>
      </w:pPr>
      <w:r>
        <w:rPr>
          <w:rFonts w:hint="eastAsia" w:ascii="宋体"/>
          <w:color w:val="auto"/>
          <w:sz w:val="22"/>
          <w:szCs w:val="22"/>
          <w:highlight w:val="none"/>
          <w:lang w:val="en-US" w:eastAsia="zh-CN"/>
        </w:rPr>
        <w:t>采购人二：</w:t>
      </w:r>
      <w:r>
        <w:rPr>
          <w:rFonts w:hint="eastAsia" w:ascii="宋体"/>
          <w:color w:val="auto"/>
          <w:sz w:val="22"/>
          <w:szCs w:val="22"/>
          <w:highlight w:val="none"/>
        </w:rPr>
        <w:t>（以下简称</w:t>
      </w:r>
      <w:r>
        <w:rPr>
          <w:rFonts w:hint="eastAsia" w:ascii="宋体"/>
          <w:color w:val="auto"/>
          <w:sz w:val="22"/>
          <w:szCs w:val="22"/>
          <w:highlight w:val="none"/>
          <w:lang w:val="en-US" w:eastAsia="zh-CN"/>
        </w:rPr>
        <w:t>乙方</w:t>
      </w:r>
      <w:r>
        <w:rPr>
          <w:rFonts w:hint="eastAsia" w:ascii="宋体"/>
          <w:color w:val="auto"/>
          <w:sz w:val="22"/>
          <w:szCs w:val="22"/>
          <w:highlight w:val="none"/>
        </w:rPr>
        <w:t>）</w:t>
      </w:r>
      <w:r>
        <w:rPr>
          <w:rFonts w:hint="eastAsia" w:ascii="宋体"/>
          <w:color w:val="auto"/>
          <w:sz w:val="22"/>
          <w:szCs w:val="22"/>
          <w:highlight w:val="none"/>
          <w:lang w:eastAsia="zh-CN"/>
        </w:rPr>
        <w:t>：</w:t>
      </w:r>
    </w:p>
    <w:p w14:paraId="12442207">
      <w:pPr>
        <w:spacing w:line="440" w:lineRule="exact"/>
        <w:rPr>
          <w:rFonts w:hint="eastAsia" w:ascii="宋体"/>
          <w:color w:val="auto"/>
          <w:sz w:val="22"/>
          <w:szCs w:val="22"/>
          <w:highlight w:val="none"/>
        </w:rPr>
      </w:pPr>
      <w:r>
        <w:rPr>
          <w:rFonts w:hint="eastAsia" w:ascii="宋体"/>
          <w:color w:val="auto"/>
          <w:sz w:val="22"/>
          <w:szCs w:val="22"/>
          <w:highlight w:val="none"/>
        </w:rPr>
        <w:t>中标供应商：（以下简称</w:t>
      </w:r>
      <w:r>
        <w:rPr>
          <w:rFonts w:hint="eastAsia" w:ascii="宋体"/>
          <w:color w:val="auto"/>
          <w:sz w:val="22"/>
          <w:szCs w:val="22"/>
          <w:highlight w:val="none"/>
          <w:lang w:val="en-US" w:eastAsia="zh-CN"/>
        </w:rPr>
        <w:t>丙方</w:t>
      </w:r>
      <w:r>
        <w:rPr>
          <w:rFonts w:hint="eastAsia" w:ascii="宋体"/>
          <w:color w:val="auto"/>
          <w:sz w:val="22"/>
          <w:szCs w:val="22"/>
          <w:highlight w:val="none"/>
        </w:rPr>
        <w:t xml:space="preserve">）：  </w:t>
      </w:r>
    </w:p>
    <w:p w14:paraId="3315F2A3">
      <w:pPr>
        <w:pStyle w:val="17"/>
        <w:rPr>
          <w:color w:val="auto"/>
          <w:highlight w:val="none"/>
        </w:rPr>
      </w:pPr>
    </w:p>
    <w:p w14:paraId="64D2D00A">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根据</w:t>
      </w:r>
      <w:r>
        <w:rPr>
          <w:rFonts w:hint="eastAsia" w:ascii="宋体"/>
          <w:color w:val="auto"/>
          <w:sz w:val="22"/>
          <w:szCs w:val="22"/>
          <w:highlight w:val="none"/>
          <w:u w:val="single"/>
        </w:rPr>
        <w:t xml:space="preserve">  （项目名称）  </w:t>
      </w:r>
      <w:r>
        <w:rPr>
          <w:rFonts w:hint="eastAsia" w:ascii="宋体"/>
          <w:color w:val="auto"/>
          <w:sz w:val="22"/>
          <w:szCs w:val="22"/>
          <w:highlight w:val="none"/>
        </w:rPr>
        <w:t>（项目编号：（项目编号））的采购结果，按照《中华人民共和国政府采购法》及其实施条例、87号令、《中华人民共和国民法典》的规定，</w:t>
      </w:r>
      <w:r>
        <w:rPr>
          <w:rFonts w:hint="eastAsia" w:ascii="宋体"/>
          <w:color w:val="auto"/>
          <w:kern w:val="28"/>
          <w:sz w:val="22"/>
          <w:szCs w:val="22"/>
          <w:highlight w:val="none"/>
        </w:rPr>
        <w:t>经</w:t>
      </w:r>
      <w:r>
        <w:rPr>
          <w:rFonts w:hint="eastAsia" w:ascii="宋体"/>
          <w:color w:val="auto"/>
          <w:kern w:val="28"/>
          <w:sz w:val="22"/>
          <w:szCs w:val="22"/>
          <w:highlight w:val="none"/>
          <w:lang w:val="en-US" w:eastAsia="zh-CN"/>
        </w:rPr>
        <w:t>三</w:t>
      </w:r>
      <w:r>
        <w:rPr>
          <w:rFonts w:hint="eastAsia" w:ascii="宋体"/>
          <w:color w:val="auto"/>
          <w:kern w:val="28"/>
          <w:sz w:val="22"/>
          <w:szCs w:val="22"/>
          <w:highlight w:val="none"/>
        </w:rPr>
        <w:t>方协商，</w:t>
      </w:r>
      <w:r>
        <w:rPr>
          <w:rFonts w:hint="eastAsia" w:ascii="宋体"/>
          <w:color w:val="auto"/>
          <w:sz w:val="22"/>
          <w:szCs w:val="22"/>
          <w:highlight w:val="none"/>
        </w:rPr>
        <w:t>本着平等互利和诚实信用的原则，</w:t>
      </w:r>
      <w:r>
        <w:rPr>
          <w:rFonts w:hint="eastAsia" w:ascii="宋体"/>
          <w:color w:val="auto"/>
          <w:kern w:val="28"/>
          <w:sz w:val="22"/>
          <w:szCs w:val="22"/>
          <w:highlight w:val="none"/>
        </w:rPr>
        <w:t>一致同意签订本合同如下</w:t>
      </w:r>
      <w:r>
        <w:rPr>
          <w:rFonts w:hint="eastAsia" w:ascii="宋体"/>
          <w:color w:val="auto"/>
          <w:sz w:val="22"/>
          <w:szCs w:val="22"/>
          <w:highlight w:val="none"/>
        </w:rPr>
        <w:t>。</w:t>
      </w:r>
    </w:p>
    <w:p w14:paraId="5973B676">
      <w:pPr>
        <w:rPr>
          <w:rFonts w:ascii="宋体"/>
          <w:color w:val="auto"/>
          <w:sz w:val="22"/>
          <w:szCs w:val="22"/>
          <w:highlight w:val="none"/>
        </w:rPr>
      </w:pPr>
      <w:r>
        <w:rPr>
          <w:rFonts w:hint="eastAsia" w:ascii="宋体"/>
          <w:color w:val="auto"/>
          <w:sz w:val="22"/>
          <w:szCs w:val="22"/>
          <w:highlight w:val="none"/>
        </w:rPr>
        <w:t>一、</w:t>
      </w:r>
      <w:bookmarkStart w:id="300" w:name="_Toc435540759"/>
      <w:r>
        <w:rPr>
          <w:rFonts w:hint="eastAsia" w:ascii="宋体"/>
          <w:color w:val="auto"/>
          <w:sz w:val="22"/>
          <w:szCs w:val="22"/>
          <w:highlight w:val="none"/>
        </w:rPr>
        <w:t>合同金额</w:t>
      </w:r>
      <w:bookmarkEnd w:id="300"/>
    </w:p>
    <w:p w14:paraId="14FC07FF">
      <w:pPr>
        <w:pStyle w:val="25"/>
        <w:spacing w:before="120" w:after="120" w:line="360" w:lineRule="auto"/>
        <w:ind w:firstLine="440" w:firstLineChars="200"/>
        <w:rPr>
          <w:rFonts w:hint="eastAsia" w:hAnsi="宋体"/>
          <w:color w:val="auto"/>
          <w:sz w:val="22"/>
          <w:szCs w:val="22"/>
          <w:highlight w:val="none"/>
        </w:rPr>
      </w:pPr>
      <w:r>
        <w:rPr>
          <w:rFonts w:hint="eastAsia" w:hAnsi="宋体"/>
          <w:color w:val="auto"/>
          <w:sz w:val="22"/>
          <w:szCs w:val="22"/>
          <w:highlight w:val="none"/>
        </w:rPr>
        <w:t>合同</w:t>
      </w:r>
      <w:r>
        <w:rPr>
          <w:rFonts w:hint="eastAsia" w:hAnsi="宋体"/>
          <w:color w:val="auto"/>
          <w:sz w:val="22"/>
          <w:szCs w:val="22"/>
          <w:highlight w:val="none"/>
          <w:lang w:val="en-US" w:eastAsia="zh-CN"/>
        </w:rPr>
        <w:t>总</w:t>
      </w:r>
      <w:r>
        <w:rPr>
          <w:rFonts w:hint="eastAsia" w:hAnsi="宋体"/>
          <w:color w:val="auto"/>
          <w:sz w:val="22"/>
          <w:szCs w:val="22"/>
          <w:highlight w:val="none"/>
        </w:rPr>
        <w:t>金额为（大写）：_________________元（￥_______________元）。</w:t>
      </w:r>
    </w:p>
    <w:p w14:paraId="58878AB7">
      <w:pPr>
        <w:pStyle w:val="25"/>
        <w:spacing w:before="120" w:after="120" w:line="360" w:lineRule="auto"/>
        <w:ind w:firstLine="440" w:firstLineChars="200"/>
        <w:rPr>
          <w:rFonts w:hint="eastAsia" w:hAnsi="宋体"/>
          <w:color w:val="auto"/>
          <w:sz w:val="22"/>
          <w:szCs w:val="22"/>
          <w:highlight w:val="none"/>
          <w:lang w:val="en-US" w:eastAsia="zh-CN"/>
        </w:rPr>
      </w:pPr>
      <w:r>
        <w:rPr>
          <w:rFonts w:hint="eastAsia" w:hAnsi="宋体"/>
          <w:color w:val="auto"/>
          <w:sz w:val="22"/>
          <w:szCs w:val="22"/>
          <w:highlight w:val="none"/>
          <w:lang w:val="en-US" w:eastAsia="zh-CN"/>
        </w:rPr>
        <w:t>甲方支付金额为：</w:t>
      </w:r>
    </w:p>
    <w:p w14:paraId="0C93A9D6">
      <w:pPr>
        <w:pStyle w:val="25"/>
        <w:spacing w:before="120" w:after="120" w:line="360" w:lineRule="auto"/>
        <w:ind w:firstLine="440" w:firstLineChars="200"/>
        <w:rPr>
          <w:rFonts w:hint="default" w:hAnsi="宋体"/>
          <w:color w:val="auto"/>
          <w:sz w:val="22"/>
          <w:szCs w:val="22"/>
          <w:highlight w:val="none"/>
          <w:lang w:val="en-US" w:eastAsia="zh-CN"/>
        </w:rPr>
      </w:pPr>
      <w:r>
        <w:rPr>
          <w:rFonts w:hint="eastAsia" w:hAnsi="宋体"/>
          <w:color w:val="auto"/>
          <w:sz w:val="22"/>
          <w:szCs w:val="22"/>
          <w:highlight w:val="none"/>
          <w:lang w:val="en-US" w:eastAsia="zh-CN"/>
        </w:rPr>
        <w:t>乙方支付金额为：</w:t>
      </w:r>
    </w:p>
    <w:p w14:paraId="37F74AFC">
      <w:pPr>
        <w:rPr>
          <w:rFonts w:ascii="宋体"/>
          <w:color w:val="auto"/>
          <w:sz w:val="22"/>
          <w:szCs w:val="22"/>
          <w:highlight w:val="none"/>
        </w:rPr>
      </w:pPr>
      <w:bookmarkStart w:id="301" w:name="_Toc435540760"/>
      <w:r>
        <w:rPr>
          <w:rFonts w:hint="eastAsia" w:ascii="宋体"/>
          <w:color w:val="auto"/>
          <w:sz w:val="22"/>
          <w:szCs w:val="22"/>
          <w:highlight w:val="none"/>
        </w:rPr>
        <w:t>二、服务范围</w:t>
      </w:r>
      <w:bookmarkEnd w:id="301"/>
    </w:p>
    <w:p w14:paraId="0CD8FA22">
      <w:pPr>
        <w:spacing w:line="360" w:lineRule="auto"/>
        <w:rPr>
          <w:rFonts w:ascii="宋体"/>
          <w:color w:val="auto"/>
          <w:sz w:val="22"/>
          <w:szCs w:val="22"/>
          <w:highlight w:val="none"/>
          <w:u w:val="single"/>
        </w:rPr>
      </w:pPr>
      <w:r>
        <w:rPr>
          <w:rFonts w:hint="eastAsia" w:ascii="宋体"/>
          <w:color w:val="auto"/>
          <w:sz w:val="22"/>
          <w:szCs w:val="22"/>
          <w:highlight w:val="none"/>
        </w:rPr>
        <w:t>　　1．本合同项下的服务内容。</w:t>
      </w:r>
    </w:p>
    <w:p w14:paraId="7C42A4C7">
      <w:pPr>
        <w:spacing w:line="360" w:lineRule="auto"/>
        <w:rPr>
          <w:rFonts w:ascii="宋体"/>
          <w:color w:val="auto"/>
          <w:sz w:val="22"/>
          <w:szCs w:val="22"/>
          <w:highlight w:val="none"/>
        </w:rPr>
      </w:pPr>
      <w:r>
        <w:rPr>
          <w:rFonts w:hint="eastAsia" w:ascii="宋体"/>
          <w:color w:val="auto"/>
          <w:sz w:val="22"/>
          <w:szCs w:val="22"/>
          <w:highlight w:val="none"/>
        </w:rPr>
        <w:t>　　2．……</w:t>
      </w:r>
    </w:p>
    <w:p w14:paraId="0BCF3D2B">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3．……</w:t>
      </w:r>
    </w:p>
    <w:p w14:paraId="0550A487">
      <w:pPr>
        <w:spacing w:line="360" w:lineRule="auto"/>
        <w:rPr>
          <w:rFonts w:ascii="宋体"/>
          <w:color w:val="auto"/>
          <w:sz w:val="22"/>
          <w:szCs w:val="22"/>
          <w:highlight w:val="none"/>
        </w:rPr>
      </w:pPr>
      <w:r>
        <w:rPr>
          <w:rFonts w:hint="eastAsia" w:ascii="宋体"/>
          <w:color w:val="auto"/>
          <w:sz w:val="22"/>
          <w:szCs w:val="22"/>
          <w:highlight w:val="none"/>
        </w:rPr>
        <w:t>三、采购需求实质性条款：</w:t>
      </w:r>
    </w:p>
    <w:p w14:paraId="367C4F04">
      <w:pPr>
        <w:spacing w:line="360" w:lineRule="auto"/>
        <w:rPr>
          <w:rFonts w:ascii="宋体"/>
          <w:color w:val="auto"/>
          <w:sz w:val="22"/>
          <w:szCs w:val="22"/>
          <w:highlight w:val="none"/>
        </w:rPr>
      </w:pPr>
      <w:r>
        <w:rPr>
          <w:rFonts w:hint="eastAsia" w:ascii="宋体"/>
          <w:color w:val="auto"/>
          <w:sz w:val="22"/>
          <w:szCs w:val="22"/>
          <w:highlight w:val="none"/>
        </w:rPr>
        <w:t>1、…..</w:t>
      </w:r>
    </w:p>
    <w:p w14:paraId="3BBEC39E">
      <w:pPr>
        <w:spacing w:line="360" w:lineRule="auto"/>
        <w:rPr>
          <w:rFonts w:ascii="宋体"/>
          <w:color w:val="auto"/>
          <w:sz w:val="22"/>
          <w:szCs w:val="22"/>
          <w:highlight w:val="none"/>
        </w:rPr>
      </w:pPr>
      <w:r>
        <w:rPr>
          <w:rFonts w:hint="eastAsia" w:ascii="宋体"/>
          <w:color w:val="auto"/>
          <w:sz w:val="22"/>
          <w:szCs w:val="22"/>
          <w:highlight w:val="none"/>
        </w:rPr>
        <w:t>2、…..</w:t>
      </w:r>
    </w:p>
    <w:p w14:paraId="0549A35B">
      <w:pPr>
        <w:spacing w:line="360" w:lineRule="auto"/>
        <w:rPr>
          <w:rFonts w:ascii="宋体"/>
          <w:color w:val="auto"/>
          <w:sz w:val="22"/>
          <w:szCs w:val="22"/>
          <w:highlight w:val="none"/>
        </w:rPr>
      </w:pPr>
    </w:p>
    <w:p w14:paraId="49289E6B">
      <w:pPr>
        <w:rPr>
          <w:rFonts w:ascii="宋体"/>
          <w:color w:val="auto"/>
          <w:sz w:val="22"/>
          <w:szCs w:val="22"/>
          <w:highlight w:val="none"/>
        </w:rPr>
      </w:pPr>
      <w:bookmarkStart w:id="302" w:name="_Toc435540761"/>
      <w:r>
        <w:rPr>
          <w:rFonts w:hint="eastAsia" w:ascii="宋体"/>
          <w:color w:val="auto"/>
          <w:sz w:val="22"/>
          <w:szCs w:val="22"/>
          <w:highlight w:val="none"/>
        </w:rPr>
        <w:t>四、甲方乙方</w:t>
      </w:r>
      <w:r>
        <w:rPr>
          <w:rFonts w:hint="eastAsia" w:ascii="宋体"/>
          <w:color w:val="auto"/>
          <w:sz w:val="22"/>
          <w:szCs w:val="22"/>
          <w:highlight w:val="none"/>
          <w:lang w:val="en-US" w:eastAsia="zh-CN"/>
        </w:rPr>
        <w:t>丙方</w:t>
      </w:r>
      <w:r>
        <w:rPr>
          <w:rFonts w:hint="eastAsia" w:ascii="宋体"/>
          <w:color w:val="auto"/>
          <w:sz w:val="22"/>
          <w:szCs w:val="22"/>
          <w:highlight w:val="none"/>
        </w:rPr>
        <w:t>的权利和义务</w:t>
      </w:r>
      <w:bookmarkEnd w:id="302"/>
    </w:p>
    <w:p w14:paraId="6EA524EB">
      <w:pPr>
        <w:spacing w:line="360" w:lineRule="auto"/>
        <w:rPr>
          <w:rFonts w:hint="eastAsia" w:ascii="宋体" w:eastAsia="宋体"/>
          <w:color w:val="auto"/>
          <w:sz w:val="22"/>
          <w:szCs w:val="22"/>
          <w:highlight w:val="none"/>
          <w:lang w:eastAsia="zh-CN"/>
        </w:rPr>
      </w:pPr>
      <w:r>
        <w:rPr>
          <w:rFonts w:hint="eastAsia" w:ascii="宋体"/>
          <w:color w:val="auto"/>
          <w:sz w:val="22"/>
          <w:szCs w:val="22"/>
          <w:highlight w:val="none"/>
        </w:rPr>
        <w:t>　　（一）甲方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的权利和义务</w:t>
      </w:r>
      <w:r>
        <w:rPr>
          <w:rFonts w:hint="eastAsia" w:ascii="宋体"/>
          <w:color w:val="auto"/>
          <w:sz w:val="22"/>
          <w:szCs w:val="22"/>
          <w:highlight w:val="none"/>
          <w:lang w:eastAsia="zh-CN"/>
        </w:rPr>
        <w:t>：</w:t>
      </w:r>
    </w:p>
    <w:p w14:paraId="45B2EFEF">
      <w:pPr>
        <w:spacing w:line="360" w:lineRule="auto"/>
        <w:rPr>
          <w:rFonts w:ascii="宋体"/>
          <w:color w:val="auto"/>
          <w:sz w:val="22"/>
          <w:szCs w:val="22"/>
          <w:highlight w:val="none"/>
        </w:rPr>
      </w:pPr>
    </w:p>
    <w:p w14:paraId="22B7BB84">
      <w:pPr>
        <w:spacing w:line="360" w:lineRule="auto"/>
        <w:ind w:left="405"/>
        <w:rPr>
          <w:rFonts w:hint="eastAsia" w:ascii="宋体" w:eastAsia="宋体"/>
          <w:color w:val="auto"/>
          <w:sz w:val="22"/>
          <w:szCs w:val="22"/>
          <w:highlight w:val="none"/>
          <w:lang w:eastAsia="zh-CN"/>
        </w:rPr>
      </w:pPr>
      <w:r>
        <w:rPr>
          <w:rFonts w:hint="eastAsia" w:ascii="宋体"/>
          <w:color w:val="auto"/>
          <w:sz w:val="22"/>
          <w:szCs w:val="22"/>
          <w:highlight w:val="none"/>
        </w:rPr>
        <w:t>（二）</w:t>
      </w:r>
      <w:r>
        <w:rPr>
          <w:rFonts w:hint="eastAsia" w:ascii="宋体"/>
          <w:color w:val="auto"/>
          <w:sz w:val="22"/>
          <w:szCs w:val="22"/>
          <w:highlight w:val="none"/>
          <w:lang w:val="en-US" w:eastAsia="zh-CN"/>
        </w:rPr>
        <w:t>丙</w:t>
      </w:r>
      <w:r>
        <w:rPr>
          <w:rFonts w:hint="eastAsia" w:ascii="宋体"/>
          <w:color w:val="auto"/>
          <w:sz w:val="22"/>
          <w:szCs w:val="22"/>
          <w:highlight w:val="none"/>
        </w:rPr>
        <w:t>方的权利和义务</w:t>
      </w:r>
      <w:r>
        <w:rPr>
          <w:rFonts w:hint="eastAsia" w:ascii="宋体"/>
          <w:color w:val="auto"/>
          <w:sz w:val="22"/>
          <w:szCs w:val="22"/>
          <w:highlight w:val="none"/>
          <w:lang w:eastAsia="zh-CN"/>
        </w:rPr>
        <w:t>：</w:t>
      </w:r>
    </w:p>
    <w:p w14:paraId="20793776">
      <w:pPr>
        <w:spacing w:line="360" w:lineRule="auto"/>
        <w:ind w:left="405"/>
        <w:rPr>
          <w:rFonts w:ascii="宋体"/>
          <w:color w:val="auto"/>
          <w:sz w:val="22"/>
          <w:szCs w:val="22"/>
          <w:highlight w:val="none"/>
        </w:rPr>
      </w:pPr>
    </w:p>
    <w:p w14:paraId="7D25A2E4">
      <w:pPr>
        <w:rPr>
          <w:rFonts w:ascii="宋体"/>
          <w:color w:val="auto"/>
          <w:sz w:val="22"/>
          <w:szCs w:val="22"/>
          <w:highlight w:val="none"/>
        </w:rPr>
      </w:pPr>
      <w:bookmarkStart w:id="303" w:name="_Toc435540762"/>
      <w:r>
        <w:rPr>
          <w:rFonts w:hint="eastAsia" w:ascii="宋体"/>
          <w:color w:val="auto"/>
          <w:sz w:val="22"/>
          <w:szCs w:val="22"/>
          <w:highlight w:val="none"/>
        </w:rPr>
        <w:t>五、服务期间（项目完成期限）</w:t>
      </w:r>
      <w:bookmarkEnd w:id="303"/>
    </w:p>
    <w:p w14:paraId="192770AB">
      <w:pPr>
        <w:ind w:firstLine="440" w:firstLineChars="200"/>
        <w:rPr>
          <w:rFonts w:hint="eastAsia" w:ascii="宋体"/>
          <w:color w:val="auto"/>
          <w:sz w:val="22"/>
          <w:szCs w:val="22"/>
          <w:highlight w:val="none"/>
        </w:rPr>
      </w:pPr>
      <w:r>
        <w:rPr>
          <w:rFonts w:hint="eastAsia" w:ascii="宋体"/>
          <w:color w:val="auto"/>
          <w:sz w:val="22"/>
          <w:szCs w:val="22"/>
          <w:highlight w:val="none"/>
        </w:rPr>
        <w:t>合同签订后，</w:t>
      </w:r>
      <w:r>
        <w:rPr>
          <w:rFonts w:hint="eastAsia" w:ascii="宋体"/>
          <w:color w:val="auto"/>
          <w:sz w:val="22"/>
          <w:szCs w:val="22"/>
          <w:highlight w:val="none"/>
          <w:lang w:val="en-US" w:eastAsia="zh-CN"/>
        </w:rPr>
        <w:t>丙方</w:t>
      </w:r>
      <w:r>
        <w:rPr>
          <w:rFonts w:hint="eastAsia" w:ascii="宋体"/>
          <w:color w:val="auto"/>
          <w:sz w:val="22"/>
          <w:szCs w:val="22"/>
          <w:highlight w:val="none"/>
        </w:rPr>
        <w:t>在</w:t>
      </w:r>
      <w:r>
        <w:rPr>
          <w:rFonts w:hint="eastAsia" w:ascii="宋体"/>
          <w:color w:val="auto"/>
          <w:sz w:val="22"/>
          <w:szCs w:val="22"/>
          <w:highlight w:val="none"/>
          <w:lang w:val="en-US" w:eastAsia="zh-CN"/>
        </w:rPr>
        <w:t>12</w:t>
      </w:r>
      <w:r>
        <w:rPr>
          <w:rFonts w:hint="eastAsia" w:ascii="宋体"/>
          <w:color w:val="auto"/>
          <w:sz w:val="22"/>
          <w:szCs w:val="22"/>
          <w:highlight w:val="none"/>
        </w:rPr>
        <w:t>个月内完成相关的调研、设计、开发、测试</w:t>
      </w:r>
      <w:r>
        <w:rPr>
          <w:rFonts w:hint="eastAsia" w:ascii="宋体"/>
          <w:color w:val="auto"/>
          <w:sz w:val="22"/>
          <w:szCs w:val="22"/>
          <w:highlight w:val="none"/>
          <w:lang w:val="en-US" w:eastAsia="zh-CN"/>
        </w:rPr>
        <w:t>及试点上线</w:t>
      </w:r>
      <w:r>
        <w:rPr>
          <w:rFonts w:hint="eastAsia" w:ascii="宋体"/>
          <w:color w:val="auto"/>
          <w:sz w:val="22"/>
          <w:szCs w:val="22"/>
          <w:highlight w:val="none"/>
        </w:rPr>
        <w:t>等工作</w:t>
      </w:r>
      <w:r>
        <w:rPr>
          <w:rFonts w:hint="eastAsia" w:ascii="宋体"/>
          <w:color w:val="auto"/>
          <w:sz w:val="22"/>
          <w:szCs w:val="22"/>
          <w:highlight w:val="none"/>
          <w:lang w:val="en-US" w:eastAsia="zh-CN"/>
        </w:rPr>
        <w:t>并通过</w:t>
      </w:r>
      <w:r>
        <w:rPr>
          <w:rFonts w:hint="eastAsia" w:ascii="宋体"/>
          <w:color w:val="auto"/>
          <w:sz w:val="22"/>
          <w:szCs w:val="22"/>
          <w:highlight w:val="none"/>
        </w:rPr>
        <w:t>项目初步验收；项目初验后经过3个月的稳定试运行后，可以申请项目整体的验收，完成项目培训、项目材料交接后组织正式项目验收。</w:t>
      </w:r>
    </w:p>
    <w:p w14:paraId="11990C0A">
      <w:pPr>
        <w:rPr>
          <w:rFonts w:hint="default" w:eastAsia="黑体"/>
          <w:color w:val="auto"/>
          <w:highlight w:val="none"/>
          <w:lang w:val="en-US" w:eastAsia="zh-CN"/>
        </w:rPr>
      </w:pPr>
      <w:r>
        <w:rPr>
          <w:rFonts w:hint="eastAsia" w:ascii="宋体"/>
          <w:color w:val="auto"/>
          <w:sz w:val="22"/>
          <w:szCs w:val="22"/>
          <w:highlight w:val="none"/>
          <w:lang w:val="en-US" w:eastAsia="zh-CN"/>
        </w:rPr>
        <w:t xml:space="preserve">  </w:t>
      </w:r>
      <w:r>
        <w:rPr>
          <w:rFonts w:hint="eastAsia" w:ascii="宋体" w:hAnsi="Times New Roman" w:eastAsia="宋体" w:cs="Times New Roman"/>
          <w:b w:val="0"/>
          <w:bCs w:val="0"/>
          <w:color w:val="auto"/>
          <w:kern w:val="2"/>
          <w:sz w:val="22"/>
          <w:szCs w:val="22"/>
          <w:highlight w:val="none"/>
          <w:lang w:val="en-US" w:eastAsia="zh-CN" w:bidi="ar-SA"/>
        </w:rPr>
        <w:t xml:space="preserve">   丙方提供合同总金额1%的履约保证金至甲乙双方各自指定账户，履约保证金可以以银行或保险公司出具的保函作为履约保函，项目正式验收通过无质量问题后，7个工作日内无息</w:t>
      </w:r>
      <w:r>
        <w:rPr>
          <w:rFonts w:hint="eastAsia" w:ascii="宋体"/>
          <w:color w:val="auto"/>
          <w:sz w:val="22"/>
          <w:szCs w:val="22"/>
          <w:highlight w:val="none"/>
          <w:lang w:val="en-US" w:eastAsia="zh-CN"/>
        </w:rPr>
        <w:t>退还</w:t>
      </w:r>
      <w:r>
        <w:rPr>
          <w:rFonts w:hint="eastAsia" w:ascii="宋体" w:hAnsi="Times New Roman" w:eastAsia="宋体" w:cs="Times New Roman"/>
          <w:b w:val="0"/>
          <w:bCs w:val="0"/>
          <w:color w:val="auto"/>
          <w:kern w:val="2"/>
          <w:sz w:val="22"/>
          <w:szCs w:val="22"/>
          <w:highlight w:val="none"/>
          <w:lang w:val="en-US" w:eastAsia="zh-CN" w:bidi="ar-SA"/>
        </w:rPr>
        <w:t>。</w:t>
      </w:r>
    </w:p>
    <w:p w14:paraId="5675565E">
      <w:pPr>
        <w:rPr>
          <w:rFonts w:hint="default" w:ascii="宋体" w:hAnsi="宋体" w:eastAsia="宋体" w:cs="宋体"/>
          <w:color w:val="auto"/>
          <w:kern w:val="0"/>
          <w:sz w:val="22"/>
          <w:szCs w:val="22"/>
          <w:highlight w:val="none"/>
          <w:lang w:val="en-US" w:eastAsia="zh-CN"/>
        </w:rPr>
      </w:pPr>
      <w:r>
        <w:rPr>
          <w:rFonts w:hint="eastAsia" w:ascii="宋体"/>
          <w:color w:val="auto"/>
          <w:sz w:val="22"/>
          <w:szCs w:val="22"/>
          <w:highlight w:val="none"/>
        </w:rPr>
        <w:t>六、</w:t>
      </w:r>
      <w:bookmarkStart w:id="304" w:name="_Toc435540763"/>
      <w:r>
        <w:rPr>
          <w:rFonts w:hint="eastAsia" w:ascii="宋体"/>
          <w:color w:val="auto"/>
          <w:sz w:val="22"/>
          <w:szCs w:val="22"/>
          <w:highlight w:val="none"/>
        </w:rPr>
        <w:t>付款方式</w:t>
      </w:r>
      <w:bookmarkEnd w:id="304"/>
      <w:bookmarkStart w:id="305" w:name="_Toc435540764"/>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采购双方按比例支付）</w:t>
      </w:r>
    </w:p>
    <w:p w14:paraId="783482E2">
      <w:pPr>
        <w:spacing w:line="360" w:lineRule="auto"/>
        <w:ind w:firstLine="440" w:firstLineChars="200"/>
        <w:rPr>
          <w:rFonts w:ascii="宋体"/>
          <w:color w:val="auto"/>
          <w:sz w:val="22"/>
          <w:szCs w:val="22"/>
          <w:highlight w:val="none"/>
        </w:rPr>
      </w:pPr>
      <w:r>
        <w:rPr>
          <w:rFonts w:hint="eastAsia" w:ascii="宋体" w:hAnsi="宋体" w:eastAsia="宋体" w:cs="宋体"/>
          <w:color w:val="auto"/>
          <w:kern w:val="0"/>
          <w:sz w:val="22"/>
          <w:szCs w:val="22"/>
          <w:highlight w:val="none"/>
        </w:rPr>
        <w:t>在合同生效以及具备实施条件后7个工作日内，对中小企业合同预付款比例原则上不低于合同金额的40％</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具体</w:t>
      </w:r>
      <w:r>
        <w:rPr>
          <w:rFonts w:hint="eastAsia" w:ascii="宋体" w:hAnsi="宋体" w:eastAsia="宋体" w:cs="宋体"/>
          <w:color w:val="auto"/>
          <w:kern w:val="0"/>
          <w:sz w:val="22"/>
          <w:szCs w:val="22"/>
          <w:highlight w:val="none"/>
        </w:rPr>
        <w:t>双方协商决定付款比例</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rPr>
        <w:t>（根据《浙江省财政厅关于进一步发挥政府采购政策功能全力推动经济稳进提质的通知》（浙财采监[2022]3号）的规定，双方协商决定付款比例，如采购人无法按上述约定期限支付对应款项的，采购人与中标供应商根据实际情况另行协商确定付款时间，中标供应商确认不因采购人延期付款的情形要求采购人承担逾期付款利息等违约责任。）</w:t>
      </w:r>
      <w:r>
        <w:rPr>
          <w:rFonts w:hint="eastAsia" w:ascii="宋体"/>
          <w:color w:val="auto"/>
          <w:sz w:val="22"/>
          <w:szCs w:val="22"/>
          <w:highlight w:val="none"/>
        </w:rPr>
        <w:t>。</w:t>
      </w:r>
    </w:p>
    <w:p w14:paraId="0D129427">
      <w:pPr>
        <w:rPr>
          <w:rFonts w:hint="default" w:ascii="宋体"/>
          <w:color w:val="auto"/>
          <w:sz w:val="22"/>
          <w:szCs w:val="22"/>
          <w:highlight w:val="none"/>
          <w:lang w:val="en-US" w:eastAsia="zh-CN"/>
        </w:rPr>
      </w:pPr>
      <w:r>
        <w:rPr>
          <w:rFonts w:hint="eastAsia" w:ascii="宋体"/>
          <w:color w:val="auto"/>
          <w:sz w:val="22"/>
          <w:szCs w:val="22"/>
          <w:highlight w:val="none"/>
        </w:rPr>
        <w:t>七、知识产权产权归属</w:t>
      </w:r>
      <w:bookmarkEnd w:id="305"/>
    </w:p>
    <w:p w14:paraId="1E8D97BE">
      <w:pPr>
        <w:spacing w:line="360" w:lineRule="auto"/>
        <w:ind w:firstLine="440" w:firstLineChars="200"/>
        <w:rPr>
          <w:rFonts w:ascii="宋体"/>
          <w:color w:val="auto"/>
          <w:sz w:val="22"/>
          <w:szCs w:val="22"/>
          <w:highlight w:val="none"/>
        </w:rPr>
      </w:pPr>
      <w:r>
        <w:rPr>
          <w:rFonts w:hint="eastAsia" w:ascii="宋体"/>
          <w:color w:val="auto"/>
          <w:sz w:val="22"/>
          <w:szCs w:val="22"/>
          <w:highlight w:val="none"/>
          <w:lang w:val="en-US" w:eastAsia="zh-CN"/>
        </w:rPr>
        <w:t>丙</w:t>
      </w:r>
      <w:r>
        <w:rPr>
          <w:rFonts w:hint="eastAsia" w:ascii="宋体"/>
          <w:color w:val="auto"/>
          <w:sz w:val="22"/>
          <w:szCs w:val="22"/>
          <w:highlight w:val="none"/>
        </w:rPr>
        <w:t>方应保证本项目的投标技术、服务或其任何一部分不会产生因第三方提出侵犯其专利权、商标权或其他知识产权而引起的法律和经济纠纷；如因第三方提出其专利权、商标权或其他知识产权的侵权之诉，则一切法律责任由</w:t>
      </w:r>
      <w:r>
        <w:rPr>
          <w:rFonts w:hint="eastAsia" w:ascii="宋体"/>
          <w:color w:val="auto"/>
          <w:sz w:val="22"/>
          <w:szCs w:val="22"/>
          <w:highlight w:val="none"/>
          <w:lang w:val="en-US" w:eastAsia="zh-CN"/>
        </w:rPr>
        <w:t>丙</w:t>
      </w:r>
      <w:r>
        <w:rPr>
          <w:rFonts w:hint="eastAsia" w:ascii="宋体"/>
          <w:color w:val="auto"/>
          <w:sz w:val="22"/>
          <w:szCs w:val="22"/>
          <w:highlight w:val="none"/>
        </w:rPr>
        <w:t>方承担。</w:t>
      </w:r>
      <w:bookmarkStart w:id="306" w:name="_Toc435540765"/>
    </w:p>
    <w:p w14:paraId="4C74FD80">
      <w:pPr>
        <w:rPr>
          <w:rFonts w:ascii="宋体"/>
          <w:color w:val="auto"/>
          <w:sz w:val="22"/>
          <w:szCs w:val="22"/>
          <w:highlight w:val="none"/>
        </w:rPr>
      </w:pPr>
      <w:r>
        <w:rPr>
          <w:rFonts w:hint="eastAsia" w:ascii="宋体"/>
          <w:color w:val="auto"/>
          <w:sz w:val="22"/>
          <w:szCs w:val="22"/>
          <w:highlight w:val="none"/>
        </w:rPr>
        <w:t>八、保密</w:t>
      </w:r>
      <w:bookmarkEnd w:id="306"/>
    </w:p>
    <w:p w14:paraId="3E9F8D61">
      <w:pPr>
        <w:spacing w:line="360" w:lineRule="auto"/>
        <w:ind w:firstLine="440" w:firstLineChars="200"/>
        <w:rPr>
          <w:rFonts w:ascii="宋体"/>
          <w:color w:val="auto"/>
          <w:sz w:val="22"/>
          <w:szCs w:val="22"/>
          <w:highlight w:val="none"/>
        </w:rPr>
      </w:pPr>
      <w:r>
        <w:rPr>
          <w:rFonts w:hint="eastAsia" w:ascii="宋体"/>
          <w:color w:val="auto"/>
          <w:sz w:val="22"/>
          <w:szCs w:val="22"/>
          <w:highlight w:val="none"/>
          <w:lang w:val="en-US" w:eastAsia="zh-CN"/>
        </w:rPr>
        <w:t>丙</w:t>
      </w:r>
      <w:r>
        <w:rPr>
          <w:rFonts w:hint="eastAsia" w:ascii="宋体"/>
          <w:color w:val="auto"/>
          <w:sz w:val="22"/>
          <w:szCs w:val="22"/>
          <w:highlight w:val="none"/>
        </w:rPr>
        <w:t>方必须采取措施对本项目实施过程中的技术资料保密，否则，由于</w:t>
      </w:r>
      <w:r>
        <w:rPr>
          <w:rFonts w:hint="eastAsia" w:ascii="宋体"/>
          <w:color w:val="auto"/>
          <w:sz w:val="22"/>
          <w:szCs w:val="22"/>
          <w:highlight w:val="none"/>
          <w:lang w:val="en-US" w:eastAsia="zh-CN"/>
        </w:rPr>
        <w:t>丙</w:t>
      </w:r>
      <w:r>
        <w:rPr>
          <w:rFonts w:hint="eastAsia" w:ascii="宋体"/>
          <w:color w:val="auto"/>
          <w:sz w:val="22"/>
          <w:szCs w:val="22"/>
          <w:highlight w:val="none"/>
        </w:rPr>
        <w:t>方过错导致的上述资料泄密的，</w:t>
      </w:r>
      <w:r>
        <w:rPr>
          <w:rFonts w:hint="eastAsia" w:ascii="宋体"/>
          <w:color w:val="auto"/>
          <w:sz w:val="22"/>
          <w:szCs w:val="22"/>
          <w:highlight w:val="none"/>
          <w:lang w:val="en-US" w:eastAsia="zh-CN"/>
        </w:rPr>
        <w:t>丙</w:t>
      </w:r>
      <w:r>
        <w:rPr>
          <w:rFonts w:hint="eastAsia" w:ascii="宋体"/>
          <w:color w:val="auto"/>
          <w:sz w:val="22"/>
          <w:szCs w:val="22"/>
          <w:highlight w:val="none"/>
        </w:rPr>
        <w:t>方必须承担一切责任。项目完成后，甲、乙</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丙三</w:t>
      </w:r>
      <w:r>
        <w:rPr>
          <w:rFonts w:hint="eastAsia" w:ascii="宋体"/>
          <w:color w:val="auto"/>
          <w:sz w:val="22"/>
          <w:szCs w:val="22"/>
          <w:highlight w:val="none"/>
        </w:rPr>
        <w:t>方均有责任对本项目的技术保密承担责任。</w:t>
      </w:r>
    </w:p>
    <w:p w14:paraId="332E7AC3">
      <w:pPr>
        <w:tabs>
          <w:tab w:val="left" w:pos="900"/>
        </w:tabs>
        <w:spacing w:line="360" w:lineRule="auto"/>
        <w:ind w:firstLine="440" w:firstLineChars="200"/>
        <w:rPr>
          <w:rFonts w:ascii="宋体"/>
          <w:color w:val="auto"/>
          <w:sz w:val="22"/>
          <w:szCs w:val="22"/>
          <w:highlight w:val="none"/>
        </w:rPr>
      </w:pPr>
      <w:r>
        <w:rPr>
          <w:rFonts w:hint="eastAsia" w:ascii="宋体"/>
          <w:color w:val="auto"/>
          <w:sz w:val="22"/>
          <w:szCs w:val="22"/>
          <w:highlight w:val="none"/>
        </w:rPr>
        <w:t>1）未经甲方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事先书面同意，</w:t>
      </w:r>
      <w:r>
        <w:rPr>
          <w:rFonts w:hint="eastAsia" w:ascii="宋体"/>
          <w:color w:val="auto"/>
          <w:sz w:val="22"/>
          <w:szCs w:val="22"/>
          <w:highlight w:val="none"/>
          <w:lang w:val="en-US" w:eastAsia="zh-CN"/>
        </w:rPr>
        <w:t>丙</w:t>
      </w:r>
      <w:r>
        <w:rPr>
          <w:rFonts w:hint="eastAsia" w:ascii="宋体"/>
          <w:color w:val="auto"/>
          <w:sz w:val="22"/>
          <w:szCs w:val="22"/>
          <w:highlight w:val="none"/>
        </w:rPr>
        <w:t>方不得将由甲方</w:t>
      </w:r>
      <w:r>
        <w:rPr>
          <w:rFonts w:hint="eastAsia" w:ascii="宋体"/>
          <w:color w:val="auto"/>
          <w:sz w:val="22"/>
          <w:szCs w:val="22"/>
          <w:highlight w:val="none"/>
          <w:lang w:val="en-US" w:eastAsia="zh-CN"/>
        </w:rPr>
        <w:t>乙方</w:t>
      </w:r>
      <w:r>
        <w:rPr>
          <w:rFonts w:hint="eastAsia" w:ascii="宋体"/>
          <w:color w:val="auto"/>
          <w:sz w:val="22"/>
          <w:szCs w:val="22"/>
          <w:highlight w:val="none"/>
        </w:rPr>
        <w:t>为本合同提供的技术资料提供给与本合同无关的任何第</w:t>
      </w:r>
      <w:r>
        <w:rPr>
          <w:rFonts w:hint="eastAsia" w:ascii="宋体"/>
          <w:color w:val="auto"/>
          <w:sz w:val="22"/>
          <w:szCs w:val="22"/>
          <w:highlight w:val="none"/>
          <w:lang w:val="en-US" w:eastAsia="zh-CN"/>
        </w:rPr>
        <w:t>四</w:t>
      </w:r>
      <w:r>
        <w:rPr>
          <w:rFonts w:hint="eastAsia" w:ascii="宋体"/>
          <w:color w:val="auto"/>
          <w:sz w:val="22"/>
          <w:szCs w:val="22"/>
          <w:highlight w:val="none"/>
        </w:rPr>
        <w:t>方，不得将其用于履行本合同之外的其它用途。即使向与履行本合同有关的人员提供，也应注意保密并限于履行合同所必需的范围。</w:t>
      </w:r>
    </w:p>
    <w:p w14:paraId="1A31635D">
      <w:pPr>
        <w:tabs>
          <w:tab w:val="left" w:pos="900"/>
        </w:tabs>
        <w:spacing w:line="360" w:lineRule="auto"/>
        <w:ind w:firstLine="440" w:firstLineChars="200"/>
        <w:rPr>
          <w:rFonts w:ascii="宋体"/>
          <w:color w:val="auto"/>
          <w:sz w:val="22"/>
          <w:szCs w:val="22"/>
          <w:highlight w:val="none"/>
        </w:rPr>
      </w:pPr>
      <w:r>
        <w:rPr>
          <w:rFonts w:hint="eastAsia" w:ascii="宋体"/>
          <w:color w:val="auto"/>
          <w:sz w:val="22"/>
          <w:szCs w:val="22"/>
          <w:highlight w:val="none"/>
        </w:rPr>
        <w:t>2）如果甲方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有要求，</w:t>
      </w:r>
      <w:r>
        <w:rPr>
          <w:rFonts w:hint="eastAsia" w:ascii="宋体"/>
          <w:color w:val="auto"/>
          <w:sz w:val="22"/>
          <w:szCs w:val="22"/>
          <w:highlight w:val="none"/>
          <w:lang w:val="en-US" w:eastAsia="zh-CN"/>
        </w:rPr>
        <w:t>丙</w:t>
      </w:r>
      <w:r>
        <w:rPr>
          <w:rFonts w:hint="eastAsia" w:ascii="宋体"/>
          <w:color w:val="auto"/>
          <w:sz w:val="22"/>
          <w:szCs w:val="22"/>
          <w:highlight w:val="none"/>
        </w:rPr>
        <w:t>方在完成合同后应将有关资料还给甲方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w:t>
      </w:r>
    </w:p>
    <w:p w14:paraId="674C8852">
      <w:pPr>
        <w:rPr>
          <w:rFonts w:ascii="宋体"/>
          <w:color w:val="auto"/>
          <w:sz w:val="22"/>
          <w:szCs w:val="22"/>
          <w:highlight w:val="none"/>
        </w:rPr>
      </w:pPr>
      <w:bookmarkStart w:id="307" w:name="_Toc435540766"/>
      <w:r>
        <w:rPr>
          <w:rFonts w:hint="eastAsia" w:ascii="宋体"/>
          <w:color w:val="auto"/>
          <w:sz w:val="22"/>
          <w:szCs w:val="22"/>
          <w:highlight w:val="none"/>
        </w:rPr>
        <w:t>九、违约责任与赔偿损失</w:t>
      </w:r>
      <w:bookmarkEnd w:id="307"/>
    </w:p>
    <w:p w14:paraId="26AA461C">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1）</w:t>
      </w:r>
      <w:r>
        <w:rPr>
          <w:rFonts w:hint="eastAsia" w:ascii="宋体"/>
          <w:color w:val="auto"/>
          <w:sz w:val="22"/>
          <w:szCs w:val="22"/>
          <w:highlight w:val="none"/>
          <w:lang w:val="en-US" w:eastAsia="zh-CN"/>
        </w:rPr>
        <w:t>丙</w:t>
      </w:r>
      <w:r>
        <w:rPr>
          <w:rFonts w:hint="eastAsia" w:ascii="宋体"/>
          <w:color w:val="auto"/>
          <w:sz w:val="22"/>
          <w:szCs w:val="22"/>
          <w:highlight w:val="none"/>
        </w:rPr>
        <w:t>方提供的服务不符合采购文件、投标文件或本合同规定的，甲方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有权拒收，并且</w:t>
      </w:r>
      <w:r>
        <w:rPr>
          <w:rFonts w:hint="eastAsia" w:ascii="宋体"/>
          <w:color w:val="auto"/>
          <w:sz w:val="22"/>
          <w:szCs w:val="22"/>
          <w:highlight w:val="none"/>
          <w:lang w:val="en-US" w:eastAsia="zh-CN"/>
        </w:rPr>
        <w:t>丙</w:t>
      </w:r>
      <w:r>
        <w:rPr>
          <w:rFonts w:hint="eastAsia" w:ascii="宋体"/>
          <w:color w:val="auto"/>
          <w:sz w:val="22"/>
          <w:szCs w:val="22"/>
          <w:highlight w:val="none"/>
        </w:rPr>
        <w:t>方须向甲方</w:t>
      </w:r>
      <w:r>
        <w:rPr>
          <w:rFonts w:hint="eastAsia" w:ascii="宋体"/>
          <w:color w:val="auto"/>
          <w:sz w:val="22"/>
          <w:szCs w:val="22"/>
          <w:highlight w:val="none"/>
          <w:lang w:val="en-US" w:eastAsia="zh-CN"/>
        </w:rPr>
        <w:t>乙</w:t>
      </w:r>
      <w:r>
        <w:rPr>
          <w:rFonts w:hint="eastAsia" w:ascii="宋体"/>
          <w:color w:val="auto"/>
          <w:sz w:val="22"/>
          <w:szCs w:val="22"/>
          <w:highlight w:val="none"/>
        </w:rPr>
        <w:t>方支付本合同总价5%的违约金。</w:t>
      </w:r>
    </w:p>
    <w:p w14:paraId="6AB03790">
      <w:pPr>
        <w:tabs>
          <w:tab w:val="left" w:pos="720"/>
          <w:tab w:val="left" w:pos="900"/>
        </w:tabs>
        <w:spacing w:line="360" w:lineRule="auto"/>
        <w:ind w:right="51" w:firstLine="440" w:firstLineChars="200"/>
        <w:rPr>
          <w:rFonts w:ascii="宋体"/>
          <w:color w:val="auto"/>
          <w:sz w:val="22"/>
          <w:szCs w:val="22"/>
          <w:highlight w:val="none"/>
        </w:rPr>
      </w:pPr>
      <w:r>
        <w:rPr>
          <w:rFonts w:hint="eastAsia" w:ascii="宋体"/>
          <w:color w:val="auto"/>
          <w:sz w:val="22"/>
          <w:szCs w:val="22"/>
          <w:highlight w:val="none"/>
        </w:rPr>
        <w:t>2）合同生效后，</w:t>
      </w:r>
      <w:r>
        <w:rPr>
          <w:rFonts w:hint="eastAsia" w:ascii="宋体"/>
          <w:color w:val="auto"/>
          <w:sz w:val="22"/>
          <w:szCs w:val="22"/>
          <w:highlight w:val="none"/>
          <w:lang w:val="en-US" w:eastAsia="zh-CN"/>
        </w:rPr>
        <w:t>丙</w:t>
      </w:r>
      <w:r>
        <w:rPr>
          <w:rFonts w:hint="eastAsia" w:ascii="宋体"/>
          <w:color w:val="auto"/>
          <w:sz w:val="22"/>
          <w:szCs w:val="22"/>
          <w:highlight w:val="none"/>
        </w:rPr>
        <w:t>方单方擅自中途停止或终止合同（不可抗力除外），应向甲方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偿付违约金，如合同已履约部分未达到50%工作量，违约金按合同总价的30％计算；如合同已履约部分达到或超过50%工作量，违约金按合同总价的20％计算；如合同已履约达到或超过75%工作量，违约金按合同总价的10％计算。除违约金外，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已付合同款需全部退还。</w:t>
      </w:r>
    </w:p>
    <w:p w14:paraId="77D13EBF">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3）甲方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无正当理由拒收接受服务的，甲</w:t>
      </w:r>
      <w:r>
        <w:rPr>
          <w:rFonts w:hint="eastAsia" w:ascii="宋体"/>
          <w:color w:val="auto"/>
          <w:sz w:val="22"/>
          <w:szCs w:val="22"/>
          <w:highlight w:val="none"/>
          <w:lang w:val="en-US" w:eastAsia="zh-CN"/>
        </w:rPr>
        <w:t>乙双方</w:t>
      </w:r>
      <w:r>
        <w:rPr>
          <w:rFonts w:hint="eastAsia" w:ascii="宋体"/>
          <w:color w:val="auto"/>
          <w:sz w:val="22"/>
          <w:szCs w:val="22"/>
          <w:highlight w:val="none"/>
        </w:rPr>
        <w:t>向</w:t>
      </w:r>
      <w:r>
        <w:rPr>
          <w:rFonts w:hint="eastAsia" w:ascii="宋体"/>
          <w:color w:val="auto"/>
          <w:sz w:val="22"/>
          <w:szCs w:val="22"/>
          <w:highlight w:val="none"/>
          <w:lang w:val="en-US" w:eastAsia="zh-CN"/>
        </w:rPr>
        <w:t>丙</w:t>
      </w:r>
      <w:r>
        <w:rPr>
          <w:rFonts w:hint="eastAsia" w:ascii="宋体"/>
          <w:color w:val="auto"/>
          <w:sz w:val="22"/>
          <w:szCs w:val="22"/>
          <w:highlight w:val="none"/>
        </w:rPr>
        <w:t>方偿付本合同总价5%的违约金。</w:t>
      </w:r>
    </w:p>
    <w:p w14:paraId="63315808">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4）其它违约责任按《中华人民共和国民法典》处理。</w:t>
      </w:r>
    </w:p>
    <w:p w14:paraId="0B270205">
      <w:pPr>
        <w:rPr>
          <w:rFonts w:ascii="宋体"/>
          <w:color w:val="auto"/>
          <w:sz w:val="22"/>
          <w:szCs w:val="22"/>
          <w:highlight w:val="none"/>
        </w:rPr>
      </w:pPr>
      <w:bookmarkStart w:id="308" w:name="_Toc435540767"/>
      <w:r>
        <w:rPr>
          <w:rFonts w:hint="eastAsia" w:ascii="宋体"/>
          <w:color w:val="auto"/>
          <w:sz w:val="22"/>
          <w:szCs w:val="22"/>
          <w:highlight w:val="none"/>
        </w:rPr>
        <w:t>十、争端的解决</w:t>
      </w:r>
      <w:bookmarkEnd w:id="308"/>
    </w:p>
    <w:p w14:paraId="6E10C270">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合同执行过程中发生的任何争议，如</w:t>
      </w:r>
      <w:r>
        <w:rPr>
          <w:rFonts w:hint="eastAsia" w:ascii="宋体"/>
          <w:color w:val="auto"/>
          <w:sz w:val="22"/>
          <w:szCs w:val="22"/>
          <w:highlight w:val="none"/>
          <w:lang w:val="en-US" w:eastAsia="zh-CN"/>
        </w:rPr>
        <w:t>三</w:t>
      </w:r>
      <w:r>
        <w:rPr>
          <w:rFonts w:hint="eastAsia" w:ascii="宋体"/>
          <w:color w:val="auto"/>
          <w:sz w:val="22"/>
          <w:szCs w:val="22"/>
          <w:highlight w:val="none"/>
        </w:rPr>
        <w:t>方不能通过友好协商解决，甲、乙</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丙三</w:t>
      </w:r>
      <w:r>
        <w:rPr>
          <w:rFonts w:hint="eastAsia" w:ascii="宋体"/>
          <w:color w:val="auto"/>
          <w:sz w:val="22"/>
          <w:szCs w:val="22"/>
          <w:highlight w:val="none"/>
        </w:rPr>
        <w:t>方一致同意向甲方</w:t>
      </w:r>
      <w:r>
        <w:rPr>
          <w:rFonts w:hint="eastAsia" w:ascii="宋体"/>
          <w:color w:val="auto"/>
          <w:sz w:val="22"/>
          <w:szCs w:val="22"/>
          <w:highlight w:val="none"/>
          <w:lang w:val="en-US" w:eastAsia="zh-CN"/>
        </w:rPr>
        <w:t>或乙方</w:t>
      </w:r>
      <w:r>
        <w:rPr>
          <w:rFonts w:hint="eastAsia" w:ascii="宋体"/>
          <w:color w:val="auto"/>
          <w:sz w:val="22"/>
          <w:szCs w:val="22"/>
          <w:highlight w:val="none"/>
        </w:rPr>
        <w:t>所在地人民法院提起诉讼。</w:t>
      </w:r>
    </w:p>
    <w:p w14:paraId="04F04698">
      <w:pPr>
        <w:rPr>
          <w:rFonts w:ascii="宋体"/>
          <w:color w:val="auto"/>
          <w:sz w:val="22"/>
          <w:szCs w:val="22"/>
          <w:highlight w:val="none"/>
        </w:rPr>
      </w:pPr>
      <w:bookmarkStart w:id="309" w:name="_Toc435540768"/>
      <w:r>
        <w:rPr>
          <w:rFonts w:hint="eastAsia" w:ascii="宋体"/>
          <w:color w:val="auto"/>
          <w:sz w:val="22"/>
          <w:szCs w:val="22"/>
          <w:highlight w:val="none"/>
        </w:rPr>
        <w:t>十一、不可抗力</w:t>
      </w:r>
      <w:bookmarkEnd w:id="309"/>
    </w:p>
    <w:p w14:paraId="272A10C0">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65C720AF">
      <w:pPr>
        <w:rPr>
          <w:rFonts w:ascii="宋体"/>
          <w:color w:val="auto"/>
          <w:sz w:val="22"/>
          <w:szCs w:val="22"/>
          <w:highlight w:val="none"/>
        </w:rPr>
      </w:pPr>
      <w:bookmarkStart w:id="310" w:name="_Toc435540769"/>
      <w:r>
        <w:rPr>
          <w:rFonts w:hint="eastAsia" w:ascii="宋体"/>
          <w:color w:val="auto"/>
          <w:sz w:val="22"/>
          <w:szCs w:val="22"/>
          <w:highlight w:val="none"/>
        </w:rPr>
        <w:t>十二、税费</w:t>
      </w:r>
      <w:bookmarkEnd w:id="310"/>
    </w:p>
    <w:p w14:paraId="1FB4AD1E">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在中国境内、外发生的与本合同执行有关的一切税费均由</w:t>
      </w:r>
      <w:r>
        <w:rPr>
          <w:rFonts w:hint="eastAsia" w:ascii="宋体"/>
          <w:color w:val="auto"/>
          <w:sz w:val="22"/>
          <w:szCs w:val="22"/>
          <w:highlight w:val="none"/>
          <w:lang w:val="en-US" w:eastAsia="zh-CN"/>
        </w:rPr>
        <w:t>丙</w:t>
      </w:r>
      <w:r>
        <w:rPr>
          <w:rFonts w:hint="eastAsia" w:ascii="宋体"/>
          <w:color w:val="auto"/>
          <w:sz w:val="22"/>
          <w:szCs w:val="22"/>
          <w:highlight w:val="none"/>
        </w:rPr>
        <w:t>方负担。</w:t>
      </w:r>
    </w:p>
    <w:p w14:paraId="73455F7F">
      <w:pPr>
        <w:rPr>
          <w:rFonts w:ascii="宋体"/>
          <w:color w:val="auto"/>
          <w:sz w:val="22"/>
          <w:szCs w:val="22"/>
          <w:highlight w:val="none"/>
        </w:rPr>
      </w:pPr>
      <w:bookmarkStart w:id="311" w:name="_Toc435540770"/>
      <w:r>
        <w:rPr>
          <w:rFonts w:hint="eastAsia" w:ascii="宋体"/>
          <w:color w:val="auto"/>
          <w:sz w:val="22"/>
          <w:szCs w:val="22"/>
          <w:highlight w:val="none"/>
        </w:rPr>
        <w:t>十三、其它</w:t>
      </w:r>
      <w:bookmarkEnd w:id="311"/>
    </w:p>
    <w:p w14:paraId="67AD8B0D">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1）本合同所有附件、采购文件、投标文件、中标通知书均为合同的有效组成部分，与本合同具有同等法律效力。</w:t>
      </w:r>
    </w:p>
    <w:p w14:paraId="7F6A4535">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2）在执行本合同的过程中，所有经双方签署确认的文件（包括会议纪要、补充协议、往来信函）即成为本合同的有效组成部分。</w:t>
      </w:r>
    </w:p>
    <w:p w14:paraId="14042F47">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 xml:space="preserve">3）如一方地址、电话、传真号码有变更，应在变更当日内书面通知对方，否则，应承担相应责任。 </w:t>
      </w:r>
    </w:p>
    <w:p w14:paraId="16A38744">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4）除甲方</w:t>
      </w:r>
      <w:r>
        <w:rPr>
          <w:rFonts w:hint="eastAsia" w:ascii="宋体"/>
          <w:color w:val="auto"/>
          <w:sz w:val="22"/>
          <w:szCs w:val="22"/>
          <w:highlight w:val="none"/>
          <w:lang w:eastAsia="zh-CN"/>
        </w:rPr>
        <w:t>、</w:t>
      </w:r>
      <w:r>
        <w:rPr>
          <w:rFonts w:hint="eastAsia" w:ascii="宋体"/>
          <w:color w:val="auto"/>
          <w:sz w:val="22"/>
          <w:szCs w:val="22"/>
          <w:highlight w:val="none"/>
          <w:lang w:val="en-US" w:eastAsia="zh-CN"/>
        </w:rPr>
        <w:t>乙方</w:t>
      </w:r>
      <w:r>
        <w:rPr>
          <w:rFonts w:hint="eastAsia" w:ascii="宋体"/>
          <w:color w:val="auto"/>
          <w:sz w:val="22"/>
          <w:szCs w:val="22"/>
          <w:highlight w:val="none"/>
        </w:rPr>
        <w:t>事先书面同意外，</w:t>
      </w:r>
      <w:r>
        <w:rPr>
          <w:rFonts w:hint="eastAsia" w:ascii="宋体"/>
          <w:color w:val="auto"/>
          <w:sz w:val="22"/>
          <w:szCs w:val="22"/>
          <w:highlight w:val="none"/>
          <w:lang w:val="en-US" w:eastAsia="zh-CN"/>
        </w:rPr>
        <w:t>丙</w:t>
      </w:r>
      <w:r>
        <w:rPr>
          <w:rFonts w:hint="eastAsia" w:ascii="宋体"/>
          <w:color w:val="auto"/>
          <w:sz w:val="22"/>
          <w:szCs w:val="22"/>
          <w:highlight w:val="none"/>
        </w:rPr>
        <w:t>方不得部分或全部转让其应履行的合同项下的义务。</w:t>
      </w:r>
    </w:p>
    <w:p w14:paraId="4F69EC52">
      <w:pPr>
        <w:rPr>
          <w:rFonts w:ascii="宋体"/>
          <w:color w:val="auto"/>
          <w:sz w:val="22"/>
          <w:szCs w:val="22"/>
          <w:highlight w:val="none"/>
        </w:rPr>
      </w:pPr>
      <w:bookmarkStart w:id="312" w:name="_Toc435540771"/>
      <w:r>
        <w:rPr>
          <w:rFonts w:hint="eastAsia" w:ascii="宋体"/>
          <w:color w:val="auto"/>
          <w:sz w:val="22"/>
          <w:szCs w:val="22"/>
          <w:highlight w:val="none"/>
        </w:rPr>
        <w:t>十四、合同生效</w:t>
      </w:r>
      <w:bookmarkEnd w:id="312"/>
    </w:p>
    <w:p w14:paraId="0B3809FA">
      <w:pPr>
        <w:spacing w:line="360" w:lineRule="auto"/>
        <w:ind w:firstLine="440" w:firstLineChars="200"/>
        <w:rPr>
          <w:rFonts w:ascii="宋体"/>
          <w:color w:val="auto"/>
          <w:sz w:val="22"/>
          <w:szCs w:val="22"/>
          <w:highlight w:val="none"/>
        </w:rPr>
      </w:pPr>
      <w:r>
        <w:rPr>
          <w:rFonts w:hint="eastAsia" w:ascii="宋体"/>
          <w:color w:val="auto"/>
          <w:sz w:val="22"/>
          <w:szCs w:val="22"/>
          <w:highlight w:val="none"/>
        </w:rPr>
        <w:t>1）合同自甲乙</w:t>
      </w:r>
      <w:r>
        <w:rPr>
          <w:rFonts w:hint="eastAsia" w:ascii="宋体"/>
          <w:color w:val="auto"/>
          <w:sz w:val="22"/>
          <w:szCs w:val="22"/>
          <w:highlight w:val="none"/>
          <w:lang w:val="en-US" w:eastAsia="zh-CN"/>
        </w:rPr>
        <w:t>丙三</w:t>
      </w:r>
      <w:r>
        <w:rPr>
          <w:rFonts w:hint="eastAsia" w:ascii="宋体"/>
          <w:color w:val="auto"/>
          <w:sz w:val="22"/>
          <w:szCs w:val="22"/>
          <w:highlight w:val="none"/>
        </w:rPr>
        <w:t>方法人代表或其授权代表签字盖章之日起生效。</w:t>
      </w:r>
    </w:p>
    <w:p w14:paraId="6207CC29">
      <w:pPr>
        <w:adjustRightInd w:val="0"/>
        <w:snapToGrid w:val="0"/>
        <w:spacing w:line="360" w:lineRule="auto"/>
        <w:ind w:left="437" w:leftChars="208"/>
        <w:textAlignment w:val="baseline"/>
        <w:rPr>
          <w:rFonts w:ascii="宋体" w:hAnsi="宋体" w:cs="宋体"/>
          <w:color w:val="auto"/>
          <w:sz w:val="22"/>
          <w:szCs w:val="22"/>
          <w:highlight w:val="none"/>
        </w:rPr>
      </w:pPr>
      <w:r>
        <w:rPr>
          <w:rFonts w:hint="eastAsia" w:ascii="宋体"/>
          <w:color w:val="auto"/>
          <w:sz w:val="22"/>
          <w:szCs w:val="22"/>
          <w:highlight w:val="none"/>
        </w:rPr>
        <w:t>2）合同壹式</w:t>
      </w:r>
      <w:r>
        <w:rPr>
          <w:rFonts w:hint="eastAsia" w:ascii="宋体"/>
          <w:color w:val="auto"/>
          <w:sz w:val="22"/>
          <w:szCs w:val="22"/>
          <w:highlight w:val="none"/>
          <w:u w:val="single"/>
        </w:rPr>
        <w:t xml:space="preserve">    </w:t>
      </w:r>
      <w:r>
        <w:rPr>
          <w:rFonts w:hint="eastAsia" w:ascii="宋体"/>
          <w:color w:val="auto"/>
          <w:sz w:val="22"/>
          <w:szCs w:val="22"/>
          <w:highlight w:val="none"/>
        </w:rPr>
        <w:t>份，其中甲</w:t>
      </w:r>
      <w:r>
        <w:rPr>
          <w:rFonts w:hint="eastAsia" w:ascii="宋体"/>
          <w:color w:val="auto"/>
          <w:sz w:val="22"/>
          <w:szCs w:val="22"/>
          <w:highlight w:val="none"/>
          <w:lang w:val="en-US" w:eastAsia="zh-CN"/>
        </w:rPr>
        <w:t>乙丙三方</w:t>
      </w:r>
      <w:r>
        <w:rPr>
          <w:rFonts w:hint="eastAsia" w:ascii="宋体"/>
          <w:color w:val="auto"/>
          <w:sz w:val="22"/>
          <w:szCs w:val="22"/>
          <w:highlight w:val="none"/>
        </w:rPr>
        <w:t>各执</w:t>
      </w:r>
      <w:r>
        <w:rPr>
          <w:rFonts w:hint="eastAsia" w:ascii="宋体"/>
          <w:color w:val="auto"/>
          <w:sz w:val="22"/>
          <w:szCs w:val="22"/>
          <w:highlight w:val="none"/>
          <w:u w:val="single"/>
        </w:rPr>
        <w:t xml:space="preserve">     </w:t>
      </w:r>
      <w:r>
        <w:rPr>
          <w:rFonts w:hint="eastAsia" w:ascii="宋体"/>
          <w:color w:val="auto"/>
          <w:sz w:val="22"/>
          <w:szCs w:val="22"/>
          <w:highlight w:val="none"/>
        </w:rPr>
        <w:t>份</w:t>
      </w:r>
      <w:r>
        <w:rPr>
          <w:rFonts w:hint="eastAsia" w:ascii="宋体" w:hAnsi="宋体" w:cs="宋体"/>
          <w:color w:val="auto"/>
          <w:sz w:val="22"/>
          <w:szCs w:val="22"/>
          <w:highlight w:val="none"/>
          <w:lang w:bidi="ar"/>
        </w:rPr>
        <w:t>。</w:t>
      </w:r>
    </w:p>
    <w:p w14:paraId="4BBC8CEB">
      <w:pPr>
        <w:spacing w:line="360" w:lineRule="auto"/>
        <w:ind w:firstLine="440" w:firstLineChars="200"/>
        <w:rPr>
          <w:rFonts w:ascii="宋体" w:hAnsi="宋体" w:cs="宋体"/>
          <w:color w:val="auto"/>
          <w:sz w:val="22"/>
          <w:szCs w:val="22"/>
          <w:highlight w:val="none"/>
        </w:rPr>
      </w:pPr>
    </w:p>
    <w:p w14:paraId="779796CD">
      <w:pPr>
        <w:adjustRightInd w:val="0"/>
        <w:spacing w:line="440" w:lineRule="exact"/>
        <w:ind w:firstLine="440" w:firstLineChars="200"/>
        <w:rPr>
          <w:rFonts w:ascii="宋体" w:hAnsi="宋体" w:cs="宋体"/>
          <w:color w:val="auto"/>
          <w:sz w:val="22"/>
          <w:szCs w:val="22"/>
          <w:highlight w:val="none"/>
        </w:rPr>
      </w:pPr>
    </w:p>
    <w:p w14:paraId="6A97CFFA">
      <w:pPr>
        <w:spacing w:line="440" w:lineRule="exact"/>
        <w:jc w:val="left"/>
        <w:rPr>
          <w:rFonts w:ascii="宋体" w:hAnsi="宋体" w:cs="宋体"/>
          <w:color w:val="auto"/>
          <w:sz w:val="22"/>
          <w:szCs w:val="22"/>
          <w:highlight w:val="none"/>
        </w:rPr>
      </w:pPr>
    </w:p>
    <w:p w14:paraId="5B5C0AAC">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甲方：（印章）                        </w:t>
      </w:r>
    </w:p>
    <w:p w14:paraId="3654460F">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全权代表:（签字）                   </w:t>
      </w:r>
    </w:p>
    <w:p w14:paraId="1E56C326">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日期：                             </w:t>
      </w:r>
    </w:p>
    <w:p w14:paraId="0D166887">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地址：                              </w:t>
      </w:r>
    </w:p>
    <w:p w14:paraId="43E6EAFC">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邮政编码：                           </w:t>
      </w:r>
    </w:p>
    <w:p w14:paraId="1A47FD1A">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电话：                             </w:t>
      </w:r>
    </w:p>
    <w:p w14:paraId="1FF8B99D">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开户银行：                           </w:t>
      </w:r>
    </w:p>
    <w:p w14:paraId="645A4854">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账号：                               </w:t>
      </w:r>
    </w:p>
    <w:p w14:paraId="161282D6">
      <w:pPr>
        <w:pStyle w:val="25"/>
        <w:spacing w:line="360" w:lineRule="auto"/>
        <w:ind w:firstLine="440" w:firstLineChars="200"/>
        <w:rPr>
          <w:rFonts w:cs="新宋体" w:asciiTheme="majorEastAsia" w:hAnsiTheme="majorEastAsia" w:eastAsiaTheme="majorEastAsia"/>
          <w:color w:val="auto"/>
          <w:sz w:val="22"/>
          <w:szCs w:val="22"/>
          <w:highlight w:val="none"/>
        </w:rPr>
      </w:pPr>
      <w:r>
        <w:rPr>
          <w:rFonts w:hint="eastAsia" w:hAnsi="宋体" w:cs="宋体"/>
          <w:color w:val="auto"/>
          <w:sz w:val="22"/>
          <w:szCs w:val="22"/>
          <w:highlight w:val="none"/>
        </w:rPr>
        <w:t xml:space="preserve">户名：                               </w:t>
      </w:r>
    </w:p>
    <w:p w14:paraId="07570FCF">
      <w:pPr>
        <w:spacing w:line="440" w:lineRule="exact"/>
        <w:ind w:firstLine="440" w:firstLineChars="200"/>
        <w:rPr>
          <w:rFonts w:hint="eastAsia"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_________年____月____日     </w:t>
      </w:r>
    </w:p>
    <w:p w14:paraId="626A137D">
      <w:pPr>
        <w:spacing w:line="440" w:lineRule="exact"/>
        <w:ind w:firstLine="440" w:firstLineChars="200"/>
        <w:rPr>
          <w:rFonts w:ascii="宋体"/>
          <w:color w:val="auto"/>
          <w:sz w:val="22"/>
          <w:highlight w:val="none"/>
        </w:rPr>
      </w:pPr>
      <w:r>
        <w:rPr>
          <w:rFonts w:hint="eastAsia" w:cs="新宋体" w:asciiTheme="majorEastAsia" w:hAnsiTheme="majorEastAsia" w:eastAsiaTheme="majorEastAsia"/>
          <w:color w:val="auto"/>
          <w:sz w:val="22"/>
          <w:szCs w:val="22"/>
          <w:highlight w:val="none"/>
        </w:rPr>
        <w:t xml:space="preserve">    </w:t>
      </w:r>
      <w:r>
        <w:rPr>
          <w:rFonts w:hint="eastAsia" w:cs="新宋体" w:asciiTheme="majorEastAsia" w:hAnsiTheme="majorEastAsia" w:eastAsiaTheme="majorEastAsia"/>
          <w:color w:val="auto"/>
          <w:sz w:val="22"/>
          <w:szCs w:val="22"/>
          <w:highlight w:val="none"/>
        </w:rPr>
        <w:tab/>
      </w:r>
      <w:r>
        <w:rPr>
          <w:rFonts w:hint="eastAsia" w:cs="新宋体" w:asciiTheme="majorEastAsia" w:hAnsiTheme="majorEastAsia" w:eastAsiaTheme="majorEastAsia"/>
          <w:color w:val="auto"/>
          <w:sz w:val="22"/>
          <w:szCs w:val="22"/>
          <w:highlight w:val="none"/>
        </w:rPr>
        <w:t xml:space="preserve">       </w:t>
      </w:r>
    </w:p>
    <w:p w14:paraId="54B3F676">
      <w:pPr>
        <w:ind w:firstLine="1210" w:firstLineChars="550"/>
        <w:rPr>
          <w:rFonts w:ascii="宋体"/>
          <w:color w:val="auto"/>
          <w:sz w:val="22"/>
          <w:szCs w:val="22"/>
          <w:highlight w:val="none"/>
        </w:rPr>
      </w:pPr>
    </w:p>
    <w:p w14:paraId="5688119F">
      <w:pPr>
        <w:tabs>
          <w:tab w:val="left" w:pos="1985"/>
        </w:tabs>
        <w:spacing w:line="360" w:lineRule="auto"/>
        <w:ind w:left="420" w:leftChars="200"/>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乙方：（印章）</w:t>
      </w:r>
    </w:p>
    <w:p w14:paraId="03CB83CE">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全权代表:（签字）                   </w:t>
      </w:r>
    </w:p>
    <w:p w14:paraId="3EF6048B">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日期：                             </w:t>
      </w:r>
    </w:p>
    <w:p w14:paraId="0DB3FF88">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地址：                              </w:t>
      </w:r>
    </w:p>
    <w:p w14:paraId="5C4B24E4">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邮政编码：                           </w:t>
      </w:r>
    </w:p>
    <w:p w14:paraId="2AB7A8C7">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电话：                             </w:t>
      </w:r>
    </w:p>
    <w:p w14:paraId="2779C8C5">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开户银行：                           </w:t>
      </w:r>
    </w:p>
    <w:p w14:paraId="4ED5558B">
      <w:pPr>
        <w:tabs>
          <w:tab w:val="left" w:pos="1985"/>
        </w:tabs>
        <w:spacing w:line="360" w:lineRule="auto"/>
        <w:ind w:left="420" w:leftChars="200"/>
        <w:rPr>
          <w:rFonts w:ascii="宋体" w:hAnsi="宋体" w:cs="宋体"/>
          <w:color w:val="auto"/>
          <w:sz w:val="22"/>
          <w:szCs w:val="22"/>
          <w:highlight w:val="none"/>
        </w:rPr>
      </w:pPr>
      <w:r>
        <w:rPr>
          <w:rFonts w:hint="eastAsia" w:ascii="宋体" w:hAnsi="宋体" w:cs="宋体"/>
          <w:color w:val="auto"/>
          <w:sz w:val="22"/>
          <w:szCs w:val="22"/>
          <w:highlight w:val="none"/>
        </w:rPr>
        <w:t xml:space="preserve">账号：                               </w:t>
      </w:r>
    </w:p>
    <w:p w14:paraId="090E7894">
      <w:pPr>
        <w:ind w:firstLine="440" w:firstLineChars="200"/>
        <w:rPr>
          <w:rFonts w:hint="eastAsia" w:hAnsi="宋体" w:cs="宋体"/>
          <w:color w:val="auto"/>
          <w:sz w:val="22"/>
          <w:szCs w:val="22"/>
          <w:highlight w:val="none"/>
        </w:rPr>
      </w:pPr>
      <w:r>
        <w:rPr>
          <w:rFonts w:hint="eastAsia" w:hAnsi="宋体" w:cs="宋体"/>
          <w:color w:val="auto"/>
          <w:sz w:val="22"/>
          <w:szCs w:val="22"/>
          <w:highlight w:val="none"/>
        </w:rPr>
        <w:t xml:space="preserve">户名： </w:t>
      </w:r>
    </w:p>
    <w:p w14:paraId="50AA8F8C">
      <w:pPr>
        <w:rPr>
          <w:rFonts w:hint="eastAsia"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_________年____月____日   </w:t>
      </w:r>
    </w:p>
    <w:p w14:paraId="40F56C29">
      <w:pPr>
        <w:tabs>
          <w:tab w:val="left" w:pos="1985"/>
        </w:tabs>
        <w:spacing w:line="360" w:lineRule="auto"/>
        <w:ind w:left="420" w:leftChars="200"/>
        <w:rPr>
          <w:rFonts w:hint="eastAsia" w:ascii="宋体" w:hAnsi="宋体" w:cs="宋体"/>
          <w:color w:val="auto"/>
          <w:sz w:val="22"/>
          <w:szCs w:val="22"/>
          <w:highlight w:val="none"/>
          <w:lang w:val="en-US" w:eastAsia="zh-CN"/>
        </w:rPr>
      </w:pPr>
      <w:bookmarkStart w:id="313" w:name="_Toc21992"/>
    </w:p>
    <w:p w14:paraId="0CC1C80B">
      <w:pPr>
        <w:tabs>
          <w:tab w:val="left" w:pos="1985"/>
        </w:tabs>
        <w:spacing w:line="360" w:lineRule="auto"/>
        <w:ind w:left="420" w:leftChars="200"/>
        <w:rPr>
          <w:rFonts w:hint="eastAsia" w:ascii="宋体" w:hAnsi="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丙方：（印章）</w:t>
      </w:r>
    </w:p>
    <w:p w14:paraId="47822324">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全权代表:（签字）                   </w:t>
      </w:r>
    </w:p>
    <w:p w14:paraId="45920E69">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日期：                             </w:t>
      </w:r>
    </w:p>
    <w:p w14:paraId="1FBAE258">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地址：                              </w:t>
      </w:r>
    </w:p>
    <w:p w14:paraId="44A2C655">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邮政编码：                           </w:t>
      </w:r>
    </w:p>
    <w:p w14:paraId="5F0AA762">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电话：                             </w:t>
      </w:r>
    </w:p>
    <w:p w14:paraId="02F6A2C1">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开户银行：                           </w:t>
      </w:r>
    </w:p>
    <w:p w14:paraId="6B32769B">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账号：                               </w:t>
      </w:r>
    </w:p>
    <w:p w14:paraId="3010FC68">
      <w:pPr>
        <w:tabs>
          <w:tab w:val="left" w:pos="1985"/>
        </w:tabs>
        <w:spacing w:line="360" w:lineRule="auto"/>
        <w:ind w:left="420" w:left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户名： </w:t>
      </w:r>
    </w:p>
    <w:p w14:paraId="02A977C9">
      <w:pPr>
        <w:pStyle w:val="40"/>
        <w:jc w:val="both"/>
        <w:rPr>
          <w:rFonts w:hint="eastAsia"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_________年____月____日  </w:t>
      </w:r>
    </w:p>
    <w:p w14:paraId="7ED526CA">
      <w:pPr>
        <w:pStyle w:val="40"/>
        <w:rPr>
          <w:rFonts w:hint="eastAsia" w:cs="新宋体" w:asciiTheme="majorEastAsia" w:hAnsiTheme="majorEastAsia" w:eastAsiaTheme="majorEastAsia"/>
          <w:color w:val="auto"/>
          <w:sz w:val="22"/>
          <w:szCs w:val="22"/>
          <w:highlight w:val="none"/>
        </w:rPr>
      </w:pPr>
    </w:p>
    <w:p w14:paraId="61C0EAFC">
      <w:pPr>
        <w:pStyle w:val="40"/>
        <w:rPr>
          <w:rFonts w:hint="eastAsia" w:cs="新宋体" w:asciiTheme="majorEastAsia" w:hAnsiTheme="majorEastAsia" w:eastAsiaTheme="majorEastAsia"/>
          <w:color w:val="auto"/>
          <w:sz w:val="22"/>
          <w:szCs w:val="22"/>
          <w:highlight w:val="none"/>
        </w:rPr>
      </w:pPr>
    </w:p>
    <w:p w14:paraId="167364E3">
      <w:pPr>
        <w:pStyle w:val="40"/>
        <w:rPr>
          <w:rFonts w:hint="eastAsia" w:cs="新宋体" w:asciiTheme="majorEastAsia" w:hAnsiTheme="majorEastAsia" w:eastAsiaTheme="majorEastAsia"/>
          <w:color w:val="auto"/>
          <w:sz w:val="22"/>
          <w:szCs w:val="22"/>
          <w:highlight w:val="none"/>
        </w:rPr>
      </w:pPr>
    </w:p>
    <w:p w14:paraId="7FC5AEA2">
      <w:pPr>
        <w:pStyle w:val="40"/>
        <w:rPr>
          <w:rFonts w:hint="eastAsia" w:cs="新宋体" w:asciiTheme="majorEastAsia" w:hAnsiTheme="majorEastAsia" w:eastAsiaTheme="majorEastAsia"/>
          <w:color w:val="auto"/>
          <w:sz w:val="22"/>
          <w:szCs w:val="22"/>
          <w:highlight w:val="none"/>
        </w:rPr>
      </w:pPr>
    </w:p>
    <w:p w14:paraId="67EF87D3">
      <w:pPr>
        <w:pStyle w:val="40"/>
        <w:rPr>
          <w:rFonts w:hint="eastAsia" w:cs="新宋体" w:asciiTheme="majorEastAsia" w:hAnsiTheme="majorEastAsia" w:eastAsiaTheme="majorEastAsia"/>
          <w:color w:val="auto"/>
          <w:sz w:val="22"/>
          <w:szCs w:val="22"/>
          <w:highlight w:val="none"/>
        </w:rPr>
      </w:pPr>
    </w:p>
    <w:p w14:paraId="55241565">
      <w:pPr>
        <w:pStyle w:val="40"/>
        <w:rPr>
          <w:rFonts w:hint="eastAsia" w:cs="新宋体" w:asciiTheme="majorEastAsia" w:hAnsiTheme="majorEastAsia" w:eastAsiaTheme="majorEastAsia"/>
          <w:color w:val="auto"/>
          <w:sz w:val="22"/>
          <w:szCs w:val="22"/>
          <w:highlight w:val="none"/>
        </w:rPr>
      </w:pPr>
    </w:p>
    <w:p w14:paraId="5E9BAB5F">
      <w:pPr>
        <w:pStyle w:val="40"/>
        <w:rPr>
          <w:rFonts w:hint="eastAsia" w:cs="新宋体" w:asciiTheme="majorEastAsia" w:hAnsiTheme="majorEastAsia" w:eastAsiaTheme="majorEastAsia"/>
          <w:color w:val="auto"/>
          <w:sz w:val="22"/>
          <w:szCs w:val="22"/>
          <w:highlight w:val="none"/>
        </w:rPr>
      </w:pPr>
    </w:p>
    <w:p w14:paraId="0BE55E89">
      <w:pPr>
        <w:pStyle w:val="40"/>
        <w:rPr>
          <w:rFonts w:hint="eastAsia" w:cs="新宋体" w:asciiTheme="majorEastAsia" w:hAnsiTheme="majorEastAsia" w:eastAsiaTheme="majorEastAsia"/>
          <w:color w:val="auto"/>
          <w:sz w:val="22"/>
          <w:szCs w:val="22"/>
          <w:highlight w:val="none"/>
        </w:rPr>
      </w:pPr>
    </w:p>
    <w:p w14:paraId="3E217268">
      <w:pPr>
        <w:pStyle w:val="40"/>
        <w:rPr>
          <w:rFonts w:hint="eastAsia" w:cs="新宋体" w:asciiTheme="majorEastAsia" w:hAnsiTheme="majorEastAsia" w:eastAsiaTheme="majorEastAsia"/>
          <w:color w:val="auto"/>
          <w:sz w:val="22"/>
          <w:szCs w:val="22"/>
          <w:highlight w:val="none"/>
        </w:rPr>
      </w:pPr>
    </w:p>
    <w:p w14:paraId="3C05EB31">
      <w:pPr>
        <w:rPr>
          <w:rFonts w:hint="eastAsia" w:cs="新宋体" w:asciiTheme="majorEastAsia" w:hAnsiTheme="majorEastAsia" w:eastAsiaTheme="majorEastAsia"/>
          <w:color w:val="auto"/>
          <w:sz w:val="22"/>
          <w:szCs w:val="22"/>
          <w:highlight w:val="none"/>
        </w:rPr>
      </w:pPr>
    </w:p>
    <w:p w14:paraId="38024D4C">
      <w:pPr>
        <w:pStyle w:val="3"/>
        <w:rPr>
          <w:rFonts w:hint="eastAsia"/>
          <w:color w:val="auto"/>
          <w:highlight w:val="none"/>
        </w:rPr>
      </w:pPr>
    </w:p>
    <w:p w14:paraId="182878E4">
      <w:pPr>
        <w:pStyle w:val="40"/>
        <w:rPr>
          <w:rFonts w:hint="eastAsia" w:cs="新宋体" w:asciiTheme="majorEastAsia" w:hAnsiTheme="majorEastAsia" w:eastAsiaTheme="majorEastAsia"/>
          <w:color w:val="auto"/>
          <w:sz w:val="22"/>
          <w:szCs w:val="22"/>
          <w:highlight w:val="none"/>
        </w:rPr>
      </w:pPr>
    </w:p>
    <w:p w14:paraId="3C7D8CBE">
      <w:pPr>
        <w:pStyle w:val="40"/>
        <w:rPr>
          <w:rFonts w:hint="eastAsia" w:cs="新宋体" w:asciiTheme="majorEastAsia" w:hAnsiTheme="majorEastAsia" w:eastAsiaTheme="majorEastAsia"/>
          <w:color w:val="auto"/>
          <w:sz w:val="22"/>
          <w:szCs w:val="22"/>
          <w:highlight w:val="none"/>
        </w:rPr>
      </w:pPr>
    </w:p>
    <w:p w14:paraId="78292E24">
      <w:pPr>
        <w:pStyle w:val="40"/>
        <w:rPr>
          <w:rFonts w:cs="新宋体" w:asciiTheme="majorEastAsia" w:hAnsiTheme="majorEastAsia" w:eastAsiaTheme="majorEastAsia"/>
          <w:color w:val="auto"/>
          <w:sz w:val="30"/>
          <w:szCs w:val="30"/>
          <w:highlight w:val="none"/>
        </w:rPr>
      </w:pPr>
      <w:r>
        <w:rPr>
          <w:rFonts w:hint="eastAsia" w:cs="新宋体" w:asciiTheme="majorEastAsia" w:hAnsiTheme="majorEastAsia" w:eastAsiaTheme="majorEastAsia"/>
          <w:color w:val="auto"/>
          <w:sz w:val="30"/>
          <w:szCs w:val="30"/>
          <w:highlight w:val="none"/>
        </w:rPr>
        <w:t>第六部分 投标文件格式</w:t>
      </w:r>
      <w:bookmarkEnd w:id="293"/>
      <w:bookmarkEnd w:id="294"/>
      <w:bookmarkEnd w:id="313"/>
    </w:p>
    <w:bookmarkEnd w:id="295"/>
    <w:p w14:paraId="4C07C921">
      <w:pPr>
        <w:widowControl/>
        <w:spacing w:line="460" w:lineRule="atLeast"/>
        <w:jc w:val="center"/>
        <w:rPr>
          <w:rFonts w:asciiTheme="majorEastAsia" w:hAnsiTheme="majorEastAsia" w:eastAsiaTheme="majorEastAsia"/>
          <w:b/>
          <w:bCs/>
          <w:color w:val="auto"/>
          <w:sz w:val="32"/>
          <w:szCs w:val="32"/>
          <w:highlight w:val="none"/>
        </w:rPr>
      </w:pPr>
      <w:bookmarkStart w:id="314" w:name="_Toc161563051"/>
      <w:bookmarkStart w:id="315" w:name="_Toc496116282"/>
      <w:bookmarkStart w:id="316" w:name="_Toc498343176"/>
      <w:bookmarkStart w:id="317" w:name="_Toc293038733"/>
    </w:p>
    <w:p w14:paraId="2F5668AA">
      <w:pPr>
        <w:pStyle w:val="40"/>
        <w:rPr>
          <w:rFonts w:asciiTheme="majorEastAsia" w:hAnsiTheme="majorEastAsia" w:eastAsiaTheme="majorEastAsia"/>
          <w:color w:val="auto"/>
          <w:highlight w:val="none"/>
        </w:rPr>
      </w:pPr>
      <w:bookmarkStart w:id="318" w:name="_Toc65830018"/>
      <w:bookmarkStart w:id="319" w:name="_Toc65590090"/>
      <w:bookmarkStart w:id="320" w:name="_Toc42678689"/>
      <w:bookmarkStart w:id="321" w:name="_Toc3026"/>
      <w:bookmarkStart w:id="322" w:name="_Toc96970922"/>
      <w:r>
        <w:rPr>
          <w:rFonts w:hint="eastAsia" w:asciiTheme="majorEastAsia" w:hAnsiTheme="majorEastAsia" w:eastAsiaTheme="majorEastAsia"/>
          <w:color w:val="auto"/>
          <w:highlight w:val="none"/>
        </w:rPr>
        <w:t>一、资格文件部分格式</w:t>
      </w:r>
      <w:bookmarkEnd w:id="318"/>
      <w:bookmarkEnd w:id="319"/>
      <w:bookmarkEnd w:id="320"/>
      <w:bookmarkEnd w:id="321"/>
      <w:bookmarkEnd w:id="322"/>
    </w:p>
    <w:p w14:paraId="3259CA9F">
      <w:pPr>
        <w:widowControl/>
        <w:spacing w:line="460" w:lineRule="atLeast"/>
        <w:jc w:val="left"/>
        <w:rPr>
          <w:rFonts w:asciiTheme="majorEastAsia" w:hAnsiTheme="majorEastAsia" w:eastAsiaTheme="majorEastAsia"/>
          <w:b/>
          <w:bCs/>
          <w:color w:val="auto"/>
          <w:sz w:val="22"/>
          <w:szCs w:val="22"/>
          <w:highlight w:val="none"/>
        </w:rPr>
      </w:pPr>
      <w:r>
        <w:rPr>
          <w:rFonts w:hint="eastAsia" w:asciiTheme="majorEastAsia" w:hAnsiTheme="majorEastAsia" w:eastAsiaTheme="majorEastAsia"/>
          <w:b/>
          <w:color w:val="auto"/>
          <w:sz w:val="22"/>
          <w:szCs w:val="22"/>
          <w:highlight w:val="none"/>
        </w:rPr>
        <w:t>附件一</w:t>
      </w:r>
    </w:p>
    <w:p w14:paraId="3CE38E04">
      <w:pPr>
        <w:pStyle w:val="40"/>
        <w:rPr>
          <w:rFonts w:asciiTheme="majorEastAsia" w:hAnsiTheme="majorEastAsia" w:eastAsiaTheme="majorEastAsia"/>
          <w:color w:val="auto"/>
          <w:highlight w:val="none"/>
          <w:lang w:val="zh-CN"/>
        </w:rPr>
      </w:pPr>
      <w:bookmarkStart w:id="323" w:name="_Toc61444210"/>
      <w:bookmarkStart w:id="324" w:name="_Toc65590091"/>
      <w:bookmarkStart w:id="325" w:name="_Toc42678024"/>
      <w:bookmarkStart w:id="326" w:name="_Toc42243282"/>
      <w:bookmarkStart w:id="327" w:name="_Toc42678179"/>
      <w:bookmarkStart w:id="328" w:name="_Toc5942"/>
      <w:bookmarkStart w:id="329" w:name="_Toc65830019"/>
      <w:bookmarkStart w:id="330" w:name="_Toc12671"/>
      <w:bookmarkStart w:id="331" w:name="_Toc42678690"/>
      <w:bookmarkStart w:id="332" w:name="_Toc61444213"/>
      <w:bookmarkStart w:id="333" w:name="_Toc56004404"/>
      <w:r>
        <w:rPr>
          <w:rFonts w:hint="eastAsia" w:cs="宋体" w:asciiTheme="majorEastAsia" w:hAnsiTheme="majorEastAsia" w:eastAsiaTheme="majorEastAsia"/>
          <w:color w:val="auto"/>
          <w:highlight w:val="none"/>
          <w:lang w:val="zh-CN"/>
        </w:rPr>
        <w:t>具有财务会计制度、设备和专业技术能力、</w:t>
      </w:r>
      <w:r>
        <w:rPr>
          <w:rFonts w:hint="eastAsia" w:cs="宋体" w:asciiTheme="majorEastAsia" w:hAnsiTheme="majorEastAsia" w:eastAsiaTheme="majorEastAsia"/>
          <w:color w:val="auto"/>
          <w:highlight w:val="none"/>
        </w:rPr>
        <w:t>依法</w:t>
      </w:r>
      <w:r>
        <w:rPr>
          <w:rFonts w:hint="eastAsia" w:cs="宋体" w:asciiTheme="majorEastAsia" w:hAnsiTheme="majorEastAsia" w:eastAsiaTheme="majorEastAsia"/>
          <w:color w:val="auto"/>
          <w:highlight w:val="none"/>
          <w:lang w:val="zh-CN"/>
        </w:rPr>
        <w:t>缴纳税收和社会保障资金</w:t>
      </w:r>
      <w:r>
        <w:rPr>
          <w:rFonts w:hint="eastAsia" w:cs="宋体" w:asciiTheme="majorEastAsia" w:hAnsiTheme="majorEastAsia" w:eastAsiaTheme="majorEastAsia"/>
          <w:color w:val="auto"/>
          <w:highlight w:val="none"/>
        </w:rPr>
        <w:t>记录</w:t>
      </w:r>
      <w:r>
        <w:rPr>
          <w:rFonts w:hint="eastAsia" w:cs="宋体" w:asciiTheme="majorEastAsia" w:hAnsiTheme="majorEastAsia" w:eastAsiaTheme="majorEastAsia"/>
          <w:color w:val="auto"/>
          <w:highlight w:val="none"/>
          <w:lang w:val="zh-CN"/>
        </w:rPr>
        <w:t>、</w:t>
      </w:r>
      <w:r>
        <w:rPr>
          <w:rFonts w:hint="eastAsia" w:cs="宋体" w:asciiTheme="majorEastAsia" w:hAnsiTheme="majorEastAsia" w:eastAsiaTheme="majorEastAsia"/>
          <w:color w:val="auto"/>
          <w:highlight w:val="none"/>
        </w:rPr>
        <w:t>无</w:t>
      </w:r>
      <w:r>
        <w:rPr>
          <w:rFonts w:hint="eastAsia" w:cs="宋体" w:asciiTheme="majorEastAsia" w:hAnsiTheme="majorEastAsia" w:eastAsiaTheme="majorEastAsia"/>
          <w:color w:val="auto"/>
          <w:highlight w:val="none"/>
          <w:lang w:val="zh-CN"/>
        </w:rPr>
        <w:t>重大违法记录的承诺函</w:t>
      </w:r>
      <w:bookmarkEnd w:id="323"/>
      <w:bookmarkEnd w:id="324"/>
      <w:bookmarkEnd w:id="325"/>
      <w:bookmarkEnd w:id="326"/>
      <w:bookmarkEnd w:id="327"/>
      <w:bookmarkEnd w:id="328"/>
      <w:bookmarkEnd w:id="329"/>
      <w:bookmarkEnd w:id="330"/>
      <w:bookmarkEnd w:id="331"/>
    </w:p>
    <w:p w14:paraId="178E7A22">
      <w:pPr>
        <w:spacing w:line="460" w:lineRule="exact"/>
        <w:rPr>
          <w:rFonts w:cs="黑体" w:asciiTheme="majorEastAsia" w:hAnsiTheme="majorEastAsia" w:eastAsiaTheme="majorEastAsia"/>
          <w:b/>
          <w:color w:val="auto"/>
          <w:sz w:val="22"/>
          <w:szCs w:val="22"/>
          <w:highlight w:val="none"/>
          <w:u w:val="single"/>
        </w:rPr>
      </w:pPr>
    </w:p>
    <w:p w14:paraId="2A734B00">
      <w:pPr>
        <w:spacing w:line="460" w:lineRule="exact"/>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永嘉县人民医院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10B3DB0F">
      <w:pPr>
        <w:pStyle w:val="17"/>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永嘉县中医医院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09612C1A">
      <w:pPr>
        <w:pStyle w:val="17"/>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温州市中概工程管理咨询有限公司：</w:t>
      </w:r>
    </w:p>
    <w:p w14:paraId="00E35AC0">
      <w:pPr>
        <w:widowControl/>
        <w:snapToGrid w:val="0"/>
        <w:spacing w:line="460" w:lineRule="exact"/>
        <w:ind w:firstLine="442" w:firstLineChars="200"/>
        <w:jc w:val="left"/>
        <w:rPr>
          <w:rFonts w:cs="Courier New" w:asciiTheme="majorEastAsia" w:hAnsiTheme="majorEastAsia" w:eastAsiaTheme="majorEastAsia"/>
          <w:b/>
          <w:color w:val="auto"/>
          <w:sz w:val="22"/>
          <w:szCs w:val="22"/>
          <w:highlight w:val="none"/>
        </w:rPr>
      </w:pPr>
    </w:p>
    <w:p w14:paraId="19A38794">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rPr>
        <w:t>我公司郑重声明:</w:t>
      </w:r>
    </w:p>
    <w:p w14:paraId="4A7F370B">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rPr>
        <w:t>1、具有良好的商业信誉和健全的财务会计制度；</w:t>
      </w:r>
    </w:p>
    <w:p w14:paraId="1EC987F6">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rPr>
        <w:t>2、承诺具有履行合同所必需的设备和专业技术能力。如有虚假，采购人可取消我方任何资格（投标/中标/签订合同），我方对此无任何异议。</w:t>
      </w:r>
    </w:p>
    <w:p w14:paraId="7558D2CD">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rPr>
        <w:t>3、严格依法缴纳税收和社会保障资金，本文件中所提供的相关材料均真实有效，不存在虚假、造假行为。如有违反，愿承担一切责任。</w:t>
      </w:r>
    </w:p>
    <w:p w14:paraId="0CF34546">
      <w:pPr>
        <w:widowControl/>
        <w:snapToGrid w:val="0"/>
        <w:spacing w:line="460" w:lineRule="exact"/>
        <w:ind w:firstLine="440" w:firstLineChars="200"/>
        <w:jc w:val="left"/>
        <w:rPr>
          <w:rFonts w:asciiTheme="majorEastAsia" w:hAnsiTheme="majorEastAsia" w:eastAsiaTheme="majorEastAsia"/>
          <w:color w:val="auto"/>
          <w:highlight w:val="none"/>
        </w:rPr>
      </w:pPr>
      <w:r>
        <w:rPr>
          <w:rFonts w:hint="eastAsia" w:asciiTheme="majorEastAsia" w:hAnsiTheme="majorEastAsia" w:eastAsiaTheme="majorEastAsia"/>
          <w:color w:val="auto"/>
          <w:sz w:val="22"/>
          <w:szCs w:val="22"/>
          <w:highlight w:val="none"/>
        </w:rPr>
        <w:t>4、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14:paraId="42470FE2">
      <w:pPr>
        <w:widowControl/>
        <w:snapToGrid w:val="0"/>
        <w:spacing w:line="460" w:lineRule="exact"/>
        <w:ind w:firstLine="442" w:firstLineChars="200"/>
        <w:jc w:val="left"/>
        <w:rPr>
          <w:rFonts w:asciiTheme="majorEastAsia" w:hAnsiTheme="majorEastAsia" w:eastAsiaTheme="majorEastAsia"/>
          <w:b/>
          <w:color w:val="auto"/>
          <w:sz w:val="22"/>
          <w:szCs w:val="22"/>
          <w:highlight w:val="none"/>
        </w:rPr>
      </w:pPr>
    </w:p>
    <w:p w14:paraId="49EB8EBD">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rPr>
        <w:t>特此承诺！</w:t>
      </w:r>
    </w:p>
    <w:p w14:paraId="29D5FA18">
      <w:pPr>
        <w:widowControl/>
        <w:snapToGrid w:val="0"/>
        <w:spacing w:line="460" w:lineRule="exact"/>
        <w:ind w:firstLine="442" w:firstLineChars="200"/>
        <w:jc w:val="left"/>
        <w:rPr>
          <w:rFonts w:asciiTheme="majorEastAsia" w:hAnsiTheme="majorEastAsia" w:eastAsiaTheme="majorEastAsia"/>
          <w:b/>
          <w:color w:val="auto"/>
          <w:sz w:val="22"/>
          <w:szCs w:val="22"/>
          <w:highlight w:val="none"/>
        </w:rPr>
      </w:pPr>
    </w:p>
    <w:p w14:paraId="6E64DBFD">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lang w:eastAsia="zh-CN"/>
        </w:rPr>
        <w:t>投标人</w:t>
      </w:r>
      <w:r>
        <w:rPr>
          <w:rFonts w:hint="eastAsia" w:asciiTheme="majorEastAsia" w:hAnsiTheme="majorEastAsia" w:eastAsiaTheme="majorEastAsia"/>
          <w:color w:val="auto"/>
          <w:sz w:val="22"/>
          <w:szCs w:val="22"/>
          <w:highlight w:val="none"/>
        </w:rPr>
        <w:t>（盖章） ：</w:t>
      </w:r>
    </w:p>
    <w:p w14:paraId="00BE7DD2">
      <w:pPr>
        <w:widowControl/>
        <w:snapToGrid w:val="0"/>
        <w:spacing w:line="460" w:lineRule="exact"/>
        <w:ind w:firstLine="440" w:firstLineChars="200"/>
        <w:jc w:val="left"/>
        <w:rPr>
          <w:rFonts w:asciiTheme="majorEastAsia" w:hAnsiTheme="majorEastAsia" w:eastAsiaTheme="majorEastAsia"/>
          <w:b/>
          <w:color w:val="auto"/>
          <w:sz w:val="22"/>
          <w:szCs w:val="22"/>
          <w:highlight w:val="none"/>
        </w:rPr>
      </w:pPr>
      <w:r>
        <w:rPr>
          <w:rFonts w:hint="eastAsia" w:asciiTheme="majorEastAsia" w:hAnsiTheme="majorEastAsia" w:eastAsiaTheme="majorEastAsia"/>
          <w:color w:val="auto"/>
          <w:sz w:val="22"/>
          <w:szCs w:val="22"/>
          <w:highlight w:val="none"/>
        </w:rPr>
        <w:t>日期：</w:t>
      </w:r>
    </w:p>
    <w:p w14:paraId="3B765868">
      <w:pPr>
        <w:widowControl/>
        <w:jc w:val="left"/>
        <w:rPr>
          <w:rFonts w:asciiTheme="majorEastAsia" w:hAnsiTheme="majorEastAsia" w:eastAsiaTheme="majorEastAsia"/>
          <w:b/>
          <w:bCs/>
          <w:color w:val="auto"/>
          <w:sz w:val="22"/>
          <w:szCs w:val="22"/>
          <w:highlight w:val="none"/>
        </w:rPr>
      </w:pPr>
      <w:r>
        <w:rPr>
          <w:rFonts w:hint="eastAsia" w:cs="Arial" w:asciiTheme="majorEastAsia" w:hAnsiTheme="majorEastAsia" w:eastAsiaTheme="majorEastAsia"/>
          <w:color w:val="auto"/>
          <w:sz w:val="36"/>
          <w:szCs w:val="32"/>
          <w:highlight w:val="none"/>
        </w:rPr>
        <w:br w:type="page"/>
      </w:r>
      <w:r>
        <w:rPr>
          <w:rFonts w:hint="eastAsia" w:asciiTheme="majorEastAsia" w:hAnsiTheme="majorEastAsia" w:eastAsiaTheme="majorEastAsia"/>
          <w:b/>
          <w:color w:val="auto"/>
          <w:sz w:val="22"/>
          <w:szCs w:val="22"/>
          <w:highlight w:val="none"/>
        </w:rPr>
        <w:t>附件二</w:t>
      </w:r>
    </w:p>
    <w:p w14:paraId="4DA6EAD1">
      <w:pPr>
        <w:pStyle w:val="12"/>
        <w:spacing w:before="240" w:after="60"/>
        <w:jc w:val="center"/>
        <w:outlineLvl w:val="0"/>
        <w:rPr>
          <w:rFonts w:cs="宋体" w:asciiTheme="majorEastAsia" w:hAnsiTheme="majorEastAsia" w:eastAsiaTheme="majorEastAsia"/>
          <w:b/>
          <w:color w:val="auto"/>
          <w:kern w:val="0"/>
          <w:sz w:val="32"/>
          <w:szCs w:val="32"/>
          <w:highlight w:val="none"/>
          <w:lang w:val="zh-CN"/>
        </w:rPr>
      </w:pPr>
      <w:bookmarkStart w:id="334" w:name="_Toc97033068"/>
      <w:bookmarkStart w:id="335" w:name="_Toc87518591"/>
      <w:bookmarkStart w:id="336" w:name="_Toc65830022"/>
      <w:bookmarkStart w:id="337" w:name="_Toc23799"/>
      <w:bookmarkStart w:id="338" w:name="_Toc96970926"/>
      <w:bookmarkStart w:id="339" w:name="_Toc6694"/>
      <w:bookmarkStart w:id="340" w:name="_Toc14892"/>
      <w:bookmarkStart w:id="341" w:name="_Toc11018"/>
      <w:bookmarkStart w:id="342" w:name="_Toc68187553"/>
      <w:bookmarkStart w:id="343" w:name="_Toc68188789"/>
      <w:bookmarkStart w:id="344" w:name="_Toc68189103"/>
      <w:bookmarkStart w:id="345" w:name="_Toc87518414"/>
      <w:bookmarkStart w:id="346" w:name="_Toc65590094"/>
      <w:r>
        <w:rPr>
          <w:rFonts w:cs="宋体" w:asciiTheme="majorEastAsia" w:hAnsiTheme="majorEastAsia" w:eastAsiaTheme="majorEastAsia"/>
          <w:b/>
          <w:color w:val="auto"/>
          <w:kern w:val="0"/>
          <w:sz w:val="32"/>
          <w:szCs w:val="32"/>
          <w:highlight w:val="none"/>
          <w:lang w:val="zh-CN"/>
        </w:rPr>
        <w:t>与参加本次项目同一合同项下政府采购活动的其他供应商不存在单位负责人为同一人或者直接控股、管理关系的承诺函</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15B944C">
      <w:pPr>
        <w:spacing w:line="460" w:lineRule="exact"/>
        <w:rPr>
          <w:rFonts w:cs="黑体" w:asciiTheme="majorEastAsia" w:hAnsiTheme="majorEastAsia" w:eastAsiaTheme="majorEastAsia"/>
          <w:b/>
          <w:color w:val="auto"/>
          <w:sz w:val="22"/>
          <w:szCs w:val="22"/>
          <w:highlight w:val="none"/>
          <w:u w:val="single"/>
        </w:rPr>
      </w:pPr>
    </w:p>
    <w:p w14:paraId="378F99C5">
      <w:pPr>
        <w:spacing w:line="460" w:lineRule="exact"/>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永嘉县人民医院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5F1621F9">
      <w:pPr>
        <w:pStyle w:val="17"/>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永嘉县中医医院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0561B688">
      <w:pPr>
        <w:spacing w:line="460" w:lineRule="exact"/>
        <w:jc w:val="left"/>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温州市中概工程管理咨询有限公司：</w:t>
      </w:r>
    </w:p>
    <w:p w14:paraId="1B6E3B9A">
      <w:pPr>
        <w:widowControl/>
        <w:spacing w:line="460" w:lineRule="exact"/>
        <w:ind w:firstLine="440"/>
        <w:jc w:val="left"/>
        <w:rPr>
          <w:rFonts w:cs="Courier New" w:asciiTheme="majorEastAsia" w:hAnsiTheme="majorEastAsia" w:eastAsiaTheme="majorEastAsia"/>
          <w:color w:val="auto"/>
          <w:sz w:val="22"/>
          <w:szCs w:val="22"/>
          <w:highlight w:val="none"/>
        </w:rPr>
      </w:pPr>
      <w:r>
        <w:rPr>
          <w:rFonts w:cs="Courier New" w:asciiTheme="majorEastAsia" w:hAnsiTheme="majorEastAsia" w:eastAsiaTheme="majorEastAsia"/>
          <w:color w:val="auto"/>
          <w:sz w:val="22"/>
          <w:szCs w:val="22"/>
          <w:highlight w:val="none"/>
        </w:rPr>
        <w:t>我方郑重承诺，我方此次参加</w:t>
      </w:r>
      <w:r>
        <w:rPr>
          <w:rFonts w:hint="eastAsia" w:cs="Courier New" w:asciiTheme="majorEastAsia" w:hAnsiTheme="majorEastAsia" w:eastAsiaTheme="majorEastAsia"/>
          <w:color w:val="auto"/>
          <w:sz w:val="22"/>
          <w:szCs w:val="22"/>
          <w:highlight w:val="none"/>
        </w:rPr>
        <w:t>本</w:t>
      </w:r>
      <w:r>
        <w:rPr>
          <w:rFonts w:cs="Courier New" w:asciiTheme="majorEastAsia" w:hAnsiTheme="majorEastAsia" w:eastAsiaTheme="majorEastAsia"/>
          <w:color w:val="auto"/>
          <w:sz w:val="22"/>
          <w:szCs w:val="22"/>
          <w:highlight w:val="none"/>
        </w:rPr>
        <w:t>项目的投标，与参加本次项目同一合同项下政府采购活动的其他供应商不存在单位负责人为同一人或者直接控股、管理关系。如有虚假或隐瞒，愿意承担一切后果。</w:t>
      </w:r>
    </w:p>
    <w:p w14:paraId="41704B55">
      <w:pPr>
        <w:pStyle w:val="18"/>
        <w:ind w:firstLine="210"/>
        <w:rPr>
          <w:rFonts w:asciiTheme="majorEastAsia" w:hAnsiTheme="majorEastAsia" w:eastAsiaTheme="majorEastAsia"/>
          <w:color w:val="auto"/>
          <w:highlight w:val="none"/>
        </w:rPr>
      </w:pPr>
    </w:p>
    <w:p w14:paraId="5FB67D12">
      <w:pPr>
        <w:widowControl/>
        <w:spacing w:line="460" w:lineRule="exact"/>
        <w:ind w:firstLine="440"/>
        <w:jc w:val="left"/>
        <w:rPr>
          <w:rFonts w:cs="Courier New" w:asciiTheme="majorEastAsia" w:hAnsiTheme="majorEastAsia" w:eastAsiaTheme="majorEastAsia"/>
          <w:color w:val="auto"/>
          <w:sz w:val="22"/>
          <w:szCs w:val="22"/>
          <w:highlight w:val="none"/>
        </w:rPr>
      </w:pPr>
      <w:r>
        <w:rPr>
          <w:rFonts w:cs="Courier New" w:asciiTheme="majorEastAsia" w:hAnsiTheme="majorEastAsia" w:eastAsiaTheme="majorEastAsia"/>
          <w:color w:val="auto"/>
          <w:sz w:val="22"/>
          <w:szCs w:val="22"/>
          <w:highlight w:val="none"/>
        </w:rPr>
        <w:t>特此承诺！</w:t>
      </w:r>
    </w:p>
    <w:p w14:paraId="0A13FB81">
      <w:pPr>
        <w:widowControl/>
        <w:spacing w:line="460" w:lineRule="exact"/>
        <w:ind w:firstLine="440"/>
        <w:jc w:val="left"/>
        <w:rPr>
          <w:rFonts w:cs="Courier New" w:asciiTheme="majorEastAsia" w:hAnsiTheme="majorEastAsia" w:eastAsiaTheme="majorEastAsia"/>
          <w:color w:val="auto"/>
          <w:sz w:val="22"/>
          <w:szCs w:val="22"/>
          <w:highlight w:val="none"/>
        </w:rPr>
      </w:pPr>
    </w:p>
    <w:p w14:paraId="5D3E346A">
      <w:pPr>
        <w:widowControl/>
        <w:spacing w:line="460" w:lineRule="exact"/>
        <w:ind w:firstLine="440"/>
        <w:jc w:val="left"/>
        <w:rPr>
          <w:rFonts w:cs="Courier New" w:asciiTheme="majorEastAsia" w:hAnsiTheme="majorEastAsia" w:eastAsiaTheme="majorEastAsia"/>
          <w:color w:val="auto"/>
          <w:sz w:val="22"/>
          <w:szCs w:val="22"/>
          <w:highlight w:val="none"/>
        </w:rPr>
      </w:pPr>
      <w:r>
        <w:rPr>
          <w:rFonts w:hint="eastAsia" w:cs="Courier New" w:asciiTheme="majorEastAsia" w:hAnsiTheme="majorEastAsia" w:eastAsiaTheme="majorEastAsia"/>
          <w:color w:val="auto"/>
          <w:sz w:val="22"/>
          <w:szCs w:val="22"/>
          <w:highlight w:val="none"/>
          <w:lang w:eastAsia="zh-CN"/>
        </w:rPr>
        <w:t>投标人</w:t>
      </w:r>
      <w:r>
        <w:rPr>
          <w:rFonts w:cs="Courier New" w:asciiTheme="majorEastAsia" w:hAnsiTheme="majorEastAsia" w:eastAsiaTheme="majorEastAsia"/>
          <w:color w:val="auto"/>
          <w:sz w:val="22"/>
          <w:szCs w:val="22"/>
          <w:highlight w:val="none"/>
        </w:rPr>
        <w:t>（盖章） ：</w:t>
      </w:r>
    </w:p>
    <w:p w14:paraId="13312B5B">
      <w:pPr>
        <w:spacing w:line="460" w:lineRule="atLeast"/>
        <w:ind w:firstLine="440"/>
        <w:rPr>
          <w:rFonts w:asciiTheme="majorEastAsia" w:hAnsiTheme="majorEastAsia" w:eastAsiaTheme="majorEastAsia"/>
          <w:color w:val="auto"/>
          <w:sz w:val="36"/>
          <w:highlight w:val="none"/>
        </w:rPr>
      </w:pPr>
      <w:r>
        <w:rPr>
          <w:rFonts w:cs="Courier New" w:asciiTheme="majorEastAsia" w:hAnsiTheme="majorEastAsia" w:eastAsiaTheme="majorEastAsia"/>
          <w:color w:val="auto"/>
          <w:sz w:val="22"/>
          <w:szCs w:val="22"/>
          <w:highlight w:val="none"/>
        </w:rPr>
        <w:t>日期：</w:t>
      </w:r>
    </w:p>
    <w:p w14:paraId="16F38F1F">
      <w:pPr>
        <w:widowControl/>
        <w:snapToGrid w:val="0"/>
        <w:spacing w:line="460" w:lineRule="exact"/>
        <w:ind w:firstLine="440" w:firstLineChars="200"/>
        <w:jc w:val="left"/>
        <w:rPr>
          <w:rFonts w:cs="Courier New" w:asciiTheme="majorEastAsia" w:hAnsiTheme="majorEastAsia" w:eastAsiaTheme="majorEastAsia"/>
          <w:color w:val="auto"/>
          <w:sz w:val="22"/>
          <w:szCs w:val="22"/>
          <w:highlight w:val="none"/>
        </w:rPr>
      </w:pPr>
    </w:p>
    <w:p w14:paraId="13FC1326">
      <w:pPr>
        <w:widowControl/>
        <w:spacing w:line="460" w:lineRule="atLeast"/>
        <w:jc w:val="left"/>
        <w:rPr>
          <w:rFonts w:asciiTheme="majorEastAsia" w:hAnsiTheme="majorEastAsia" w:eastAsiaTheme="majorEastAsia"/>
          <w:b/>
          <w:bCs/>
          <w:color w:val="auto"/>
          <w:sz w:val="22"/>
          <w:szCs w:val="22"/>
          <w:highlight w:val="none"/>
        </w:rPr>
      </w:pPr>
      <w:bookmarkStart w:id="347" w:name="_Toc509485354"/>
      <w:r>
        <w:rPr>
          <w:rFonts w:asciiTheme="majorEastAsia" w:hAnsiTheme="majorEastAsia" w:eastAsiaTheme="majorEastAsia"/>
          <w:color w:val="auto"/>
          <w:sz w:val="22"/>
          <w:szCs w:val="22"/>
          <w:highlight w:val="none"/>
        </w:rPr>
        <w:br w:type="page"/>
      </w:r>
      <w:r>
        <w:rPr>
          <w:rFonts w:hint="eastAsia" w:asciiTheme="majorEastAsia" w:hAnsiTheme="majorEastAsia" w:eastAsiaTheme="majorEastAsia"/>
          <w:b/>
          <w:color w:val="auto"/>
          <w:sz w:val="22"/>
          <w:szCs w:val="22"/>
          <w:highlight w:val="none"/>
        </w:rPr>
        <w:t>附件</w:t>
      </w:r>
      <w:bookmarkEnd w:id="347"/>
      <w:r>
        <w:rPr>
          <w:rFonts w:hint="eastAsia" w:asciiTheme="majorEastAsia" w:hAnsiTheme="majorEastAsia" w:eastAsiaTheme="majorEastAsia"/>
          <w:b/>
          <w:color w:val="auto"/>
          <w:sz w:val="22"/>
          <w:szCs w:val="22"/>
          <w:highlight w:val="none"/>
        </w:rPr>
        <w:t>三</w:t>
      </w:r>
    </w:p>
    <w:p w14:paraId="3F5085D3">
      <w:pPr>
        <w:pStyle w:val="40"/>
        <w:rPr>
          <w:rFonts w:asciiTheme="majorEastAsia" w:hAnsiTheme="majorEastAsia" w:eastAsiaTheme="majorEastAsia"/>
          <w:color w:val="auto"/>
          <w:highlight w:val="none"/>
        </w:rPr>
      </w:pPr>
      <w:bookmarkStart w:id="348" w:name="_Toc15893"/>
      <w:bookmarkStart w:id="349" w:name="_Toc491606420"/>
      <w:bookmarkStart w:id="350" w:name="_Toc459361857"/>
      <w:bookmarkStart w:id="351" w:name="_Toc9334951"/>
      <w:bookmarkStart w:id="352" w:name="_Toc402361081"/>
      <w:bookmarkStart w:id="353" w:name="_Toc430717503"/>
      <w:bookmarkStart w:id="354" w:name="_Toc404262445"/>
      <w:bookmarkStart w:id="355" w:name="_Toc511045483"/>
      <w:bookmarkStart w:id="356" w:name="_Toc42678618"/>
      <w:bookmarkStart w:id="357" w:name="_Toc19204522"/>
      <w:bookmarkStart w:id="358" w:name="_Toc518512536"/>
      <w:bookmarkStart w:id="359" w:name="_Toc96970928"/>
      <w:bookmarkStart w:id="360" w:name="_Toc65830027"/>
      <w:bookmarkStart w:id="361" w:name="_Toc42678697"/>
      <w:bookmarkStart w:id="362" w:name="_Toc68187558"/>
      <w:bookmarkStart w:id="363" w:name="_Toc459450868"/>
      <w:bookmarkStart w:id="364" w:name="_Toc61444218"/>
      <w:bookmarkStart w:id="365" w:name="_Toc97033070"/>
      <w:bookmarkStart w:id="366" w:name="_Toc410055446"/>
      <w:bookmarkStart w:id="367" w:name="_Toc402360964"/>
      <w:bookmarkStart w:id="368" w:name="_Toc7382"/>
      <w:bookmarkStart w:id="369" w:name="_Toc42243289"/>
      <w:bookmarkStart w:id="370" w:name="_Toc87518415"/>
      <w:bookmarkStart w:id="371" w:name="_Toc427581337"/>
      <w:bookmarkStart w:id="372" w:name="_Toc496618934"/>
      <w:bookmarkStart w:id="373" w:name="_Toc65590099"/>
      <w:bookmarkStart w:id="374" w:name="_Toc42678186"/>
      <w:bookmarkStart w:id="375" w:name="_Toc42678031"/>
      <w:bookmarkStart w:id="376" w:name="_Toc68188794"/>
      <w:bookmarkStart w:id="377" w:name="_Toc68189108"/>
      <w:bookmarkStart w:id="378" w:name="_Toc522469121"/>
      <w:bookmarkStart w:id="379" w:name="_Toc438150553"/>
      <w:bookmarkStart w:id="380" w:name="_Toc87518592"/>
      <w:bookmarkStart w:id="381" w:name="_Toc26971"/>
      <w:bookmarkStart w:id="382" w:name="_Toc855"/>
      <w:bookmarkStart w:id="383" w:name="_Toc65830023"/>
      <w:bookmarkStart w:id="384" w:name="_Toc42243285"/>
      <w:bookmarkStart w:id="385" w:name="_Toc42678693"/>
      <w:bookmarkStart w:id="386" w:name="_Toc65590095"/>
      <w:r>
        <w:rPr>
          <w:rFonts w:hint="eastAsia" w:asciiTheme="majorEastAsia" w:hAnsiTheme="majorEastAsia" w:eastAsiaTheme="majorEastAsia"/>
          <w:color w:val="auto"/>
          <w:highlight w:val="none"/>
        </w:rPr>
        <w:t>法定代表人授权书</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502EA517">
      <w:pPr>
        <w:spacing w:line="460" w:lineRule="exact"/>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永嘉县人民医院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7A2E9F46">
      <w:pPr>
        <w:pStyle w:val="17"/>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永嘉县中医医院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4080E5A3">
      <w:pPr>
        <w:spacing w:line="480" w:lineRule="auto"/>
        <w:ind w:firstLine="440" w:firstLineChars="200"/>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本授权委托书声明：我</w:t>
      </w:r>
      <w:r>
        <w:rPr>
          <w:rFonts w:hint="eastAsia" w:asciiTheme="majorEastAsia" w:hAnsiTheme="majorEastAsia" w:eastAsiaTheme="majorEastAsia"/>
          <w:color w:val="auto"/>
          <w:sz w:val="22"/>
          <w:szCs w:val="22"/>
          <w:highlight w:val="none"/>
          <w:u w:val="single"/>
        </w:rPr>
        <w:t xml:space="preserve">   （法定代表人姓名）   </w:t>
      </w:r>
      <w:r>
        <w:rPr>
          <w:rFonts w:hint="eastAsia" w:asciiTheme="majorEastAsia" w:hAnsiTheme="majorEastAsia" w:eastAsiaTheme="majorEastAsia"/>
          <w:color w:val="auto"/>
          <w:sz w:val="22"/>
          <w:szCs w:val="22"/>
          <w:highlight w:val="none"/>
        </w:rPr>
        <w:t>系</w:t>
      </w:r>
      <w:r>
        <w:rPr>
          <w:rFonts w:hint="eastAsia" w:asciiTheme="majorEastAsia" w:hAnsiTheme="majorEastAsia" w:eastAsiaTheme="majorEastAsia"/>
          <w:color w:val="auto"/>
          <w:sz w:val="22"/>
          <w:szCs w:val="22"/>
          <w:highlight w:val="none"/>
          <w:u w:val="single"/>
        </w:rPr>
        <w:t xml:space="preserve">   （供 应 商 名 称）  </w:t>
      </w:r>
      <w:r>
        <w:rPr>
          <w:rFonts w:hint="eastAsia" w:asciiTheme="majorEastAsia" w:hAnsiTheme="majorEastAsia" w:eastAsiaTheme="majorEastAsia"/>
          <w:color w:val="auto"/>
          <w:sz w:val="22"/>
          <w:szCs w:val="22"/>
          <w:highlight w:val="none"/>
        </w:rPr>
        <w:t>的法定代表人，现授权委托</w:t>
      </w:r>
      <w:r>
        <w:rPr>
          <w:rFonts w:hint="eastAsia" w:asciiTheme="majorEastAsia" w:hAnsiTheme="majorEastAsia" w:eastAsiaTheme="majorEastAsia"/>
          <w:color w:val="auto"/>
          <w:sz w:val="22"/>
          <w:szCs w:val="22"/>
          <w:highlight w:val="none"/>
          <w:u w:val="single"/>
        </w:rPr>
        <w:t xml:space="preserve">  （单 位 名 称）   </w:t>
      </w:r>
      <w:r>
        <w:rPr>
          <w:rFonts w:hint="eastAsia" w:asciiTheme="majorEastAsia" w:hAnsiTheme="majorEastAsia" w:eastAsiaTheme="majorEastAsia"/>
          <w:color w:val="auto"/>
          <w:sz w:val="22"/>
          <w:szCs w:val="22"/>
          <w:highlight w:val="none"/>
        </w:rPr>
        <w:t>的</w:t>
      </w:r>
      <w:r>
        <w:rPr>
          <w:rFonts w:hint="eastAsia" w:asciiTheme="majorEastAsia" w:hAnsiTheme="majorEastAsia" w:eastAsiaTheme="majorEastAsia"/>
          <w:color w:val="auto"/>
          <w:sz w:val="22"/>
          <w:szCs w:val="22"/>
          <w:highlight w:val="none"/>
          <w:u w:val="single"/>
        </w:rPr>
        <w:t xml:space="preserve">  （授权代表姓名）  </w:t>
      </w:r>
      <w:r>
        <w:rPr>
          <w:rFonts w:hint="eastAsia" w:asciiTheme="majorEastAsia" w:hAnsiTheme="majorEastAsia" w:eastAsiaTheme="majorEastAsia"/>
          <w:color w:val="auto"/>
          <w:sz w:val="22"/>
          <w:szCs w:val="22"/>
          <w:highlight w:val="none"/>
        </w:rPr>
        <w:t>为我公司法定代表人授权代表，参加贵处组织的</w:t>
      </w:r>
      <w:r>
        <w:rPr>
          <w:rFonts w:hint="eastAsia" w:asciiTheme="majorEastAsia" w:hAnsiTheme="majorEastAsia" w:eastAsiaTheme="majorEastAsia"/>
          <w:color w:val="auto"/>
          <w:sz w:val="22"/>
          <w:szCs w:val="22"/>
          <w:highlight w:val="none"/>
          <w:u w:val="single"/>
        </w:rPr>
        <w:t xml:space="preserve">  （招标项目名称，括号中填写项目编号）  </w:t>
      </w:r>
      <w:r>
        <w:rPr>
          <w:rFonts w:hint="eastAsia" w:asciiTheme="majorEastAsia" w:hAnsiTheme="majorEastAsia" w:eastAsiaTheme="majorEastAsia"/>
          <w:color w:val="auto"/>
          <w:sz w:val="22"/>
          <w:szCs w:val="22"/>
          <w:highlight w:val="none"/>
        </w:rPr>
        <w:t>项目投标，全权处理本次招投标活动中的一切事宜，我承认授权代表全权代表我所签署的本项目的投标文件的内容。</w:t>
      </w:r>
    </w:p>
    <w:p w14:paraId="6568AA03">
      <w:pPr>
        <w:spacing w:line="480" w:lineRule="auto"/>
        <w:ind w:firstLine="440" w:firstLineChars="200"/>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授权代表无转授权，特此授权</w:t>
      </w:r>
    </w:p>
    <w:p w14:paraId="0393FBE2">
      <w:pPr>
        <w:spacing w:line="480" w:lineRule="auto"/>
        <w:ind w:left="2100" w:leftChars="1000" w:firstLine="440" w:firstLineChars="200"/>
        <w:rPr>
          <w:rFonts w:asciiTheme="majorEastAsia" w:hAnsiTheme="majorEastAsia" w:eastAsiaTheme="majorEastAsia"/>
          <w:color w:val="auto"/>
          <w:sz w:val="22"/>
          <w:szCs w:val="22"/>
          <w:highlight w:val="none"/>
          <w:u w:val="single"/>
        </w:rPr>
      </w:pPr>
      <w:r>
        <w:rPr>
          <w:rFonts w:hint="eastAsia" w:asciiTheme="majorEastAsia" w:hAnsiTheme="majorEastAsia" w:eastAsiaTheme="majorEastAsia"/>
          <w:color w:val="auto"/>
          <w:sz w:val="22"/>
          <w:szCs w:val="22"/>
          <w:highlight w:val="none"/>
        </w:rPr>
        <w:t>授权代表： 性别 ：</w:t>
      </w:r>
    </w:p>
    <w:p w14:paraId="290DB892">
      <w:pPr>
        <w:spacing w:line="480" w:lineRule="auto"/>
        <w:ind w:left="2100" w:leftChars="1000" w:firstLine="440" w:firstLineChars="200"/>
        <w:rPr>
          <w:rFonts w:asciiTheme="majorEastAsia" w:hAnsiTheme="majorEastAsia" w:eastAsiaTheme="majorEastAsia"/>
          <w:color w:val="auto"/>
          <w:sz w:val="22"/>
          <w:szCs w:val="22"/>
          <w:highlight w:val="none"/>
          <w:u w:val="single"/>
        </w:rPr>
      </w:pPr>
      <w:r>
        <w:rPr>
          <w:rFonts w:hint="eastAsia" w:asciiTheme="majorEastAsia" w:hAnsiTheme="majorEastAsia" w:eastAsiaTheme="majorEastAsia"/>
          <w:color w:val="auto"/>
          <w:sz w:val="22"/>
          <w:szCs w:val="22"/>
          <w:highlight w:val="none"/>
        </w:rPr>
        <w:t>职务：年龄：</w:t>
      </w:r>
    </w:p>
    <w:p w14:paraId="2BD395BF">
      <w:pPr>
        <w:spacing w:line="480" w:lineRule="auto"/>
        <w:ind w:left="2100" w:leftChars="1000" w:firstLine="440" w:firstLineChars="200"/>
        <w:rPr>
          <w:rFonts w:asciiTheme="majorEastAsia" w:hAnsiTheme="majorEastAsia" w:eastAsiaTheme="majorEastAsia"/>
          <w:color w:val="auto"/>
          <w:sz w:val="22"/>
          <w:szCs w:val="22"/>
          <w:highlight w:val="none"/>
          <w:u w:val="single"/>
        </w:rPr>
      </w:pPr>
      <w:r>
        <w:rPr>
          <w:rFonts w:hint="eastAsia" w:asciiTheme="majorEastAsia" w:hAnsiTheme="majorEastAsia" w:eastAsiaTheme="majorEastAsia"/>
          <w:color w:val="auto"/>
          <w:sz w:val="22"/>
          <w:szCs w:val="22"/>
          <w:highlight w:val="none"/>
        </w:rPr>
        <w:t>详细通讯地址： 邮政编码：</w:t>
      </w:r>
    </w:p>
    <w:p w14:paraId="02A34671">
      <w:pPr>
        <w:spacing w:line="480" w:lineRule="auto"/>
        <w:ind w:left="1" w:firstLine="2510" w:firstLineChars="1141"/>
        <w:rPr>
          <w:rFonts w:asciiTheme="majorEastAsia" w:hAnsiTheme="majorEastAsia" w:eastAsiaTheme="majorEastAsia"/>
          <w:color w:val="auto"/>
          <w:sz w:val="22"/>
          <w:szCs w:val="22"/>
          <w:highlight w:val="none"/>
          <w:u w:val="single"/>
        </w:rPr>
      </w:pPr>
      <w:r>
        <w:rPr>
          <w:rFonts w:hint="eastAsia" w:asciiTheme="majorEastAsia" w:hAnsiTheme="majorEastAsia" w:eastAsiaTheme="majorEastAsia"/>
          <w:color w:val="auto"/>
          <w:sz w:val="22"/>
          <w:szCs w:val="22"/>
          <w:highlight w:val="none"/>
        </w:rPr>
        <w:t>电话： 传真：</w:t>
      </w:r>
    </w:p>
    <w:p w14:paraId="50E7C56B">
      <w:pPr>
        <w:spacing w:line="480" w:lineRule="auto"/>
        <w:ind w:left="1" w:firstLine="422" w:firstLineChars="192"/>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 xml:space="preserve">                   </w:t>
      </w:r>
      <w:r>
        <w:rPr>
          <w:rFonts w:hint="eastAsia" w:asciiTheme="majorEastAsia" w:hAnsiTheme="majorEastAsia" w:eastAsiaTheme="majorEastAsia"/>
          <w:color w:val="auto"/>
          <w:sz w:val="22"/>
          <w:szCs w:val="22"/>
          <w:highlight w:val="none"/>
          <w:lang w:eastAsia="zh-CN"/>
        </w:rPr>
        <w:t>投标人</w:t>
      </w:r>
      <w:r>
        <w:rPr>
          <w:rFonts w:hint="eastAsia" w:asciiTheme="majorEastAsia" w:hAnsiTheme="majorEastAsia" w:eastAsiaTheme="majorEastAsia"/>
          <w:color w:val="auto"/>
          <w:sz w:val="22"/>
          <w:szCs w:val="22"/>
          <w:highlight w:val="none"/>
        </w:rPr>
        <w:t>：</w:t>
      </w:r>
      <w:r>
        <w:rPr>
          <w:rFonts w:hint="eastAsia" w:asciiTheme="majorEastAsia" w:hAnsiTheme="majorEastAsia" w:eastAsiaTheme="majorEastAsia"/>
          <w:color w:val="auto"/>
          <w:sz w:val="22"/>
          <w:szCs w:val="22"/>
          <w:highlight w:val="none"/>
          <w:u w:val="single"/>
        </w:rPr>
        <w:t xml:space="preserve">                              （盖章）</w:t>
      </w:r>
    </w:p>
    <w:p w14:paraId="46F49F49">
      <w:pPr>
        <w:spacing w:line="480" w:lineRule="auto"/>
        <w:ind w:left="2100" w:right="440"/>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 xml:space="preserve">   法定代表人：</w:t>
      </w:r>
      <w:r>
        <w:rPr>
          <w:rFonts w:hint="eastAsia" w:asciiTheme="majorEastAsia" w:hAnsiTheme="majorEastAsia" w:eastAsiaTheme="majorEastAsia"/>
          <w:color w:val="auto"/>
          <w:sz w:val="22"/>
          <w:szCs w:val="22"/>
          <w:highlight w:val="none"/>
          <w:u w:val="single"/>
        </w:rPr>
        <w:t xml:space="preserve">                        （签字或盖章）</w:t>
      </w:r>
    </w:p>
    <w:p w14:paraId="7D2B7F17">
      <w:pPr>
        <w:spacing w:line="480" w:lineRule="auto"/>
        <w:ind w:right="440" w:firstLine="3300" w:firstLineChars="1500"/>
        <w:jc w:val="righ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授权委托日期：   年    月   日</w:t>
      </w:r>
    </w:p>
    <w:tbl>
      <w:tblPr>
        <w:tblStyle w:val="43"/>
        <w:tblW w:w="7720" w:type="dxa"/>
        <w:tblInd w:w="3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0"/>
      </w:tblGrid>
      <w:tr w14:paraId="0424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atLeast"/>
        </w:trPr>
        <w:tc>
          <w:tcPr>
            <w:tcW w:w="7720" w:type="dxa"/>
          </w:tcPr>
          <w:p w14:paraId="5ABE2967">
            <w:pPr>
              <w:pStyle w:val="25"/>
              <w:spacing w:line="440" w:lineRule="atLeast"/>
              <w:rPr>
                <w:rFonts w:asciiTheme="majorEastAsia" w:hAnsiTheme="majorEastAsia" w:eastAsiaTheme="majorEastAsia"/>
                <w:b/>
                <w:color w:val="auto"/>
                <w:sz w:val="36"/>
                <w:highlight w:val="none"/>
              </w:rPr>
            </w:pPr>
          </w:p>
          <w:p w14:paraId="4296D8E3">
            <w:pPr>
              <w:pStyle w:val="25"/>
              <w:spacing w:line="440" w:lineRule="atLeast"/>
              <w:jc w:val="center"/>
              <w:rPr>
                <w:rFonts w:asciiTheme="majorEastAsia" w:hAnsiTheme="majorEastAsia" w:eastAsiaTheme="majorEastAsia"/>
                <w:b/>
                <w:color w:val="auto"/>
                <w:sz w:val="36"/>
                <w:highlight w:val="none"/>
              </w:rPr>
            </w:pPr>
          </w:p>
          <w:p w14:paraId="43958648">
            <w:pPr>
              <w:pStyle w:val="25"/>
              <w:spacing w:line="440" w:lineRule="atLeast"/>
              <w:jc w:val="center"/>
              <w:rPr>
                <w:rFonts w:asciiTheme="majorEastAsia" w:hAnsiTheme="majorEastAsia" w:eastAsiaTheme="majorEastAsia"/>
                <w:b/>
                <w:color w:val="auto"/>
                <w:sz w:val="36"/>
                <w:highlight w:val="none"/>
              </w:rPr>
            </w:pPr>
          </w:p>
          <w:p w14:paraId="0206FD20">
            <w:pPr>
              <w:pStyle w:val="25"/>
              <w:spacing w:line="440" w:lineRule="atLeast"/>
              <w:jc w:val="center"/>
              <w:rPr>
                <w:rFonts w:asciiTheme="majorEastAsia" w:hAnsiTheme="majorEastAsia" w:eastAsiaTheme="majorEastAsia"/>
                <w:b/>
                <w:color w:val="auto"/>
                <w:sz w:val="36"/>
                <w:highlight w:val="none"/>
              </w:rPr>
            </w:pPr>
          </w:p>
          <w:p w14:paraId="64004163">
            <w:pPr>
              <w:pStyle w:val="25"/>
              <w:spacing w:line="440" w:lineRule="atLeast"/>
              <w:jc w:val="center"/>
              <w:rPr>
                <w:rFonts w:asciiTheme="majorEastAsia" w:hAnsiTheme="majorEastAsia" w:eastAsiaTheme="majorEastAsia"/>
                <w:b/>
                <w:color w:val="auto"/>
                <w:sz w:val="36"/>
                <w:highlight w:val="none"/>
              </w:rPr>
            </w:pPr>
            <w:r>
              <w:rPr>
                <w:rFonts w:hint="eastAsia" w:asciiTheme="majorEastAsia" w:hAnsiTheme="majorEastAsia" w:eastAsiaTheme="majorEastAsia"/>
                <w:color w:val="auto"/>
                <w:sz w:val="36"/>
                <w:highlight w:val="none"/>
              </w:rPr>
              <w:t>（授权代表身份证扫描件或影印件）</w:t>
            </w:r>
          </w:p>
          <w:p w14:paraId="3875A04D">
            <w:pPr>
              <w:pStyle w:val="25"/>
              <w:spacing w:line="440" w:lineRule="atLeast"/>
              <w:ind w:left="5271" w:firstLine="1084" w:firstLineChars="300"/>
              <w:rPr>
                <w:rFonts w:asciiTheme="majorEastAsia" w:hAnsiTheme="majorEastAsia" w:eastAsiaTheme="majorEastAsia"/>
                <w:b/>
                <w:color w:val="auto"/>
                <w:sz w:val="36"/>
                <w:highlight w:val="none"/>
              </w:rPr>
            </w:pPr>
          </w:p>
        </w:tc>
      </w:tr>
    </w:tbl>
    <w:p w14:paraId="15355700">
      <w:pPr>
        <w:rPr>
          <w:rFonts w:asciiTheme="majorEastAsia" w:hAnsiTheme="majorEastAsia" w:eastAsiaTheme="majorEastAsia"/>
          <w:color w:val="auto"/>
          <w:highlight w:val="none"/>
        </w:rPr>
      </w:pPr>
      <w:bookmarkStart w:id="387" w:name="_Toc3526"/>
      <w:r>
        <w:rPr>
          <w:rFonts w:hint="eastAsia" w:asciiTheme="majorEastAsia" w:hAnsiTheme="majorEastAsia" w:eastAsiaTheme="majorEastAsia"/>
          <w:color w:val="auto"/>
          <w:highlight w:val="none"/>
        </w:rPr>
        <w:br w:type="page"/>
      </w:r>
    </w:p>
    <w:p w14:paraId="4B064347">
      <w:pPr>
        <w:pStyle w:val="4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二、报价文件部分格式</w:t>
      </w:r>
      <w:bookmarkEnd w:id="383"/>
      <w:bookmarkEnd w:id="384"/>
      <w:bookmarkEnd w:id="385"/>
      <w:bookmarkEnd w:id="386"/>
      <w:bookmarkEnd w:id="387"/>
    </w:p>
    <w:p w14:paraId="7E16296F">
      <w:pPr>
        <w:widowControl/>
        <w:spacing w:line="460" w:lineRule="atLeast"/>
        <w:jc w:val="left"/>
        <w:rPr>
          <w:rFonts w:asciiTheme="majorEastAsia" w:hAnsiTheme="majorEastAsia" w:eastAsiaTheme="majorEastAsia"/>
          <w:b/>
          <w:bCs/>
          <w:color w:val="auto"/>
          <w:sz w:val="22"/>
          <w:szCs w:val="22"/>
          <w:highlight w:val="none"/>
        </w:rPr>
      </w:pPr>
      <w:r>
        <w:rPr>
          <w:rFonts w:hint="eastAsia" w:asciiTheme="majorEastAsia" w:hAnsiTheme="majorEastAsia" w:eastAsiaTheme="majorEastAsia"/>
          <w:b/>
          <w:color w:val="auto"/>
          <w:sz w:val="22"/>
          <w:szCs w:val="22"/>
          <w:highlight w:val="none"/>
        </w:rPr>
        <w:t>附</w:t>
      </w:r>
      <w:bookmarkStart w:id="388" w:name="_Toc413747701"/>
      <w:r>
        <w:rPr>
          <w:rFonts w:hint="eastAsia" w:asciiTheme="majorEastAsia" w:hAnsiTheme="majorEastAsia" w:eastAsiaTheme="majorEastAsia"/>
          <w:b/>
          <w:color w:val="auto"/>
          <w:sz w:val="22"/>
          <w:szCs w:val="22"/>
          <w:highlight w:val="none"/>
        </w:rPr>
        <w:t>件</w:t>
      </w:r>
      <w:bookmarkEnd w:id="388"/>
      <w:r>
        <w:rPr>
          <w:rFonts w:hint="eastAsia" w:asciiTheme="majorEastAsia" w:hAnsiTheme="majorEastAsia" w:eastAsiaTheme="majorEastAsia"/>
          <w:b/>
          <w:color w:val="auto"/>
          <w:sz w:val="22"/>
          <w:szCs w:val="22"/>
          <w:highlight w:val="none"/>
        </w:rPr>
        <w:t>四</w:t>
      </w:r>
    </w:p>
    <w:p w14:paraId="4B8C8DC9">
      <w:pPr>
        <w:pStyle w:val="40"/>
        <w:rPr>
          <w:rFonts w:asciiTheme="majorEastAsia" w:hAnsiTheme="majorEastAsia" w:eastAsiaTheme="majorEastAsia"/>
          <w:color w:val="auto"/>
          <w:sz w:val="22"/>
          <w:szCs w:val="22"/>
          <w:highlight w:val="none"/>
        </w:rPr>
      </w:pPr>
      <w:bookmarkStart w:id="389" w:name="_Toc42678183"/>
      <w:bookmarkStart w:id="390" w:name="_Toc87518417"/>
      <w:bookmarkStart w:id="391" w:name="_Toc19204519"/>
      <w:bookmarkStart w:id="392" w:name="_Toc68187555"/>
      <w:bookmarkStart w:id="393" w:name="_Toc65590096"/>
      <w:bookmarkStart w:id="394" w:name="_Toc22422"/>
      <w:bookmarkStart w:id="395" w:name="_Toc42678694"/>
      <w:bookmarkStart w:id="396" w:name="_Toc97033072"/>
      <w:bookmarkStart w:id="397" w:name="_Toc522469114"/>
      <w:bookmarkStart w:id="398" w:name="_Toc518512529"/>
      <w:bookmarkStart w:id="399" w:name="_Toc68188791"/>
      <w:bookmarkStart w:id="400" w:name="_Toc42678028"/>
      <w:bookmarkStart w:id="401" w:name="_Toc61444215"/>
      <w:bookmarkStart w:id="402" w:name="_Toc9334945"/>
      <w:bookmarkStart w:id="403" w:name="_Toc42678615"/>
      <w:bookmarkStart w:id="404" w:name="_Toc65830024"/>
      <w:bookmarkStart w:id="405" w:name="_Toc42243286"/>
      <w:bookmarkStart w:id="406" w:name="_Toc20005"/>
      <w:bookmarkStart w:id="407" w:name="_Toc87518594"/>
      <w:bookmarkStart w:id="408" w:name="_Toc10399"/>
      <w:bookmarkStart w:id="409" w:name="_Toc68189105"/>
      <w:bookmarkStart w:id="410" w:name="_Toc511045476"/>
      <w:bookmarkStart w:id="411" w:name="_Toc96970930"/>
      <w:bookmarkStart w:id="412" w:name="_Toc496618930"/>
      <w:bookmarkStart w:id="413" w:name="_Toc7030"/>
      <w:r>
        <w:rPr>
          <w:rFonts w:hint="eastAsia" w:asciiTheme="majorEastAsia" w:hAnsiTheme="majorEastAsia" w:eastAsiaTheme="majorEastAsia"/>
          <w:color w:val="auto"/>
          <w:sz w:val="22"/>
          <w:szCs w:val="22"/>
          <w:highlight w:val="none"/>
        </w:rPr>
        <w:t>报价一览表</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4B301950">
      <w:pPr>
        <w:autoSpaceDE w:val="0"/>
        <w:autoSpaceDN w:val="0"/>
        <w:adjustRightInd w:val="0"/>
        <w:rPr>
          <w:rFonts w:asciiTheme="majorEastAsia" w:hAnsiTheme="majorEastAsia" w:eastAsiaTheme="majorEastAsia"/>
          <w:color w:val="auto"/>
          <w:sz w:val="22"/>
          <w:szCs w:val="22"/>
          <w:highlight w:val="none"/>
          <w:u w:val="single"/>
          <w:lang w:val="zh-CN"/>
        </w:rPr>
      </w:pPr>
      <w:r>
        <w:rPr>
          <w:rFonts w:hint="eastAsia" w:asciiTheme="majorEastAsia" w:hAnsiTheme="majorEastAsia" w:eastAsiaTheme="majorEastAsia"/>
          <w:color w:val="auto"/>
          <w:sz w:val="22"/>
          <w:szCs w:val="22"/>
          <w:highlight w:val="none"/>
          <w:lang w:val="zh-CN"/>
        </w:rPr>
        <w:t>投标人名称：采购编号：  报价单位：</w:t>
      </w:r>
      <w:r>
        <w:rPr>
          <w:rFonts w:hint="eastAsia" w:asciiTheme="majorEastAsia" w:hAnsiTheme="majorEastAsia" w:eastAsiaTheme="majorEastAsia"/>
          <w:color w:val="auto"/>
          <w:sz w:val="22"/>
          <w:szCs w:val="22"/>
          <w:highlight w:val="none"/>
          <w:u w:val="single"/>
          <w:lang w:val="zh-CN"/>
        </w:rPr>
        <w:t>人民币元</w:t>
      </w:r>
    </w:p>
    <w:tbl>
      <w:tblPr>
        <w:tblStyle w:val="4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1"/>
        <w:gridCol w:w="3422"/>
        <w:gridCol w:w="2117"/>
      </w:tblGrid>
      <w:tr w14:paraId="2C55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3181" w:type="dxa"/>
            <w:tcBorders>
              <w:right w:val="single" w:color="000000" w:sz="6" w:space="0"/>
            </w:tcBorders>
            <w:vAlign w:val="center"/>
          </w:tcPr>
          <w:p w14:paraId="1B10FF32">
            <w:pPr>
              <w:pStyle w:val="25"/>
              <w:snapToGrid w:val="0"/>
              <w:spacing w:line="460" w:lineRule="atLeast"/>
              <w:jc w:val="center"/>
              <w:rPr>
                <w:rFonts w:hAnsi="宋体"/>
                <w:b/>
                <w:color w:val="auto"/>
                <w:sz w:val="22"/>
                <w:szCs w:val="22"/>
                <w:highlight w:val="none"/>
              </w:rPr>
            </w:pPr>
            <w:r>
              <w:rPr>
                <w:rFonts w:hint="eastAsia" w:hAnsi="宋体"/>
                <w:color w:val="auto"/>
                <w:sz w:val="22"/>
                <w:szCs w:val="22"/>
                <w:highlight w:val="none"/>
              </w:rPr>
              <w:t>项目名称</w:t>
            </w:r>
          </w:p>
        </w:tc>
        <w:tc>
          <w:tcPr>
            <w:tcW w:w="3422" w:type="dxa"/>
            <w:tcBorders>
              <w:left w:val="single" w:color="auto" w:sz="4" w:space="0"/>
              <w:right w:val="single" w:color="000000" w:sz="4" w:space="0"/>
            </w:tcBorders>
            <w:vAlign w:val="center"/>
          </w:tcPr>
          <w:p w14:paraId="1E2D5D56">
            <w:pPr>
              <w:pStyle w:val="25"/>
              <w:snapToGrid w:val="0"/>
              <w:spacing w:line="460" w:lineRule="atLeast"/>
              <w:jc w:val="center"/>
              <w:rPr>
                <w:rFonts w:hAnsi="宋体"/>
                <w:b/>
                <w:color w:val="auto"/>
                <w:sz w:val="22"/>
                <w:szCs w:val="22"/>
                <w:highlight w:val="none"/>
              </w:rPr>
            </w:pPr>
            <w:r>
              <w:rPr>
                <w:rFonts w:hint="eastAsia" w:hAnsi="宋体"/>
                <w:color w:val="auto"/>
                <w:sz w:val="22"/>
                <w:szCs w:val="22"/>
                <w:highlight w:val="none"/>
              </w:rPr>
              <w:t>投标总价</w:t>
            </w:r>
          </w:p>
          <w:p w14:paraId="084CE516">
            <w:pPr>
              <w:pStyle w:val="25"/>
              <w:snapToGrid w:val="0"/>
              <w:spacing w:line="460" w:lineRule="atLeast"/>
              <w:jc w:val="center"/>
              <w:rPr>
                <w:rFonts w:hAnsi="宋体"/>
                <w:b/>
                <w:color w:val="auto"/>
                <w:sz w:val="22"/>
                <w:szCs w:val="22"/>
                <w:highlight w:val="none"/>
              </w:rPr>
            </w:pPr>
            <w:r>
              <w:rPr>
                <w:rFonts w:hint="eastAsia" w:hAnsi="宋体"/>
                <w:color w:val="auto"/>
                <w:sz w:val="22"/>
                <w:szCs w:val="22"/>
                <w:highlight w:val="none"/>
              </w:rPr>
              <w:t>（元人民币）</w:t>
            </w:r>
          </w:p>
        </w:tc>
        <w:tc>
          <w:tcPr>
            <w:tcW w:w="2117" w:type="dxa"/>
            <w:tcBorders>
              <w:left w:val="single" w:color="000000" w:sz="4" w:space="0"/>
              <w:right w:val="single" w:color="000000" w:sz="4" w:space="0"/>
            </w:tcBorders>
            <w:vAlign w:val="center"/>
          </w:tcPr>
          <w:p w14:paraId="1FDEA4AE">
            <w:pPr>
              <w:pStyle w:val="25"/>
              <w:jc w:val="center"/>
              <w:rPr>
                <w:rFonts w:hAnsi="宋体"/>
                <w:b/>
                <w:color w:val="auto"/>
                <w:sz w:val="22"/>
                <w:szCs w:val="22"/>
                <w:highlight w:val="none"/>
              </w:rPr>
            </w:pPr>
            <w:r>
              <w:rPr>
                <w:rFonts w:hint="eastAsia" w:hAnsi="宋体"/>
                <w:color w:val="auto"/>
                <w:sz w:val="22"/>
                <w:szCs w:val="22"/>
                <w:highlight w:val="none"/>
              </w:rPr>
              <w:t>备注</w:t>
            </w:r>
          </w:p>
        </w:tc>
      </w:tr>
      <w:tr w14:paraId="297F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8" w:hRule="atLeast"/>
        </w:trPr>
        <w:tc>
          <w:tcPr>
            <w:tcW w:w="3181" w:type="dxa"/>
            <w:tcBorders>
              <w:right w:val="single" w:color="000000" w:sz="6" w:space="0"/>
            </w:tcBorders>
            <w:vAlign w:val="center"/>
          </w:tcPr>
          <w:p w14:paraId="032EC663">
            <w:pPr>
              <w:pStyle w:val="25"/>
              <w:snapToGrid w:val="0"/>
              <w:spacing w:line="460" w:lineRule="atLeast"/>
              <w:jc w:val="center"/>
              <w:rPr>
                <w:rFonts w:hint="eastAsia" w:hAnsi="宋体" w:eastAsia="宋体"/>
                <w:b/>
                <w:color w:val="auto"/>
                <w:sz w:val="22"/>
                <w:szCs w:val="22"/>
                <w:highlight w:val="none"/>
                <w:lang w:eastAsia="zh-CN"/>
              </w:rPr>
            </w:pPr>
            <w:r>
              <w:rPr>
                <w:rFonts w:hint="eastAsia"/>
                <w:color w:val="auto"/>
                <w:sz w:val="22"/>
                <w:szCs w:val="22"/>
                <w:highlight w:val="none"/>
                <w:lang w:eastAsia="zh-CN"/>
              </w:rPr>
              <w:t>永嘉县医共体急诊平台建设</w:t>
            </w:r>
          </w:p>
        </w:tc>
        <w:tc>
          <w:tcPr>
            <w:tcW w:w="3422" w:type="dxa"/>
            <w:tcBorders>
              <w:left w:val="single" w:color="auto" w:sz="4" w:space="0"/>
              <w:right w:val="single" w:color="000000" w:sz="4" w:space="0"/>
            </w:tcBorders>
            <w:vAlign w:val="center"/>
          </w:tcPr>
          <w:p w14:paraId="0105507C">
            <w:pPr>
              <w:pStyle w:val="25"/>
              <w:spacing w:line="460" w:lineRule="atLeast"/>
              <w:rPr>
                <w:rFonts w:hAnsi="宋体"/>
                <w:b/>
                <w:color w:val="auto"/>
                <w:sz w:val="22"/>
                <w:szCs w:val="22"/>
                <w:highlight w:val="none"/>
              </w:rPr>
            </w:pPr>
            <w:r>
              <w:rPr>
                <w:rFonts w:hint="eastAsia" w:hAnsi="宋体"/>
                <w:color w:val="auto"/>
                <w:sz w:val="22"/>
                <w:szCs w:val="22"/>
                <w:highlight w:val="none"/>
              </w:rPr>
              <w:t>大写：</w:t>
            </w:r>
          </w:p>
          <w:p w14:paraId="33FBDCA0">
            <w:pPr>
              <w:pStyle w:val="25"/>
              <w:spacing w:line="460" w:lineRule="atLeast"/>
              <w:rPr>
                <w:rFonts w:hAnsi="宋体"/>
                <w:b/>
                <w:color w:val="auto"/>
                <w:sz w:val="22"/>
                <w:szCs w:val="22"/>
                <w:highlight w:val="none"/>
              </w:rPr>
            </w:pPr>
            <w:r>
              <w:rPr>
                <w:rFonts w:hint="eastAsia" w:hAnsi="宋体"/>
                <w:color w:val="auto"/>
                <w:sz w:val="22"/>
                <w:szCs w:val="22"/>
                <w:highlight w:val="none"/>
              </w:rPr>
              <w:t>小写：</w:t>
            </w:r>
          </w:p>
        </w:tc>
        <w:tc>
          <w:tcPr>
            <w:tcW w:w="2117" w:type="dxa"/>
            <w:tcBorders>
              <w:left w:val="single" w:color="000000" w:sz="4" w:space="0"/>
              <w:right w:val="single" w:color="000000" w:sz="4" w:space="0"/>
            </w:tcBorders>
            <w:vAlign w:val="center"/>
          </w:tcPr>
          <w:p w14:paraId="14178E73">
            <w:pPr>
              <w:pStyle w:val="25"/>
              <w:jc w:val="center"/>
              <w:rPr>
                <w:b/>
                <w:color w:val="auto"/>
                <w:sz w:val="22"/>
                <w:szCs w:val="22"/>
                <w:highlight w:val="none"/>
              </w:rPr>
            </w:pPr>
          </w:p>
        </w:tc>
      </w:tr>
    </w:tbl>
    <w:p w14:paraId="665A178A">
      <w:pPr>
        <w:tabs>
          <w:tab w:val="left" w:pos="540"/>
        </w:tabs>
        <w:spacing w:line="460" w:lineRule="exact"/>
        <w:rPr>
          <w:rFonts w:cs="宋体" w:asciiTheme="majorEastAsia" w:hAnsiTheme="majorEastAsia" w:eastAsiaTheme="majorEastAsia"/>
          <w:color w:val="auto"/>
          <w:sz w:val="22"/>
          <w:szCs w:val="22"/>
          <w:highlight w:val="none"/>
        </w:rPr>
      </w:pPr>
      <w:r>
        <w:rPr>
          <w:rFonts w:hint="eastAsia" w:cs="宋体" w:asciiTheme="majorEastAsia" w:hAnsiTheme="majorEastAsia" w:eastAsiaTheme="majorEastAsia"/>
          <w:color w:val="auto"/>
          <w:sz w:val="22"/>
          <w:szCs w:val="22"/>
          <w:highlight w:val="none"/>
        </w:rPr>
        <w:t>说明：</w:t>
      </w:r>
    </w:p>
    <w:p w14:paraId="397FCB25">
      <w:pPr>
        <w:autoSpaceDE w:val="0"/>
        <w:autoSpaceDN w:val="0"/>
        <w:adjustRightInd w:val="0"/>
        <w:spacing w:line="400" w:lineRule="atLeast"/>
        <w:ind w:left="400"/>
        <w:rPr>
          <w:rFonts w:cs="宋体" w:asciiTheme="majorEastAsia" w:hAnsiTheme="majorEastAsia" w:eastAsiaTheme="majorEastAsia"/>
          <w:b/>
          <w:bCs/>
          <w:color w:val="auto"/>
          <w:kern w:val="0"/>
          <w:sz w:val="22"/>
          <w:szCs w:val="22"/>
          <w:highlight w:val="none"/>
          <w:lang w:val="zh-CN"/>
        </w:rPr>
      </w:pPr>
    </w:p>
    <w:p w14:paraId="67A5F972">
      <w:pPr>
        <w:numPr>
          <w:ilvl w:val="0"/>
          <w:numId w:val="6"/>
        </w:numPr>
        <w:autoSpaceDE w:val="0"/>
        <w:autoSpaceDN w:val="0"/>
        <w:adjustRightInd w:val="0"/>
        <w:spacing w:line="400" w:lineRule="atLeast"/>
        <w:rPr>
          <w:rFonts w:cs="宋体" w:asciiTheme="majorEastAsia" w:hAnsiTheme="majorEastAsia" w:eastAsiaTheme="majorEastAsia"/>
          <w:b/>
          <w:bCs/>
          <w:color w:val="auto"/>
          <w:kern w:val="0"/>
          <w:sz w:val="22"/>
          <w:szCs w:val="22"/>
          <w:highlight w:val="none"/>
          <w:u w:val="wave"/>
          <w:lang w:val="zh-CN"/>
        </w:rPr>
      </w:pPr>
      <w:r>
        <w:rPr>
          <w:rFonts w:hint="eastAsia" w:cs="宋体" w:asciiTheme="majorEastAsia" w:hAnsiTheme="majorEastAsia" w:eastAsiaTheme="majorEastAsia"/>
          <w:b/>
          <w:color w:val="auto"/>
          <w:sz w:val="22"/>
          <w:szCs w:val="22"/>
          <w:highlight w:val="none"/>
          <w:u w:val="single"/>
        </w:rPr>
        <w:t>▲</w:t>
      </w:r>
      <w:r>
        <w:rPr>
          <w:rFonts w:hint="eastAsia" w:cs="宋体" w:asciiTheme="majorEastAsia" w:hAnsiTheme="majorEastAsia" w:eastAsiaTheme="majorEastAsia"/>
          <w:b/>
          <w:bCs/>
          <w:color w:val="auto"/>
          <w:sz w:val="22"/>
          <w:szCs w:val="22"/>
          <w:highlight w:val="none"/>
          <w:u w:val="single"/>
        </w:rPr>
        <w:t>不提供此表格将被视为没有实质性响应招标文件。</w:t>
      </w:r>
    </w:p>
    <w:p w14:paraId="2C40FE13">
      <w:pPr>
        <w:numPr>
          <w:ilvl w:val="0"/>
          <w:numId w:val="6"/>
        </w:numPr>
        <w:autoSpaceDE w:val="0"/>
        <w:autoSpaceDN w:val="0"/>
        <w:adjustRightInd w:val="0"/>
        <w:spacing w:line="400" w:lineRule="atLeast"/>
        <w:rPr>
          <w:rFonts w:cs="宋体" w:asciiTheme="majorEastAsia" w:hAnsiTheme="majorEastAsia" w:eastAsiaTheme="majorEastAsia"/>
          <w:b/>
          <w:bCs/>
          <w:color w:val="auto"/>
          <w:kern w:val="0"/>
          <w:sz w:val="22"/>
          <w:szCs w:val="22"/>
          <w:highlight w:val="none"/>
          <w:u w:val="single"/>
          <w:lang w:val="zh-CN"/>
        </w:rPr>
      </w:pPr>
      <w:r>
        <w:rPr>
          <w:rFonts w:hint="eastAsia" w:cs="宋体" w:asciiTheme="majorEastAsia" w:hAnsiTheme="majorEastAsia" w:eastAsiaTheme="majorEastAsia"/>
          <w:b/>
          <w:color w:val="auto"/>
          <w:sz w:val="22"/>
          <w:szCs w:val="22"/>
          <w:highlight w:val="none"/>
          <w:u w:val="single"/>
        </w:rPr>
        <w:t>▲</w:t>
      </w:r>
      <w:r>
        <w:rPr>
          <w:rFonts w:hint="eastAsia" w:cs="宋体" w:asciiTheme="majorEastAsia" w:hAnsiTheme="majorEastAsia" w:eastAsiaTheme="majorEastAsia"/>
          <w:b/>
          <w:bCs/>
          <w:color w:val="auto"/>
          <w:sz w:val="22"/>
          <w:szCs w:val="22"/>
          <w:highlight w:val="none"/>
          <w:u w:val="single"/>
        </w:rPr>
        <w:t>投标总价须与投标分项报价表中的总计价相一致。</w:t>
      </w:r>
    </w:p>
    <w:p w14:paraId="7640956F">
      <w:pPr>
        <w:autoSpaceDE w:val="0"/>
        <w:autoSpaceDN w:val="0"/>
        <w:adjustRightInd w:val="0"/>
        <w:spacing w:line="500" w:lineRule="atLeast"/>
        <w:rPr>
          <w:rFonts w:cs="仿宋_GB2312" w:asciiTheme="majorEastAsia" w:hAnsiTheme="majorEastAsia" w:eastAsiaTheme="majorEastAsia"/>
          <w:color w:val="auto"/>
          <w:sz w:val="30"/>
          <w:szCs w:val="30"/>
          <w:highlight w:val="none"/>
        </w:rPr>
      </w:pPr>
    </w:p>
    <w:p w14:paraId="79104DFA">
      <w:pPr>
        <w:widowControl/>
        <w:spacing w:line="460" w:lineRule="exact"/>
        <w:ind w:firstLine="440"/>
        <w:jc w:val="left"/>
        <w:rPr>
          <w:rFonts w:cs="Courier New" w:asciiTheme="majorEastAsia" w:hAnsiTheme="majorEastAsia" w:eastAsiaTheme="majorEastAsia"/>
          <w:color w:val="auto"/>
          <w:sz w:val="22"/>
          <w:szCs w:val="22"/>
          <w:highlight w:val="none"/>
        </w:rPr>
      </w:pPr>
      <w:r>
        <w:rPr>
          <w:rFonts w:hint="eastAsia" w:cs="Courier New" w:asciiTheme="majorEastAsia" w:hAnsiTheme="majorEastAsia" w:eastAsiaTheme="majorEastAsia"/>
          <w:color w:val="auto"/>
          <w:sz w:val="22"/>
          <w:szCs w:val="22"/>
          <w:highlight w:val="none"/>
          <w:lang w:eastAsia="zh-CN"/>
        </w:rPr>
        <w:t>投标人</w:t>
      </w:r>
      <w:r>
        <w:rPr>
          <w:rFonts w:cs="Courier New" w:asciiTheme="majorEastAsia" w:hAnsiTheme="majorEastAsia" w:eastAsiaTheme="majorEastAsia"/>
          <w:color w:val="auto"/>
          <w:sz w:val="22"/>
          <w:szCs w:val="22"/>
          <w:highlight w:val="none"/>
        </w:rPr>
        <w:t>（盖章） ：</w:t>
      </w:r>
    </w:p>
    <w:p w14:paraId="7FE3C5E0">
      <w:pPr>
        <w:spacing w:line="460" w:lineRule="atLeast"/>
        <w:ind w:firstLine="440"/>
        <w:rPr>
          <w:rFonts w:asciiTheme="majorEastAsia" w:hAnsiTheme="majorEastAsia" w:eastAsiaTheme="majorEastAsia"/>
          <w:color w:val="auto"/>
          <w:sz w:val="36"/>
          <w:highlight w:val="none"/>
        </w:rPr>
      </w:pPr>
      <w:r>
        <w:rPr>
          <w:rFonts w:cs="Courier New" w:asciiTheme="majorEastAsia" w:hAnsiTheme="majorEastAsia" w:eastAsiaTheme="majorEastAsia"/>
          <w:color w:val="auto"/>
          <w:sz w:val="22"/>
          <w:szCs w:val="22"/>
          <w:highlight w:val="none"/>
        </w:rPr>
        <w:t>日期：</w:t>
      </w:r>
    </w:p>
    <w:p w14:paraId="2E0D96A4">
      <w:pPr>
        <w:pStyle w:val="18"/>
        <w:ind w:firstLine="210"/>
        <w:rPr>
          <w:rFonts w:asciiTheme="majorEastAsia" w:hAnsiTheme="majorEastAsia" w:eastAsiaTheme="majorEastAsia"/>
          <w:color w:val="auto"/>
          <w:highlight w:val="none"/>
        </w:rPr>
      </w:pPr>
      <w:r>
        <w:rPr>
          <w:rFonts w:asciiTheme="majorEastAsia" w:hAnsiTheme="majorEastAsia" w:eastAsiaTheme="majorEastAsia"/>
          <w:color w:val="auto"/>
          <w:highlight w:val="none"/>
        </w:rPr>
        <w:br w:type="page"/>
      </w:r>
    </w:p>
    <w:p w14:paraId="3E017D06">
      <w:pPr>
        <w:widowControl/>
        <w:spacing w:line="460" w:lineRule="atLeast"/>
        <w:jc w:val="left"/>
        <w:rPr>
          <w:rFonts w:asciiTheme="majorEastAsia" w:hAnsiTheme="majorEastAsia" w:eastAsiaTheme="majorEastAsia"/>
          <w:b/>
          <w:bCs/>
          <w:color w:val="auto"/>
          <w:sz w:val="22"/>
          <w:szCs w:val="22"/>
          <w:highlight w:val="none"/>
        </w:rPr>
      </w:pPr>
      <w:r>
        <w:rPr>
          <w:rFonts w:hint="eastAsia" w:asciiTheme="majorEastAsia" w:hAnsiTheme="majorEastAsia" w:eastAsiaTheme="majorEastAsia"/>
          <w:b/>
          <w:color w:val="auto"/>
          <w:sz w:val="22"/>
          <w:szCs w:val="22"/>
          <w:highlight w:val="none"/>
        </w:rPr>
        <w:t>附件五</w:t>
      </w:r>
    </w:p>
    <w:p w14:paraId="38418666">
      <w:pPr>
        <w:autoSpaceDE w:val="0"/>
        <w:autoSpaceDN w:val="0"/>
        <w:adjustRightInd w:val="0"/>
        <w:spacing w:line="360" w:lineRule="atLeast"/>
        <w:ind w:right="220"/>
        <w:jc w:val="center"/>
        <w:textAlignment w:val="baseline"/>
        <w:rPr>
          <w:rFonts w:asciiTheme="majorEastAsia" w:hAnsiTheme="majorEastAsia" w:eastAsiaTheme="majorEastAsia"/>
          <w:b/>
          <w:color w:val="auto"/>
          <w:sz w:val="22"/>
          <w:highlight w:val="none"/>
        </w:rPr>
      </w:pPr>
      <w:r>
        <w:rPr>
          <w:rFonts w:hint="eastAsia" w:cs="宋体" w:asciiTheme="majorEastAsia" w:hAnsiTheme="majorEastAsia" w:eastAsiaTheme="majorEastAsia"/>
          <w:b/>
          <w:bCs/>
          <w:color w:val="auto"/>
          <w:kern w:val="0"/>
          <w:sz w:val="28"/>
          <w:szCs w:val="28"/>
          <w:highlight w:val="none"/>
          <w:lang w:val="zh-CN"/>
        </w:rPr>
        <w:t>投标分项报价表</w:t>
      </w:r>
    </w:p>
    <w:p w14:paraId="053146F8">
      <w:pPr>
        <w:spacing w:line="360" w:lineRule="exact"/>
        <w:jc w:val="right"/>
        <w:rPr>
          <w:rFonts w:ascii="宋体"/>
          <w:color w:val="auto"/>
          <w:sz w:val="22"/>
          <w:highlight w:val="none"/>
        </w:rPr>
      </w:pPr>
      <w:r>
        <w:rPr>
          <w:rFonts w:hint="eastAsia" w:ascii="宋体"/>
          <w:color w:val="auto"/>
          <w:sz w:val="22"/>
          <w:highlight w:val="none"/>
        </w:rPr>
        <w:t>（单位价格：元）</w:t>
      </w:r>
    </w:p>
    <w:tbl>
      <w:tblPr>
        <w:tblStyle w:val="43"/>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364"/>
        <w:gridCol w:w="3210"/>
        <w:gridCol w:w="1132"/>
        <w:gridCol w:w="1133"/>
        <w:gridCol w:w="1135"/>
      </w:tblGrid>
      <w:tr w14:paraId="46AF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43" w:type="dxa"/>
            <w:vAlign w:val="center"/>
          </w:tcPr>
          <w:p w14:paraId="33BA113F">
            <w:pPr>
              <w:jc w:val="center"/>
              <w:rPr>
                <w:rFonts w:ascii="宋体"/>
                <w:b/>
                <w:color w:val="auto"/>
                <w:sz w:val="22"/>
                <w:highlight w:val="none"/>
              </w:rPr>
            </w:pPr>
            <w:r>
              <w:rPr>
                <w:rFonts w:hint="eastAsia" w:ascii="宋体"/>
                <w:b/>
                <w:color w:val="auto"/>
                <w:sz w:val="22"/>
                <w:highlight w:val="none"/>
              </w:rPr>
              <w:t>序号</w:t>
            </w:r>
          </w:p>
        </w:tc>
        <w:tc>
          <w:tcPr>
            <w:tcW w:w="1364" w:type="dxa"/>
            <w:vAlign w:val="center"/>
          </w:tcPr>
          <w:p w14:paraId="69B5D8D3">
            <w:pPr>
              <w:jc w:val="center"/>
              <w:rPr>
                <w:rFonts w:ascii="宋体"/>
                <w:b/>
                <w:color w:val="auto"/>
                <w:sz w:val="22"/>
                <w:highlight w:val="none"/>
              </w:rPr>
            </w:pPr>
            <w:r>
              <w:rPr>
                <w:rFonts w:hint="eastAsia" w:ascii="宋体"/>
                <w:b/>
                <w:color w:val="auto"/>
                <w:sz w:val="22"/>
                <w:highlight w:val="none"/>
              </w:rPr>
              <w:t>名称</w:t>
            </w:r>
          </w:p>
        </w:tc>
        <w:tc>
          <w:tcPr>
            <w:tcW w:w="3210" w:type="dxa"/>
            <w:vAlign w:val="center"/>
          </w:tcPr>
          <w:p w14:paraId="44486B14">
            <w:pPr>
              <w:jc w:val="center"/>
              <w:rPr>
                <w:rFonts w:ascii="宋体"/>
                <w:b/>
                <w:color w:val="auto"/>
                <w:sz w:val="22"/>
                <w:highlight w:val="none"/>
              </w:rPr>
            </w:pPr>
            <w:r>
              <w:rPr>
                <w:rFonts w:hint="eastAsia" w:ascii="宋体"/>
                <w:b/>
                <w:color w:val="auto"/>
                <w:sz w:val="22"/>
                <w:highlight w:val="none"/>
              </w:rPr>
              <w:t>内容</w:t>
            </w:r>
          </w:p>
        </w:tc>
        <w:tc>
          <w:tcPr>
            <w:tcW w:w="1132" w:type="dxa"/>
            <w:vAlign w:val="center"/>
          </w:tcPr>
          <w:p w14:paraId="1D0B7DAB">
            <w:pPr>
              <w:jc w:val="center"/>
              <w:rPr>
                <w:rFonts w:ascii="宋体"/>
                <w:b/>
                <w:color w:val="auto"/>
                <w:sz w:val="22"/>
                <w:highlight w:val="none"/>
              </w:rPr>
            </w:pPr>
            <w:r>
              <w:rPr>
                <w:rFonts w:hint="eastAsia" w:ascii="宋体"/>
                <w:b/>
                <w:color w:val="auto"/>
                <w:sz w:val="22"/>
                <w:highlight w:val="none"/>
              </w:rPr>
              <w:t>数量</w:t>
            </w:r>
          </w:p>
        </w:tc>
        <w:tc>
          <w:tcPr>
            <w:tcW w:w="1133" w:type="dxa"/>
            <w:vAlign w:val="center"/>
          </w:tcPr>
          <w:p w14:paraId="0A3F8924">
            <w:pPr>
              <w:jc w:val="center"/>
              <w:rPr>
                <w:rFonts w:ascii="宋体"/>
                <w:b/>
                <w:color w:val="auto"/>
                <w:sz w:val="22"/>
                <w:highlight w:val="none"/>
              </w:rPr>
            </w:pPr>
            <w:r>
              <w:rPr>
                <w:rFonts w:hint="eastAsia" w:ascii="宋体"/>
                <w:b/>
                <w:color w:val="auto"/>
                <w:sz w:val="22"/>
                <w:highlight w:val="none"/>
              </w:rPr>
              <w:t>单价</w:t>
            </w:r>
          </w:p>
        </w:tc>
        <w:tc>
          <w:tcPr>
            <w:tcW w:w="1135" w:type="dxa"/>
            <w:vAlign w:val="center"/>
          </w:tcPr>
          <w:p w14:paraId="78018C57">
            <w:pPr>
              <w:jc w:val="center"/>
              <w:rPr>
                <w:rFonts w:ascii="宋体"/>
                <w:b/>
                <w:color w:val="auto"/>
                <w:sz w:val="22"/>
                <w:highlight w:val="none"/>
              </w:rPr>
            </w:pPr>
            <w:r>
              <w:rPr>
                <w:rFonts w:hint="eastAsia" w:ascii="宋体"/>
                <w:b/>
                <w:color w:val="auto"/>
                <w:sz w:val="22"/>
                <w:highlight w:val="none"/>
              </w:rPr>
              <w:t>合价</w:t>
            </w:r>
          </w:p>
        </w:tc>
      </w:tr>
      <w:tr w14:paraId="0BC3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026F162F">
            <w:pPr>
              <w:jc w:val="center"/>
              <w:rPr>
                <w:rFonts w:ascii="宋体"/>
                <w:b/>
                <w:color w:val="auto"/>
                <w:sz w:val="22"/>
                <w:highlight w:val="none"/>
              </w:rPr>
            </w:pPr>
            <w:r>
              <w:rPr>
                <w:rFonts w:hint="eastAsia" w:ascii="宋体"/>
                <w:b/>
                <w:color w:val="auto"/>
                <w:sz w:val="22"/>
                <w:highlight w:val="none"/>
              </w:rPr>
              <w:t>1</w:t>
            </w:r>
          </w:p>
        </w:tc>
        <w:tc>
          <w:tcPr>
            <w:tcW w:w="1364" w:type="dxa"/>
            <w:vAlign w:val="center"/>
          </w:tcPr>
          <w:p w14:paraId="54C9984B">
            <w:pPr>
              <w:ind w:right="496" w:rightChars="236"/>
              <w:jc w:val="center"/>
              <w:rPr>
                <w:rFonts w:ascii="宋体"/>
                <w:b/>
                <w:color w:val="auto"/>
                <w:sz w:val="22"/>
                <w:highlight w:val="none"/>
              </w:rPr>
            </w:pPr>
            <w:r>
              <w:rPr>
                <w:rFonts w:hint="eastAsia" w:ascii="宋体"/>
                <w:b/>
                <w:color w:val="auto"/>
                <w:sz w:val="22"/>
                <w:highlight w:val="none"/>
              </w:rPr>
              <w:t xml:space="preserve">  </w:t>
            </w:r>
          </w:p>
        </w:tc>
        <w:tc>
          <w:tcPr>
            <w:tcW w:w="3210" w:type="dxa"/>
            <w:vAlign w:val="center"/>
          </w:tcPr>
          <w:p w14:paraId="79A11F19">
            <w:pPr>
              <w:jc w:val="center"/>
              <w:rPr>
                <w:rFonts w:ascii="宋体"/>
                <w:b/>
                <w:color w:val="auto"/>
                <w:sz w:val="22"/>
                <w:highlight w:val="none"/>
              </w:rPr>
            </w:pPr>
          </w:p>
        </w:tc>
        <w:tc>
          <w:tcPr>
            <w:tcW w:w="1132" w:type="dxa"/>
            <w:vAlign w:val="center"/>
          </w:tcPr>
          <w:p w14:paraId="701A8124">
            <w:pPr>
              <w:snapToGrid w:val="0"/>
              <w:spacing w:line="400" w:lineRule="atLeast"/>
              <w:jc w:val="center"/>
              <w:rPr>
                <w:rFonts w:ascii="宋体"/>
                <w:b/>
                <w:color w:val="auto"/>
                <w:sz w:val="22"/>
                <w:highlight w:val="none"/>
              </w:rPr>
            </w:pPr>
          </w:p>
        </w:tc>
        <w:tc>
          <w:tcPr>
            <w:tcW w:w="1133" w:type="dxa"/>
            <w:vAlign w:val="center"/>
          </w:tcPr>
          <w:p w14:paraId="57E7EB4E">
            <w:pPr>
              <w:jc w:val="center"/>
              <w:rPr>
                <w:rFonts w:ascii="宋体"/>
                <w:b/>
                <w:color w:val="auto"/>
                <w:sz w:val="22"/>
                <w:highlight w:val="none"/>
              </w:rPr>
            </w:pPr>
          </w:p>
        </w:tc>
        <w:tc>
          <w:tcPr>
            <w:tcW w:w="1135" w:type="dxa"/>
            <w:vAlign w:val="center"/>
          </w:tcPr>
          <w:p w14:paraId="3B31E3F4">
            <w:pPr>
              <w:jc w:val="center"/>
              <w:rPr>
                <w:rFonts w:ascii="宋体"/>
                <w:b/>
                <w:color w:val="auto"/>
                <w:sz w:val="22"/>
                <w:highlight w:val="none"/>
              </w:rPr>
            </w:pPr>
          </w:p>
        </w:tc>
      </w:tr>
      <w:tr w14:paraId="1EDD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6D278D9D">
            <w:pPr>
              <w:jc w:val="center"/>
              <w:rPr>
                <w:rFonts w:ascii="宋体"/>
                <w:b/>
                <w:color w:val="auto"/>
                <w:sz w:val="22"/>
                <w:highlight w:val="none"/>
              </w:rPr>
            </w:pPr>
            <w:r>
              <w:rPr>
                <w:rFonts w:hint="eastAsia" w:ascii="宋体"/>
                <w:b/>
                <w:color w:val="auto"/>
                <w:sz w:val="22"/>
                <w:highlight w:val="none"/>
              </w:rPr>
              <w:t>2</w:t>
            </w:r>
          </w:p>
        </w:tc>
        <w:tc>
          <w:tcPr>
            <w:tcW w:w="1364" w:type="dxa"/>
            <w:vAlign w:val="center"/>
          </w:tcPr>
          <w:p w14:paraId="1B69B750">
            <w:pPr>
              <w:jc w:val="center"/>
              <w:rPr>
                <w:rFonts w:ascii="宋体"/>
                <w:b/>
                <w:color w:val="auto"/>
                <w:sz w:val="22"/>
                <w:highlight w:val="none"/>
              </w:rPr>
            </w:pPr>
          </w:p>
        </w:tc>
        <w:tc>
          <w:tcPr>
            <w:tcW w:w="3210" w:type="dxa"/>
            <w:vAlign w:val="center"/>
          </w:tcPr>
          <w:p w14:paraId="36C2CF2D">
            <w:pPr>
              <w:jc w:val="center"/>
              <w:rPr>
                <w:rFonts w:ascii="宋体"/>
                <w:b/>
                <w:color w:val="auto"/>
                <w:sz w:val="22"/>
                <w:highlight w:val="none"/>
              </w:rPr>
            </w:pPr>
          </w:p>
        </w:tc>
        <w:tc>
          <w:tcPr>
            <w:tcW w:w="1132" w:type="dxa"/>
            <w:vAlign w:val="center"/>
          </w:tcPr>
          <w:p w14:paraId="4494DDFA">
            <w:pPr>
              <w:snapToGrid w:val="0"/>
              <w:spacing w:line="400" w:lineRule="atLeast"/>
              <w:jc w:val="center"/>
              <w:rPr>
                <w:rFonts w:ascii="宋体"/>
                <w:b/>
                <w:color w:val="auto"/>
                <w:sz w:val="22"/>
                <w:highlight w:val="none"/>
              </w:rPr>
            </w:pPr>
          </w:p>
        </w:tc>
        <w:tc>
          <w:tcPr>
            <w:tcW w:w="1133" w:type="dxa"/>
            <w:vAlign w:val="center"/>
          </w:tcPr>
          <w:p w14:paraId="5CFE4318">
            <w:pPr>
              <w:jc w:val="center"/>
              <w:rPr>
                <w:rFonts w:ascii="宋体"/>
                <w:b/>
                <w:color w:val="auto"/>
                <w:sz w:val="22"/>
                <w:highlight w:val="none"/>
              </w:rPr>
            </w:pPr>
          </w:p>
        </w:tc>
        <w:tc>
          <w:tcPr>
            <w:tcW w:w="1135" w:type="dxa"/>
            <w:vAlign w:val="center"/>
          </w:tcPr>
          <w:p w14:paraId="23AA370C">
            <w:pPr>
              <w:jc w:val="center"/>
              <w:rPr>
                <w:rFonts w:ascii="宋体"/>
                <w:b/>
                <w:color w:val="auto"/>
                <w:sz w:val="22"/>
                <w:highlight w:val="none"/>
              </w:rPr>
            </w:pPr>
          </w:p>
        </w:tc>
      </w:tr>
      <w:tr w14:paraId="5948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44513E56">
            <w:pPr>
              <w:jc w:val="center"/>
              <w:rPr>
                <w:rFonts w:ascii="宋体"/>
                <w:b/>
                <w:color w:val="auto"/>
                <w:sz w:val="22"/>
                <w:highlight w:val="none"/>
              </w:rPr>
            </w:pPr>
            <w:r>
              <w:rPr>
                <w:rFonts w:hint="eastAsia" w:ascii="宋体"/>
                <w:b/>
                <w:color w:val="auto"/>
                <w:sz w:val="22"/>
                <w:highlight w:val="none"/>
              </w:rPr>
              <w:t>3</w:t>
            </w:r>
          </w:p>
        </w:tc>
        <w:tc>
          <w:tcPr>
            <w:tcW w:w="1364" w:type="dxa"/>
            <w:vAlign w:val="center"/>
          </w:tcPr>
          <w:p w14:paraId="3670A435">
            <w:pPr>
              <w:jc w:val="center"/>
              <w:rPr>
                <w:rFonts w:ascii="宋体"/>
                <w:b/>
                <w:color w:val="auto"/>
                <w:sz w:val="22"/>
                <w:highlight w:val="none"/>
              </w:rPr>
            </w:pPr>
          </w:p>
        </w:tc>
        <w:tc>
          <w:tcPr>
            <w:tcW w:w="3210" w:type="dxa"/>
            <w:vAlign w:val="center"/>
          </w:tcPr>
          <w:p w14:paraId="231D5A74">
            <w:pPr>
              <w:jc w:val="center"/>
              <w:rPr>
                <w:rFonts w:ascii="宋体"/>
                <w:b/>
                <w:color w:val="auto"/>
                <w:sz w:val="22"/>
                <w:highlight w:val="none"/>
              </w:rPr>
            </w:pPr>
          </w:p>
        </w:tc>
        <w:tc>
          <w:tcPr>
            <w:tcW w:w="1132" w:type="dxa"/>
            <w:vAlign w:val="center"/>
          </w:tcPr>
          <w:p w14:paraId="241F3369">
            <w:pPr>
              <w:snapToGrid w:val="0"/>
              <w:spacing w:line="400" w:lineRule="atLeast"/>
              <w:jc w:val="center"/>
              <w:rPr>
                <w:rFonts w:ascii="宋体"/>
                <w:b/>
                <w:color w:val="auto"/>
                <w:sz w:val="22"/>
                <w:highlight w:val="none"/>
              </w:rPr>
            </w:pPr>
          </w:p>
        </w:tc>
        <w:tc>
          <w:tcPr>
            <w:tcW w:w="1133" w:type="dxa"/>
            <w:vAlign w:val="center"/>
          </w:tcPr>
          <w:p w14:paraId="4B4263C8">
            <w:pPr>
              <w:jc w:val="center"/>
              <w:rPr>
                <w:rFonts w:ascii="宋体"/>
                <w:b/>
                <w:color w:val="auto"/>
                <w:sz w:val="22"/>
                <w:highlight w:val="none"/>
              </w:rPr>
            </w:pPr>
          </w:p>
        </w:tc>
        <w:tc>
          <w:tcPr>
            <w:tcW w:w="1135" w:type="dxa"/>
            <w:vAlign w:val="center"/>
          </w:tcPr>
          <w:p w14:paraId="45E82EDE">
            <w:pPr>
              <w:jc w:val="center"/>
              <w:rPr>
                <w:rFonts w:ascii="宋体"/>
                <w:b/>
                <w:color w:val="auto"/>
                <w:sz w:val="22"/>
                <w:highlight w:val="none"/>
              </w:rPr>
            </w:pPr>
          </w:p>
        </w:tc>
      </w:tr>
      <w:tr w14:paraId="3503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78394230">
            <w:pPr>
              <w:jc w:val="center"/>
              <w:rPr>
                <w:rFonts w:ascii="宋体"/>
                <w:b/>
                <w:color w:val="auto"/>
                <w:sz w:val="22"/>
                <w:highlight w:val="none"/>
              </w:rPr>
            </w:pPr>
            <w:r>
              <w:rPr>
                <w:rFonts w:hint="eastAsia" w:ascii="宋体"/>
                <w:b/>
                <w:color w:val="auto"/>
                <w:sz w:val="22"/>
                <w:highlight w:val="none"/>
              </w:rPr>
              <w:t>4</w:t>
            </w:r>
          </w:p>
        </w:tc>
        <w:tc>
          <w:tcPr>
            <w:tcW w:w="1364" w:type="dxa"/>
            <w:vAlign w:val="center"/>
          </w:tcPr>
          <w:p w14:paraId="4AACE41E">
            <w:pPr>
              <w:jc w:val="center"/>
              <w:rPr>
                <w:rFonts w:ascii="宋体"/>
                <w:b/>
                <w:color w:val="auto"/>
                <w:sz w:val="22"/>
                <w:highlight w:val="none"/>
              </w:rPr>
            </w:pPr>
          </w:p>
        </w:tc>
        <w:tc>
          <w:tcPr>
            <w:tcW w:w="3210" w:type="dxa"/>
            <w:vAlign w:val="center"/>
          </w:tcPr>
          <w:p w14:paraId="655D58F0">
            <w:pPr>
              <w:jc w:val="center"/>
              <w:rPr>
                <w:rFonts w:ascii="宋体"/>
                <w:b/>
                <w:color w:val="auto"/>
                <w:sz w:val="22"/>
                <w:highlight w:val="none"/>
              </w:rPr>
            </w:pPr>
          </w:p>
        </w:tc>
        <w:tc>
          <w:tcPr>
            <w:tcW w:w="1132" w:type="dxa"/>
            <w:vAlign w:val="center"/>
          </w:tcPr>
          <w:p w14:paraId="29A40218">
            <w:pPr>
              <w:snapToGrid w:val="0"/>
              <w:spacing w:line="400" w:lineRule="atLeast"/>
              <w:jc w:val="center"/>
              <w:rPr>
                <w:rFonts w:ascii="宋体"/>
                <w:b/>
                <w:color w:val="auto"/>
                <w:sz w:val="22"/>
                <w:highlight w:val="none"/>
              </w:rPr>
            </w:pPr>
          </w:p>
        </w:tc>
        <w:tc>
          <w:tcPr>
            <w:tcW w:w="1133" w:type="dxa"/>
            <w:vAlign w:val="center"/>
          </w:tcPr>
          <w:p w14:paraId="338E797B">
            <w:pPr>
              <w:jc w:val="center"/>
              <w:rPr>
                <w:rFonts w:ascii="宋体"/>
                <w:b/>
                <w:color w:val="auto"/>
                <w:sz w:val="22"/>
                <w:highlight w:val="none"/>
              </w:rPr>
            </w:pPr>
          </w:p>
        </w:tc>
        <w:tc>
          <w:tcPr>
            <w:tcW w:w="1135" w:type="dxa"/>
            <w:vAlign w:val="center"/>
          </w:tcPr>
          <w:p w14:paraId="64C8AFB4">
            <w:pPr>
              <w:jc w:val="center"/>
              <w:rPr>
                <w:rFonts w:ascii="宋体"/>
                <w:b/>
                <w:color w:val="auto"/>
                <w:sz w:val="22"/>
                <w:highlight w:val="none"/>
              </w:rPr>
            </w:pPr>
          </w:p>
        </w:tc>
      </w:tr>
      <w:tr w14:paraId="42AD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51F5DA10">
            <w:pPr>
              <w:jc w:val="center"/>
              <w:rPr>
                <w:rFonts w:ascii="宋体"/>
                <w:b/>
                <w:color w:val="auto"/>
                <w:sz w:val="22"/>
                <w:highlight w:val="none"/>
              </w:rPr>
            </w:pPr>
            <w:r>
              <w:rPr>
                <w:rFonts w:hint="eastAsia" w:ascii="宋体"/>
                <w:b/>
                <w:color w:val="auto"/>
                <w:sz w:val="22"/>
                <w:highlight w:val="none"/>
              </w:rPr>
              <w:t>5</w:t>
            </w:r>
          </w:p>
        </w:tc>
        <w:tc>
          <w:tcPr>
            <w:tcW w:w="1364" w:type="dxa"/>
            <w:vAlign w:val="center"/>
          </w:tcPr>
          <w:p w14:paraId="010E08ED">
            <w:pPr>
              <w:jc w:val="center"/>
              <w:rPr>
                <w:rFonts w:ascii="宋体"/>
                <w:b/>
                <w:color w:val="auto"/>
                <w:sz w:val="22"/>
                <w:highlight w:val="none"/>
              </w:rPr>
            </w:pPr>
          </w:p>
        </w:tc>
        <w:tc>
          <w:tcPr>
            <w:tcW w:w="3210" w:type="dxa"/>
            <w:vAlign w:val="center"/>
          </w:tcPr>
          <w:p w14:paraId="04D5D3F0">
            <w:pPr>
              <w:jc w:val="center"/>
              <w:rPr>
                <w:rFonts w:ascii="宋体"/>
                <w:b/>
                <w:color w:val="auto"/>
                <w:sz w:val="22"/>
                <w:highlight w:val="none"/>
              </w:rPr>
            </w:pPr>
          </w:p>
        </w:tc>
        <w:tc>
          <w:tcPr>
            <w:tcW w:w="1132" w:type="dxa"/>
            <w:vAlign w:val="center"/>
          </w:tcPr>
          <w:p w14:paraId="267EB774">
            <w:pPr>
              <w:snapToGrid w:val="0"/>
              <w:spacing w:line="400" w:lineRule="atLeast"/>
              <w:jc w:val="center"/>
              <w:rPr>
                <w:rFonts w:ascii="宋体"/>
                <w:b/>
                <w:color w:val="auto"/>
                <w:sz w:val="22"/>
                <w:highlight w:val="none"/>
              </w:rPr>
            </w:pPr>
          </w:p>
        </w:tc>
        <w:tc>
          <w:tcPr>
            <w:tcW w:w="1133" w:type="dxa"/>
            <w:vAlign w:val="center"/>
          </w:tcPr>
          <w:p w14:paraId="141ADFA2">
            <w:pPr>
              <w:jc w:val="center"/>
              <w:rPr>
                <w:rFonts w:ascii="宋体"/>
                <w:b/>
                <w:color w:val="auto"/>
                <w:sz w:val="22"/>
                <w:highlight w:val="none"/>
              </w:rPr>
            </w:pPr>
          </w:p>
        </w:tc>
        <w:tc>
          <w:tcPr>
            <w:tcW w:w="1135" w:type="dxa"/>
            <w:vAlign w:val="center"/>
          </w:tcPr>
          <w:p w14:paraId="23BC432F">
            <w:pPr>
              <w:jc w:val="center"/>
              <w:rPr>
                <w:rFonts w:ascii="宋体"/>
                <w:b/>
                <w:color w:val="auto"/>
                <w:sz w:val="22"/>
                <w:highlight w:val="none"/>
              </w:rPr>
            </w:pPr>
          </w:p>
        </w:tc>
      </w:tr>
      <w:tr w14:paraId="42C0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140F2E83">
            <w:pPr>
              <w:jc w:val="center"/>
              <w:rPr>
                <w:rFonts w:ascii="宋体"/>
                <w:b/>
                <w:color w:val="auto"/>
                <w:sz w:val="22"/>
                <w:highlight w:val="none"/>
              </w:rPr>
            </w:pPr>
            <w:r>
              <w:rPr>
                <w:rFonts w:hint="eastAsia" w:ascii="宋体"/>
                <w:b/>
                <w:color w:val="auto"/>
                <w:sz w:val="22"/>
                <w:highlight w:val="none"/>
              </w:rPr>
              <w:t>…</w:t>
            </w:r>
          </w:p>
        </w:tc>
        <w:tc>
          <w:tcPr>
            <w:tcW w:w="1364" w:type="dxa"/>
            <w:vAlign w:val="center"/>
          </w:tcPr>
          <w:p w14:paraId="31AB6405">
            <w:pPr>
              <w:jc w:val="center"/>
              <w:rPr>
                <w:rFonts w:ascii="宋体"/>
                <w:b/>
                <w:color w:val="auto"/>
                <w:sz w:val="22"/>
                <w:highlight w:val="none"/>
              </w:rPr>
            </w:pPr>
          </w:p>
        </w:tc>
        <w:tc>
          <w:tcPr>
            <w:tcW w:w="3210" w:type="dxa"/>
            <w:vAlign w:val="center"/>
          </w:tcPr>
          <w:p w14:paraId="7FA56C74">
            <w:pPr>
              <w:jc w:val="center"/>
              <w:rPr>
                <w:rFonts w:ascii="宋体"/>
                <w:b/>
                <w:color w:val="auto"/>
                <w:sz w:val="22"/>
                <w:highlight w:val="none"/>
              </w:rPr>
            </w:pPr>
          </w:p>
        </w:tc>
        <w:tc>
          <w:tcPr>
            <w:tcW w:w="1132" w:type="dxa"/>
            <w:vAlign w:val="center"/>
          </w:tcPr>
          <w:p w14:paraId="6D44D037">
            <w:pPr>
              <w:snapToGrid w:val="0"/>
              <w:spacing w:line="400" w:lineRule="atLeast"/>
              <w:jc w:val="center"/>
              <w:rPr>
                <w:rFonts w:ascii="宋体"/>
                <w:b/>
                <w:color w:val="auto"/>
                <w:sz w:val="22"/>
                <w:highlight w:val="none"/>
              </w:rPr>
            </w:pPr>
          </w:p>
        </w:tc>
        <w:tc>
          <w:tcPr>
            <w:tcW w:w="1133" w:type="dxa"/>
            <w:vAlign w:val="center"/>
          </w:tcPr>
          <w:p w14:paraId="71FA75FE">
            <w:pPr>
              <w:jc w:val="center"/>
              <w:rPr>
                <w:rFonts w:ascii="宋体"/>
                <w:b/>
                <w:color w:val="auto"/>
                <w:sz w:val="22"/>
                <w:highlight w:val="none"/>
              </w:rPr>
            </w:pPr>
          </w:p>
        </w:tc>
        <w:tc>
          <w:tcPr>
            <w:tcW w:w="1135" w:type="dxa"/>
            <w:vAlign w:val="center"/>
          </w:tcPr>
          <w:p w14:paraId="78EE8C4E">
            <w:pPr>
              <w:jc w:val="center"/>
              <w:rPr>
                <w:rFonts w:ascii="宋体"/>
                <w:b/>
                <w:color w:val="auto"/>
                <w:sz w:val="22"/>
                <w:highlight w:val="none"/>
              </w:rPr>
            </w:pPr>
          </w:p>
        </w:tc>
      </w:tr>
      <w:tr w14:paraId="4793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43" w:type="dxa"/>
            <w:vAlign w:val="center"/>
          </w:tcPr>
          <w:p w14:paraId="15F9F197">
            <w:pPr>
              <w:jc w:val="center"/>
              <w:rPr>
                <w:rFonts w:ascii="宋体"/>
                <w:b/>
                <w:color w:val="auto"/>
                <w:sz w:val="22"/>
                <w:highlight w:val="none"/>
              </w:rPr>
            </w:pPr>
            <w:r>
              <w:rPr>
                <w:rFonts w:hint="eastAsia" w:ascii="宋体"/>
                <w:b/>
                <w:color w:val="auto"/>
                <w:sz w:val="22"/>
                <w:highlight w:val="none"/>
              </w:rPr>
              <w:t>.</w:t>
            </w:r>
          </w:p>
        </w:tc>
        <w:tc>
          <w:tcPr>
            <w:tcW w:w="1364" w:type="dxa"/>
            <w:vAlign w:val="center"/>
          </w:tcPr>
          <w:p w14:paraId="5D5B0DBE">
            <w:pPr>
              <w:jc w:val="center"/>
              <w:rPr>
                <w:rFonts w:ascii="宋体"/>
                <w:b/>
                <w:color w:val="auto"/>
                <w:sz w:val="22"/>
                <w:highlight w:val="none"/>
              </w:rPr>
            </w:pPr>
          </w:p>
        </w:tc>
        <w:tc>
          <w:tcPr>
            <w:tcW w:w="3210" w:type="dxa"/>
            <w:vAlign w:val="center"/>
          </w:tcPr>
          <w:p w14:paraId="2A9A0679">
            <w:pPr>
              <w:jc w:val="center"/>
              <w:rPr>
                <w:rFonts w:ascii="宋体"/>
                <w:b/>
                <w:color w:val="auto"/>
                <w:sz w:val="22"/>
                <w:highlight w:val="none"/>
              </w:rPr>
            </w:pPr>
          </w:p>
        </w:tc>
        <w:tc>
          <w:tcPr>
            <w:tcW w:w="1132" w:type="dxa"/>
            <w:vAlign w:val="center"/>
          </w:tcPr>
          <w:p w14:paraId="23BC21F7">
            <w:pPr>
              <w:snapToGrid w:val="0"/>
              <w:spacing w:line="400" w:lineRule="atLeast"/>
              <w:jc w:val="center"/>
              <w:rPr>
                <w:rFonts w:ascii="宋体"/>
                <w:b/>
                <w:color w:val="auto"/>
                <w:sz w:val="22"/>
                <w:highlight w:val="none"/>
              </w:rPr>
            </w:pPr>
          </w:p>
        </w:tc>
        <w:tc>
          <w:tcPr>
            <w:tcW w:w="1133" w:type="dxa"/>
            <w:vAlign w:val="center"/>
          </w:tcPr>
          <w:p w14:paraId="568D3E3F">
            <w:pPr>
              <w:jc w:val="center"/>
              <w:rPr>
                <w:rFonts w:ascii="宋体"/>
                <w:b/>
                <w:color w:val="auto"/>
                <w:sz w:val="22"/>
                <w:highlight w:val="none"/>
              </w:rPr>
            </w:pPr>
          </w:p>
        </w:tc>
        <w:tc>
          <w:tcPr>
            <w:tcW w:w="1135" w:type="dxa"/>
            <w:vAlign w:val="center"/>
          </w:tcPr>
          <w:p w14:paraId="321D8C94">
            <w:pPr>
              <w:jc w:val="center"/>
              <w:rPr>
                <w:rFonts w:ascii="宋体"/>
                <w:b/>
                <w:color w:val="auto"/>
                <w:sz w:val="22"/>
                <w:highlight w:val="none"/>
              </w:rPr>
            </w:pPr>
          </w:p>
        </w:tc>
      </w:tr>
      <w:tr w14:paraId="0068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17" w:type="dxa"/>
            <w:gridSpan w:val="3"/>
            <w:vAlign w:val="center"/>
          </w:tcPr>
          <w:p w14:paraId="0FEFBC8E">
            <w:pPr>
              <w:jc w:val="center"/>
              <w:rPr>
                <w:rFonts w:ascii="宋体"/>
                <w:b/>
                <w:color w:val="auto"/>
                <w:sz w:val="22"/>
                <w:highlight w:val="none"/>
              </w:rPr>
            </w:pPr>
            <w:r>
              <w:rPr>
                <w:rFonts w:hint="eastAsia" w:ascii="宋体"/>
                <w:b/>
                <w:color w:val="auto"/>
                <w:sz w:val="22"/>
                <w:highlight w:val="none"/>
              </w:rPr>
              <w:t>合计价</w:t>
            </w:r>
          </w:p>
        </w:tc>
        <w:tc>
          <w:tcPr>
            <w:tcW w:w="3400" w:type="dxa"/>
            <w:gridSpan w:val="3"/>
            <w:vAlign w:val="center"/>
          </w:tcPr>
          <w:p w14:paraId="29DACC26">
            <w:pPr>
              <w:jc w:val="center"/>
              <w:rPr>
                <w:rFonts w:ascii="宋体"/>
                <w:b/>
                <w:color w:val="auto"/>
                <w:sz w:val="22"/>
                <w:highlight w:val="none"/>
              </w:rPr>
            </w:pPr>
          </w:p>
        </w:tc>
      </w:tr>
    </w:tbl>
    <w:p w14:paraId="67F2C4A4">
      <w:pPr>
        <w:autoSpaceDE w:val="0"/>
        <w:autoSpaceDN w:val="0"/>
        <w:adjustRightInd w:val="0"/>
        <w:spacing w:line="460" w:lineRule="atLeast"/>
        <w:rPr>
          <w:rFonts w:ascii="宋体" w:cs="仿宋_GB2312"/>
          <w:color w:val="auto"/>
          <w:sz w:val="22"/>
          <w:szCs w:val="22"/>
          <w:highlight w:val="none"/>
          <w:lang w:val="zh-CN"/>
        </w:rPr>
      </w:pPr>
      <w:r>
        <w:rPr>
          <w:rFonts w:hint="eastAsia" w:ascii="宋体" w:cs="仿宋_GB2312"/>
          <w:color w:val="auto"/>
          <w:sz w:val="22"/>
          <w:szCs w:val="22"/>
          <w:highlight w:val="none"/>
          <w:lang w:val="zh-CN"/>
        </w:rPr>
        <w:t>注：1. 合计应与“开标一览表”中投标总价相一致。</w:t>
      </w:r>
    </w:p>
    <w:p w14:paraId="5FBFE3D9">
      <w:pPr>
        <w:autoSpaceDE w:val="0"/>
        <w:autoSpaceDN w:val="0"/>
        <w:adjustRightInd w:val="0"/>
        <w:spacing w:line="460" w:lineRule="atLeast"/>
        <w:ind w:firstLine="440" w:firstLineChars="200"/>
        <w:rPr>
          <w:rFonts w:ascii="宋体" w:cs="仿宋_GB2312"/>
          <w:color w:val="auto"/>
          <w:sz w:val="22"/>
          <w:szCs w:val="22"/>
          <w:highlight w:val="none"/>
          <w:lang w:val="zh-CN"/>
        </w:rPr>
      </w:pPr>
      <w:r>
        <w:rPr>
          <w:rFonts w:hint="eastAsia" w:ascii="宋体" w:cs="仿宋_GB2312"/>
          <w:color w:val="auto"/>
          <w:sz w:val="22"/>
          <w:szCs w:val="22"/>
          <w:highlight w:val="none"/>
          <w:lang w:val="zh-CN"/>
        </w:rPr>
        <w:t xml:space="preserve">2. 本表所列费用为本项目的全部费用，除此外，不允许增加任何费用。                    </w:t>
      </w:r>
    </w:p>
    <w:p w14:paraId="2A4BAE02">
      <w:pPr>
        <w:autoSpaceDE w:val="0"/>
        <w:autoSpaceDN w:val="0"/>
        <w:adjustRightInd w:val="0"/>
        <w:spacing w:line="460" w:lineRule="atLeast"/>
        <w:ind w:firstLine="442" w:firstLineChars="200"/>
        <w:rPr>
          <w:rFonts w:ascii="宋体" w:cs="仿宋_GB2312"/>
          <w:b/>
          <w:color w:val="auto"/>
          <w:sz w:val="22"/>
          <w:szCs w:val="22"/>
          <w:highlight w:val="none"/>
          <w:lang w:val="zh-CN"/>
        </w:rPr>
      </w:pPr>
      <w:r>
        <w:rPr>
          <w:rFonts w:hint="eastAsia" w:ascii="宋体" w:cs="仿宋_GB2312"/>
          <w:b/>
          <w:color w:val="auto"/>
          <w:sz w:val="22"/>
          <w:szCs w:val="22"/>
          <w:highlight w:val="none"/>
          <w:lang w:val="zh-CN"/>
        </w:rPr>
        <w:t>▲</w:t>
      </w:r>
      <w:r>
        <w:rPr>
          <w:rFonts w:hint="eastAsia" w:ascii="宋体" w:cs="仿宋_GB2312"/>
          <w:b/>
          <w:color w:val="auto"/>
          <w:sz w:val="22"/>
          <w:szCs w:val="22"/>
          <w:highlight w:val="none"/>
          <w:u w:val="single"/>
          <w:lang w:val="zh-CN"/>
        </w:rPr>
        <w:t>3. 不提供详细分项的投标价将视为没有实质性响应招标文件。</w:t>
      </w:r>
    </w:p>
    <w:p w14:paraId="3936F03B">
      <w:pPr>
        <w:autoSpaceDE w:val="0"/>
        <w:autoSpaceDN w:val="0"/>
        <w:adjustRightInd w:val="0"/>
        <w:spacing w:line="460" w:lineRule="atLeast"/>
        <w:ind w:firstLine="440" w:firstLineChars="200"/>
        <w:rPr>
          <w:rFonts w:ascii="宋体" w:cs="仿宋_GB2312"/>
          <w:color w:val="auto"/>
          <w:sz w:val="22"/>
          <w:szCs w:val="22"/>
          <w:highlight w:val="none"/>
          <w:lang w:val="zh-CN"/>
        </w:rPr>
      </w:pPr>
      <w:r>
        <w:rPr>
          <w:rFonts w:hint="eastAsia" w:ascii="宋体" w:cs="仿宋_GB2312"/>
          <w:color w:val="auto"/>
          <w:sz w:val="22"/>
          <w:szCs w:val="22"/>
          <w:highlight w:val="none"/>
          <w:lang w:val="zh-CN"/>
        </w:rPr>
        <w:t xml:space="preserve">4．本表可在不改变格式的情况下根据具体需要自行增减。                         </w:t>
      </w:r>
    </w:p>
    <w:p w14:paraId="2C015F21">
      <w:pPr>
        <w:autoSpaceDE w:val="0"/>
        <w:autoSpaceDN w:val="0"/>
        <w:adjustRightInd w:val="0"/>
        <w:spacing w:line="460" w:lineRule="atLeast"/>
        <w:ind w:firstLine="440" w:firstLineChars="200"/>
        <w:rPr>
          <w:rFonts w:ascii="宋体" w:cs="仿宋_GB2312"/>
          <w:color w:val="auto"/>
          <w:sz w:val="22"/>
          <w:szCs w:val="22"/>
          <w:highlight w:val="none"/>
          <w:lang w:val="zh-CN"/>
        </w:rPr>
      </w:pPr>
      <w:r>
        <w:rPr>
          <w:rFonts w:hint="eastAsia" w:ascii="宋体" w:cs="仿宋_GB2312"/>
          <w:color w:val="auto"/>
          <w:sz w:val="22"/>
          <w:szCs w:val="22"/>
          <w:highlight w:val="none"/>
          <w:lang w:val="zh-CN"/>
        </w:rPr>
        <w:t>5、 带有“……”的为本表未列的其他费用，供应商需视情况自行列出。</w:t>
      </w:r>
    </w:p>
    <w:p w14:paraId="5575BDFF">
      <w:pPr>
        <w:widowControl/>
        <w:spacing w:line="460" w:lineRule="exact"/>
        <w:ind w:firstLine="440"/>
        <w:jc w:val="left"/>
        <w:rPr>
          <w:rFonts w:cs="Courier New" w:asciiTheme="majorEastAsia" w:hAnsiTheme="majorEastAsia" w:eastAsiaTheme="majorEastAsia"/>
          <w:color w:val="auto"/>
          <w:sz w:val="22"/>
          <w:szCs w:val="22"/>
          <w:highlight w:val="none"/>
        </w:rPr>
      </w:pPr>
      <w:r>
        <w:rPr>
          <w:rFonts w:hint="eastAsia" w:cs="Courier New" w:asciiTheme="majorEastAsia" w:hAnsiTheme="majorEastAsia" w:eastAsiaTheme="majorEastAsia"/>
          <w:color w:val="auto"/>
          <w:sz w:val="22"/>
          <w:szCs w:val="22"/>
          <w:highlight w:val="none"/>
          <w:lang w:eastAsia="zh-CN"/>
        </w:rPr>
        <w:t>投标人</w:t>
      </w:r>
      <w:r>
        <w:rPr>
          <w:rFonts w:cs="Courier New" w:asciiTheme="majorEastAsia" w:hAnsiTheme="majorEastAsia" w:eastAsiaTheme="majorEastAsia"/>
          <w:color w:val="auto"/>
          <w:sz w:val="22"/>
          <w:szCs w:val="22"/>
          <w:highlight w:val="none"/>
        </w:rPr>
        <w:t>（盖章） ：</w:t>
      </w:r>
    </w:p>
    <w:p w14:paraId="4984CE55">
      <w:pPr>
        <w:spacing w:line="460" w:lineRule="atLeast"/>
        <w:ind w:firstLine="440"/>
        <w:rPr>
          <w:rFonts w:asciiTheme="majorEastAsia" w:hAnsiTheme="majorEastAsia" w:eastAsiaTheme="majorEastAsia"/>
          <w:color w:val="auto"/>
          <w:sz w:val="36"/>
          <w:highlight w:val="none"/>
        </w:rPr>
      </w:pPr>
      <w:r>
        <w:rPr>
          <w:rFonts w:cs="Courier New" w:asciiTheme="majorEastAsia" w:hAnsiTheme="majorEastAsia" w:eastAsiaTheme="majorEastAsia"/>
          <w:color w:val="auto"/>
          <w:sz w:val="22"/>
          <w:szCs w:val="22"/>
          <w:highlight w:val="none"/>
        </w:rPr>
        <w:t>日期：</w:t>
      </w:r>
    </w:p>
    <w:p w14:paraId="6A40C675">
      <w:pPr>
        <w:snapToGrid w:val="0"/>
        <w:spacing w:line="500" w:lineRule="atLeast"/>
        <w:ind w:firstLine="4367" w:firstLineChars="1450"/>
        <w:rPr>
          <w:rFonts w:asciiTheme="majorEastAsia" w:hAnsiTheme="majorEastAsia" w:eastAsiaTheme="majorEastAsia"/>
          <w:b/>
          <w:color w:val="auto"/>
          <w:sz w:val="30"/>
          <w:highlight w:val="none"/>
        </w:rPr>
        <w:sectPr>
          <w:headerReference r:id="rId10" w:type="default"/>
          <w:footerReference r:id="rId11" w:type="default"/>
          <w:pgSz w:w="11906" w:h="16838"/>
          <w:pgMar w:top="1440" w:right="1701" w:bottom="1440" w:left="1701" w:header="851" w:footer="992" w:gutter="0"/>
          <w:pgBorders>
            <w:top w:val="none" w:sz="0" w:space="0"/>
            <w:left w:val="none" w:sz="0" w:space="0"/>
            <w:bottom w:val="none" w:sz="0" w:space="0"/>
            <w:right w:val="none" w:sz="0" w:space="0"/>
          </w:pgBorders>
          <w:cols w:space="720" w:num="1"/>
          <w:docGrid w:linePitch="312" w:charSpace="0"/>
        </w:sectPr>
      </w:pPr>
    </w:p>
    <w:p w14:paraId="4B30BFAA">
      <w:pPr>
        <w:pStyle w:val="40"/>
        <w:rPr>
          <w:rFonts w:asciiTheme="majorEastAsia" w:hAnsiTheme="majorEastAsia" w:eastAsiaTheme="majorEastAsia"/>
          <w:color w:val="auto"/>
          <w:highlight w:val="none"/>
        </w:rPr>
      </w:pPr>
      <w:bookmarkStart w:id="414" w:name="_Toc42678695"/>
      <w:bookmarkStart w:id="415" w:name="_Toc65590097"/>
      <w:bookmarkStart w:id="416" w:name="_Toc6383"/>
      <w:bookmarkStart w:id="417" w:name="_Toc65830025"/>
      <w:bookmarkStart w:id="418" w:name="_Toc42243287"/>
      <w:r>
        <w:rPr>
          <w:rFonts w:hint="eastAsia" w:asciiTheme="majorEastAsia" w:hAnsiTheme="majorEastAsia" w:eastAsiaTheme="majorEastAsia"/>
          <w:color w:val="auto"/>
          <w:highlight w:val="none"/>
        </w:rPr>
        <w:t>三、商务技术文件部分格式</w:t>
      </w:r>
      <w:bookmarkEnd w:id="414"/>
      <w:bookmarkEnd w:id="415"/>
      <w:bookmarkEnd w:id="416"/>
      <w:bookmarkEnd w:id="417"/>
      <w:bookmarkEnd w:id="418"/>
    </w:p>
    <w:p w14:paraId="14EAB536">
      <w:pPr>
        <w:widowControl/>
        <w:spacing w:line="460" w:lineRule="atLeast"/>
        <w:jc w:val="left"/>
        <w:rPr>
          <w:rFonts w:asciiTheme="majorEastAsia" w:hAnsiTheme="majorEastAsia" w:eastAsiaTheme="majorEastAsia"/>
          <w:b/>
          <w:bCs/>
          <w:color w:val="auto"/>
          <w:sz w:val="22"/>
          <w:szCs w:val="22"/>
          <w:highlight w:val="none"/>
        </w:rPr>
      </w:pPr>
      <w:bookmarkStart w:id="419" w:name="_Toc493530215"/>
      <w:r>
        <w:rPr>
          <w:rFonts w:hint="eastAsia" w:asciiTheme="majorEastAsia" w:hAnsiTheme="majorEastAsia" w:eastAsiaTheme="majorEastAsia"/>
          <w:b/>
          <w:color w:val="auto"/>
          <w:sz w:val="22"/>
          <w:szCs w:val="22"/>
          <w:highlight w:val="none"/>
        </w:rPr>
        <w:t>附件</w:t>
      </w:r>
      <w:bookmarkEnd w:id="419"/>
      <w:r>
        <w:rPr>
          <w:rFonts w:hint="eastAsia" w:asciiTheme="majorEastAsia" w:hAnsiTheme="majorEastAsia" w:eastAsiaTheme="majorEastAsia"/>
          <w:b/>
          <w:color w:val="auto"/>
          <w:sz w:val="22"/>
          <w:szCs w:val="22"/>
          <w:highlight w:val="none"/>
        </w:rPr>
        <w:t>六</w:t>
      </w:r>
    </w:p>
    <w:p w14:paraId="4C5E76FA">
      <w:pPr>
        <w:pStyle w:val="40"/>
        <w:rPr>
          <w:rFonts w:asciiTheme="majorEastAsia" w:hAnsiTheme="majorEastAsia" w:eastAsiaTheme="majorEastAsia"/>
          <w:color w:val="auto"/>
          <w:highlight w:val="none"/>
        </w:rPr>
      </w:pPr>
      <w:bookmarkStart w:id="420" w:name="_Toc42678030"/>
      <w:bookmarkStart w:id="421" w:name="_Toc87518596"/>
      <w:bookmarkStart w:id="422" w:name="_Toc96970932"/>
      <w:bookmarkStart w:id="423" w:name="_Toc68189107"/>
      <w:bookmarkStart w:id="424" w:name="_Toc65830026"/>
      <w:bookmarkStart w:id="425" w:name="_Toc68187557"/>
      <w:bookmarkStart w:id="426" w:name="_Toc42678185"/>
      <w:bookmarkStart w:id="427" w:name="_Toc9334949"/>
      <w:bookmarkStart w:id="428" w:name="_Toc42243288"/>
      <w:bookmarkStart w:id="429" w:name="_Toc42678617"/>
      <w:bookmarkStart w:id="430" w:name="_Toc511045481"/>
      <w:bookmarkStart w:id="431" w:name="_Toc97033074"/>
      <w:bookmarkStart w:id="432" w:name="_Toc522469119"/>
      <w:bookmarkStart w:id="433" w:name="_Toc29259"/>
      <w:bookmarkStart w:id="434" w:name="_Toc68188793"/>
      <w:bookmarkStart w:id="435" w:name="_Toc19204521"/>
      <w:bookmarkStart w:id="436" w:name="_Toc21520"/>
      <w:bookmarkStart w:id="437" w:name="_Toc87518419"/>
      <w:bookmarkStart w:id="438" w:name="_Toc65590098"/>
      <w:bookmarkStart w:id="439" w:name="_Toc42678696"/>
      <w:bookmarkStart w:id="440" w:name="_Toc18949"/>
      <w:bookmarkStart w:id="441" w:name="_Toc61444217"/>
      <w:bookmarkStart w:id="442" w:name="_Toc518512534"/>
      <w:r>
        <w:rPr>
          <w:rFonts w:hint="eastAsia" w:asciiTheme="majorEastAsia" w:hAnsiTheme="majorEastAsia" w:eastAsiaTheme="majorEastAsia"/>
          <w:color w:val="auto"/>
          <w:highlight w:val="none"/>
        </w:rPr>
        <w:t>投 标 函</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C256DDB">
      <w:pPr>
        <w:spacing w:line="460" w:lineRule="exact"/>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永嘉县人民医院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43A81C72">
      <w:pPr>
        <w:pStyle w:val="17"/>
        <w:rPr>
          <w:rFonts w:cs="黑体" w:asciiTheme="majorEastAsia" w:hAnsiTheme="majorEastAsia" w:eastAsiaTheme="majorEastAsia"/>
          <w:b/>
          <w:color w:val="auto"/>
          <w:sz w:val="22"/>
          <w:szCs w:val="22"/>
          <w:highlight w:val="none"/>
          <w:u w:val="single"/>
        </w:rPr>
      </w:pPr>
      <w:r>
        <w:rPr>
          <w:rFonts w:hint="eastAsia" w:cs="黑体" w:asciiTheme="majorEastAsia" w:hAnsiTheme="majorEastAsia" w:eastAsiaTheme="majorEastAsia"/>
          <w:b/>
          <w:color w:val="auto"/>
          <w:sz w:val="22"/>
          <w:szCs w:val="22"/>
          <w:highlight w:val="none"/>
          <w:u w:val="single"/>
        </w:rPr>
        <w:t>永嘉县中医医院</w:t>
      </w:r>
      <w:r>
        <w:rPr>
          <w:rFonts w:hint="eastAsia" w:cs="黑体" w:asciiTheme="majorEastAsia" w:hAnsiTheme="majorEastAsia" w:eastAsiaTheme="majorEastAsia"/>
          <w:b/>
          <w:color w:val="auto"/>
          <w:sz w:val="22"/>
          <w:szCs w:val="22"/>
          <w:highlight w:val="none"/>
          <w:u w:val="single"/>
          <w:lang w:eastAsia="zh-CN"/>
        </w:rPr>
        <w:t>（医共体）</w:t>
      </w:r>
      <w:r>
        <w:rPr>
          <w:rFonts w:hint="eastAsia" w:cs="黑体" w:asciiTheme="majorEastAsia" w:hAnsiTheme="majorEastAsia" w:eastAsiaTheme="majorEastAsia"/>
          <w:b/>
          <w:color w:val="auto"/>
          <w:sz w:val="22"/>
          <w:szCs w:val="22"/>
          <w:highlight w:val="none"/>
          <w:u w:val="single"/>
        </w:rPr>
        <w:t>：</w:t>
      </w:r>
    </w:p>
    <w:p w14:paraId="711A71C3">
      <w:pPr>
        <w:pStyle w:val="17"/>
        <w:rPr>
          <w:rFonts w:asciiTheme="majorEastAsia" w:hAnsiTheme="majorEastAsia" w:eastAsiaTheme="majorEastAsia"/>
          <w:b/>
          <w:color w:val="auto"/>
          <w:sz w:val="22"/>
          <w:highlight w:val="none"/>
          <w:u w:val="single"/>
        </w:rPr>
      </w:pPr>
      <w:r>
        <w:rPr>
          <w:rFonts w:hint="eastAsia" w:cs="黑体" w:asciiTheme="majorEastAsia" w:hAnsiTheme="majorEastAsia" w:eastAsiaTheme="majorEastAsia"/>
          <w:b/>
          <w:color w:val="auto"/>
          <w:sz w:val="22"/>
          <w:szCs w:val="22"/>
          <w:highlight w:val="none"/>
          <w:u w:val="single"/>
        </w:rPr>
        <w:t>温州市中概工程管理咨询有限公司</w:t>
      </w:r>
      <w:r>
        <w:rPr>
          <w:rFonts w:hint="eastAsia" w:cs="仿宋_GB2312" w:asciiTheme="majorEastAsia" w:hAnsiTheme="majorEastAsia" w:eastAsiaTheme="majorEastAsia"/>
          <w:b/>
          <w:color w:val="auto"/>
          <w:sz w:val="22"/>
          <w:highlight w:val="none"/>
          <w:u w:val="single"/>
          <w:lang w:val="zh-CN"/>
        </w:rPr>
        <w:t>：</w:t>
      </w:r>
    </w:p>
    <w:p w14:paraId="001CDC68">
      <w:pPr>
        <w:spacing w:line="420" w:lineRule="exact"/>
        <w:ind w:firstLine="440" w:firstLineChars="2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根据贵方为</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项目（项目编号：</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）的投标邀请，我方</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（供应商名称）作为供应商正式授权</w:t>
      </w:r>
      <w:r>
        <w:rPr>
          <w:rFonts w:hint="eastAsia" w:ascii="新宋体" w:hAnsi="新宋体" w:eastAsia="新宋体"/>
          <w:color w:val="auto"/>
          <w:sz w:val="22"/>
          <w:szCs w:val="22"/>
          <w:highlight w:val="none"/>
          <w:u w:val="single"/>
        </w:rPr>
        <w:t xml:space="preserve">　           </w:t>
      </w:r>
      <w:r>
        <w:rPr>
          <w:rFonts w:hint="eastAsia" w:ascii="新宋体" w:hAnsi="新宋体" w:eastAsia="新宋体"/>
          <w:color w:val="auto"/>
          <w:sz w:val="22"/>
          <w:szCs w:val="22"/>
          <w:highlight w:val="none"/>
        </w:rPr>
        <w:t>（授权代表全名，职务）代表我方处理有关本项目投标的一切事宜。</w:t>
      </w:r>
    </w:p>
    <w:p w14:paraId="66FA03B9">
      <w:pPr>
        <w:autoSpaceDE w:val="0"/>
        <w:autoSpaceDN w:val="0"/>
        <w:adjustRightInd w:val="0"/>
        <w:spacing w:line="420" w:lineRule="atLeast"/>
        <w:ind w:firstLine="440" w:firstLineChars="200"/>
        <w:rPr>
          <w:rFonts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在此提交的投标文件中，包括如下内容，并已分别单独提交：</w:t>
      </w:r>
    </w:p>
    <w:p w14:paraId="231510B1">
      <w:pPr>
        <w:numPr>
          <w:ilvl w:val="0"/>
          <w:numId w:val="7"/>
        </w:numPr>
        <w:spacing w:line="420" w:lineRule="exact"/>
        <w:rPr>
          <w:rFonts w:ascii="新宋体" w:hAnsi="新宋体" w:eastAsia="新宋体" w:cs="新宋体"/>
          <w:color w:val="auto"/>
          <w:szCs w:val="21"/>
          <w:highlight w:val="none"/>
        </w:rPr>
      </w:pPr>
      <w:r>
        <w:rPr>
          <w:rFonts w:hint="eastAsia" w:ascii="新宋体" w:hAnsi="新宋体" w:eastAsia="新宋体" w:cs="新宋体"/>
          <w:color w:val="auto"/>
          <w:sz w:val="22"/>
          <w:highlight w:val="none"/>
        </w:rPr>
        <w:t>按“供应商须知”要求编制的投标文件资格审查资料 ；</w:t>
      </w:r>
    </w:p>
    <w:p w14:paraId="0E647BA4">
      <w:pPr>
        <w:numPr>
          <w:ilvl w:val="0"/>
          <w:numId w:val="7"/>
        </w:numPr>
        <w:spacing w:line="420" w:lineRule="exact"/>
        <w:rPr>
          <w:rFonts w:ascii="新宋体" w:hAnsi="新宋体" w:eastAsia="新宋体" w:cs="新宋体"/>
          <w:color w:val="auto"/>
          <w:szCs w:val="21"/>
          <w:highlight w:val="none"/>
        </w:rPr>
      </w:pPr>
      <w:r>
        <w:rPr>
          <w:rFonts w:hint="eastAsia" w:ascii="新宋体" w:hAnsi="新宋体" w:eastAsia="新宋体" w:cs="新宋体"/>
          <w:color w:val="auto"/>
          <w:sz w:val="22"/>
          <w:highlight w:val="none"/>
        </w:rPr>
        <w:t>按“供应商须知”要求编制的投标文件商务技术文件 ；</w:t>
      </w:r>
    </w:p>
    <w:p w14:paraId="3BCF2B5B">
      <w:pPr>
        <w:numPr>
          <w:ilvl w:val="0"/>
          <w:numId w:val="7"/>
        </w:numPr>
        <w:spacing w:line="420" w:lineRule="exact"/>
        <w:rPr>
          <w:rFonts w:ascii="新宋体" w:hAnsi="新宋体" w:eastAsia="新宋体" w:cs="新宋体"/>
          <w:color w:val="auto"/>
          <w:szCs w:val="21"/>
          <w:highlight w:val="none"/>
        </w:rPr>
      </w:pPr>
      <w:r>
        <w:rPr>
          <w:rFonts w:hint="eastAsia" w:ascii="新宋体" w:hAnsi="新宋体" w:eastAsia="新宋体" w:cs="新宋体"/>
          <w:color w:val="auto"/>
          <w:sz w:val="22"/>
          <w:highlight w:val="none"/>
        </w:rPr>
        <w:t>按“供应商须知”要求编制的投标文件报价文件 。</w:t>
      </w:r>
    </w:p>
    <w:p w14:paraId="4B1CFD49">
      <w:pPr>
        <w:autoSpaceDE w:val="0"/>
        <w:autoSpaceDN w:val="0"/>
        <w:adjustRightInd w:val="0"/>
        <w:spacing w:line="420" w:lineRule="atLeast"/>
        <w:ind w:firstLine="440"/>
        <w:rPr>
          <w:rFonts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我方己完全明白采购文件的所有条款要求，并重申以下几点：</w:t>
      </w:r>
    </w:p>
    <w:p w14:paraId="15540C09">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已详细阅读全部采购文件，包括采购文件补充文件（如果有，包括相关的补充、更正、澄清公告和文件）、参考资料及有关附件，确认无误。我方完全理解并接受采购文件的各项规定和要求。</w:t>
      </w:r>
    </w:p>
    <w:p w14:paraId="6F9428F0">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同意提供按照贵方可能要求的与投标有关的一切数据或资料等。若贵方需要，我方愿意提供我方作出的一切承诺的证明材料。</w:t>
      </w:r>
    </w:p>
    <w:p w14:paraId="4B16EC08">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如中标，保证按照采购文件要求及投标文件的承诺与采购人签订合同，保证履行合同条款。</w:t>
      </w:r>
    </w:p>
    <w:p w14:paraId="603178F7">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同意在采购文件中供应商须知规定的开标日期起遵守本投标书中的承诺且在投标有效期满之前均具有约束力。</w:t>
      </w:r>
    </w:p>
    <w:p w14:paraId="78FA2A90">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如果在开标后规定的投标有效期内撤回投标，我方接受贵方处罚。</w:t>
      </w:r>
    </w:p>
    <w:p w14:paraId="5E6B890A">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完全理解贵方不一定要接受最低价的投标。</w:t>
      </w:r>
    </w:p>
    <w:p w14:paraId="336F953F">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在参加本项目前三年内（被通报或者处罚的违法行为有：</w:t>
      </w:r>
      <w:r>
        <w:rPr>
          <w:rFonts w:hint="eastAsia" w:ascii="新宋体" w:hAnsi="新宋体" w:eastAsia="新宋体" w:cs="新宋体"/>
          <w:color w:val="auto"/>
          <w:sz w:val="22"/>
          <w:highlight w:val="none"/>
          <w:u w:val="single"/>
        </w:rPr>
        <w:t xml:space="preserve">                  </w:t>
      </w:r>
      <w:r>
        <w:rPr>
          <w:rFonts w:hint="eastAsia" w:ascii="新宋体" w:hAnsi="新宋体" w:eastAsia="新宋体" w:cs="新宋体"/>
          <w:color w:val="auto"/>
          <w:sz w:val="22"/>
          <w:highlight w:val="none"/>
        </w:rPr>
        <w:t>）或（没有因违法经营受到刑事处罚或者责令停产停业、吊销许可证或者执照、较大数额罚款等行政处罚或处罚）或（在</w:t>
      </w:r>
      <w:r>
        <w:rPr>
          <w:rFonts w:hint="eastAsia" w:ascii="新宋体" w:hAnsi="新宋体" w:eastAsia="新宋体" w:cs="新宋体"/>
          <w:color w:val="auto"/>
          <w:sz w:val="22"/>
          <w:highlight w:val="none"/>
          <w:u w:val="single"/>
        </w:rPr>
        <w:t xml:space="preserve">  </w:t>
      </w:r>
      <w:r>
        <w:rPr>
          <w:rFonts w:hint="eastAsia" w:ascii="新宋体" w:hAnsi="新宋体" w:eastAsia="新宋体" w:cs="新宋体"/>
          <w:color w:val="auto"/>
          <w:sz w:val="22"/>
          <w:highlight w:val="none"/>
        </w:rPr>
        <w:t>至</w:t>
      </w:r>
      <w:r>
        <w:rPr>
          <w:rFonts w:hint="eastAsia" w:ascii="新宋体" w:hAnsi="新宋体" w:eastAsia="新宋体" w:cs="新宋体"/>
          <w:color w:val="auto"/>
          <w:sz w:val="22"/>
          <w:highlight w:val="none"/>
          <w:u w:val="single"/>
        </w:rPr>
        <w:t xml:space="preserve">  </w:t>
      </w:r>
      <w:r>
        <w:rPr>
          <w:rFonts w:hint="eastAsia" w:ascii="新宋体" w:hAnsi="新宋体" w:eastAsia="新宋体" w:cs="新宋体"/>
          <w:color w:val="auto"/>
          <w:sz w:val="22"/>
          <w:highlight w:val="none"/>
        </w:rPr>
        <w:t>期间禁止参加政府采购活动但是期限届满，须附相关证明文件）</w:t>
      </w:r>
    </w:p>
    <w:p w14:paraId="1CCA7B4D">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在投标截止前（未被“信用中国”网站(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新宋体" w:hAnsi="新宋体" w:eastAsia="新宋体" w:cs="新宋体"/>
          <w:color w:val="auto"/>
          <w:sz w:val="22"/>
          <w:highlight w:val="none"/>
        </w:rPr>
        <w:t>www.creditchina.gov.cn</w:t>
      </w:r>
      <w:r>
        <w:rPr>
          <w:rFonts w:hint="eastAsia" w:ascii="新宋体" w:hAnsi="新宋体" w:eastAsia="新宋体" w:cs="新宋体"/>
          <w:color w:val="auto"/>
          <w:sz w:val="22"/>
          <w:highlight w:val="none"/>
        </w:rPr>
        <w:fldChar w:fldCharType="end"/>
      </w:r>
      <w:r>
        <w:rPr>
          <w:rFonts w:hint="eastAsia" w:ascii="新宋体" w:hAnsi="新宋体" w:eastAsia="新宋体" w:cs="新宋体"/>
          <w:color w:val="auto"/>
          <w:sz w:val="22"/>
          <w:highlight w:val="none"/>
        </w:rPr>
        <w:t>)列入失信被执行人、重大税收违法案件当事人名单；未被“中国政府采购网”(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新宋体" w:hAnsi="新宋体" w:eastAsia="新宋体" w:cs="新宋体"/>
          <w:color w:val="auto"/>
          <w:sz w:val="22"/>
          <w:highlight w:val="none"/>
        </w:rPr>
        <w:t>www.ccgp.gov.cn</w:t>
      </w:r>
      <w:r>
        <w:rPr>
          <w:rFonts w:hint="eastAsia" w:ascii="新宋体" w:hAnsi="新宋体" w:eastAsia="新宋体" w:cs="新宋体"/>
          <w:color w:val="auto"/>
          <w:sz w:val="22"/>
          <w:highlight w:val="none"/>
        </w:rPr>
        <w:fldChar w:fldCharType="end"/>
      </w:r>
      <w:r>
        <w:rPr>
          <w:rFonts w:hint="eastAsia" w:ascii="新宋体" w:hAnsi="新宋体" w:eastAsia="新宋体" w:cs="新宋体"/>
          <w:color w:val="auto"/>
          <w:sz w:val="22"/>
          <w:highlight w:val="none"/>
        </w:rPr>
        <w:t>)列入政府采购严重违法失信行为记录名单。）或（被“信用中国”或“中国政府采购网”列入……名单。）</w:t>
      </w:r>
    </w:p>
    <w:p w14:paraId="46750368">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如有</w:t>
      </w:r>
      <w:r>
        <w:rPr>
          <w:rFonts w:hint="eastAsia" w:ascii="新宋体" w:hAnsi="新宋体" w:eastAsia="新宋体" w:cs="新宋体"/>
          <w:color w:val="auto"/>
          <w:sz w:val="22"/>
          <w:highlight w:val="none"/>
          <w:lang w:eastAsia="zh-CN"/>
        </w:rPr>
        <w:t>下列情形之一</w:t>
      </w:r>
      <w:r>
        <w:rPr>
          <w:rFonts w:hint="eastAsia" w:ascii="新宋体" w:hAnsi="新宋体" w:eastAsia="新宋体" w:cs="新宋体"/>
          <w:color w:val="auto"/>
          <w:sz w:val="22"/>
          <w:highlight w:val="none"/>
        </w:rPr>
        <w:t>的，我方愿意被取消中标资格（如中标），同时继续承担其他一切法律后果，并不再寻求任何旨在减轻或免除法律责任的解释：</w:t>
      </w:r>
    </w:p>
    <w:p w14:paraId="24E6E41A">
      <w:pPr>
        <w:spacing w:line="42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(1)提供虚假材料（承诺）谋取中标、成交的；</w:t>
      </w:r>
    </w:p>
    <w:p w14:paraId="45800C65">
      <w:pPr>
        <w:spacing w:line="42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(2)采取不正当手段诋毁、排挤其他供应商的；</w:t>
      </w:r>
    </w:p>
    <w:p w14:paraId="40C1B007">
      <w:pPr>
        <w:spacing w:line="42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(3)与采购人、其它供应商或者采购代理机构恶意串通的；</w:t>
      </w:r>
    </w:p>
    <w:p w14:paraId="1A46158B">
      <w:pPr>
        <w:spacing w:line="42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(4)向采购人、采购代理机构行贿或者提供其他不正当利益的；</w:t>
      </w:r>
    </w:p>
    <w:p w14:paraId="437ED9F9">
      <w:pPr>
        <w:spacing w:line="42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(5)在招标采购过程中与采购人进行协商谈判的；</w:t>
      </w:r>
    </w:p>
    <w:p w14:paraId="4C909AFB">
      <w:pPr>
        <w:spacing w:line="420" w:lineRule="exact"/>
        <w:ind w:firstLine="440" w:firstLineChars="200"/>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(6)拒绝有关部门监督检查或提供虚假情况的。</w:t>
      </w:r>
    </w:p>
    <w:p w14:paraId="31F5965D">
      <w:pPr>
        <w:numPr>
          <w:ilvl w:val="0"/>
          <w:numId w:val="8"/>
        </w:numPr>
        <w:spacing w:line="420" w:lineRule="exact"/>
        <w:rPr>
          <w:rFonts w:ascii="新宋体" w:hAnsi="新宋体" w:eastAsia="新宋体" w:cs="新宋体"/>
          <w:color w:val="auto"/>
          <w:sz w:val="22"/>
          <w:highlight w:val="none"/>
        </w:rPr>
      </w:pPr>
      <w:r>
        <w:rPr>
          <w:rFonts w:hint="eastAsia" w:ascii="新宋体" w:hAnsi="新宋体" w:eastAsia="新宋体" w:cs="新宋体"/>
          <w:color w:val="auto"/>
          <w:sz w:val="22"/>
          <w:highlight w:val="none"/>
        </w:rPr>
        <w:t>所有与本投标有关的函件请发往下列地址：</w:t>
      </w:r>
    </w:p>
    <w:p w14:paraId="586676BF">
      <w:pPr>
        <w:spacing w:line="420" w:lineRule="exact"/>
        <w:ind w:firstLine="43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地址</w:t>
      </w:r>
      <w:r>
        <w:rPr>
          <w:rFonts w:hint="eastAsia" w:ascii="新宋体" w:hAnsi="新宋体" w:eastAsia="新宋体" w:cs="新宋体"/>
          <w:color w:val="auto"/>
          <w:sz w:val="22"/>
          <w:szCs w:val="22"/>
          <w:highlight w:val="none"/>
          <w:u w:val="single"/>
        </w:rPr>
        <w:t xml:space="preserve">                           </w:t>
      </w:r>
    </w:p>
    <w:p w14:paraId="4F7CBD59">
      <w:pPr>
        <w:spacing w:line="420" w:lineRule="exact"/>
        <w:ind w:firstLine="435"/>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   电话</w:t>
      </w:r>
      <w:r>
        <w:rPr>
          <w:rFonts w:hint="eastAsia" w:ascii="新宋体" w:hAnsi="新宋体" w:eastAsia="新宋体" w:cs="新宋体"/>
          <w:color w:val="auto"/>
          <w:sz w:val="22"/>
          <w:szCs w:val="22"/>
          <w:highlight w:val="none"/>
          <w:u w:val="single"/>
        </w:rPr>
        <w:t xml:space="preserve">                           </w:t>
      </w:r>
    </w:p>
    <w:p w14:paraId="72F463A2">
      <w:pPr>
        <w:spacing w:line="420" w:lineRule="exact"/>
        <w:ind w:firstLine="435"/>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 xml:space="preserve">   传真</w:t>
      </w:r>
      <w:r>
        <w:rPr>
          <w:rFonts w:hint="eastAsia" w:ascii="新宋体" w:hAnsi="新宋体" w:eastAsia="新宋体" w:cs="新宋体"/>
          <w:color w:val="auto"/>
          <w:sz w:val="22"/>
          <w:szCs w:val="22"/>
          <w:highlight w:val="none"/>
          <w:u w:val="single"/>
        </w:rPr>
        <w:t xml:space="preserve">                           </w:t>
      </w:r>
    </w:p>
    <w:p w14:paraId="333D3EEC">
      <w:pPr>
        <w:spacing w:line="420" w:lineRule="exact"/>
        <w:ind w:firstLine="770" w:firstLineChars="350"/>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电子邮件</w:t>
      </w:r>
      <w:r>
        <w:rPr>
          <w:rFonts w:hint="eastAsia" w:ascii="新宋体" w:hAnsi="新宋体" w:eastAsia="新宋体" w:cs="新宋体"/>
          <w:color w:val="auto"/>
          <w:sz w:val="22"/>
          <w:szCs w:val="22"/>
          <w:highlight w:val="none"/>
          <w:u w:val="single"/>
        </w:rPr>
        <w:t xml:space="preserve">                           </w:t>
      </w:r>
    </w:p>
    <w:p w14:paraId="132CC4FD">
      <w:pPr>
        <w:autoSpaceDE w:val="0"/>
        <w:autoSpaceDN w:val="0"/>
        <w:adjustRightInd w:val="0"/>
        <w:spacing w:line="440" w:lineRule="atLeast"/>
        <w:rPr>
          <w:rFonts w:cs="新宋体" w:asciiTheme="majorEastAsia" w:hAnsiTheme="majorEastAsia" w:eastAsiaTheme="majorEastAsia"/>
          <w:color w:val="auto"/>
          <w:sz w:val="22"/>
          <w:szCs w:val="22"/>
          <w:highlight w:val="none"/>
        </w:rPr>
      </w:pPr>
    </w:p>
    <w:p w14:paraId="2C815186">
      <w:pPr>
        <w:autoSpaceDE w:val="0"/>
        <w:autoSpaceDN w:val="0"/>
        <w:adjustRightInd w:val="0"/>
        <w:spacing w:line="440" w:lineRule="atLeast"/>
        <w:ind w:firstLine="1980" w:firstLineChars="900"/>
        <w:rPr>
          <w:rFonts w:cs="新宋体" w:asciiTheme="majorEastAsia" w:hAnsiTheme="majorEastAsia" w:eastAsiaTheme="majorEastAsia"/>
          <w:color w:val="auto"/>
          <w:sz w:val="22"/>
          <w:szCs w:val="22"/>
          <w:highlight w:val="none"/>
          <w:lang w:val="zh-CN"/>
        </w:rPr>
      </w:pPr>
    </w:p>
    <w:p w14:paraId="30779C5A">
      <w:pPr>
        <w:autoSpaceDE w:val="0"/>
        <w:autoSpaceDN w:val="0"/>
        <w:adjustRightInd w:val="0"/>
        <w:spacing w:line="440" w:lineRule="atLeast"/>
        <w:jc w:val="left"/>
        <w:rPr>
          <w:rFonts w:cs="新宋体" w:asciiTheme="majorEastAsia" w:hAnsiTheme="majorEastAsia" w:eastAsiaTheme="majorEastAsia"/>
          <w:color w:val="auto"/>
          <w:sz w:val="22"/>
          <w:szCs w:val="22"/>
          <w:highlight w:val="none"/>
          <w:lang w:val="zh-CN"/>
        </w:rPr>
      </w:pPr>
      <w:r>
        <w:rPr>
          <w:rFonts w:hint="eastAsia" w:cs="新宋体" w:asciiTheme="majorEastAsia" w:hAnsiTheme="majorEastAsia" w:eastAsiaTheme="majorEastAsia"/>
          <w:color w:val="auto"/>
          <w:sz w:val="22"/>
          <w:szCs w:val="22"/>
          <w:highlight w:val="none"/>
          <w:lang w:val="zh-CN"/>
        </w:rPr>
        <w:t>供应商全称（盖章）：</w:t>
      </w:r>
    </w:p>
    <w:p w14:paraId="4E348537">
      <w:pPr>
        <w:autoSpaceDE w:val="0"/>
        <w:autoSpaceDN w:val="0"/>
        <w:adjustRightInd w:val="0"/>
        <w:spacing w:line="440" w:lineRule="atLeast"/>
        <w:jc w:val="left"/>
        <w:rPr>
          <w:rFonts w:cs="新宋体" w:asciiTheme="majorEastAsia" w:hAnsiTheme="majorEastAsia" w:eastAsiaTheme="majorEastAsia"/>
          <w:color w:val="auto"/>
          <w:sz w:val="22"/>
          <w:szCs w:val="22"/>
          <w:highlight w:val="none"/>
          <w:lang w:val="zh-CN"/>
        </w:rPr>
      </w:pPr>
      <w:r>
        <w:rPr>
          <w:rFonts w:hint="eastAsia" w:cs="新宋体" w:asciiTheme="majorEastAsia" w:hAnsiTheme="majorEastAsia" w:eastAsiaTheme="majorEastAsia"/>
          <w:color w:val="auto"/>
          <w:sz w:val="22"/>
          <w:szCs w:val="22"/>
          <w:highlight w:val="none"/>
          <w:lang w:val="zh-CN"/>
        </w:rPr>
        <w:t>日期：</w:t>
      </w:r>
    </w:p>
    <w:p w14:paraId="7F55CFAC">
      <w:pPr>
        <w:autoSpaceDE w:val="0"/>
        <w:autoSpaceDN w:val="0"/>
        <w:adjustRightInd w:val="0"/>
        <w:snapToGrid w:val="0"/>
        <w:spacing w:line="480" w:lineRule="atLeast"/>
        <w:ind w:firstLine="440" w:firstLineChars="200"/>
        <w:jc w:val="left"/>
        <w:rPr>
          <w:rFonts w:cs="仿宋_GB2312" w:asciiTheme="majorEastAsia" w:hAnsiTheme="majorEastAsia" w:eastAsiaTheme="majorEastAsia"/>
          <w:color w:val="auto"/>
          <w:sz w:val="22"/>
          <w:highlight w:val="none"/>
          <w:lang w:val="zh-CN"/>
        </w:rPr>
      </w:pPr>
    </w:p>
    <w:p w14:paraId="69A7AE69">
      <w:pPr>
        <w:rPr>
          <w:rFonts w:asciiTheme="majorEastAsia" w:hAnsiTheme="majorEastAsia" w:eastAsiaTheme="majorEastAsia"/>
          <w:b/>
          <w:bCs/>
          <w:color w:val="auto"/>
          <w:sz w:val="22"/>
          <w:szCs w:val="22"/>
          <w:highlight w:val="none"/>
        </w:rPr>
      </w:pPr>
      <w:bookmarkStart w:id="443" w:name="_Toc493530219"/>
      <w:r>
        <w:rPr>
          <w:rFonts w:hint="eastAsia" w:asciiTheme="majorEastAsia" w:hAnsiTheme="majorEastAsia" w:eastAsiaTheme="majorEastAsia"/>
          <w:b/>
          <w:bCs/>
          <w:color w:val="auto"/>
          <w:sz w:val="22"/>
          <w:szCs w:val="22"/>
          <w:highlight w:val="none"/>
        </w:rPr>
        <w:br w:type="page"/>
      </w:r>
    </w:p>
    <w:p w14:paraId="0C835608">
      <w:pPr>
        <w:widowControl/>
        <w:spacing w:line="460" w:lineRule="atLeast"/>
        <w:jc w:val="left"/>
        <w:rPr>
          <w:rFonts w:asciiTheme="majorEastAsia" w:hAnsiTheme="majorEastAsia" w:eastAsiaTheme="majorEastAsia"/>
          <w:b/>
          <w:bCs/>
          <w:color w:val="auto"/>
          <w:sz w:val="22"/>
          <w:szCs w:val="22"/>
          <w:highlight w:val="none"/>
        </w:rPr>
      </w:pPr>
      <w:r>
        <w:rPr>
          <w:rFonts w:hint="eastAsia" w:asciiTheme="majorEastAsia" w:hAnsiTheme="majorEastAsia" w:eastAsiaTheme="majorEastAsia"/>
          <w:b/>
          <w:bCs/>
          <w:color w:val="auto"/>
          <w:sz w:val="22"/>
          <w:szCs w:val="22"/>
          <w:highlight w:val="none"/>
        </w:rPr>
        <w:t>附件</w:t>
      </w:r>
      <w:bookmarkEnd w:id="443"/>
      <w:r>
        <w:rPr>
          <w:rFonts w:hint="eastAsia" w:asciiTheme="majorEastAsia" w:hAnsiTheme="majorEastAsia" w:eastAsiaTheme="majorEastAsia"/>
          <w:b/>
          <w:bCs/>
          <w:color w:val="auto"/>
          <w:sz w:val="22"/>
          <w:szCs w:val="22"/>
          <w:highlight w:val="none"/>
        </w:rPr>
        <w:t>七</w:t>
      </w:r>
    </w:p>
    <w:p w14:paraId="6C2DB7F7">
      <w:pPr>
        <w:tabs>
          <w:tab w:val="left" w:pos="1080"/>
        </w:tabs>
        <w:autoSpaceDE w:val="0"/>
        <w:autoSpaceDN w:val="0"/>
        <w:adjustRightInd w:val="0"/>
        <w:spacing w:line="440" w:lineRule="atLeast"/>
        <w:jc w:val="center"/>
        <w:rPr>
          <w:rFonts w:cs="新宋体" w:asciiTheme="majorEastAsia" w:hAnsiTheme="majorEastAsia" w:eastAsiaTheme="majorEastAsia"/>
          <w:b/>
          <w:color w:val="auto"/>
          <w:sz w:val="32"/>
          <w:szCs w:val="32"/>
          <w:highlight w:val="none"/>
          <w:lang w:val="zh-CN"/>
        </w:rPr>
      </w:pPr>
      <w:r>
        <w:rPr>
          <w:rFonts w:hint="eastAsia" w:cs="新宋体" w:asciiTheme="majorEastAsia" w:hAnsiTheme="majorEastAsia" w:eastAsiaTheme="majorEastAsia"/>
          <w:b/>
          <w:color w:val="auto"/>
          <w:sz w:val="32"/>
          <w:szCs w:val="32"/>
          <w:highlight w:val="none"/>
          <w:lang w:val="zh-CN"/>
        </w:rPr>
        <w:t>法定代表人诚信投标承诺书</w:t>
      </w:r>
    </w:p>
    <w:p w14:paraId="67A6E676">
      <w:pPr>
        <w:spacing w:line="360" w:lineRule="auto"/>
        <w:jc w:val="left"/>
        <w:rPr>
          <w:rFonts w:cs="新宋体" w:asciiTheme="majorEastAsia" w:hAnsiTheme="majorEastAsia" w:eastAsiaTheme="majorEastAsia"/>
          <w:b/>
          <w:color w:val="auto"/>
          <w:sz w:val="24"/>
          <w:highlight w:val="none"/>
        </w:rPr>
      </w:pPr>
    </w:p>
    <w:p w14:paraId="076AEB50">
      <w:pPr>
        <w:spacing w:line="460" w:lineRule="atLeast"/>
        <w:jc w:val="left"/>
        <w:rPr>
          <w:rFonts w:cs="新宋体" w:asciiTheme="majorEastAsia" w:hAnsiTheme="majorEastAsia" w:eastAsiaTheme="majorEastAsia"/>
          <w:b/>
          <w:color w:val="auto"/>
          <w:sz w:val="22"/>
          <w:szCs w:val="22"/>
          <w:highlight w:val="none"/>
        </w:rPr>
      </w:pPr>
      <w:r>
        <w:rPr>
          <w:rFonts w:hint="eastAsia" w:cs="新宋体" w:asciiTheme="majorEastAsia" w:hAnsiTheme="majorEastAsia" w:eastAsiaTheme="majorEastAsia"/>
          <w:b/>
          <w:color w:val="auto"/>
          <w:sz w:val="22"/>
          <w:szCs w:val="22"/>
          <w:highlight w:val="none"/>
        </w:rPr>
        <w:t>本人以企业法定代表人的身份郑重承诺：</w:t>
      </w:r>
    </w:p>
    <w:p w14:paraId="04464F17">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将遵循公开、公平、公正和诚信信用的原则参加</w:t>
      </w:r>
      <w:r>
        <w:rPr>
          <w:rFonts w:hint="eastAsia" w:cs="新宋体" w:asciiTheme="majorEastAsia" w:hAnsiTheme="majorEastAsia" w:eastAsiaTheme="majorEastAsia"/>
          <w:color w:val="auto"/>
          <w:sz w:val="22"/>
          <w:szCs w:val="22"/>
          <w:highlight w:val="none"/>
          <w:u w:val="single"/>
        </w:rPr>
        <w:t xml:space="preserve">              项目（项目编号：   ）</w:t>
      </w:r>
      <w:r>
        <w:rPr>
          <w:rFonts w:hint="eastAsia" w:cs="新宋体" w:asciiTheme="majorEastAsia" w:hAnsiTheme="majorEastAsia" w:eastAsiaTheme="majorEastAsia"/>
          <w:color w:val="auto"/>
          <w:sz w:val="22"/>
          <w:szCs w:val="22"/>
          <w:highlight w:val="none"/>
        </w:rPr>
        <w:t>的投标；</w:t>
      </w:r>
    </w:p>
    <w:p w14:paraId="7A44C9DD">
      <w:pPr>
        <w:spacing w:line="460" w:lineRule="atLeast"/>
        <w:ind w:firstLine="440" w:firstLineChars="200"/>
        <w:jc w:val="left"/>
        <w:rPr>
          <w:rFonts w:cs="新宋体" w:asciiTheme="majorEastAsia" w:hAnsiTheme="majorEastAsia" w:eastAsiaTheme="majorEastAsia"/>
          <w:color w:val="auto"/>
          <w:sz w:val="22"/>
          <w:szCs w:val="22"/>
          <w:highlight w:val="none"/>
          <w:u w:val="single"/>
        </w:rPr>
      </w:pPr>
      <w:r>
        <w:rPr>
          <w:rFonts w:hint="eastAsia" w:cs="新宋体" w:asciiTheme="majorEastAsia" w:hAnsiTheme="majorEastAsia" w:eastAsiaTheme="majorEastAsia"/>
          <w:color w:val="auto"/>
          <w:sz w:val="22"/>
          <w:szCs w:val="22"/>
          <w:highlight w:val="none"/>
        </w:rPr>
        <w:t>一、杜绝以收取管理费等形式的一切挂靠、违法转包、分包行为；并选派有丰富经验、无不良行为记录的在项目管理人员、技术人员，严格按招标文件、投标文件及合同等要求保证拟派人员的到岗率。</w:t>
      </w:r>
    </w:p>
    <w:p w14:paraId="12EFC624">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二、投标文件所提供的一切材料都是真实、有效、合法的。</w:t>
      </w:r>
    </w:p>
    <w:p w14:paraId="3834D617">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三、不与其他</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相互串通投标报价，不排挤其他</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的公平竞争，不损害招标人或其他</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的合法权益。</w:t>
      </w:r>
    </w:p>
    <w:p w14:paraId="0AF4D572">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四、不与采购人或采购代理机构串通投标，不损害国家利益，社会公共利益或其他人的合法权益。</w:t>
      </w:r>
    </w:p>
    <w:p w14:paraId="00228557">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五、不向采购人或者评标委员会成员行贿以牟取中标。</w:t>
      </w:r>
    </w:p>
    <w:p w14:paraId="2BE16C56">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六、不以其他人名义投标或者以其他方式弄虚作假，骗取中标。</w:t>
      </w:r>
    </w:p>
    <w:p w14:paraId="7E6A58B1">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七、不在开标后进行虚假恶意投诉。</w:t>
      </w:r>
    </w:p>
    <w:p w14:paraId="4764307A">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八、我单位没有被政府机关列入失信被执行人名单、重大税收违法案件当事人名单、政府采购严重违法失信行为记录名单及其他不符合《中华人民共和国政府采购法》第二十二条规定条件的情形：</w:t>
      </w:r>
    </w:p>
    <w:p w14:paraId="4AAB681C">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 xml:space="preserve">九、没有被各地、各级财政部门禁止参加政府采购活动，且在限制期限内：    </w:t>
      </w:r>
    </w:p>
    <w:p w14:paraId="74F6E49C">
      <w:pPr>
        <w:spacing w:line="460" w:lineRule="atLeast"/>
        <w:ind w:firstLine="440" w:firstLineChars="200"/>
        <w:jc w:val="left"/>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十、参与本项目政府采购活动3年内没有重大违法记录情况。</w:t>
      </w:r>
    </w:p>
    <w:p w14:paraId="70B4BF42">
      <w:pPr>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本公司若有违反本承诺内容的行为，愿意承担法律责任，包括不限于：愿意接受相关行政主管部门作出的处罚；给采购人造成损失的，依法承担相应的赔偿责任。</w:t>
      </w:r>
    </w:p>
    <w:p w14:paraId="33B71814">
      <w:pPr>
        <w:spacing w:line="460" w:lineRule="atLeast"/>
        <w:ind w:right="1120" w:firstLine="2970" w:firstLineChars="1350"/>
        <w:rPr>
          <w:rFonts w:cs="新宋体"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法定代表人（签字或盖章）：</w:t>
      </w:r>
    </w:p>
    <w:p w14:paraId="52A989A0">
      <w:pPr>
        <w:spacing w:line="460" w:lineRule="atLeast"/>
        <w:ind w:right="1120" w:firstLine="2970" w:firstLineChars="135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（盖章）</w:t>
      </w:r>
    </w:p>
    <w:p w14:paraId="61AC4480">
      <w:pPr>
        <w:spacing w:line="460" w:lineRule="atLeast"/>
        <w:ind w:right="1120" w:firstLine="2970" w:firstLineChars="1350"/>
        <w:rPr>
          <w:rFonts w:cs="新宋体" w:asciiTheme="majorEastAsia" w:hAnsiTheme="majorEastAsia" w:eastAsiaTheme="majorEastAsia"/>
          <w:color w:val="auto"/>
          <w:highlight w:val="none"/>
        </w:rPr>
      </w:pPr>
      <w:r>
        <w:rPr>
          <w:rFonts w:hint="eastAsia" w:cs="新宋体" w:asciiTheme="majorEastAsia" w:hAnsiTheme="majorEastAsia" w:eastAsiaTheme="majorEastAsia"/>
          <w:color w:val="auto"/>
          <w:sz w:val="22"/>
          <w:szCs w:val="22"/>
          <w:highlight w:val="none"/>
        </w:rPr>
        <w:t>承诺书签署日期：         年  月  日</w:t>
      </w:r>
    </w:p>
    <w:p w14:paraId="38267FCD">
      <w:pPr>
        <w:spacing w:line="360" w:lineRule="exact"/>
        <w:jc w:val="left"/>
        <w:rPr>
          <w:rFonts w:cs="新宋体" w:asciiTheme="majorEastAsia" w:hAnsiTheme="majorEastAsia" w:eastAsiaTheme="majorEastAsia"/>
          <w:b/>
          <w:bCs/>
          <w:color w:val="auto"/>
          <w:sz w:val="22"/>
          <w:szCs w:val="22"/>
          <w:highlight w:val="none"/>
          <w:u w:val="single"/>
        </w:rPr>
      </w:pPr>
    </w:p>
    <w:p w14:paraId="2FC7C8E2">
      <w:pPr>
        <w:spacing w:line="360" w:lineRule="exact"/>
        <w:jc w:val="left"/>
        <w:rPr>
          <w:rFonts w:cs="新宋体" w:asciiTheme="majorEastAsia" w:hAnsiTheme="majorEastAsia" w:eastAsiaTheme="majorEastAsia"/>
          <w:b/>
          <w:color w:val="auto"/>
          <w:sz w:val="30"/>
          <w:highlight w:val="none"/>
        </w:rPr>
      </w:pPr>
      <w:r>
        <w:rPr>
          <w:rFonts w:hint="eastAsia" w:cs="新宋体" w:asciiTheme="majorEastAsia" w:hAnsiTheme="majorEastAsia" w:eastAsiaTheme="majorEastAsia"/>
          <w:b/>
          <w:color w:val="auto"/>
          <w:sz w:val="22"/>
          <w:szCs w:val="22"/>
          <w:highlight w:val="none"/>
          <w:u w:val="single"/>
        </w:rPr>
        <w:t>备注：▲</w:t>
      </w:r>
      <w:r>
        <w:rPr>
          <w:rFonts w:hint="eastAsia" w:cs="新宋体" w:asciiTheme="majorEastAsia" w:hAnsiTheme="majorEastAsia" w:eastAsiaTheme="majorEastAsia"/>
          <w:b/>
          <w:color w:val="auto"/>
          <w:sz w:val="22"/>
          <w:szCs w:val="22"/>
          <w:highlight w:val="none"/>
          <w:u w:val="single"/>
          <w:lang w:eastAsia="zh-CN"/>
        </w:rPr>
        <w:t>投标人</w:t>
      </w:r>
      <w:r>
        <w:rPr>
          <w:rFonts w:hint="eastAsia" w:cs="新宋体" w:asciiTheme="majorEastAsia" w:hAnsiTheme="majorEastAsia" w:eastAsiaTheme="majorEastAsia"/>
          <w:b/>
          <w:color w:val="auto"/>
          <w:sz w:val="22"/>
          <w:szCs w:val="22"/>
          <w:highlight w:val="none"/>
          <w:u w:val="single"/>
        </w:rPr>
        <w:t>必须提供本承诺书，不提供按无效投标处理。</w:t>
      </w:r>
    </w:p>
    <w:p w14:paraId="0032E735">
      <w:pPr>
        <w:tabs>
          <w:tab w:val="left" w:pos="2520"/>
        </w:tabs>
        <w:spacing w:line="440" w:lineRule="exact"/>
        <w:outlineLvl w:val="0"/>
        <w:rPr>
          <w:rFonts w:cs="新宋体" w:asciiTheme="majorEastAsia" w:hAnsiTheme="majorEastAsia" w:eastAsiaTheme="majorEastAsia"/>
          <w:color w:val="auto"/>
          <w:highlight w:val="none"/>
        </w:rPr>
      </w:pPr>
    </w:p>
    <w:p w14:paraId="1A7B639B">
      <w:pPr>
        <w:tabs>
          <w:tab w:val="left" w:pos="2520"/>
        </w:tabs>
        <w:spacing w:line="440" w:lineRule="exact"/>
        <w:outlineLvl w:val="0"/>
        <w:rPr>
          <w:rFonts w:cs="新宋体" w:asciiTheme="majorEastAsia" w:hAnsiTheme="majorEastAsia" w:eastAsiaTheme="majorEastAsia"/>
          <w:color w:val="auto"/>
          <w:highlight w:val="none"/>
        </w:rPr>
      </w:pPr>
    </w:p>
    <w:p w14:paraId="16B9AEED">
      <w:pPr>
        <w:spacing w:line="360" w:lineRule="exact"/>
        <w:jc w:val="left"/>
        <w:rPr>
          <w:rFonts w:asciiTheme="majorEastAsia" w:hAnsiTheme="majorEastAsia" w:eastAsiaTheme="majorEastAsia"/>
          <w:b/>
          <w:bCs/>
          <w:color w:val="auto"/>
          <w:sz w:val="22"/>
          <w:szCs w:val="22"/>
          <w:highlight w:val="none"/>
        </w:rPr>
      </w:pPr>
      <w:r>
        <w:rPr>
          <w:rFonts w:asciiTheme="majorEastAsia" w:hAnsiTheme="majorEastAsia" w:eastAsiaTheme="majorEastAsia"/>
          <w:color w:val="auto"/>
          <w:sz w:val="22"/>
          <w:szCs w:val="22"/>
          <w:highlight w:val="none"/>
        </w:rPr>
        <w:br w:type="page"/>
      </w:r>
      <w:r>
        <w:rPr>
          <w:rFonts w:hint="eastAsia" w:asciiTheme="majorEastAsia" w:hAnsiTheme="majorEastAsia" w:eastAsiaTheme="majorEastAsia"/>
          <w:b/>
          <w:color w:val="auto"/>
          <w:sz w:val="22"/>
          <w:szCs w:val="22"/>
          <w:highlight w:val="none"/>
        </w:rPr>
        <w:t>附件八</w:t>
      </w:r>
    </w:p>
    <w:p w14:paraId="7BD0DC2C">
      <w:pPr>
        <w:tabs>
          <w:tab w:val="left" w:pos="1080"/>
        </w:tabs>
        <w:autoSpaceDE w:val="0"/>
        <w:autoSpaceDN w:val="0"/>
        <w:adjustRightInd w:val="0"/>
        <w:spacing w:line="440" w:lineRule="atLeast"/>
        <w:jc w:val="center"/>
        <w:rPr>
          <w:rFonts w:cs="仿宋_GB2312" w:asciiTheme="majorEastAsia" w:hAnsiTheme="majorEastAsia" w:eastAsiaTheme="majorEastAsia"/>
          <w:b/>
          <w:color w:val="auto"/>
          <w:sz w:val="32"/>
          <w:szCs w:val="32"/>
          <w:highlight w:val="none"/>
          <w:lang w:val="zh-CN"/>
        </w:rPr>
      </w:pPr>
      <w:r>
        <w:rPr>
          <w:rFonts w:hint="eastAsia" w:cs="仿宋_GB2312" w:asciiTheme="majorEastAsia" w:hAnsiTheme="majorEastAsia" w:eastAsiaTheme="majorEastAsia"/>
          <w:b/>
          <w:color w:val="auto"/>
          <w:sz w:val="32"/>
          <w:szCs w:val="32"/>
          <w:highlight w:val="none"/>
          <w:lang w:val="zh-CN"/>
        </w:rPr>
        <w:t>类似业绩（时间以签订的时间为准）</w:t>
      </w:r>
    </w:p>
    <w:p w14:paraId="21AB6BD1">
      <w:pPr>
        <w:spacing w:line="460" w:lineRule="exac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项目名称：                                              项目编号：</w:t>
      </w:r>
    </w:p>
    <w:tbl>
      <w:tblPr>
        <w:tblStyle w:val="43"/>
        <w:tblW w:w="938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285"/>
        <w:gridCol w:w="1299"/>
        <w:gridCol w:w="1355"/>
        <w:gridCol w:w="1296"/>
        <w:gridCol w:w="1064"/>
        <w:gridCol w:w="1271"/>
        <w:gridCol w:w="1064"/>
      </w:tblGrid>
      <w:tr w14:paraId="5E7B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15E21568">
            <w:pPr>
              <w:tabs>
                <w:tab w:val="left" w:pos="4140"/>
              </w:tabs>
              <w:adjustRightInd w:val="0"/>
              <w:snapToGrid w:val="0"/>
              <w:spacing w:line="320" w:lineRule="atLeast"/>
              <w:jc w:val="center"/>
              <w:rPr>
                <w:rFonts w:asciiTheme="majorEastAsia" w:hAnsiTheme="majorEastAsia" w:eastAsiaTheme="majorEastAsia"/>
                <w:caps/>
                <w:color w:val="auto"/>
                <w:spacing w:val="20"/>
                <w:sz w:val="22"/>
                <w:highlight w:val="none"/>
              </w:rPr>
            </w:pPr>
            <w:r>
              <w:rPr>
                <w:rFonts w:hint="eastAsia" w:asciiTheme="majorEastAsia" w:hAnsiTheme="majorEastAsia" w:eastAsiaTheme="majorEastAsia"/>
                <w:caps/>
                <w:color w:val="auto"/>
                <w:spacing w:val="20"/>
                <w:sz w:val="22"/>
                <w:szCs w:val="22"/>
                <w:highlight w:val="none"/>
              </w:rPr>
              <w:t>序号</w:t>
            </w:r>
          </w:p>
        </w:tc>
        <w:tc>
          <w:tcPr>
            <w:tcW w:w="1285" w:type="dxa"/>
            <w:vAlign w:val="center"/>
          </w:tcPr>
          <w:p w14:paraId="4F6FBE9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r>
              <w:rPr>
                <w:rFonts w:hint="eastAsia" w:asciiTheme="majorEastAsia" w:hAnsiTheme="majorEastAsia" w:eastAsiaTheme="majorEastAsia"/>
                <w:color w:val="auto"/>
                <w:spacing w:val="20"/>
                <w:sz w:val="22"/>
                <w:szCs w:val="22"/>
                <w:highlight w:val="none"/>
              </w:rPr>
              <w:t>采购单位</w:t>
            </w:r>
          </w:p>
        </w:tc>
        <w:tc>
          <w:tcPr>
            <w:tcW w:w="1299" w:type="dxa"/>
            <w:vAlign w:val="center"/>
          </w:tcPr>
          <w:p w14:paraId="00A67C1B">
            <w:pPr>
              <w:tabs>
                <w:tab w:val="left" w:pos="4140"/>
              </w:tabs>
              <w:adjustRightInd w:val="0"/>
              <w:snapToGrid w:val="0"/>
              <w:spacing w:line="320" w:lineRule="atLeast"/>
              <w:jc w:val="center"/>
              <w:rPr>
                <w:rFonts w:asciiTheme="majorEastAsia" w:hAnsiTheme="majorEastAsia" w:eastAsiaTheme="majorEastAsia"/>
                <w:caps/>
                <w:color w:val="auto"/>
                <w:spacing w:val="20"/>
                <w:sz w:val="22"/>
                <w:highlight w:val="none"/>
              </w:rPr>
            </w:pPr>
            <w:r>
              <w:rPr>
                <w:rFonts w:hint="eastAsia" w:asciiTheme="majorEastAsia" w:hAnsiTheme="majorEastAsia" w:eastAsiaTheme="majorEastAsia"/>
                <w:caps/>
                <w:color w:val="auto"/>
                <w:spacing w:val="20"/>
                <w:sz w:val="22"/>
                <w:szCs w:val="22"/>
                <w:highlight w:val="none"/>
              </w:rPr>
              <w:t>项目名称</w:t>
            </w:r>
          </w:p>
        </w:tc>
        <w:tc>
          <w:tcPr>
            <w:tcW w:w="1355" w:type="dxa"/>
            <w:vAlign w:val="center"/>
          </w:tcPr>
          <w:p w14:paraId="4DEFE74B">
            <w:pPr>
              <w:tabs>
                <w:tab w:val="left" w:pos="4140"/>
              </w:tabs>
              <w:adjustRightInd w:val="0"/>
              <w:snapToGrid w:val="0"/>
              <w:spacing w:line="320" w:lineRule="atLeast"/>
              <w:jc w:val="center"/>
              <w:rPr>
                <w:rFonts w:asciiTheme="majorEastAsia" w:hAnsiTheme="majorEastAsia" w:eastAsiaTheme="majorEastAsia"/>
                <w:caps/>
                <w:color w:val="auto"/>
                <w:spacing w:val="20"/>
                <w:sz w:val="22"/>
                <w:highlight w:val="none"/>
              </w:rPr>
            </w:pPr>
            <w:r>
              <w:rPr>
                <w:rFonts w:hint="eastAsia" w:asciiTheme="majorEastAsia" w:hAnsiTheme="majorEastAsia" w:eastAsiaTheme="majorEastAsia"/>
                <w:caps/>
                <w:color w:val="auto"/>
                <w:spacing w:val="20"/>
                <w:sz w:val="22"/>
                <w:szCs w:val="22"/>
                <w:highlight w:val="none"/>
              </w:rPr>
              <w:t>合同金额</w:t>
            </w:r>
          </w:p>
        </w:tc>
        <w:tc>
          <w:tcPr>
            <w:tcW w:w="1296" w:type="dxa"/>
            <w:vAlign w:val="center"/>
          </w:tcPr>
          <w:p w14:paraId="1993299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r>
              <w:rPr>
                <w:rFonts w:hint="eastAsia" w:asciiTheme="majorEastAsia" w:hAnsiTheme="majorEastAsia" w:eastAsiaTheme="majorEastAsia"/>
                <w:color w:val="auto"/>
                <w:spacing w:val="20"/>
                <w:sz w:val="22"/>
                <w:szCs w:val="22"/>
                <w:highlight w:val="none"/>
              </w:rPr>
              <w:t>签约日期</w:t>
            </w:r>
          </w:p>
        </w:tc>
        <w:tc>
          <w:tcPr>
            <w:tcW w:w="1064" w:type="dxa"/>
            <w:vAlign w:val="center"/>
          </w:tcPr>
          <w:p w14:paraId="7E3FB98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r>
              <w:rPr>
                <w:rFonts w:hint="eastAsia" w:asciiTheme="majorEastAsia" w:hAnsiTheme="majorEastAsia" w:eastAsiaTheme="majorEastAsia"/>
                <w:color w:val="auto"/>
                <w:spacing w:val="20"/>
                <w:sz w:val="22"/>
                <w:szCs w:val="22"/>
                <w:highlight w:val="none"/>
              </w:rPr>
              <w:t>联系人</w:t>
            </w:r>
          </w:p>
        </w:tc>
        <w:tc>
          <w:tcPr>
            <w:tcW w:w="1271" w:type="dxa"/>
            <w:vAlign w:val="center"/>
          </w:tcPr>
          <w:p w14:paraId="6DFF34CE">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r>
              <w:rPr>
                <w:rFonts w:hint="eastAsia" w:asciiTheme="majorEastAsia" w:hAnsiTheme="majorEastAsia" w:eastAsiaTheme="majorEastAsia"/>
                <w:color w:val="auto"/>
                <w:spacing w:val="20"/>
                <w:sz w:val="22"/>
                <w:szCs w:val="22"/>
                <w:highlight w:val="none"/>
              </w:rPr>
              <w:t>联系电话</w:t>
            </w:r>
          </w:p>
        </w:tc>
        <w:tc>
          <w:tcPr>
            <w:tcW w:w="1064" w:type="dxa"/>
            <w:vAlign w:val="center"/>
          </w:tcPr>
          <w:p w14:paraId="7414DEB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r>
              <w:rPr>
                <w:rFonts w:hint="eastAsia" w:asciiTheme="majorEastAsia" w:hAnsiTheme="majorEastAsia" w:eastAsiaTheme="majorEastAsia"/>
                <w:color w:val="auto"/>
                <w:spacing w:val="20"/>
                <w:sz w:val="22"/>
                <w:szCs w:val="22"/>
                <w:highlight w:val="none"/>
              </w:rPr>
              <w:t>备注</w:t>
            </w:r>
          </w:p>
        </w:tc>
      </w:tr>
      <w:tr w14:paraId="6896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1AEF89B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793CF0D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596D3FC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7681C6C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1E34776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52089EF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6CE5770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44FFD14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546A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1DE2CB0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25CDA9B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796986D9">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5C81FBFD">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0DECE919">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386D085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63CF511C">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05A539DB">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01A6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0D7DE05B">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01300B4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3DA263B9">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69A0E16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0AAC8D2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741891A7">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7C5DA06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0C5EB82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6840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3B0447E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7BA29E6C">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01E52CD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6B1A568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1916B3DE">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00CB044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72622198">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703AB91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2544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4DC9C0A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0A90885F">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4CA48889">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0CAA265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7A4289F7">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57AA367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0DFC143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006BA4F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063E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7AD7DD9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5EA03C1C">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39BCE4E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7D35E1BE">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7318CE6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28F5A238">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743B9EC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2164AF9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4DEA9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3DB5A38B">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25366998">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2C4317E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24375257">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04BE409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16EC8C0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59139B7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09A0BAC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3013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6A7684F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699DB69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1B8D366E">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68134B2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50D9208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4928F5A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64030A0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2EF56B0C">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34AF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2A2946F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20C615FB">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0AB21D9F">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41CE3B38">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05943D8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5DB1968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7D18C1C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1300140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0B2B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37FB0617">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71A0DDDC">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3AA5A5E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49B75AF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08F7183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2A39F49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5542C4F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4149C3E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1227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64F05C6B">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1748977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48B05B37">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181941E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1936E609">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164083B3">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37036C3A">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5895012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7D50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46" w:type="dxa"/>
            <w:vAlign w:val="center"/>
          </w:tcPr>
          <w:p w14:paraId="1BAE3A6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35BAF8BC">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798ED34B">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44FCB298">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0AC67618">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213C8525">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66D2B15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214319A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r w14:paraId="6E07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46" w:type="dxa"/>
            <w:vAlign w:val="center"/>
          </w:tcPr>
          <w:p w14:paraId="428E6342">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85" w:type="dxa"/>
            <w:vAlign w:val="center"/>
          </w:tcPr>
          <w:p w14:paraId="2020A219">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9" w:type="dxa"/>
            <w:vAlign w:val="center"/>
          </w:tcPr>
          <w:p w14:paraId="396A6240">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355" w:type="dxa"/>
            <w:vAlign w:val="center"/>
          </w:tcPr>
          <w:p w14:paraId="221CE63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96" w:type="dxa"/>
            <w:vAlign w:val="center"/>
          </w:tcPr>
          <w:p w14:paraId="39951F86">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6AC0D2F4">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271" w:type="dxa"/>
            <w:vAlign w:val="center"/>
          </w:tcPr>
          <w:p w14:paraId="612EEA61">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c>
          <w:tcPr>
            <w:tcW w:w="1064" w:type="dxa"/>
            <w:vAlign w:val="center"/>
          </w:tcPr>
          <w:p w14:paraId="074F924E">
            <w:pPr>
              <w:tabs>
                <w:tab w:val="left" w:pos="4140"/>
              </w:tabs>
              <w:adjustRightInd w:val="0"/>
              <w:snapToGrid w:val="0"/>
              <w:spacing w:line="320" w:lineRule="atLeast"/>
              <w:jc w:val="center"/>
              <w:rPr>
                <w:rFonts w:asciiTheme="majorEastAsia" w:hAnsiTheme="majorEastAsia" w:eastAsiaTheme="majorEastAsia"/>
                <w:color w:val="auto"/>
                <w:spacing w:val="20"/>
                <w:sz w:val="22"/>
                <w:highlight w:val="none"/>
              </w:rPr>
            </w:pPr>
          </w:p>
        </w:tc>
      </w:tr>
    </w:tbl>
    <w:p w14:paraId="50F59F30">
      <w:pPr>
        <w:spacing w:line="460" w:lineRule="exact"/>
        <w:ind w:left="755" w:hanging="754" w:hangingChars="343"/>
        <w:rPr>
          <w:rFonts w:asciiTheme="majorEastAsia" w:hAnsiTheme="majorEastAsia" w:eastAsiaTheme="majorEastAsia"/>
          <w:bCs/>
          <w:color w:val="auto"/>
          <w:sz w:val="22"/>
          <w:szCs w:val="22"/>
          <w:highlight w:val="none"/>
        </w:rPr>
      </w:pPr>
      <w:r>
        <w:rPr>
          <w:rFonts w:hint="eastAsia" w:asciiTheme="majorEastAsia" w:hAnsiTheme="majorEastAsia" w:eastAsiaTheme="majorEastAsia"/>
          <w:color w:val="auto"/>
          <w:sz w:val="22"/>
          <w:szCs w:val="22"/>
          <w:highlight w:val="none"/>
        </w:rPr>
        <w:t>注：</w:t>
      </w:r>
      <w:r>
        <w:rPr>
          <w:rFonts w:hint="eastAsia" w:asciiTheme="majorEastAsia" w:hAnsiTheme="majorEastAsia" w:eastAsiaTheme="majorEastAsia"/>
          <w:color w:val="auto"/>
          <w:sz w:val="22"/>
          <w:szCs w:val="22"/>
          <w:highlight w:val="none"/>
          <w:lang w:eastAsia="zh-CN"/>
        </w:rPr>
        <w:t>投标人</w:t>
      </w:r>
      <w:r>
        <w:rPr>
          <w:rFonts w:hint="eastAsia" w:asciiTheme="majorEastAsia" w:hAnsiTheme="majorEastAsia" w:eastAsiaTheme="majorEastAsia"/>
          <w:color w:val="auto"/>
          <w:sz w:val="22"/>
          <w:szCs w:val="22"/>
          <w:highlight w:val="none"/>
        </w:rPr>
        <w:t>可按此表格式复制，需后附合同扫描件加盖公章。</w:t>
      </w:r>
    </w:p>
    <w:p w14:paraId="18A4AEC3">
      <w:pPr>
        <w:spacing w:line="460" w:lineRule="exact"/>
        <w:ind w:left="755" w:hanging="754" w:hangingChars="343"/>
        <w:rPr>
          <w:rFonts w:asciiTheme="majorEastAsia" w:hAnsiTheme="majorEastAsia" w:eastAsiaTheme="majorEastAsia"/>
          <w:bCs/>
          <w:color w:val="auto"/>
          <w:sz w:val="22"/>
          <w:szCs w:val="22"/>
          <w:highlight w:val="none"/>
        </w:rPr>
      </w:pPr>
    </w:p>
    <w:p w14:paraId="6C781461">
      <w:pPr>
        <w:spacing w:line="440" w:lineRule="atLeas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供应商全称（盖章）：</w:t>
      </w:r>
    </w:p>
    <w:p w14:paraId="295D734B">
      <w:pPr>
        <w:autoSpaceDE w:val="0"/>
        <w:autoSpaceDN w:val="0"/>
        <w:adjustRightInd w:val="0"/>
        <w:spacing w:line="460" w:lineRule="atLeas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日期：</w:t>
      </w:r>
    </w:p>
    <w:p w14:paraId="4AB32562">
      <w:pPr>
        <w:autoSpaceDE w:val="0"/>
        <w:autoSpaceDN w:val="0"/>
        <w:adjustRightInd w:val="0"/>
        <w:spacing w:line="460" w:lineRule="atLeast"/>
        <w:rPr>
          <w:rFonts w:asciiTheme="majorEastAsia" w:hAnsiTheme="majorEastAsia" w:eastAsiaTheme="majorEastAsia"/>
          <w:color w:val="auto"/>
          <w:sz w:val="22"/>
          <w:highlight w:val="none"/>
        </w:rPr>
      </w:pPr>
    </w:p>
    <w:p w14:paraId="6FE2807E">
      <w:pPr>
        <w:autoSpaceDE w:val="0"/>
        <w:autoSpaceDN w:val="0"/>
        <w:adjustRightInd w:val="0"/>
        <w:spacing w:line="460" w:lineRule="atLeast"/>
        <w:rPr>
          <w:rFonts w:asciiTheme="majorEastAsia" w:hAnsiTheme="majorEastAsia" w:eastAsiaTheme="majorEastAsia"/>
          <w:color w:val="auto"/>
          <w:sz w:val="22"/>
          <w:highlight w:val="none"/>
        </w:rPr>
      </w:pPr>
    </w:p>
    <w:p w14:paraId="69C4B673">
      <w:pPr>
        <w:pStyle w:val="40"/>
        <w:rPr>
          <w:rFonts w:asciiTheme="majorEastAsia" w:hAnsiTheme="majorEastAsia" w:eastAsiaTheme="majorEastAsia"/>
          <w:color w:val="auto"/>
          <w:highlight w:val="none"/>
        </w:rPr>
      </w:pPr>
      <w:bookmarkStart w:id="444" w:name="_Toc493530220"/>
    </w:p>
    <w:p w14:paraId="611576F1">
      <w:pPr>
        <w:rPr>
          <w:rFonts w:asciiTheme="majorEastAsia" w:hAnsiTheme="majorEastAsia" w:eastAsiaTheme="majorEastAsia"/>
          <w:color w:val="auto"/>
          <w:highlight w:val="none"/>
        </w:rPr>
      </w:pPr>
    </w:p>
    <w:bookmarkEnd w:id="444"/>
    <w:p w14:paraId="45124470">
      <w:pPr>
        <w:rPr>
          <w:rFonts w:asciiTheme="majorEastAsia" w:hAnsiTheme="majorEastAsia" w:eastAsiaTheme="majorEastAsia"/>
          <w:b/>
          <w:color w:val="auto"/>
          <w:sz w:val="22"/>
          <w:szCs w:val="22"/>
          <w:highlight w:val="none"/>
        </w:rPr>
      </w:pPr>
      <w:r>
        <w:rPr>
          <w:rFonts w:hint="eastAsia" w:asciiTheme="majorEastAsia" w:hAnsiTheme="majorEastAsia" w:eastAsiaTheme="majorEastAsia"/>
          <w:b/>
          <w:color w:val="auto"/>
          <w:sz w:val="22"/>
          <w:szCs w:val="22"/>
          <w:highlight w:val="none"/>
        </w:rPr>
        <w:br w:type="page"/>
      </w:r>
    </w:p>
    <w:p w14:paraId="1F92E0A6">
      <w:pPr>
        <w:widowControl/>
        <w:jc w:val="left"/>
        <w:rPr>
          <w:rFonts w:asciiTheme="majorEastAsia" w:hAnsiTheme="majorEastAsia" w:eastAsiaTheme="majorEastAsia"/>
          <w:b/>
          <w:bCs/>
          <w:color w:val="auto"/>
          <w:sz w:val="22"/>
          <w:szCs w:val="22"/>
          <w:highlight w:val="none"/>
        </w:rPr>
      </w:pPr>
      <w:r>
        <w:rPr>
          <w:rFonts w:hint="eastAsia" w:asciiTheme="majorEastAsia" w:hAnsiTheme="majorEastAsia" w:eastAsiaTheme="majorEastAsia"/>
          <w:b/>
          <w:color w:val="auto"/>
          <w:sz w:val="22"/>
          <w:szCs w:val="22"/>
          <w:highlight w:val="none"/>
        </w:rPr>
        <w:t>附件九</w:t>
      </w:r>
    </w:p>
    <w:p w14:paraId="6182C74C">
      <w:pPr>
        <w:pStyle w:val="4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商务、技术偏离表</w:t>
      </w:r>
    </w:p>
    <w:p w14:paraId="414918BA">
      <w:pPr>
        <w:spacing w:line="560" w:lineRule="exact"/>
        <w:ind w:firstLine="431" w:firstLineChars="196"/>
        <w:rPr>
          <w:rFonts w:asciiTheme="majorEastAsia" w:hAnsiTheme="majorEastAsia" w:eastAsiaTheme="majorEastAsia"/>
          <w:bCs/>
          <w:color w:val="auto"/>
          <w:sz w:val="22"/>
          <w:szCs w:val="22"/>
          <w:highlight w:val="none"/>
        </w:rPr>
      </w:pPr>
      <w:r>
        <w:rPr>
          <w:rFonts w:hint="eastAsia" w:asciiTheme="majorEastAsia" w:hAnsiTheme="majorEastAsia" w:eastAsiaTheme="majorEastAsia"/>
          <w:color w:val="auto"/>
          <w:sz w:val="22"/>
          <w:szCs w:val="22"/>
          <w:highlight w:val="none"/>
        </w:rPr>
        <w:t>项目名称：                                       项目编号：</w:t>
      </w:r>
    </w:p>
    <w:tbl>
      <w:tblPr>
        <w:tblStyle w:val="43"/>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34"/>
        <w:gridCol w:w="2743"/>
        <w:gridCol w:w="3023"/>
        <w:gridCol w:w="1260"/>
      </w:tblGrid>
      <w:tr w14:paraId="5114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368" w:type="dxa"/>
            <w:vAlign w:val="center"/>
          </w:tcPr>
          <w:p w14:paraId="1477088E">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内   容</w:t>
            </w:r>
          </w:p>
        </w:tc>
        <w:tc>
          <w:tcPr>
            <w:tcW w:w="1434" w:type="dxa"/>
            <w:vAlign w:val="center"/>
          </w:tcPr>
          <w:p w14:paraId="4D47CBB8">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招标文件</w:t>
            </w:r>
          </w:p>
          <w:p w14:paraId="1BABB914">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条目</w:t>
            </w:r>
          </w:p>
        </w:tc>
        <w:tc>
          <w:tcPr>
            <w:tcW w:w="2743" w:type="dxa"/>
            <w:vAlign w:val="center"/>
          </w:tcPr>
          <w:p w14:paraId="10D2FAF3">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招标文件</w:t>
            </w:r>
          </w:p>
          <w:p w14:paraId="4A7BA524">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规格要求</w:t>
            </w:r>
          </w:p>
        </w:tc>
        <w:tc>
          <w:tcPr>
            <w:tcW w:w="3023" w:type="dxa"/>
            <w:vAlign w:val="center"/>
          </w:tcPr>
          <w:p w14:paraId="12DE4682">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投标文件</w:t>
            </w:r>
          </w:p>
          <w:p w14:paraId="09542D32">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对应规格</w:t>
            </w:r>
          </w:p>
        </w:tc>
        <w:tc>
          <w:tcPr>
            <w:tcW w:w="1260" w:type="dxa"/>
            <w:vAlign w:val="center"/>
          </w:tcPr>
          <w:p w14:paraId="454CB21C">
            <w:pPr>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说   明</w:t>
            </w:r>
          </w:p>
        </w:tc>
      </w:tr>
      <w:tr w14:paraId="0169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restart"/>
            <w:vAlign w:val="center"/>
          </w:tcPr>
          <w:p w14:paraId="00AAA30A">
            <w:pP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技术偏离</w:t>
            </w:r>
          </w:p>
        </w:tc>
        <w:tc>
          <w:tcPr>
            <w:tcW w:w="1434" w:type="dxa"/>
            <w:vAlign w:val="center"/>
          </w:tcPr>
          <w:p w14:paraId="24D9F8B1">
            <w:pPr>
              <w:jc w:val="center"/>
              <w:rPr>
                <w:rFonts w:asciiTheme="majorEastAsia" w:hAnsiTheme="majorEastAsia" w:eastAsiaTheme="majorEastAsia"/>
                <w:color w:val="auto"/>
                <w:sz w:val="22"/>
                <w:szCs w:val="22"/>
                <w:highlight w:val="none"/>
              </w:rPr>
            </w:pPr>
          </w:p>
        </w:tc>
        <w:tc>
          <w:tcPr>
            <w:tcW w:w="2743" w:type="dxa"/>
            <w:vAlign w:val="center"/>
          </w:tcPr>
          <w:p w14:paraId="593CF045">
            <w:pPr>
              <w:jc w:val="center"/>
              <w:rPr>
                <w:rFonts w:asciiTheme="majorEastAsia" w:hAnsiTheme="majorEastAsia" w:eastAsiaTheme="majorEastAsia"/>
                <w:color w:val="auto"/>
                <w:sz w:val="22"/>
                <w:szCs w:val="22"/>
                <w:highlight w:val="none"/>
              </w:rPr>
            </w:pPr>
          </w:p>
        </w:tc>
        <w:tc>
          <w:tcPr>
            <w:tcW w:w="3023" w:type="dxa"/>
            <w:vAlign w:val="center"/>
          </w:tcPr>
          <w:p w14:paraId="6B8A2B6E">
            <w:pPr>
              <w:jc w:val="center"/>
              <w:rPr>
                <w:rFonts w:asciiTheme="majorEastAsia" w:hAnsiTheme="majorEastAsia" w:eastAsiaTheme="majorEastAsia"/>
                <w:color w:val="auto"/>
                <w:sz w:val="22"/>
                <w:szCs w:val="22"/>
                <w:highlight w:val="none"/>
              </w:rPr>
            </w:pPr>
          </w:p>
        </w:tc>
        <w:tc>
          <w:tcPr>
            <w:tcW w:w="1260" w:type="dxa"/>
            <w:vAlign w:val="center"/>
          </w:tcPr>
          <w:p w14:paraId="1F52F183">
            <w:pPr>
              <w:jc w:val="center"/>
              <w:rPr>
                <w:rFonts w:asciiTheme="majorEastAsia" w:hAnsiTheme="majorEastAsia" w:eastAsiaTheme="majorEastAsia"/>
                <w:color w:val="auto"/>
                <w:sz w:val="22"/>
                <w:szCs w:val="22"/>
                <w:highlight w:val="none"/>
              </w:rPr>
            </w:pPr>
          </w:p>
        </w:tc>
      </w:tr>
      <w:tr w14:paraId="0312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17F0FB03">
            <w:pPr>
              <w:jc w:val="center"/>
              <w:rPr>
                <w:rFonts w:asciiTheme="majorEastAsia" w:hAnsiTheme="majorEastAsia" w:eastAsiaTheme="majorEastAsia"/>
                <w:color w:val="auto"/>
                <w:sz w:val="22"/>
                <w:szCs w:val="22"/>
                <w:highlight w:val="none"/>
              </w:rPr>
            </w:pPr>
          </w:p>
        </w:tc>
        <w:tc>
          <w:tcPr>
            <w:tcW w:w="1434" w:type="dxa"/>
            <w:vAlign w:val="center"/>
          </w:tcPr>
          <w:p w14:paraId="27C7267E">
            <w:pPr>
              <w:jc w:val="center"/>
              <w:rPr>
                <w:rFonts w:asciiTheme="majorEastAsia" w:hAnsiTheme="majorEastAsia" w:eastAsiaTheme="majorEastAsia"/>
                <w:color w:val="auto"/>
                <w:sz w:val="22"/>
                <w:szCs w:val="22"/>
                <w:highlight w:val="none"/>
              </w:rPr>
            </w:pPr>
          </w:p>
        </w:tc>
        <w:tc>
          <w:tcPr>
            <w:tcW w:w="2743" w:type="dxa"/>
            <w:vAlign w:val="center"/>
          </w:tcPr>
          <w:p w14:paraId="03162A51">
            <w:pPr>
              <w:jc w:val="center"/>
              <w:rPr>
                <w:rFonts w:asciiTheme="majorEastAsia" w:hAnsiTheme="majorEastAsia" w:eastAsiaTheme="majorEastAsia"/>
                <w:color w:val="auto"/>
                <w:sz w:val="22"/>
                <w:szCs w:val="22"/>
                <w:highlight w:val="none"/>
              </w:rPr>
            </w:pPr>
          </w:p>
        </w:tc>
        <w:tc>
          <w:tcPr>
            <w:tcW w:w="3023" w:type="dxa"/>
            <w:vAlign w:val="center"/>
          </w:tcPr>
          <w:p w14:paraId="03DC2439">
            <w:pPr>
              <w:jc w:val="center"/>
              <w:rPr>
                <w:rFonts w:asciiTheme="majorEastAsia" w:hAnsiTheme="majorEastAsia" w:eastAsiaTheme="majorEastAsia"/>
                <w:color w:val="auto"/>
                <w:sz w:val="22"/>
                <w:szCs w:val="22"/>
                <w:highlight w:val="none"/>
              </w:rPr>
            </w:pPr>
          </w:p>
        </w:tc>
        <w:tc>
          <w:tcPr>
            <w:tcW w:w="1260" w:type="dxa"/>
            <w:vAlign w:val="center"/>
          </w:tcPr>
          <w:p w14:paraId="4025042E">
            <w:pPr>
              <w:jc w:val="center"/>
              <w:rPr>
                <w:rFonts w:asciiTheme="majorEastAsia" w:hAnsiTheme="majorEastAsia" w:eastAsiaTheme="majorEastAsia"/>
                <w:color w:val="auto"/>
                <w:sz w:val="22"/>
                <w:szCs w:val="22"/>
                <w:highlight w:val="none"/>
              </w:rPr>
            </w:pPr>
          </w:p>
        </w:tc>
      </w:tr>
      <w:tr w14:paraId="2732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7C6C772B">
            <w:pPr>
              <w:jc w:val="center"/>
              <w:rPr>
                <w:rFonts w:asciiTheme="majorEastAsia" w:hAnsiTheme="majorEastAsia" w:eastAsiaTheme="majorEastAsia"/>
                <w:color w:val="auto"/>
                <w:sz w:val="22"/>
                <w:szCs w:val="22"/>
                <w:highlight w:val="none"/>
              </w:rPr>
            </w:pPr>
          </w:p>
        </w:tc>
        <w:tc>
          <w:tcPr>
            <w:tcW w:w="1434" w:type="dxa"/>
            <w:vAlign w:val="center"/>
          </w:tcPr>
          <w:p w14:paraId="10C72A6C">
            <w:pPr>
              <w:jc w:val="center"/>
              <w:rPr>
                <w:rFonts w:asciiTheme="majorEastAsia" w:hAnsiTheme="majorEastAsia" w:eastAsiaTheme="majorEastAsia"/>
                <w:color w:val="auto"/>
                <w:sz w:val="22"/>
                <w:szCs w:val="22"/>
                <w:highlight w:val="none"/>
              </w:rPr>
            </w:pPr>
          </w:p>
        </w:tc>
        <w:tc>
          <w:tcPr>
            <w:tcW w:w="2743" w:type="dxa"/>
            <w:vAlign w:val="center"/>
          </w:tcPr>
          <w:p w14:paraId="6A2180FD">
            <w:pPr>
              <w:jc w:val="center"/>
              <w:rPr>
                <w:rFonts w:asciiTheme="majorEastAsia" w:hAnsiTheme="majorEastAsia" w:eastAsiaTheme="majorEastAsia"/>
                <w:color w:val="auto"/>
                <w:sz w:val="22"/>
                <w:szCs w:val="22"/>
                <w:highlight w:val="none"/>
              </w:rPr>
            </w:pPr>
          </w:p>
        </w:tc>
        <w:tc>
          <w:tcPr>
            <w:tcW w:w="3023" w:type="dxa"/>
            <w:vAlign w:val="center"/>
          </w:tcPr>
          <w:p w14:paraId="38986A01">
            <w:pPr>
              <w:jc w:val="center"/>
              <w:rPr>
                <w:rFonts w:asciiTheme="majorEastAsia" w:hAnsiTheme="majorEastAsia" w:eastAsiaTheme="majorEastAsia"/>
                <w:color w:val="auto"/>
                <w:sz w:val="22"/>
                <w:szCs w:val="22"/>
                <w:highlight w:val="none"/>
              </w:rPr>
            </w:pPr>
          </w:p>
        </w:tc>
        <w:tc>
          <w:tcPr>
            <w:tcW w:w="1260" w:type="dxa"/>
            <w:vAlign w:val="center"/>
          </w:tcPr>
          <w:p w14:paraId="68B0BEAB">
            <w:pPr>
              <w:jc w:val="center"/>
              <w:rPr>
                <w:rFonts w:asciiTheme="majorEastAsia" w:hAnsiTheme="majorEastAsia" w:eastAsiaTheme="majorEastAsia"/>
                <w:color w:val="auto"/>
                <w:sz w:val="22"/>
                <w:szCs w:val="22"/>
                <w:highlight w:val="none"/>
              </w:rPr>
            </w:pPr>
          </w:p>
        </w:tc>
      </w:tr>
      <w:tr w14:paraId="3BE7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1715CD18">
            <w:pPr>
              <w:jc w:val="center"/>
              <w:rPr>
                <w:rFonts w:asciiTheme="majorEastAsia" w:hAnsiTheme="majorEastAsia" w:eastAsiaTheme="majorEastAsia"/>
                <w:color w:val="auto"/>
                <w:sz w:val="22"/>
                <w:szCs w:val="22"/>
                <w:highlight w:val="none"/>
              </w:rPr>
            </w:pPr>
          </w:p>
        </w:tc>
        <w:tc>
          <w:tcPr>
            <w:tcW w:w="1434" w:type="dxa"/>
            <w:vAlign w:val="center"/>
          </w:tcPr>
          <w:p w14:paraId="07C34728">
            <w:pPr>
              <w:jc w:val="center"/>
              <w:rPr>
                <w:rFonts w:asciiTheme="majorEastAsia" w:hAnsiTheme="majorEastAsia" w:eastAsiaTheme="majorEastAsia"/>
                <w:color w:val="auto"/>
                <w:sz w:val="22"/>
                <w:szCs w:val="22"/>
                <w:highlight w:val="none"/>
              </w:rPr>
            </w:pPr>
          </w:p>
        </w:tc>
        <w:tc>
          <w:tcPr>
            <w:tcW w:w="2743" w:type="dxa"/>
            <w:vAlign w:val="center"/>
          </w:tcPr>
          <w:p w14:paraId="155830F3">
            <w:pPr>
              <w:jc w:val="center"/>
              <w:rPr>
                <w:rFonts w:asciiTheme="majorEastAsia" w:hAnsiTheme="majorEastAsia" w:eastAsiaTheme="majorEastAsia"/>
                <w:color w:val="auto"/>
                <w:sz w:val="22"/>
                <w:szCs w:val="22"/>
                <w:highlight w:val="none"/>
              </w:rPr>
            </w:pPr>
          </w:p>
        </w:tc>
        <w:tc>
          <w:tcPr>
            <w:tcW w:w="3023" w:type="dxa"/>
            <w:vAlign w:val="center"/>
          </w:tcPr>
          <w:p w14:paraId="66799517">
            <w:pPr>
              <w:jc w:val="center"/>
              <w:rPr>
                <w:rFonts w:asciiTheme="majorEastAsia" w:hAnsiTheme="majorEastAsia" w:eastAsiaTheme="majorEastAsia"/>
                <w:color w:val="auto"/>
                <w:sz w:val="22"/>
                <w:szCs w:val="22"/>
                <w:highlight w:val="none"/>
              </w:rPr>
            </w:pPr>
          </w:p>
        </w:tc>
        <w:tc>
          <w:tcPr>
            <w:tcW w:w="1260" w:type="dxa"/>
            <w:vAlign w:val="center"/>
          </w:tcPr>
          <w:p w14:paraId="6BC0EC99">
            <w:pPr>
              <w:jc w:val="center"/>
              <w:rPr>
                <w:rFonts w:asciiTheme="majorEastAsia" w:hAnsiTheme="majorEastAsia" w:eastAsiaTheme="majorEastAsia"/>
                <w:color w:val="auto"/>
                <w:sz w:val="22"/>
                <w:szCs w:val="22"/>
                <w:highlight w:val="none"/>
              </w:rPr>
            </w:pPr>
          </w:p>
        </w:tc>
      </w:tr>
      <w:tr w14:paraId="4426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220BB384">
            <w:pPr>
              <w:jc w:val="center"/>
              <w:rPr>
                <w:rFonts w:asciiTheme="majorEastAsia" w:hAnsiTheme="majorEastAsia" w:eastAsiaTheme="majorEastAsia"/>
                <w:color w:val="auto"/>
                <w:sz w:val="22"/>
                <w:szCs w:val="22"/>
                <w:highlight w:val="none"/>
              </w:rPr>
            </w:pPr>
          </w:p>
        </w:tc>
        <w:tc>
          <w:tcPr>
            <w:tcW w:w="1434" w:type="dxa"/>
            <w:vAlign w:val="center"/>
          </w:tcPr>
          <w:p w14:paraId="090E4FF9">
            <w:pPr>
              <w:jc w:val="center"/>
              <w:rPr>
                <w:rFonts w:asciiTheme="majorEastAsia" w:hAnsiTheme="majorEastAsia" w:eastAsiaTheme="majorEastAsia"/>
                <w:color w:val="auto"/>
                <w:sz w:val="22"/>
                <w:szCs w:val="22"/>
                <w:highlight w:val="none"/>
              </w:rPr>
            </w:pPr>
          </w:p>
        </w:tc>
        <w:tc>
          <w:tcPr>
            <w:tcW w:w="2743" w:type="dxa"/>
            <w:vAlign w:val="center"/>
          </w:tcPr>
          <w:p w14:paraId="4F066AA4">
            <w:pPr>
              <w:jc w:val="center"/>
              <w:rPr>
                <w:rFonts w:asciiTheme="majorEastAsia" w:hAnsiTheme="majorEastAsia" w:eastAsiaTheme="majorEastAsia"/>
                <w:color w:val="auto"/>
                <w:sz w:val="22"/>
                <w:szCs w:val="22"/>
                <w:highlight w:val="none"/>
              </w:rPr>
            </w:pPr>
          </w:p>
        </w:tc>
        <w:tc>
          <w:tcPr>
            <w:tcW w:w="3023" w:type="dxa"/>
            <w:vAlign w:val="center"/>
          </w:tcPr>
          <w:p w14:paraId="2F93BAF7">
            <w:pPr>
              <w:jc w:val="center"/>
              <w:rPr>
                <w:rFonts w:asciiTheme="majorEastAsia" w:hAnsiTheme="majorEastAsia" w:eastAsiaTheme="majorEastAsia"/>
                <w:color w:val="auto"/>
                <w:sz w:val="22"/>
                <w:szCs w:val="22"/>
                <w:highlight w:val="none"/>
              </w:rPr>
            </w:pPr>
          </w:p>
        </w:tc>
        <w:tc>
          <w:tcPr>
            <w:tcW w:w="1260" w:type="dxa"/>
            <w:vAlign w:val="center"/>
          </w:tcPr>
          <w:p w14:paraId="4132BB06">
            <w:pPr>
              <w:jc w:val="center"/>
              <w:rPr>
                <w:rFonts w:asciiTheme="majorEastAsia" w:hAnsiTheme="majorEastAsia" w:eastAsiaTheme="majorEastAsia"/>
                <w:color w:val="auto"/>
                <w:sz w:val="22"/>
                <w:szCs w:val="22"/>
                <w:highlight w:val="none"/>
              </w:rPr>
            </w:pPr>
          </w:p>
        </w:tc>
      </w:tr>
      <w:tr w14:paraId="1595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restart"/>
            <w:vAlign w:val="center"/>
          </w:tcPr>
          <w:p w14:paraId="0C90FB8E">
            <w:pP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商务偏离</w:t>
            </w:r>
          </w:p>
        </w:tc>
        <w:tc>
          <w:tcPr>
            <w:tcW w:w="1434" w:type="dxa"/>
            <w:vAlign w:val="center"/>
          </w:tcPr>
          <w:p w14:paraId="12FEB4B2">
            <w:pPr>
              <w:jc w:val="center"/>
              <w:rPr>
                <w:rFonts w:asciiTheme="majorEastAsia" w:hAnsiTheme="majorEastAsia" w:eastAsiaTheme="majorEastAsia"/>
                <w:color w:val="auto"/>
                <w:sz w:val="22"/>
                <w:szCs w:val="22"/>
                <w:highlight w:val="none"/>
              </w:rPr>
            </w:pPr>
          </w:p>
        </w:tc>
        <w:tc>
          <w:tcPr>
            <w:tcW w:w="2743" w:type="dxa"/>
            <w:vAlign w:val="center"/>
          </w:tcPr>
          <w:p w14:paraId="1B7562FB">
            <w:pPr>
              <w:jc w:val="center"/>
              <w:rPr>
                <w:rFonts w:asciiTheme="majorEastAsia" w:hAnsiTheme="majorEastAsia" w:eastAsiaTheme="majorEastAsia"/>
                <w:color w:val="auto"/>
                <w:sz w:val="22"/>
                <w:szCs w:val="22"/>
                <w:highlight w:val="none"/>
              </w:rPr>
            </w:pPr>
          </w:p>
        </w:tc>
        <w:tc>
          <w:tcPr>
            <w:tcW w:w="3023" w:type="dxa"/>
            <w:vAlign w:val="center"/>
          </w:tcPr>
          <w:p w14:paraId="13CB7844">
            <w:pPr>
              <w:jc w:val="center"/>
              <w:rPr>
                <w:rFonts w:asciiTheme="majorEastAsia" w:hAnsiTheme="majorEastAsia" w:eastAsiaTheme="majorEastAsia"/>
                <w:color w:val="auto"/>
                <w:sz w:val="22"/>
                <w:szCs w:val="22"/>
                <w:highlight w:val="none"/>
              </w:rPr>
            </w:pPr>
          </w:p>
        </w:tc>
        <w:tc>
          <w:tcPr>
            <w:tcW w:w="1260" w:type="dxa"/>
            <w:vAlign w:val="center"/>
          </w:tcPr>
          <w:p w14:paraId="30B52151">
            <w:pPr>
              <w:jc w:val="center"/>
              <w:rPr>
                <w:rFonts w:asciiTheme="majorEastAsia" w:hAnsiTheme="majorEastAsia" w:eastAsiaTheme="majorEastAsia"/>
                <w:color w:val="auto"/>
                <w:sz w:val="22"/>
                <w:szCs w:val="22"/>
                <w:highlight w:val="none"/>
              </w:rPr>
            </w:pPr>
          </w:p>
        </w:tc>
      </w:tr>
      <w:tr w14:paraId="120B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172912D8">
            <w:pPr>
              <w:jc w:val="center"/>
              <w:rPr>
                <w:rFonts w:asciiTheme="majorEastAsia" w:hAnsiTheme="majorEastAsia" w:eastAsiaTheme="majorEastAsia"/>
                <w:color w:val="auto"/>
                <w:sz w:val="22"/>
                <w:szCs w:val="22"/>
                <w:highlight w:val="none"/>
              </w:rPr>
            </w:pPr>
          </w:p>
        </w:tc>
        <w:tc>
          <w:tcPr>
            <w:tcW w:w="1434" w:type="dxa"/>
            <w:vAlign w:val="center"/>
          </w:tcPr>
          <w:p w14:paraId="47228066">
            <w:pPr>
              <w:jc w:val="center"/>
              <w:rPr>
                <w:rFonts w:asciiTheme="majorEastAsia" w:hAnsiTheme="majorEastAsia" w:eastAsiaTheme="majorEastAsia"/>
                <w:color w:val="auto"/>
                <w:sz w:val="22"/>
                <w:szCs w:val="22"/>
                <w:highlight w:val="none"/>
              </w:rPr>
            </w:pPr>
          </w:p>
        </w:tc>
        <w:tc>
          <w:tcPr>
            <w:tcW w:w="2743" w:type="dxa"/>
            <w:vAlign w:val="center"/>
          </w:tcPr>
          <w:p w14:paraId="08E72E82">
            <w:pPr>
              <w:jc w:val="center"/>
              <w:rPr>
                <w:rFonts w:asciiTheme="majorEastAsia" w:hAnsiTheme="majorEastAsia" w:eastAsiaTheme="majorEastAsia"/>
                <w:color w:val="auto"/>
                <w:sz w:val="22"/>
                <w:szCs w:val="22"/>
                <w:highlight w:val="none"/>
              </w:rPr>
            </w:pPr>
          </w:p>
        </w:tc>
        <w:tc>
          <w:tcPr>
            <w:tcW w:w="3023" w:type="dxa"/>
            <w:vAlign w:val="center"/>
          </w:tcPr>
          <w:p w14:paraId="5969B42A">
            <w:pPr>
              <w:jc w:val="center"/>
              <w:rPr>
                <w:rFonts w:asciiTheme="majorEastAsia" w:hAnsiTheme="majorEastAsia" w:eastAsiaTheme="majorEastAsia"/>
                <w:color w:val="auto"/>
                <w:sz w:val="22"/>
                <w:szCs w:val="22"/>
                <w:highlight w:val="none"/>
              </w:rPr>
            </w:pPr>
          </w:p>
        </w:tc>
        <w:tc>
          <w:tcPr>
            <w:tcW w:w="1260" w:type="dxa"/>
            <w:vAlign w:val="center"/>
          </w:tcPr>
          <w:p w14:paraId="555C655F">
            <w:pPr>
              <w:jc w:val="center"/>
              <w:rPr>
                <w:rFonts w:asciiTheme="majorEastAsia" w:hAnsiTheme="majorEastAsia" w:eastAsiaTheme="majorEastAsia"/>
                <w:color w:val="auto"/>
                <w:sz w:val="22"/>
                <w:szCs w:val="22"/>
                <w:highlight w:val="none"/>
              </w:rPr>
            </w:pPr>
          </w:p>
        </w:tc>
      </w:tr>
      <w:tr w14:paraId="2175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420EB48B">
            <w:pPr>
              <w:jc w:val="center"/>
              <w:rPr>
                <w:rFonts w:asciiTheme="majorEastAsia" w:hAnsiTheme="majorEastAsia" w:eastAsiaTheme="majorEastAsia"/>
                <w:color w:val="auto"/>
                <w:sz w:val="22"/>
                <w:szCs w:val="22"/>
                <w:highlight w:val="none"/>
              </w:rPr>
            </w:pPr>
          </w:p>
        </w:tc>
        <w:tc>
          <w:tcPr>
            <w:tcW w:w="1434" w:type="dxa"/>
            <w:vAlign w:val="center"/>
          </w:tcPr>
          <w:p w14:paraId="1F864205">
            <w:pPr>
              <w:jc w:val="center"/>
              <w:rPr>
                <w:rFonts w:asciiTheme="majorEastAsia" w:hAnsiTheme="majorEastAsia" w:eastAsiaTheme="majorEastAsia"/>
                <w:color w:val="auto"/>
                <w:sz w:val="22"/>
                <w:szCs w:val="22"/>
                <w:highlight w:val="none"/>
              </w:rPr>
            </w:pPr>
          </w:p>
        </w:tc>
        <w:tc>
          <w:tcPr>
            <w:tcW w:w="2743" w:type="dxa"/>
            <w:vAlign w:val="center"/>
          </w:tcPr>
          <w:p w14:paraId="49F9A182">
            <w:pPr>
              <w:jc w:val="center"/>
              <w:rPr>
                <w:rFonts w:asciiTheme="majorEastAsia" w:hAnsiTheme="majorEastAsia" w:eastAsiaTheme="majorEastAsia"/>
                <w:color w:val="auto"/>
                <w:sz w:val="22"/>
                <w:szCs w:val="22"/>
                <w:highlight w:val="none"/>
              </w:rPr>
            </w:pPr>
          </w:p>
        </w:tc>
        <w:tc>
          <w:tcPr>
            <w:tcW w:w="3023" w:type="dxa"/>
            <w:vAlign w:val="center"/>
          </w:tcPr>
          <w:p w14:paraId="2F4B9D07">
            <w:pPr>
              <w:jc w:val="center"/>
              <w:rPr>
                <w:rFonts w:asciiTheme="majorEastAsia" w:hAnsiTheme="majorEastAsia" w:eastAsiaTheme="majorEastAsia"/>
                <w:color w:val="auto"/>
                <w:sz w:val="22"/>
                <w:szCs w:val="22"/>
                <w:highlight w:val="none"/>
              </w:rPr>
            </w:pPr>
          </w:p>
        </w:tc>
        <w:tc>
          <w:tcPr>
            <w:tcW w:w="1260" w:type="dxa"/>
            <w:vAlign w:val="center"/>
          </w:tcPr>
          <w:p w14:paraId="7139361E">
            <w:pPr>
              <w:jc w:val="center"/>
              <w:rPr>
                <w:rFonts w:asciiTheme="majorEastAsia" w:hAnsiTheme="majorEastAsia" w:eastAsiaTheme="majorEastAsia"/>
                <w:color w:val="auto"/>
                <w:sz w:val="22"/>
                <w:szCs w:val="22"/>
                <w:highlight w:val="none"/>
              </w:rPr>
            </w:pPr>
          </w:p>
        </w:tc>
      </w:tr>
      <w:tr w14:paraId="7FF3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3ADDBD0E">
            <w:pPr>
              <w:jc w:val="center"/>
              <w:rPr>
                <w:rFonts w:asciiTheme="majorEastAsia" w:hAnsiTheme="majorEastAsia" w:eastAsiaTheme="majorEastAsia"/>
                <w:color w:val="auto"/>
                <w:sz w:val="22"/>
                <w:szCs w:val="22"/>
                <w:highlight w:val="none"/>
              </w:rPr>
            </w:pPr>
          </w:p>
        </w:tc>
        <w:tc>
          <w:tcPr>
            <w:tcW w:w="1434" w:type="dxa"/>
            <w:vAlign w:val="center"/>
          </w:tcPr>
          <w:p w14:paraId="5D22B641">
            <w:pPr>
              <w:jc w:val="center"/>
              <w:rPr>
                <w:rFonts w:asciiTheme="majorEastAsia" w:hAnsiTheme="majorEastAsia" w:eastAsiaTheme="majorEastAsia"/>
                <w:color w:val="auto"/>
                <w:sz w:val="22"/>
                <w:szCs w:val="22"/>
                <w:highlight w:val="none"/>
              </w:rPr>
            </w:pPr>
          </w:p>
        </w:tc>
        <w:tc>
          <w:tcPr>
            <w:tcW w:w="2743" w:type="dxa"/>
            <w:vAlign w:val="center"/>
          </w:tcPr>
          <w:p w14:paraId="2543F96B">
            <w:pPr>
              <w:jc w:val="center"/>
              <w:rPr>
                <w:rFonts w:asciiTheme="majorEastAsia" w:hAnsiTheme="majorEastAsia" w:eastAsiaTheme="majorEastAsia"/>
                <w:color w:val="auto"/>
                <w:sz w:val="22"/>
                <w:szCs w:val="22"/>
                <w:highlight w:val="none"/>
              </w:rPr>
            </w:pPr>
          </w:p>
        </w:tc>
        <w:tc>
          <w:tcPr>
            <w:tcW w:w="3023" w:type="dxa"/>
            <w:vAlign w:val="center"/>
          </w:tcPr>
          <w:p w14:paraId="5C80C28D">
            <w:pPr>
              <w:jc w:val="center"/>
              <w:rPr>
                <w:rFonts w:asciiTheme="majorEastAsia" w:hAnsiTheme="majorEastAsia" w:eastAsiaTheme="majorEastAsia"/>
                <w:color w:val="auto"/>
                <w:sz w:val="22"/>
                <w:szCs w:val="22"/>
                <w:highlight w:val="none"/>
              </w:rPr>
            </w:pPr>
          </w:p>
        </w:tc>
        <w:tc>
          <w:tcPr>
            <w:tcW w:w="1260" w:type="dxa"/>
            <w:vAlign w:val="center"/>
          </w:tcPr>
          <w:p w14:paraId="40BCEDF9">
            <w:pPr>
              <w:jc w:val="center"/>
              <w:rPr>
                <w:rFonts w:asciiTheme="majorEastAsia" w:hAnsiTheme="majorEastAsia" w:eastAsiaTheme="majorEastAsia"/>
                <w:color w:val="auto"/>
                <w:sz w:val="22"/>
                <w:szCs w:val="22"/>
                <w:highlight w:val="none"/>
              </w:rPr>
            </w:pPr>
          </w:p>
        </w:tc>
      </w:tr>
      <w:tr w14:paraId="10C0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368" w:type="dxa"/>
            <w:vMerge w:val="continue"/>
            <w:vAlign w:val="center"/>
          </w:tcPr>
          <w:p w14:paraId="356CF4C2">
            <w:pPr>
              <w:jc w:val="center"/>
              <w:rPr>
                <w:rFonts w:asciiTheme="majorEastAsia" w:hAnsiTheme="majorEastAsia" w:eastAsiaTheme="majorEastAsia"/>
                <w:color w:val="auto"/>
                <w:sz w:val="22"/>
                <w:szCs w:val="22"/>
                <w:highlight w:val="none"/>
              </w:rPr>
            </w:pPr>
          </w:p>
        </w:tc>
        <w:tc>
          <w:tcPr>
            <w:tcW w:w="1434" w:type="dxa"/>
            <w:vAlign w:val="center"/>
          </w:tcPr>
          <w:p w14:paraId="4E5C1977">
            <w:pPr>
              <w:jc w:val="center"/>
              <w:rPr>
                <w:rFonts w:asciiTheme="majorEastAsia" w:hAnsiTheme="majorEastAsia" w:eastAsiaTheme="majorEastAsia"/>
                <w:color w:val="auto"/>
                <w:sz w:val="22"/>
                <w:szCs w:val="22"/>
                <w:highlight w:val="none"/>
              </w:rPr>
            </w:pPr>
          </w:p>
        </w:tc>
        <w:tc>
          <w:tcPr>
            <w:tcW w:w="2743" w:type="dxa"/>
            <w:vAlign w:val="center"/>
          </w:tcPr>
          <w:p w14:paraId="7FB88E33">
            <w:pPr>
              <w:jc w:val="center"/>
              <w:rPr>
                <w:rFonts w:asciiTheme="majorEastAsia" w:hAnsiTheme="majorEastAsia" w:eastAsiaTheme="majorEastAsia"/>
                <w:color w:val="auto"/>
                <w:sz w:val="22"/>
                <w:szCs w:val="22"/>
                <w:highlight w:val="none"/>
              </w:rPr>
            </w:pPr>
          </w:p>
        </w:tc>
        <w:tc>
          <w:tcPr>
            <w:tcW w:w="3023" w:type="dxa"/>
            <w:vAlign w:val="center"/>
          </w:tcPr>
          <w:p w14:paraId="45637604">
            <w:pPr>
              <w:jc w:val="center"/>
              <w:rPr>
                <w:rFonts w:asciiTheme="majorEastAsia" w:hAnsiTheme="majorEastAsia" w:eastAsiaTheme="majorEastAsia"/>
                <w:color w:val="auto"/>
                <w:sz w:val="22"/>
                <w:szCs w:val="22"/>
                <w:highlight w:val="none"/>
              </w:rPr>
            </w:pPr>
          </w:p>
        </w:tc>
        <w:tc>
          <w:tcPr>
            <w:tcW w:w="1260" w:type="dxa"/>
            <w:vAlign w:val="center"/>
          </w:tcPr>
          <w:p w14:paraId="0220D0E1">
            <w:pPr>
              <w:jc w:val="center"/>
              <w:rPr>
                <w:rFonts w:asciiTheme="majorEastAsia" w:hAnsiTheme="majorEastAsia" w:eastAsiaTheme="majorEastAsia"/>
                <w:color w:val="auto"/>
                <w:sz w:val="22"/>
                <w:szCs w:val="22"/>
                <w:highlight w:val="none"/>
              </w:rPr>
            </w:pPr>
          </w:p>
        </w:tc>
      </w:tr>
    </w:tbl>
    <w:p w14:paraId="0D31FFBD">
      <w:pPr>
        <w:pStyle w:val="25"/>
        <w:spacing w:line="340" w:lineRule="exact"/>
        <w:rPr>
          <w:rFonts w:hAnsi="宋体" w:cs="宋体"/>
          <w:color w:val="auto"/>
          <w:sz w:val="22"/>
          <w:szCs w:val="22"/>
          <w:highlight w:val="none"/>
        </w:rPr>
      </w:pPr>
      <w:r>
        <w:rPr>
          <w:rFonts w:hint="eastAsia" w:cs="仿宋" w:asciiTheme="majorEastAsia" w:hAnsiTheme="majorEastAsia" w:eastAsiaTheme="majorEastAsia"/>
          <w:b/>
          <w:color w:val="auto"/>
          <w:sz w:val="22"/>
          <w:szCs w:val="22"/>
          <w:highlight w:val="none"/>
        </w:rPr>
        <w:t>注：</w:t>
      </w:r>
      <w:r>
        <w:rPr>
          <w:rFonts w:hint="eastAsia" w:hAnsi="宋体" w:cs="宋体"/>
          <w:b/>
          <w:color w:val="auto"/>
          <w:sz w:val="22"/>
          <w:szCs w:val="22"/>
          <w:highlight w:val="none"/>
        </w:rPr>
        <w:t>1、偏离表中进行如实填写详细对比说明并注明无偏离、正偏离和负偏离。</w:t>
      </w:r>
    </w:p>
    <w:p w14:paraId="454418F7">
      <w:pPr>
        <w:pStyle w:val="25"/>
        <w:spacing w:line="340" w:lineRule="exact"/>
        <w:ind w:firstLine="440" w:firstLineChars="200"/>
        <w:rPr>
          <w:rFonts w:hAnsi="宋体" w:cs="宋体"/>
          <w:color w:val="auto"/>
          <w:sz w:val="22"/>
          <w:szCs w:val="22"/>
          <w:highlight w:val="none"/>
        </w:rPr>
      </w:pPr>
      <w:r>
        <w:rPr>
          <w:rFonts w:hint="eastAsia" w:hAnsi="宋体" w:cs="宋体"/>
          <w:color w:val="auto"/>
          <w:sz w:val="22"/>
          <w:szCs w:val="22"/>
          <w:highlight w:val="none"/>
        </w:rPr>
        <w:t>2、不填写此表视作完全响应采购文件要求。</w:t>
      </w:r>
    </w:p>
    <w:p w14:paraId="60645FB6">
      <w:pPr>
        <w:pStyle w:val="25"/>
        <w:spacing w:line="340" w:lineRule="exact"/>
        <w:ind w:firstLine="442" w:firstLineChars="200"/>
        <w:rPr>
          <w:rFonts w:hAnsi="宋体" w:cs="宋体"/>
          <w:b/>
          <w:bCs/>
          <w:color w:val="auto"/>
          <w:sz w:val="22"/>
          <w:szCs w:val="22"/>
          <w:highlight w:val="none"/>
          <w:u w:val="single"/>
        </w:rPr>
      </w:pPr>
      <w:r>
        <w:rPr>
          <w:rFonts w:hint="eastAsia" w:hAnsi="宋体" w:cs="宋体"/>
          <w:b/>
          <w:bCs/>
          <w:color w:val="auto"/>
          <w:sz w:val="22"/>
          <w:szCs w:val="22"/>
          <w:highlight w:val="none"/>
        </w:rPr>
        <w:t>3、▲</w:t>
      </w:r>
      <w:r>
        <w:rPr>
          <w:rFonts w:hint="eastAsia" w:hAnsi="宋体" w:cs="宋体"/>
          <w:b/>
          <w:bCs/>
          <w:color w:val="auto"/>
          <w:sz w:val="22"/>
          <w:szCs w:val="22"/>
          <w:highlight w:val="none"/>
          <w:u w:val="single"/>
          <w:lang w:val="zh-CN"/>
        </w:rPr>
        <w:t>不提供此表的视为没有实质性响应采购文件,其投标将被拒绝。</w:t>
      </w:r>
    </w:p>
    <w:p w14:paraId="05D71707">
      <w:pPr>
        <w:pStyle w:val="25"/>
        <w:spacing w:line="340" w:lineRule="exact"/>
        <w:rPr>
          <w:rFonts w:asciiTheme="majorEastAsia" w:hAnsiTheme="majorEastAsia" w:eastAsiaTheme="majorEastAsia"/>
          <w:b/>
          <w:color w:val="auto"/>
          <w:sz w:val="22"/>
          <w:highlight w:val="none"/>
        </w:rPr>
      </w:pPr>
    </w:p>
    <w:p w14:paraId="15210B12">
      <w:pPr>
        <w:pStyle w:val="25"/>
        <w:spacing w:line="340" w:lineRule="exact"/>
        <w:ind w:left="657" w:leftChars="313" w:firstLine="4196" w:firstLineChars="1900"/>
        <w:rPr>
          <w:rFonts w:asciiTheme="majorEastAsia" w:hAnsiTheme="majorEastAsia" w:eastAsiaTheme="majorEastAsia"/>
          <w:b/>
          <w:color w:val="auto"/>
          <w:sz w:val="22"/>
          <w:highlight w:val="none"/>
        </w:rPr>
      </w:pPr>
    </w:p>
    <w:p w14:paraId="12DD1FC0">
      <w:pPr>
        <w:pStyle w:val="25"/>
        <w:spacing w:line="360" w:lineRule="auto"/>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lang w:eastAsia="zh-CN"/>
        </w:rPr>
        <w:t>投标人</w:t>
      </w:r>
      <w:r>
        <w:rPr>
          <w:rFonts w:asciiTheme="majorEastAsia" w:hAnsiTheme="majorEastAsia" w:eastAsiaTheme="majorEastAsia"/>
          <w:color w:val="auto"/>
          <w:sz w:val="22"/>
          <w:szCs w:val="22"/>
          <w:highlight w:val="none"/>
        </w:rPr>
        <w:t>全称（盖章）：</w:t>
      </w:r>
    </w:p>
    <w:p w14:paraId="12A695CB">
      <w:pPr>
        <w:pStyle w:val="25"/>
        <w:spacing w:line="360" w:lineRule="auto"/>
        <w:rPr>
          <w:rFonts w:asciiTheme="majorEastAsia" w:hAnsiTheme="majorEastAsia" w:eastAsiaTheme="majorEastAsia"/>
          <w:color w:val="auto"/>
          <w:sz w:val="22"/>
          <w:szCs w:val="22"/>
          <w:highlight w:val="none"/>
        </w:rPr>
        <w:sectPr>
          <w:pgSz w:w="11906" w:h="16838"/>
          <w:pgMar w:top="1134" w:right="1134" w:bottom="1134" w:left="1134" w:header="851" w:footer="850" w:gutter="0"/>
          <w:pgBorders>
            <w:top w:val="none" w:sz="0" w:space="0"/>
            <w:left w:val="none" w:sz="0" w:space="0"/>
            <w:bottom w:val="none" w:sz="0" w:space="0"/>
            <w:right w:val="none" w:sz="0" w:space="0"/>
          </w:pgBorders>
          <w:cols w:space="720" w:num="1"/>
          <w:titlePg/>
          <w:docGrid w:type="lines" w:linePitch="312" w:charSpace="0"/>
        </w:sectPr>
      </w:pPr>
      <w:r>
        <w:rPr>
          <w:rFonts w:asciiTheme="majorEastAsia" w:hAnsiTheme="majorEastAsia" w:eastAsiaTheme="majorEastAsia"/>
          <w:color w:val="auto"/>
          <w:sz w:val="22"/>
          <w:szCs w:val="22"/>
          <w:highlight w:val="none"/>
        </w:rPr>
        <w:t>日 期：       年      月      日</w:t>
      </w:r>
    </w:p>
    <w:p w14:paraId="254FEAE1">
      <w:pPr>
        <w:pStyle w:val="40"/>
        <w:jc w:val="left"/>
        <w:rPr>
          <w:rFonts w:asciiTheme="majorEastAsia" w:hAnsiTheme="majorEastAsia" w:eastAsiaTheme="majorEastAsia"/>
          <w:b w:val="0"/>
          <w:bCs w:val="0"/>
          <w:color w:val="auto"/>
          <w:kern w:val="0"/>
          <w:sz w:val="22"/>
          <w:szCs w:val="22"/>
          <w:highlight w:val="none"/>
        </w:rPr>
      </w:pPr>
      <w:bookmarkStart w:id="445" w:name="_Toc5132"/>
      <w:r>
        <w:rPr>
          <w:rFonts w:asciiTheme="majorEastAsia" w:hAnsiTheme="majorEastAsia" w:eastAsiaTheme="majorEastAsia"/>
          <w:b w:val="0"/>
          <w:bCs w:val="0"/>
          <w:color w:val="auto"/>
          <w:kern w:val="0"/>
          <w:sz w:val="22"/>
          <w:szCs w:val="22"/>
          <w:highlight w:val="none"/>
        </w:rPr>
        <w:t>附件十</w:t>
      </w:r>
    </w:p>
    <w:p w14:paraId="0533E34C">
      <w:pPr>
        <w:spacing w:after="240" w:line="360" w:lineRule="exact"/>
        <w:jc w:val="center"/>
        <w:rPr>
          <w:rFonts w:asciiTheme="majorEastAsia" w:hAnsiTheme="majorEastAsia" w:eastAsiaTheme="majorEastAsia"/>
          <w:b/>
          <w:bCs/>
          <w:color w:val="auto"/>
          <w:sz w:val="32"/>
          <w:szCs w:val="32"/>
          <w:highlight w:val="none"/>
        </w:rPr>
      </w:pPr>
      <w:r>
        <w:rPr>
          <w:rFonts w:hint="eastAsia" w:asciiTheme="majorEastAsia" w:hAnsiTheme="majorEastAsia" w:eastAsiaTheme="majorEastAsia"/>
          <w:b/>
          <w:bCs/>
          <w:color w:val="auto"/>
          <w:sz w:val="32"/>
          <w:szCs w:val="32"/>
          <w:highlight w:val="none"/>
        </w:rPr>
        <w:t>（1）项目负责人情况表</w:t>
      </w:r>
    </w:p>
    <w:p w14:paraId="68CB4C96">
      <w:pPr>
        <w:spacing w:line="360" w:lineRule="exact"/>
        <w:rPr>
          <w:rFonts w:asciiTheme="majorEastAsia" w:hAnsiTheme="majorEastAsia" w:eastAsiaTheme="majorEastAsia"/>
          <w:color w:val="auto"/>
          <w:sz w:val="22"/>
          <w:highlight w:val="none"/>
        </w:rPr>
      </w:pPr>
      <w:r>
        <w:rPr>
          <w:rFonts w:hint="eastAsia" w:asciiTheme="majorEastAsia" w:hAnsiTheme="majorEastAsia" w:eastAsiaTheme="majorEastAsia"/>
          <w:color w:val="auto"/>
          <w:sz w:val="22"/>
          <w:highlight w:val="none"/>
        </w:rPr>
        <w:t>项目名称：                                         项目编号：</w:t>
      </w:r>
    </w:p>
    <w:tbl>
      <w:tblPr>
        <w:tblStyle w:val="43"/>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445"/>
        <w:gridCol w:w="1822"/>
        <w:gridCol w:w="1587"/>
        <w:gridCol w:w="1726"/>
        <w:gridCol w:w="1449"/>
        <w:gridCol w:w="1588"/>
      </w:tblGrid>
      <w:tr w14:paraId="3899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9648" w:type="dxa"/>
            <w:gridSpan w:val="7"/>
            <w:tcBorders>
              <w:top w:val="single" w:color="auto" w:sz="12" w:space="0"/>
              <w:left w:val="single" w:color="auto" w:sz="12" w:space="0"/>
              <w:bottom w:val="single" w:color="auto" w:sz="4" w:space="0"/>
              <w:right w:val="single" w:color="auto" w:sz="12" w:space="0"/>
            </w:tcBorders>
            <w:vAlign w:val="center"/>
          </w:tcPr>
          <w:p w14:paraId="195916EA">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1、一般情况</w:t>
            </w:r>
          </w:p>
        </w:tc>
      </w:tr>
      <w:tr w14:paraId="65DC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6" w:type="dxa"/>
            <w:gridSpan w:val="2"/>
            <w:tcBorders>
              <w:top w:val="single" w:color="auto" w:sz="4" w:space="0"/>
              <w:left w:val="single" w:color="auto" w:sz="12" w:space="0"/>
              <w:bottom w:val="single" w:color="auto" w:sz="4" w:space="0"/>
              <w:right w:val="single" w:color="auto" w:sz="4" w:space="0"/>
            </w:tcBorders>
            <w:vAlign w:val="center"/>
          </w:tcPr>
          <w:p w14:paraId="180689C9">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姓   名</w:t>
            </w:r>
          </w:p>
        </w:tc>
        <w:tc>
          <w:tcPr>
            <w:tcW w:w="1822" w:type="dxa"/>
            <w:tcBorders>
              <w:top w:val="single" w:color="auto" w:sz="4" w:space="0"/>
              <w:left w:val="single" w:color="auto" w:sz="4" w:space="0"/>
              <w:bottom w:val="single" w:color="auto" w:sz="4" w:space="0"/>
              <w:right w:val="single" w:color="auto" w:sz="4" w:space="0"/>
            </w:tcBorders>
            <w:vAlign w:val="center"/>
          </w:tcPr>
          <w:p w14:paraId="5F5C492C">
            <w:pPr>
              <w:spacing w:line="360" w:lineRule="exact"/>
              <w:jc w:val="center"/>
              <w:rPr>
                <w:rFonts w:asciiTheme="majorEastAsia" w:hAnsiTheme="majorEastAsia" w:eastAsiaTheme="majorEastAsia"/>
                <w:color w:val="auto"/>
                <w:highlight w:val="none"/>
              </w:rPr>
            </w:pPr>
          </w:p>
        </w:tc>
        <w:tc>
          <w:tcPr>
            <w:tcW w:w="1587" w:type="dxa"/>
            <w:tcBorders>
              <w:top w:val="single" w:color="auto" w:sz="4" w:space="0"/>
              <w:left w:val="single" w:color="auto" w:sz="4" w:space="0"/>
              <w:bottom w:val="single" w:color="auto" w:sz="4" w:space="0"/>
              <w:right w:val="single" w:color="auto" w:sz="4" w:space="0"/>
            </w:tcBorders>
            <w:vAlign w:val="center"/>
          </w:tcPr>
          <w:p w14:paraId="6C624C18">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年  龄</w:t>
            </w:r>
          </w:p>
        </w:tc>
        <w:tc>
          <w:tcPr>
            <w:tcW w:w="1726" w:type="dxa"/>
            <w:tcBorders>
              <w:top w:val="single" w:color="auto" w:sz="4" w:space="0"/>
              <w:left w:val="single" w:color="auto" w:sz="4" w:space="0"/>
              <w:bottom w:val="single" w:color="auto" w:sz="4" w:space="0"/>
              <w:right w:val="single" w:color="auto" w:sz="4" w:space="0"/>
            </w:tcBorders>
            <w:vAlign w:val="center"/>
          </w:tcPr>
          <w:p w14:paraId="2A2247D6">
            <w:pPr>
              <w:spacing w:line="360" w:lineRule="exact"/>
              <w:jc w:val="center"/>
              <w:rPr>
                <w:rFonts w:asciiTheme="majorEastAsia" w:hAnsiTheme="majorEastAsia" w:eastAsiaTheme="majorEastAsia"/>
                <w:color w:val="auto"/>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14:paraId="46E8732E">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学  历</w:t>
            </w:r>
          </w:p>
        </w:tc>
        <w:tc>
          <w:tcPr>
            <w:tcW w:w="1588" w:type="dxa"/>
            <w:tcBorders>
              <w:top w:val="single" w:color="auto" w:sz="4" w:space="0"/>
              <w:left w:val="single" w:color="auto" w:sz="4" w:space="0"/>
              <w:bottom w:val="single" w:color="auto" w:sz="4" w:space="0"/>
              <w:right w:val="single" w:color="auto" w:sz="12" w:space="0"/>
            </w:tcBorders>
            <w:vAlign w:val="center"/>
          </w:tcPr>
          <w:p w14:paraId="0CD6930D">
            <w:pPr>
              <w:spacing w:line="360" w:lineRule="exact"/>
              <w:jc w:val="center"/>
              <w:rPr>
                <w:rFonts w:asciiTheme="majorEastAsia" w:hAnsiTheme="majorEastAsia" w:eastAsiaTheme="majorEastAsia"/>
                <w:color w:val="auto"/>
                <w:highlight w:val="none"/>
              </w:rPr>
            </w:pPr>
          </w:p>
        </w:tc>
      </w:tr>
      <w:tr w14:paraId="15BC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6" w:type="dxa"/>
            <w:gridSpan w:val="2"/>
            <w:tcBorders>
              <w:top w:val="single" w:color="auto" w:sz="4" w:space="0"/>
              <w:left w:val="single" w:color="auto" w:sz="12" w:space="0"/>
              <w:bottom w:val="single" w:color="auto" w:sz="4" w:space="0"/>
              <w:right w:val="single" w:color="auto" w:sz="4" w:space="0"/>
            </w:tcBorders>
            <w:vAlign w:val="center"/>
          </w:tcPr>
          <w:p w14:paraId="517EF2F9">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毕业学校</w:t>
            </w:r>
          </w:p>
        </w:tc>
        <w:tc>
          <w:tcPr>
            <w:tcW w:w="1822" w:type="dxa"/>
            <w:tcBorders>
              <w:top w:val="single" w:color="auto" w:sz="4" w:space="0"/>
              <w:left w:val="single" w:color="auto" w:sz="4" w:space="0"/>
              <w:bottom w:val="single" w:color="auto" w:sz="4" w:space="0"/>
              <w:right w:val="single" w:color="auto" w:sz="4" w:space="0"/>
            </w:tcBorders>
            <w:vAlign w:val="center"/>
          </w:tcPr>
          <w:p w14:paraId="04AA6818">
            <w:pPr>
              <w:spacing w:line="360" w:lineRule="exact"/>
              <w:rPr>
                <w:rFonts w:asciiTheme="majorEastAsia" w:hAnsiTheme="majorEastAsia" w:eastAsiaTheme="majorEastAsia"/>
                <w:color w:val="auto"/>
                <w:highlight w:val="none"/>
              </w:rPr>
            </w:pPr>
          </w:p>
        </w:tc>
        <w:tc>
          <w:tcPr>
            <w:tcW w:w="1587" w:type="dxa"/>
            <w:tcBorders>
              <w:top w:val="single" w:color="auto" w:sz="4" w:space="0"/>
              <w:left w:val="single" w:color="auto" w:sz="4" w:space="0"/>
              <w:bottom w:val="single" w:color="auto" w:sz="4" w:space="0"/>
              <w:right w:val="single" w:color="auto" w:sz="4" w:space="0"/>
            </w:tcBorders>
            <w:vAlign w:val="center"/>
          </w:tcPr>
          <w:p w14:paraId="49E376C6">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专  业</w:t>
            </w:r>
          </w:p>
        </w:tc>
        <w:tc>
          <w:tcPr>
            <w:tcW w:w="1726" w:type="dxa"/>
            <w:tcBorders>
              <w:top w:val="single" w:color="auto" w:sz="4" w:space="0"/>
              <w:left w:val="single" w:color="auto" w:sz="4" w:space="0"/>
              <w:bottom w:val="single" w:color="auto" w:sz="4" w:space="0"/>
              <w:right w:val="single" w:color="auto" w:sz="4" w:space="0"/>
            </w:tcBorders>
            <w:vAlign w:val="center"/>
          </w:tcPr>
          <w:p w14:paraId="573D89A8">
            <w:pPr>
              <w:spacing w:line="360" w:lineRule="exact"/>
              <w:jc w:val="center"/>
              <w:rPr>
                <w:rFonts w:asciiTheme="majorEastAsia" w:hAnsiTheme="majorEastAsia" w:eastAsiaTheme="majorEastAsia"/>
                <w:color w:val="auto"/>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14:paraId="19CC9C07">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职  务</w:t>
            </w:r>
          </w:p>
        </w:tc>
        <w:tc>
          <w:tcPr>
            <w:tcW w:w="1588" w:type="dxa"/>
            <w:tcBorders>
              <w:top w:val="single" w:color="auto" w:sz="4" w:space="0"/>
              <w:left w:val="single" w:color="auto" w:sz="4" w:space="0"/>
              <w:bottom w:val="single" w:color="auto" w:sz="4" w:space="0"/>
              <w:right w:val="single" w:color="auto" w:sz="12" w:space="0"/>
            </w:tcBorders>
            <w:vAlign w:val="center"/>
          </w:tcPr>
          <w:p w14:paraId="0901A2C2">
            <w:pPr>
              <w:spacing w:line="360" w:lineRule="exact"/>
              <w:jc w:val="center"/>
              <w:rPr>
                <w:rFonts w:asciiTheme="majorEastAsia" w:hAnsiTheme="majorEastAsia" w:eastAsiaTheme="majorEastAsia"/>
                <w:color w:val="auto"/>
                <w:highlight w:val="none"/>
              </w:rPr>
            </w:pPr>
          </w:p>
        </w:tc>
      </w:tr>
      <w:tr w14:paraId="3B5B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exact"/>
          <w:jc w:val="center"/>
        </w:trPr>
        <w:tc>
          <w:tcPr>
            <w:tcW w:w="1476" w:type="dxa"/>
            <w:gridSpan w:val="2"/>
            <w:tcBorders>
              <w:top w:val="single" w:color="auto" w:sz="4" w:space="0"/>
              <w:left w:val="single" w:color="auto" w:sz="12" w:space="0"/>
              <w:bottom w:val="single" w:color="auto" w:sz="4" w:space="0"/>
              <w:right w:val="single" w:color="auto" w:sz="4" w:space="0"/>
            </w:tcBorders>
            <w:vAlign w:val="center"/>
          </w:tcPr>
          <w:p w14:paraId="7A600D95">
            <w:pPr>
              <w:spacing w:line="2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职  称</w:t>
            </w:r>
          </w:p>
          <w:p w14:paraId="65DF1008">
            <w:pPr>
              <w:spacing w:line="2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（或资格）</w:t>
            </w:r>
          </w:p>
        </w:tc>
        <w:tc>
          <w:tcPr>
            <w:tcW w:w="1822" w:type="dxa"/>
            <w:tcBorders>
              <w:top w:val="single" w:color="auto" w:sz="4" w:space="0"/>
              <w:left w:val="single" w:color="auto" w:sz="4" w:space="0"/>
              <w:bottom w:val="single" w:color="auto" w:sz="4" w:space="0"/>
              <w:right w:val="single" w:color="auto" w:sz="4" w:space="0"/>
            </w:tcBorders>
            <w:vAlign w:val="center"/>
          </w:tcPr>
          <w:p w14:paraId="4E1FE145">
            <w:pPr>
              <w:spacing w:line="360" w:lineRule="exact"/>
              <w:rPr>
                <w:rFonts w:asciiTheme="majorEastAsia" w:hAnsiTheme="majorEastAsia" w:eastAsiaTheme="majorEastAsia"/>
                <w:color w:val="auto"/>
                <w:highlight w:val="none"/>
              </w:rPr>
            </w:pPr>
          </w:p>
        </w:tc>
        <w:tc>
          <w:tcPr>
            <w:tcW w:w="1587" w:type="dxa"/>
            <w:tcBorders>
              <w:top w:val="single" w:color="auto" w:sz="4" w:space="0"/>
              <w:left w:val="single" w:color="auto" w:sz="4" w:space="0"/>
              <w:bottom w:val="single" w:color="auto" w:sz="4" w:space="0"/>
              <w:right w:val="single" w:color="auto" w:sz="4" w:space="0"/>
            </w:tcBorders>
            <w:vAlign w:val="center"/>
          </w:tcPr>
          <w:p w14:paraId="153ED130">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拟任何职</w:t>
            </w:r>
          </w:p>
        </w:tc>
        <w:tc>
          <w:tcPr>
            <w:tcW w:w="1726" w:type="dxa"/>
            <w:tcBorders>
              <w:top w:val="single" w:color="auto" w:sz="4" w:space="0"/>
              <w:left w:val="single" w:color="auto" w:sz="4" w:space="0"/>
              <w:bottom w:val="single" w:color="auto" w:sz="4" w:space="0"/>
              <w:right w:val="single" w:color="auto" w:sz="4" w:space="0"/>
            </w:tcBorders>
            <w:vAlign w:val="center"/>
          </w:tcPr>
          <w:p w14:paraId="4BC331DD">
            <w:pPr>
              <w:spacing w:line="360" w:lineRule="exact"/>
              <w:jc w:val="center"/>
              <w:rPr>
                <w:rFonts w:asciiTheme="majorEastAsia" w:hAnsiTheme="majorEastAsia" w:eastAsiaTheme="majorEastAsia"/>
                <w:color w:val="auto"/>
                <w:highlight w:val="none"/>
              </w:rPr>
            </w:pPr>
          </w:p>
        </w:tc>
        <w:tc>
          <w:tcPr>
            <w:tcW w:w="1449" w:type="dxa"/>
            <w:tcBorders>
              <w:top w:val="single" w:color="auto" w:sz="4" w:space="0"/>
              <w:left w:val="single" w:color="auto" w:sz="4" w:space="0"/>
              <w:bottom w:val="single" w:color="auto" w:sz="4" w:space="0"/>
              <w:right w:val="single" w:color="auto" w:sz="4" w:space="0"/>
            </w:tcBorders>
            <w:vAlign w:val="center"/>
          </w:tcPr>
          <w:p w14:paraId="3A85DE72">
            <w:pPr>
              <w:spacing w:line="28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参加工作</w:t>
            </w:r>
          </w:p>
          <w:p w14:paraId="352DB082">
            <w:pPr>
              <w:spacing w:line="28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时间</w:t>
            </w:r>
          </w:p>
        </w:tc>
        <w:tc>
          <w:tcPr>
            <w:tcW w:w="1588" w:type="dxa"/>
            <w:tcBorders>
              <w:top w:val="single" w:color="auto" w:sz="4" w:space="0"/>
              <w:left w:val="single" w:color="auto" w:sz="4" w:space="0"/>
              <w:bottom w:val="single" w:color="auto" w:sz="4" w:space="0"/>
              <w:right w:val="single" w:color="auto" w:sz="12" w:space="0"/>
            </w:tcBorders>
            <w:vAlign w:val="center"/>
          </w:tcPr>
          <w:p w14:paraId="0C6379B9">
            <w:pPr>
              <w:spacing w:line="360" w:lineRule="exact"/>
              <w:jc w:val="center"/>
              <w:rPr>
                <w:rFonts w:asciiTheme="majorEastAsia" w:hAnsiTheme="majorEastAsia" w:eastAsiaTheme="majorEastAsia"/>
                <w:color w:val="auto"/>
                <w:highlight w:val="none"/>
              </w:rPr>
            </w:pPr>
          </w:p>
        </w:tc>
      </w:tr>
      <w:tr w14:paraId="0FCA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648" w:type="dxa"/>
            <w:gridSpan w:val="7"/>
            <w:tcBorders>
              <w:top w:val="single" w:color="auto" w:sz="4" w:space="0"/>
              <w:left w:val="single" w:color="auto" w:sz="12" w:space="0"/>
              <w:bottom w:val="single" w:color="auto" w:sz="4" w:space="0"/>
              <w:right w:val="single" w:color="auto" w:sz="12" w:space="0"/>
            </w:tcBorders>
            <w:vAlign w:val="center"/>
          </w:tcPr>
          <w:p w14:paraId="228A0B77">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2、个人简历</w:t>
            </w:r>
          </w:p>
        </w:tc>
      </w:tr>
      <w:tr w14:paraId="3506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6" w:type="dxa"/>
            <w:gridSpan w:val="2"/>
            <w:tcBorders>
              <w:top w:val="single" w:color="auto" w:sz="4" w:space="0"/>
              <w:left w:val="single" w:color="auto" w:sz="12" w:space="0"/>
              <w:bottom w:val="single" w:color="auto" w:sz="4" w:space="0"/>
              <w:right w:val="single" w:color="auto" w:sz="4" w:space="0"/>
            </w:tcBorders>
            <w:vAlign w:val="center"/>
          </w:tcPr>
          <w:p w14:paraId="5BCDD832">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时  间</w:t>
            </w:r>
          </w:p>
        </w:tc>
        <w:tc>
          <w:tcPr>
            <w:tcW w:w="8172" w:type="dxa"/>
            <w:gridSpan w:val="5"/>
            <w:tcBorders>
              <w:top w:val="single" w:color="auto" w:sz="4" w:space="0"/>
              <w:left w:val="single" w:color="auto" w:sz="4" w:space="0"/>
              <w:bottom w:val="single" w:color="auto" w:sz="4" w:space="0"/>
              <w:right w:val="single" w:color="auto" w:sz="12" w:space="0"/>
            </w:tcBorders>
            <w:vAlign w:val="center"/>
          </w:tcPr>
          <w:p w14:paraId="4FFEAE5F">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专业工作经历</w:t>
            </w:r>
          </w:p>
        </w:tc>
      </w:tr>
      <w:tr w14:paraId="2480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6" w:type="dxa"/>
            <w:gridSpan w:val="2"/>
            <w:tcBorders>
              <w:top w:val="single" w:color="auto" w:sz="4" w:space="0"/>
              <w:left w:val="single" w:color="auto" w:sz="12" w:space="0"/>
              <w:bottom w:val="single" w:color="auto" w:sz="4" w:space="0"/>
              <w:right w:val="single" w:color="auto" w:sz="4" w:space="0"/>
            </w:tcBorders>
            <w:vAlign w:val="center"/>
          </w:tcPr>
          <w:p w14:paraId="09C03FD5">
            <w:pPr>
              <w:spacing w:line="360" w:lineRule="exact"/>
              <w:rPr>
                <w:rFonts w:asciiTheme="majorEastAsia" w:hAnsiTheme="majorEastAsia" w:eastAsiaTheme="majorEastAsia"/>
                <w:color w:val="auto"/>
                <w:highlight w:val="none"/>
              </w:rPr>
            </w:pPr>
          </w:p>
        </w:tc>
        <w:tc>
          <w:tcPr>
            <w:tcW w:w="8172" w:type="dxa"/>
            <w:gridSpan w:val="5"/>
            <w:tcBorders>
              <w:top w:val="single" w:color="auto" w:sz="4" w:space="0"/>
              <w:left w:val="single" w:color="auto" w:sz="4" w:space="0"/>
              <w:bottom w:val="single" w:color="auto" w:sz="4" w:space="0"/>
              <w:right w:val="single" w:color="auto" w:sz="12" w:space="0"/>
            </w:tcBorders>
            <w:vAlign w:val="center"/>
          </w:tcPr>
          <w:p w14:paraId="02F7EEC2">
            <w:pPr>
              <w:spacing w:line="360" w:lineRule="exact"/>
              <w:rPr>
                <w:rFonts w:asciiTheme="majorEastAsia" w:hAnsiTheme="majorEastAsia" w:eastAsiaTheme="majorEastAsia"/>
                <w:color w:val="auto"/>
                <w:highlight w:val="none"/>
              </w:rPr>
            </w:pPr>
          </w:p>
        </w:tc>
      </w:tr>
      <w:tr w14:paraId="703C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6" w:type="dxa"/>
            <w:gridSpan w:val="2"/>
            <w:tcBorders>
              <w:top w:val="single" w:color="auto" w:sz="4" w:space="0"/>
              <w:left w:val="single" w:color="auto" w:sz="12" w:space="0"/>
              <w:bottom w:val="single" w:color="auto" w:sz="4" w:space="0"/>
              <w:right w:val="single" w:color="auto" w:sz="4" w:space="0"/>
            </w:tcBorders>
            <w:vAlign w:val="center"/>
          </w:tcPr>
          <w:p w14:paraId="7CA6CB35">
            <w:pPr>
              <w:spacing w:line="360" w:lineRule="exact"/>
              <w:rPr>
                <w:rFonts w:asciiTheme="majorEastAsia" w:hAnsiTheme="majorEastAsia" w:eastAsiaTheme="majorEastAsia"/>
                <w:color w:val="auto"/>
                <w:highlight w:val="none"/>
              </w:rPr>
            </w:pPr>
          </w:p>
        </w:tc>
        <w:tc>
          <w:tcPr>
            <w:tcW w:w="8172" w:type="dxa"/>
            <w:gridSpan w:val="5"/>
            <w:tcBorders>
              <w:top w:val="single" w:color="auto" w:sz="4" w:space="0"/>
              <w:left w:val="single" w:color="auto" w:sz="4" w:space="0"/>
              <w:bottom w:val="single" w:color="auto" w:sz="4" w:space="0"/>
              <w:right w:val="single" w:color="auto" w:sz="12" w:space="0"/>
            </w:tcBorders>
            <w:vAlign w:val="center"/>
          </w:tcPr>
          <w:p w14:paraId="6A18EB95">
            <w:pPr>
              <w:spacing w:line="360" w:lineRule="exact"/>
              <w:rPr>
                <w:rFonts w:asciiTheme="majorEastAsia" w:hAnsiTheme="majorEastAsia" w:eastAsiaTheme="majorEastAsia"/>
                <w:color w:val="auto"/>
                <w:highlight w:val="none"/>
              </w:rPr>
            </w:pPr>
          </w:p>
        </w:tc>
      </w:tr>
      <w:tr w14:paraId="43B7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648" w:type="dxa"/>
            <w:gridSpan w:val="7"/>
            <w:tcBorders>
              <w:top w:val="single" w:color="auto" w:sz="4" w:space="0"/>
              <w:left w:val="single" w:color="auto" w:sz="12" w:space="0"/>
              <w:bottom w:val="single" w:color="auto" w:sz="4" w:space="0"/>
              <w:right w:val="single" w:color="auto" w:sz="12" w:space="0"/>
            </w:tcBorders>
            <w:vAlign w:val="center"/>
          </w:tcPr>
          <w:p w14:paraId="637B2E33">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3、负责类似项目业绩</w:t>
            </w:r>
          </w:p>
        </w:tc>
      </w:tr>
      <w:tr w14:paraId="640A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475F8596">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序号</w:t>
            </w: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2F458D57">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项  目  名  称</w:t>
            </w: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5CA635F1">
            <w:pPr>
              <w:spacing w:line="360" w:lineRule="exact"/>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该项目中任何职</w:t>
            </w:r>
          </w:p>
        </w:tc>
      </w:tr>
      <w:tr w14:paraId="71F0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6399A014">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589CBFF7">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41C90D35">
            <w:pPr>
              <w:spacing w:line="360" w:lineRule="exact"/>
              <w:rPr>
                <w:rFonts w:asciiTheme="majorEastAsia" w:hAnsiTheme="majorEastAsia" w:eastAsiaTheme="majorEastAsia"/>
                <w:color w:val="auto"/>
                <w:highlight w:val="none"/>
              </w:rPr>
            </w:pPr>
          </w:p>
        </w:tc>
      </w:tr>
      <w:tr w14:paraId="096E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27A5D00F">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795A9D71">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115D89BF">
            <w:pPr>
              <w:spacing w:line="360" w:lineRule="exact"/>
              <w:rPr>
                <w:rFonts w:asciiTheme="majorEastAsia" w:hAnsiTheme="majorEastAsia" w:eastAsiaTheme="majorEastAsia"/>
                <w:color w:val="auto"/>
                <w:highlight w:val="none"/>
              </w:rPr>
            </w:pPr>
          </w:p>
        </w:tc>
      </w:tr>
      <w:tr w14:paraId="16E9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70624D70">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0FAED1E1">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4B72BED2">
            <w:pPr>
              <w:spacing w:line="360" w:lineRule="exact"/>
              <w:rPr>
                <w:rFonts w:asciiTheme="majorEastAsia" w:hAnsiTheme="majorEastAsia" w:eastAsiaTheme="majorEastAsia"/>
                <w:color w:val="auto"/>
                <w:highlight w:val="none"/>
              </w:rPr>
            </w:pPr>
          </w:p>
        </w:tc>
      </w:tr>
      <w:tr w14:paraId="4407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030D195E">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0C48BF58">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1C76B807">
            <w:pPr>
              <w:spacing w:line="360" w:lineRule="exact"/>
              <w:rPr>
                <w:rFonts w:asciiTheme="majorEastAsia" w:hAnsiTheme="majorEastAsia" w:eastAsiaTheme="majorEastAsia"/>
                <w:color w:val="auto"/>
                <w:highlight w:val="none"/>
              </w:rPr>
            </w:pPr>
          </w:p>
        </w:tc>
      </w:tr>
      <w:tr w14:paraId="1AC4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3437B576">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63693B80">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73A7E5DA">
            <w:pPr>
              <w:spacing w:line="360" w:lineRule="exact"/>
              <w:rPr>
                <w:rFonts w:asciiTheme="majorEastAsia" w:hAnsiTheme="majorEastAsia" w:eastAsiaTheme="majorEastAsia"/>
                <w:color w:val="auto"/>
                <w:highlight w:val="none"/>
              </w:rPr>
            </w:pPr>
          </w:p>
        </w:tc>
      </w:tr>
      <w:tr w14:paraId="7984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4" w:space="0"/>
              <w:right w:val="single" w:color="auto" w:sz="4" w:space="0"/>
            </w:tcBorders>
            <w:vAlign w:val="center"/>
          </w:tcPr>
          <w:p w14:paraId="499EC955">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4" w:space="0"/>
              <w:right w:val="single" w:color="auto" w:sz="4" w:space="0"/>
            </w:tcBorders>
            <w:vAlign w:val="center"/>
          </w:tcPr>
          <w:p w14:paraId="484EA11A">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4" w:space="0"/>
              <w:right w:val="single" w:color="auto" w:sz="12" w:space="0"/>
            </w:tcBorders>
            <w:vAlign w:val="center"/>
          </w:tcPr>
          <w:p w14:paraId="09FE06E9">
            <w:pPr>
              <w:spacing w:line="360" w:lineRule="exact"/>
              <w:rPr>
                <w:rFonts w:asciiTheme="majorEastAsia" w:hAnsiTheme="majorEastAsia" w:eastAsiaTheme="majorEastAsia"/>
                <w:color w:val="auto"/>
                <w:highlight w:val="none"/>
              </w:rPr>
            </w:pPr>
          </w:p>
        </w:tc>
      </w:tr>
      <w:tr w14:paraId="0D02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31" w:type="dxa"/>
            <w:tcBorders>
              <w:top w:val="single" w:color="auto" w:sz="4" w:space="0"/>
              <w:left w:val="single" w:color="auto" w:sz="12" w:space="0"/>
              <w:bottom w:val="single" w:color="auto" w:sz="12" w:space="0"/>
              <w:right w:val="single" w:color="auto" w:sz="4" w:space="0"/>
            </w:tcBorders>
            <w:vAlign w:val="center"/>
          </w:tcPr>
          <w:p w14:paraId="272FBA35">
            <w:pPr>
              <w:spacing w:line="360" w:lineRule="exact"/>
              <w:rPr>
                <w:rFonts w:asciiTheme="majorEastAsia" w:hAnsiTheme="majorEastAsia" w:eastAsiaTheme="majorEastAsia"/>
                <w:color w:val="auto"/>
                <w:highlight w:val="none"/>
              </w:rPr>
            </w:pPr>
          </w:p>
        </w:tc>
        <w:tc>
          <w:tcPr>
            <w:tcW w:w="5580" w:type="dxa"/>
            <w:gridSpan w:val="4"/>
            <w:tcBorders>
              <w:top w:val="single" w:color="auto" w:sz="4" w:space="0"/>
              <w:left w:val="single" w:color="auto" w:sz="4" w:space="0"/>
              <w:bottom w:val="single" w:color="auto" w:sz="12" w:space="0"/>
              <w:right w:val="single" w:color="auto" w:sz="4" w:space="0"/>
            </w:tcBorders>
            <w:vAlign w:val="center"/>
          </w:tcPr>
          <w:p w14:paraId="6DD37AC5">
            <w:pPr>
              <w:spacing w:line="360" w:lineRule="exact"/>
              <w:rPr>
                <w:rFonts w:asciiTheme="majorEastAsia" w:hAnsiTheme="majorEastAsia" w:eastAsiaTheme="majorEastAsia"/>
                <w:color w:val="auto"/>
                <w:highlight w:val="none"/>
              </w:rPr>
            </w:pPr>
          </w:p>
        </w:tc>
        <w:tc>
          <w:tcPr>
            <w:tcW w:w="3037" w:type="dxa"/>
            <w:gridSpan w:val="2"/>
            <w:tcBorders>
              <w:top w:val="single" w:color="auto" w:sz="4" w:space="0"/>
              <w:left w:val="single" w:color="auto" w:sz="4" w:space="0"/>
              <w:bottom w:val="single" w:color="auto" w:sz="12" w:space="0"/>
              <w:right w:val="single" w:color="auto" w:sz="12" w:space="0"/>
            </w:tcBorders>
            <w:vAlign w:val="center"/>
          </w:tcPr>
          <w:p w14:paraId="79DDADAD">
            <w:pPr>
              <w:spacing w:line="360" w:lineRule="exact"/>
              <w:rPr>
                <w:rFonts w:asciiTheme="majorEastAsia" w:hAnsiTheme="majorEastAsia" w:eastAsiaTheme="majorEastAsia"/>
                <w:color w:val="auto"/>
                <w:highlight w:val="none"/>
              </w:rPr>
            </w:pPr>
          </w:p>
        </w:tc>
      </w:tr>
    </w:tbl>
    <w:p w14:paraId="777EB063">
      <w:pPr>
        <w:pStyle w:val="25"/>
        <w:spacing w:line="400" w:lineRule="atLeast"/>
        <w:ind w:left="4618" w:leftChars="156" w:hanging="4290" w:hangingChars="1950"/>
        <w:rPr>
          <w:rFonts w:asciiTheme="majorEastAsia" w:hAnsiTheme="majorEastAsia" w:eastAsiaTheme="majorEastAsia"/>
          <w:color w:val="auto"/>
          <w:sz w:val="22"/>
          <w:highlight w:val="none"/>
        </w:rPr>
      </w:pPr>
      <w:r>
        <w:rPr>
          <w:rFonts w:hint="eastAsia" w:asciiTheme="majorEastAsia" w:hAnsiTheme="majorEastAsia" w:eastAsiaTheme="majorEastAsia"/>
          <w:color w:val="auto"/>
          <w:sz w:val="22"/>
          <w:highlight w:val="none"/>
        </w:rPr>
        <w:t xml:space="preserve">注：1、本表可在不改变格式的情况下根据具体需要自行增减。 </w:t>
      </w:r>
    </w:p>
    <w:p w14:paraId="02864B71">
      <w:pPr>
        <w:pStyle w:val="25"/>
        <w:spacing w:line="400" w:lineRule="atLeast"/>
        <w:ind w:left="4618" w:leftChars="156" w:hanging="4290" w:hangingChars="1950"/>
        <w:rPr>
          <w:rFonts w:asciiTheme="majorEastAsia" w:hAnsiTheme="majorEastAsia" w:eastAsiaTheme="majorEastAsia"/>
          <w:color w:val="auto"/>
          <w:sz w:val="22"/>
          <w:highlight w:val="none"/>
        </w:rPr>
      </w:pPr>
    </w:p>
    <w:p w14:paraId="43C658C2">
      <w:pPr>
        <w:pStyle w:val="25"/>
        <w:spacing w:line="360" w:lineRule="auto"/>
        <w:rPr>
          <w:rFonts w:asciiTheme="majorEastAsia" w:hAnsiTheme="majorEastAsia" w:eastAsiaTheme="majorEastAsia"/>
          <w:color w:val="auto"/>
          <w:sz w:val="22"/>
          <w:szCs w:val="22"/>
          <w:highlight w:val="none"/>
        </w:rPr>
      </w:pPr>
      <w:bookmarkStart w:id="446" w:name="_Toc301515381"/>
      <w:r>
        <w:rPr>
          <w:rFonts w:hint="eastAsia" w:asciiTheme="majorEastAsia" w:hAnsiTheme="majorEastAsia" w:eastAsiaTheme="majorEastAsia"/>
          <w:color w:val="auto"/>
          <w:sz w:val="22"/>
          <w:szCs w:val="22"/>
          <w:highlight w:val="none"/>
          <w:lang w:eastAsia="zh-CN"/>
        </w:rPr>
        <w:t>投标人</w:t>
      </w:r>
      <w:r>
        <w:rPr>
          <w:rFonts w:asciiTheme="majorEastAsia" w:hAnsiTheme="majorEastAsia" w:eastAsiaTheme="majorEastAsia"/>
          <w:color w:val="auto"/>
          <w:sz w:val="22"/>
          <w:szCs w:val="22"/>
          <w:highlight w:val="none"/>
        </w:rPr>
        <w:t>全称（盖章）：</w:t>
      </w:r>
    </w:p>
    <w:p w14:paraId="374D58A7">
      <w:pPr>
        <w:pStyle w:val="25"/>
        <w:spacing w:line="360" w:lineRule="auto"/>
        <w:rPr>
          <w:rFonts w:asciiTheme="majorEastAsia" w:hAnsiTheme="majorEastAsia" w:eastAsiaTheme="majorEastAsia"/>
          <w:color w:val="auto"/>
          <w:sz w:val="22"/>
          <w:szCs w:val="22"/>
          <w:highlight w:val="none"/>
        </w:rPr>
      </w:pPr>
      <w:r>
        <w:rPr>
          <w:rFonts w:asciiTheme="majorEastAsia" w:hAnsiTheme="majorEastAsia" w:eastAsiaTheme="majorEastAsia"/>
          <w:color w:val="auto"/>
          <w:sz w:val="22"/>
          <w:szCs w:val="22"/>
          <w:highlight w:val="none"/>
        </w:rPr>
        <w:t>日 期：       年      月      日</w:t>
      </w:r>
    </w:p>
    <w:p w14:paraId="683786CD">
      <w:pPr>
        <w:pStyle w:val="40"/>
        <w:jc w:val="left"/>
        <w:rPr>
          <w:rFonts w:cs="宋体" w:asciiTheme="majorEastAsia" w:hAnsiTheme="majorEastAsia" w:eastAsiaTheme="majorEastAsia"/>
          <w:b w:val="0"/>
          <w:color w:val="auto"/>
          <w:sz w:val="22"/>
          <w:szCs w:val="22"/>
          <w:highlight w:val="none"/>
        </w:rPr>
      </w:pPr>
    </w:p>
    <w:p w14:paraId="0935E76C">
      <w:pPr>
        <w:widowControl/>
        <w:jc w:val="cente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r>
        <w:rPr>
          <w:rFonts w:hint="eastAsia" w:asciiTheme="majorEastAsia" w:hAnsiTheme="majorEastAsia" w:eastAsiaTheme="majorEastAsia"/>
          <w:b/>
          <w:color w:val="auto"/>
          <w:sz w:val="28"/>
          <w:szCs w:val="28"/>
          <w:highlight w:val="none"/>
        </w:rPr>
        <w:t>（2）项目组人员一览表</w:t>
      </w:r>
      <w:bookmarkEnd w:id="446"/>
    </w:p>
    <w:p w14:paraId="368A54F5">
      <w:pPr>
        <w:rPr>
          <w:rFonts w:asciiTheme="majorEastAsia" w:hAnsiTheme="majorEastAsia" w:eastAsiaTheme="majorEastAsia"/>
          <w:color w:val="auto"/>
          <w:highlight w:val="none"/>
        </w:rPr>
      </w:pPr>
    </w:p>
    <w:p w14:paraId="40EA9E58">
      <w:pPr>
        <w:spacing w:line="360" w:lineRule="exact"/>
        <w:rPr>
          <w:rFonts w:asciiTheme="majorEastAsia" w:hAnsiTheme="majorEastAsia" w:eastAsiaTheme="majorEastAsia"/>
          <w:color w:val="auto"/>
          <w:highlight w:val="none"/>
        </w:rPr>
      </w:pPr>
      <w:r>
        <w:rPr>
          <w:rFonts w:hint="eastAsia" w:asciiTheme="majorEastAsia" w:hAnsiTheme="majorEastAsia" w:eastAsiaTheme="majorEastAsia"/>
          <w:color w:val="auto"/>
          <w:sz w:val="22"/>
          <w:highlight w:val="none"/>
        </w:rPr>
        <w:t>项目名称：                                        项目编号：</w:t>
      </w:r>
    </w:p>
    <w:tbl>
      <w:tblPr>
        <w:tblStyle w:val="43"/>
        <w:tblW w:w="985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014"/>
        <w:gridCol w:w="1013"/>
        <w:gridCol w:w="1340"/>
        <w:gridCol w:w="1316"/>
        <w:gridCol w:w="1391"/>
        <w:gridCol w:w="1435"/>
        <w:gridCol w:w="1435"/>
      </w:tblGrid>
      <w:tr w14:paraId="4082A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6" w:hRule="atLeast"/>
        </w:trPr>
        <w:tc>
          <w:tcPr>
            <w:tcW w:w="910" w:type="dxa"/>
            <w:tcBorders>
              <w:top w:val="single" w:color="auto" w:sz="12" w:space="0"/>
              <w:left w:val="single" w:color="auto" w:sz="12" w:space="0"/>
              <w:bottom w:val="single" w:color="auto" w:sz="4" w:space="0"/>
              <w:right w:val="single" w:color="auto" w:sz="4" w:space="0"/>
            </w:tcBorders>
            <w:vAlign w:val="center"/>
          </w:tcPr>
          <w:p w14:paraId="17F97196">
            <w:pPr>
              <w:spacing w:line="300" w:lineRule="exac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姓名</w:t>
            </w:r>
          </w:p>
        </w:tc>
        <w:tc>
          <w:tcPr>
            <w:tcW w:w="1014" w:type="dxa"/>
            <w:tcBorders>
              <w:top w:val="single" w:color="auto" w:sz="12" w:space="0"/>
              <w:left w:val="single" w:color="auto" w:sz="4" w:space="0"/>
              <w:bottom w:val="single" w:color="auto" w:sz="4" w:space="0"/>
              <w:right w:val="single" w:color="auto" w:sz="4" w:space="0"/>
            </w:tcBorders>
            <w:vAlign w:val="center"/>
          </w:tcPr>
          <w:p w14:paraId="1D8E3DAD">
            <w:pPr>
              <w:spacing w:line="300" w:lineRule="exac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性别</w:t>
            </w:r>
          </w:p>
        </w:tc>
        <w:tc>
          <w:tcPr>
            <w:tcW w:w="1013" w:type="dxa"/>
            <w:tcBorders>
              <w:top w:val="single" w:color="auto" w:sz="12" w:space="0"/>
              <w:left w:val="single" w:color="auto" w:sz="4" w:space="0"/>
              <w:bottom w:val="single" w:color="auto" w:sz="4" w:space="0"/>
              <w:right w:val="single" w:color="auto" w:sz="4" w:space="0"/>
            </w:tcBorders>
            <w:vAlign w:val="center"/>
          </w:tcPr>
          <w:p w14:paraId="1C8A1022">
            <w:pPr>
              <w:spacing w:line="300" w:lineRule="exac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年龄</w:t>
            </w:r>
          </w:p>
        </w:tc>
        <w:tc>
          <w:tcPr>
            <w:tcW w:w="1340" w:type="dxa"/>
            <w:tcBorders>
              <w:top w:val="single" w:color="auto" w:sz="12" w:space="0"/>
              <w:left w:val="single" w:color="auto" w:sz="4" w:space="0"/>
              <w:bottom w:val="single" w:color="auto" w:sz="4" w:space="0"/>
              <w:right w:val="single" w:color="auto" w:sz="4" w:space="0"/>
            </w:tcBorders>
            <w:vAlign w:val="center"/>
          </w:tcPr>
          <w:p w14:paraId="1399F82F">
            <w:pPr>
              <w:spacing w:line="300" w:lineRule="exac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学历/职称</w:t>
            </w:r>
          </w:p>
        </w:tc>
        <w:tc>
          <w:tcPr>
            <w:tcW w:w="1316" w:type="dxa"/>
            <w:tcBorders>
              <w:top w:val="single" w:color="auto" w:sz="12" w:space="0"/>
              <w:left w:val="single" w:color="auto" w:sz="4" w:space="0"/>
              <w:bottom w:val="single" w:color="auto" w:sz="4" w:space="0"/>
              <w:right w:val="single" w:color="auto" w:sz="4" w:space="0"/>
            </w:tcBorders>
            <w:vAlign w:val="center"/>
          </w:tcPr>
          <w:p w14:paraId="642D1497">
            <w:pPr>
              <w:spacing w:line="300" w:lineRule="exac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专业</w:t>
            </w:r>
          </w:p>
        </w:tc>
        <w:tc>
          <w:tcPr>
            <w:tcW w:w="1391" w:type="dxa"/>
            <w:tcBorders>
              <w:top w:val="single" w:color="auto" w:sz="12" w:space="0"/>
              <w:left w:val="single" w:color="auto" w:sz="4" w:space="0"/>
              <w:bottom w:val="single" w:color="auto" w:sz="4" w:space="0"/>
              <w:right w:val="single" w:color="auto" w:sz="4" w:space="0"/>
            </w:tcBorders>
            <w:vAlign w:val="center"/>
          </w:tcPr>
          <w:p w14:paraId="28BA5EAA">
            <w:pPr>
              <w:spacing w:line="300" w:lineRule="exact"/>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专业工作年限</w:t>
            </w:r>
          </w:p>
        </w:tc>
        <w:tc>
          <w:tcPr>
            <w:tcW w:w="1435" w:type="dxa"/>
            <w:tcBorders>
              <w:top w:val="single" w:color="auto" w:sz="12" w:space="0"/>
              <w:left w:val="single" w:color="auto" w:sz="4" w:space="0"/>
              <w:bottom w:val="single" w:color="auto" w:sz="4" w:space="0"/>
              <w:right w:val="single" w:color="auto" w:sz="4" w:space="0"/>
            </w:tcBorders>
            <w:vAlign w:val="center"/>
          </w:tcPr>
          <w:p w14:paraId="337120AF">
            <w:pPr>
              <w:spacing w:line="300" w:lineRule="exact"/>
              <w:jc w:val="center"/>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rPr>
              <w:t>拟任何职</w:t>
            </w:r>
          </w:p>
        </w:tc>
        <w:tc>
          <w:tcPr>
            <w:tcW w:w="1435" w:type="dxa"/>
            <w:tcBorders>
              <w:top w:val="single" w:color="auto" w:sz="12" w:space="0"/>
              <w:left w:val="single" w:color="auto" w:sz="4" w:space="0"/>
              <w:bottom w:val="single" w:color="auto" w:sz="4" w:space="0"/>
              <w:right w:val="single" w:color="auto" w:sz="12" w:space="0"/>
            </w:tcBorders>
            <w:vAlign w:val="center"/>
          </w:tcPr>
          <w:p w14:paraId="087F6E99">
            <w:pPr>
              <w:spacing w:line="300" w:lineRule="exact"/>
              <w:jc w:val="center"/>
              <w:rPr>
                <w:rFonts w:asciiTheme="majorEastAsia" w:hAnsiTheme="majorEastAsia" w:eastAsiaTheme="majorEastAsia"/>
                <w:color w:val="auto"/>
                <w:sz w:val="22"/>
                <w:szCs w:val="22"/>
                <w:highlight w:val="none"/>
              </w:rPr>
            </w:pPr>
            <w:r>
              <w:rPr>
                <w:rFonts w:asciiTheme="majorEastAsia" w:hAnsiTheme="majorEastAsia" w:eastAsiaTheme="majorEastAsia"/>
                <w:color w:val="auto"/>
                <w:sz w:val="22"/>
                <w:szCs w:val="22"/>
                <w:highlight w:val="none"/>
              </w:rPr>
              <w:t>是否常驻</w:t>
            </w:r>
            <w:r>
              <w:rPr>
                <w:rFonts w:hint="eastAsia" w:asciiTheme="majorEastAsia" w:hAnsiTheme="majorEastAsia" w:eastAsiaTheme="majorEastAsia"/>
                <w:color w:val="auto"/>
                <w:sz w:val="22"/>
                <w:szCs w:val="22"/>
                <w:highlight w:val="none"/>
              </w:rPr>
              <w:t>（填：是或否）</w:t>
            </w:r>
          </w:p>
        </w:tc>
      </w:tr>
      <w:tr w14:paraId="3D728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6DF9A6D1">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384C50A0">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63916220">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5BF9FBB1">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4A297C8B">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26C38A91">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2221D9D4">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646B01F2">
            <w:pPr>
              <w:spacing w:line="360" w:lineRule="exact"/>
              <w:jc w:val="center"/>
              <w:rPr>
                <w:rFonts w:asciiTheme="majorEastAsia" w:hAnsiTheme="majorEastAsia" w:eastAsiaTheme="majorEastAsia"/>
                <w:color w:val="auto"/>
                <w:sz w:val="22"/>
                <w:szCs w:val="22"/>
                <w:highlight w:val="none"/>
              </w:rPr>
            </w:pPr>
          </w:p>
        </w:tc>
      </w:tr>
      <w:tr w14:paraId="03EB9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42AB867D">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649E5F4D">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09A97F2A">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37795067">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7199E1A0">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28936436">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0FC8782C">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062A8F00">
            <w:pPr>
              <w:spacing w:line="360" w:lineRule="exact"/>
              <w:jc w:val="center"/>
              <w:rPr>
                <w:rFonts w:asciiTheme="majorEastAsia" w:hAnsiTheme="majorEastAsia" w:eastAsiaTheme="majorEastAsia"/>
                <w:color w:val="auto"/>
                <w:sz w:val="22"/>
                <w:szCs w:val="22"/>
                <w:highlight w:val="none"/>
              </w:rPr>
            </w:pPr>
          </w:p>
        </w:tc>
      </w:tr>
      <w:tr w14:paraId="7C5E0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5E192E3E">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61D1EEA1">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6BA92349">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25410C4C">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011DAE67">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4E51AFEF">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269753D2">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5B6206F3">
            <w:pPr>
              <w:spacing w:line="360" w:lineRule="exact"/>
              <w:jc w:val="center"/>
              <w:rPr>
                <w:rFonts w:asciiTheme="majorEastAsia" w:hAnsiTheme="majorEastAsia" w:eastAsiaTheme="majorEastAsia"/>
                <w:color w:val="auto"/>
                <w:sz w:val="22"/>
                <w:szCs w:val="22"/>
                <w:highlight w:val="none"/>
              </w:rPr>
            </w:pPr>
          </w:p>
        </w:tc>
      </w:tr>
      <w:tr w14:paraId="7C766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228CCAFB">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78269C6E">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176B443F">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17F50426">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39B59607">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18D22FE3">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3A38BFFA">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4C9F5866">
            <w:pPr>
              <w:spacing w:line="360" w:lineRule="exact"/>
              <w:jc w:val="center"/>
              <w:rPr>
                <w:rFonts w:asciiTheme="majorEastAsia" w:hAnsiTheme="majorEastAsia" w:eastAsiaTheme="majorEastAsia"/>
                <w:color w:val="auto"/>
                <w:sz w:val="22"/>
                <w:szCs w:val="22"/>
                <w:highlight w:val="none"/>
              </w:rPr>
            </w:pPr>
          </w:p>
        </w:tc>
      </w:tr>
      <w:tr w14:paraId="6589C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4D2A8B04">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5FCABE3E">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6DE99CF2">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50850C7F">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309FB838">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544DD775">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73C85BEB">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311AC8C7">
            <w:pPr>
              <w:spacing w:line="360" w:lineRule="exact"/>
              <w:jc w:val="center"/>
              <w:rPr>
                <w:rFonts w:asciiTheme="majorEastAsia" w:hAnsiTheme="majorEastAsia" w:eastAsiaTheme="majorEastAsia"/>
                <w:color w:val="auto"/>
                <w:sz w:val="22"/>
                <w:szCs w:val="22"/>
                <w:highlight w:val="none"/>
              </w:rPr>
            </w:pPr>
          </w:p>
        </w:tc>
      </w:tr>
      <w:tr w14:paraId="1F323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3BDF2E20">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6F3D1606">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5F4CB6F9">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3C132D40">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2C61B8BB">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49E97061">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452410A3">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2CDEB544">
            <w:pPr>
              <w:spacing w:line="360" w:lineRule="exact"/>
              <w:jc w:val="center"/>
              <w:rPr>
                <w:rFonts w:asciiTheme="majorEastAsia" w:hAnsiTheme="majorEastAsia" w:eastAsiaTheme="majorEastAsia"/>
                <w:color w:val="auto"/>
                <w:sz w:val="22"/>
                <w:szCs w:val="22"/>
                <w:highlight w:val="none"/>
              </w:rPr>
            </w:pPr>
          </w:p>
        </w:tc>
      </w:tr>
      <w:tr w14:paraId="04A3E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6C967ACC">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173AFFF1">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7DA2EF1F">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5CEBEC96">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04B4E160">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03BA47F2">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213FE587">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1781217C">
            <w:pPr>
              <w:spacing w:line="360" w:lineRule="exact"/>
              <w:jc w:val="center"/>
              <w:rPr>
                <w:rFonts w:asciiTheme="majorEastAsia" w:hAnsiTheme="majorEastAsia" w:eastAsiaTheme="majorEastAsia"/>
                <w:color w:val="auto"/>
                <w:sz w:val="22"/>
                <w:szCs w:val="22"/>
                <w:highlight w:val="none"/>
              </w:rPr>
            </w:pPr>
          </w:p>
        </w:tc>
      </w:tr>
      <w:tr w14:paraId="4A864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32CC7CD6">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3CC7779A">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34137B95">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7BC0F82A">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5A952083">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1CEE3B33">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573F0A60">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7C452BC5">
            <w:pPr>
              <w:spacing w:line="360" w:lineRule="exact"/>
              <w:jc w:val="center"/>
              <w:rPr>
                <w:rFonts w:asciiTheme="majorEastAsia" w:hAnsiTheme="majorEastAsia" w:eastAsiaTheme="majorEastAsia"/>
                <w:color w:val="auto"/>
                <w:sz w:val="22"/>
                <w:szCs w:val="22"/>
                <w:highlight w:val="none"/>
              </w:rPr>
            </w:pPr>
          </w:p>
        </w:tc>
      </w:tr>
      <w:tr w14:paraId="13007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4F6C407D">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753A905E">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11D69947">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543E651B">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113C18BD">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4348179F">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521A67A2">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6712E54E">
            <w:pPr>
              <w:spacing w:line="360" w:lineRule="exact"/>
              <w:jc w:val="center"/>
              <w:rPr>
                <w:rFonts w:asciiTheme="majorEastAsia" w:hAnsiTheme="majorEastAsia" w:eastAsiaTheme="majorEastAsia"/>
                <w:color w:val="auto"/>
                <w:sz w:val="22"/>
                <w:szCs w:val="22"/>
                <w:highlight w:val="none"/>
              </w:rPr>
            </w:pPr>
          </w:p>
        </w:tc>
      </w:tr>
      <w:tr w14:paraId="5C08C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6687AB60">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4BD29CF4">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5CFE64F7">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0CE2968E">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56A82ECB">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796F406E">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168F571F">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3C27CE1F">
            <w:pPr>
              <w:spacing w:line="360" w:lineRule="exact"/>
              <w:jc w:val="center"/>
              <w:rPr>
                <w:rFonts w:asciiTheme="majorEastAsia" w:hAnsiTheme="majorEastAsia" w:eastAsiaTheme="majorEastAsia"/>
                <w:color w:val="auto"/>
                <w:sz w:val="22"/>
                <w:szCs w:val="22"/>
                <w:highlight w:val="none"/>
              </w:rPr>
            </w:pPr>
          </w:p>
        </w:tc>
      </w:tr>
      <w:tr w14:paraId="45EB9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910" w:type="dxa"/>
            <w:tcBorders>
              <w:top w:val="single" w:color="auto" w:sz="4" w:space="0"/>
              <w:left w:val="single" w:color="auto" w:sz="12" w:space="0"/>
              <w:bottom w:val="single" w:color="auto" w:sz="4" w:space="0"/>
              <w:right w:val="single" w:color="auto" w:sz="4" w:space="0"/>
            </w:tcBorders>
            <w:vAlign w:val="center"/>
          </w:tcPr>
          <w:p w14:paraId="52E66803">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4" w:space="0"/>
              <w:right w:val="single" w:color="auto" w:sz="4" w:space="0"/>
            </w:tcBorders>
            <w:vAlign w:val="center"/>
          </w:tcPr>
          <w:p w14:paraId="5BF5B2F9">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4" w:space="0"/>
              <w:right w:val="single" w:color="auto" w:sz="4" w:space="0"/>
            </w:tcBorders>
            <w:vAlign w:val="center"/>
          </w:tcPr>
          <w:p w14:paraId="0EE1EF14">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4" w:space="0"/>
              <w:right w:val="single" w:color="auto" w:sz="4" w:space="0"/>
            </w:tcBorders>
            <w:vAlign w:val="center"/>
          </w:tcPr>
          <w:p w14:paraId="269BBA2A">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4" w:space="0"/>
              <w:right w:val="single" w:color="auto" w:sz="4" w:space="0"/>
            </w:tcBorders>
            <w:vAlign w:val="center"/>
          </w:tcPr>
          <w:p w14:paraId="02E39265">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4" w:space="0"/>
              <w:right w:val="single" w:color="auto" w:sz="4" w:space="0"/>
            </w:tcBorders>
            <w:vAlign w:val="center"/>
          </w:tcPr>
          <w:p w14:paraId="33A3D96E">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7DA0539D">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4" w:space="0"/>
              <w:right w:val="single" w:color="auto" w:sz="12" w:space="0"/>
            </w:tcBorders>
            <w:vAlign w:val="center"/>
          </w:tcPr>
          <w:p w14:paraId="64CE399F">
            <w:pPr>
              <w:spacing w:line="360" w:lineRule="exact"/>
              <w:jc w:val="center"/>
              <w:rPr>
                <w:rFonts w:asciiTheme="majorEastAsia" w:hAnsiTheme="majorEastAsia" w:eastAsiaTheme="majorEastAsia"/>
                <w:color w:val="auto"/>
                <w:sz w:val="22"/>
                <w:szCs w:val="22"/>
                <w:highlight w:val="none"/>
              </w:rPr>
            </w:pPr>
          </w:p>
        </w:tc>
      </w:tr>
      <w:tr w14:paraId="40877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700" w:hRule="exact"/>
        </w:trPr>
        <w:tc>
          <w:tcPr>
            <w:tcW w:w="910" w:type="dxa"/>
            <w:tcBorders>
              <w:top w:val="single" w:color="auto" w:sz="4" w:space="0"/>
              <w:left w:val="single" w:color="auto" w:sz="12" w:space="0"/>
              <w:bottom w:val="single" w:color="auto" w:sz="12" w:space="0"/>
              <w:right w:val="single" w:color="auto" w:sz="4" w:space="0"/>
            </w:tcBorders>
            <w:vAlign w:val="center"/>
          </w:tcPr>
          <w:p w14:paraId="5CB162BE">
            <w:pPr>
              <w:spacing w:line="360" w:lineRule="exact"/>
              <w:jc w:val="center"/>
              <w:rPr>
                <w:rFonts w:asciiTheme="majorEastAsia" w:hAnsiTheme="majorEastAsia" w:eastAsiaTheme="majorEastAsia"/>
                <w:color w:val="auto"/>
                <w:sz w:val="22"/>
                <w:szCs w:val="22"/>
                <w:highlight w:val="none"/>
              </w:rPr>
            </w:pPr>
          </w:p>
        </w:tc>
        <w:tc>
          <w:tcPr>
            <w:tcW w:w="1014" w:type="dxa"/>
            <w:tcBorders>
              <w:top w:val="single" w:color="auto" w:sz="4" w:space="0"/>
              <w:left w:val="single" w:color="auto" w:sz="4" w:space="0"/>
              <w:bottom w:val="single" w:color="auto" w:sz="12" w:space="0"/>
              <w:right w:val="single" w:color="auto" w:sz="4" w:space="0"/>
            </w:tcBorders>
            <w:vAlign w:val="center"/>
          </w:tcPr>
          <w:p w14:paraId="587C0DF7">
            <w:pPr>
              <w:spacing w:line="360" w:lineRule="exact"/>
              <w:jc w:val="center"/>
              <w:rPr>
                <w:rFonts w:asciiTheme="majorEastAsia" w:hAnsiTheme="majorEastAsia" w:eastAsiaTheme="majorEastAsia"/>
                <w:color w:val="auto"/>
                <w:sz w:val="22"/>
                <w:szCs w:val="22"/>
                <w:highlight w:val="none"/>
              </w:rPr>
            </w:pPr>
          </w:p>
        </w:tc>
        <w:tc>
          <w:tcPr>
            <w:tcW w:w="1013" w:type="dxa"/>
            <w:tcBorders>
              <w:top w:val="single" w:color="auto" w:sz="4" w:space="0"/>
              <w:left w:val="single" w:color="auto" w:sz="4" w:space="0"/>
              <w:bottom w:val="single" w:color="auto" w:sz="12" w:space="0"/>
              <w:right w:val="single" w:color="auto" w:sz="4" w:space="0"/>
            </w:tcBorders>
            <w:vAlign w:val="center"/>
          </w:tcPr>
          <w:p w14:paraId="170493F3">
            <w:pPr>
              <w:spacing w:line="360" w:lineRule="exact"/>
              <w:jc w:val="center"/>
              <w:rPr>
                <w:rFonts w:asciiTheme="majorEastAsia" w:hAnsiTheme="majorEastAsia" w:eastAsiaTheme="majorEastAsia"/>
                <w:color w:val="auto"/>
                <w:sz w:val="22"/>
                <w:szCs w:val="22"/>
                <w:highlight w:val="none"/>
              </w:rPr>
            </w:pPr>
          </w:p>
        </w:tc>
        <w:tc>
          <w:tcPr>
            <w:tcW w:w="1340" w:type="dxa"/>
            <w:tcBorders>
              <w:top w:val="single" w:color="auto" w:sz="4" w:space="0"/>
              <w:left w:val="single" w:color="auto" w:sz="4" w:space="0"/>
              <w:bottom w:val="single" w:color="auto" w:sz="12" w:space="0"/>
              <w:right w:val="single" w:color="auto" w:sz="4" w:space="0"/>
            </w:tcBorders>
            <w:vAlign w:val="center"/>
          </w:tcPr>
          <w:p w14:paraId="494ACD8C">
            <w:pPr>
              <w:spacing w:line="360" w:lineRule="exact"/>
              <w:jc w:val="center"/>
              <w:rPr>
                <w:rFonts w:asciiTheme="majorEastAsia" w:hAnsiTheme="majorEastAsia" w:eastAsiaTheme="majorEastAsia"/>
                <w:color w:val="auto"/>
                <w:sz w:val="22"/>
                <w:szCs w:val="22"/>
                <w:highlight w:val="none"/>
              </w:rPr>
            </w:pPr>
          </w:p>
        </w:tc>
        <w:tc>
          <w:tcPr>
            <w:tcW w:w="1316" w:type="dxa"/>
            <w:tcBorders>
              <w:top w:val="single" w:color="auto" w:sz="4" w:space="0"/>
              <w:left w:val="single" w:color="auto" w:sz="4" w:space="0"/>
              <w:bottom w:val="single" w:color="auto" w:sz="12" w:space="0"/>
              <w:right w:val="single" w:color="auto" w:sz="4" w:space="0"/>
            </w:tcBorders>
            <w:vAlign w:val="center"/>
          </w:tcPr>
          <w:p w14:paraId="7CC3C7F4">
            <w:pPr>
              <w:spacing w:line="360" w:lineRule="exact"/>
              <w:jc w:val="center"/>
              <w:rPr>
                <w:rFonts w:asciiTheme="majorEastAsia" w:hAnsiTheme="majorEastAsia" w:eastAsiaTheme="majorEastAsia"/>
                <w:color w:val="auto"/>
                <w:sz w:val="22"/>
                <w:szCs w:val="22"/>
                <w:highlight w:val="none"/>
              </w:rPr>
            </w:pPr>
          </w:p>
        </w:tc>
        <w:tc>
          <w:tcPr>
            <w:tcW w:w="1391" w:type="dxa"/>
            <w:tcBorders>
              <w:top w:val="single" w:color="auto" w:sz="4" w:space="0"/>
              <w:left w:val="single" w:color="auto" w:sz="4" w:space="0"/>
              <w:bottom w:val="single" w:color="auto" w:sz="12" w:space="0"/>
              <w:right w:val="single" w:color="auto" w:sz="4" w:space="0"/>
            </w:tcBorders>
            <w:vAlign w:val="center"/>
          </w:tcPr>
          <w:p w14:paraId="486A3A5D">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12" w:space="0"/>
              <w:right w:val="single" w:color="auto" w:sz="4" w:space="0"/>
            </w:tcBorders>
            <w:vAlign w:val="center"/>
          </w:tcPr>
          <w:p w14:paraId="25E9BA47">
            <w:pPr>
              <w:spacing w:line="360" w:lineRule="exact"/>
              <w:jc w:val="center"/>
              <w:rPr>
                <w:rFonts w:asciiTheme="majorEastAsia" w:hAnsiTheme="majorEastAsia" w:eastAsiaTheme="majorEastAsia"/>
                <w:color w:val="auto"/>
                <w:sz w:val="22"/>
                <w:szCs w:val="22"/>
                <w:highlight w:val="none"/>
              </w:rPr>
            </w:pPr>
          </w:p>
        </w:tc>
        <w:tc>
          <w:tcPr>
            <w:tcW w:w="1435" w:type="dxa"/>
            <w:tcBorders>
              <w:top w:val="single" w:color="auto" w:sz="4" w:space="0"/>
              <w:left w:val="single" w:color="auto" w:sz="4" w:space="0"/>
              <w:bottom w:val="single" w:color="auto" w:sz="12" w:space="0"/>
              <w:right w:val="single" w:color="auto" w:sz="12" w:space="0"/>
            </w:tcBorders>
            <w:vAlign w:val="center"/>
          </w:tcPr>
          <w:p w14:paraId="3D46127D">
            <w:pPr>
              <w:spacing w:line="360" w:lineRule="exact"/>
              <w:jc w:val="center"/>
              <w:rPr>
                <w:rFonts w:asciiTheme="majorEastAsia" w:hAnsiTheme="majorEastAsia" w:eastAsiaTheme="majorEastAsia"/>
                <w:color w:val="auto"/>
                <w:sz w:val="22"/>
                <w:szCs w:val="22"/>
                <w:highlight w:val="none"/>
              </w:rPr>
            </w:pPr>
          </w:p>
        </w:tc>
      </w:tr>
    </w:tbl>
    <w:p w14:paraId="1FA13E77">
      <w:pPr>
        <w:pStyle w:val="25"/>
        <w:tabs>
          <w:tab w:val="left" w:pos="0"/>
          <w:tab w:val="left" w:pos="540"/>
        </w:tabs>
        <w:spacing w:line="300" w:lineRule="auto"/>
        <w:ind w:left="438" w:leftChars="156" w:hanging="110" w:hangingChars="50"/>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highlight w:val="none"/>
        </w:rPr>
        <w:t>注：1、</w:t>
      </w:r>
      <w:r>
        <w:rPr>
          <w:rFonts w:hint="eastAsia" w:asciiTheme="majorEastAsia" w:hAnsiTheme="majorEastAsia" w:eastAsiaTheme="majorEastAsia"/>
          <w:color w:val="auto"/>
          <w:sz w:val="22"/>
          <w:szCs w:val="22"/>
          <w:highlight w:val="none"/>
        </w:rPr>
        <w:t>此表仅提供了表格形式，可按此表格复制。</w:t>
      </w:r>
    </w:p>
    <w:p w14:paraId="09771C31">
      <w:pPr>
        <w:pStyle w:val="25"/>
        <w:tabs>
          <w:tab w:val="left" w:pos="0"/>
          <w:tab w:val="left" w:pos="540"/>
        </w:tabs>
        <w:spacing w:line="300" w:lineRule="auto"/>
        <w:ind w:left="438" w:leftChars="156" w:hanging="110" w:hangingChars="50"/>
        <w:rPr>
          <w:rFonts w:asciiTheme="majorEastAsia" w:hAnsiTheme="majorEastAsia" w:eastAsiaTheme="majorEastAsia"/>
          <w:color w:val="auto"/>
          <w:sz w:val="22"/>
          <w:szCs w:val="22"/>
          <w:highlight w:val="none"/>
        </w:rPr>
      </w:pPr>
    </w:p>
    <w:p w14:paraId="5C897FC8">
      <w:pPr>
        <w:pStyle w:val="25"/>
        <w:spacing w:line="360" w:lineRule="auto"/>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lang w:eastAsia="zh-CN"/>
        </w:rPr>
        <w:t>投标人</w:t>
      </w:r>
      <w:r>
        <w:rPr>
          <w:rFonts w:asciiTheme="majorEastAsia" w:hAnsiTheme="majorEastAsia" w:eastAsiaTheme="majorEastAsia"/>
          <w:color w:val="auto"/>
          <w:sz w:val="22"/>
          <w:szCs w:val="22"/>
          <w:highlight w:val="none"/>
        </w:rPr>
        <w:t>全称（盖章）：</w:t>
      </w:r>
    </w:p>
    <w:p w14:paraId="2DBC467F">
      <w:pPr>
        <w:pStyle w:val="25"/>
        <w:spacing w:line="360" w:lineRule="auto"/>
        <w:rPr>
          <w:rFonts w:asciiTheme="majorEastAsia" w:hAnsiTheme="majorEastAsia" w:eastAsiaTheme="majorEastAsia"/>
          <w:color w:val="auto"/>
          <w:sz w:val="22"/>
          <w:szCs w:val="22"/>
          <w:highlight w:val="none"/>
        </w:rPr>
      </w:pPr>
      <w:r>
        <w:rPr>
          <w:rFonts w:asciiTheme="majorEastAsia" w:hAnsiTheme="majorEastAsia" w:eastAsiaTheme="majorEastAsia"/>
          <w:color w:val="auto"/>
          <w:sz w:val="22"/>
          <w:szCs w:val="22"/>
          <w:highlight w:val="none"/>
        </w:rPr>
        <w:t>日 期：       年      月      日</w:t>
      </w:r>
    </w:p>
    <w:p w14:paraId="281D8DBB">
      <w:pPr>
        <w:spacing w:line="360" w:lineRule="exact"/>
        <w:ind w:left="718" w:leftChars="321" w:hanging="44" w:hangingChars="20"/>
        <w:rPr>
          <w:rFonts w:ascii="宋体" w:cs="Arial"/>
          <w:b/>
          <w:color w:val="auto"/>
          <w:sz w:val="22"/>
          <w:szCs w:val="22"/>
          <w:highlight w:val="none"/>
        </w:rPr>
      </w:pPr>
    </w:p>
    <w:p w14:paraId="204F7215">
      <w:pPr>
        <w:pStyle w:val="40"/>
        <w:rPr>
          <w:rFonts w:cs="新宋体" w:asciiTheme="majorEastAsia" w:hAnsiTheme="majorEastAsia" w:eastAsiaTheme="majorEastAsia"/>
          <w:color w:val="auto"/>
          <w:sz w:val="30"/>
          <w:szCs w:val="30"/>
          <w:highlight w:val="none"/>
        </w:rPr>
        <w:sectPr>
          <w:headerReference r:id="rId13" w:type="first"/>
          <w:headerReference r:id="rId12" w:type="default"/>
          <w:footerReference r:id="rId14" w:type="default"/>
          <w:pgSz w:w="11906" w:h="16838"/>
          <w:pgMar w:top="1134" w:right="1134" w:bottom="1134" w:left="1134" w:header="851" w:footer="850" w:gutter="0"/>
          <w:pgBorders>
            <w:top w:val="none" w:sz="0" w:space="0"/>
            <w:left w:val="none" w:sz="0" w:space="0"/>
            <w:bottom w:val="none" w:sz="0" w:space="0"/>
            <w:right w:val="none" w:sz="0" w:space="0"/>
          </w:pgBorders>
          <w:cols w:space="720" w:num="1"/>
          <w:titlePg/>
          <w:docGrid w:type="lines" w:linePitch="312" w:charSpace="0"/>
        </w:sectPr>
      </w:pPr>
    </w:p>
    <w:p w14:paraId="3FB07500">
      <w:pPr>
        <w:widowControl/>
        <w:jc w:val="left"/>
        <w:rPr>
          <w:rFonts w:asciiTheme="majorEastAsia" w:hAnsiTheme="majorEastAsia" w:eastAsiaTheme="majorEastAsia"/>
          <w:b/>
          <w:bCs/>
          <w:color w:val="auto"/>
          <w:sz w:val="22"/>
          <w:szCs w:val="22"/>
          <w:highlight w:val="none"/>
        </w:rPr>
      </w:pPr>
      <w:r>
        <w:rPr>
          <w:rFonts w:hint="eastAsia" w:asciiTheme="majorEastAsia" w:hAnsiTheme="majorEastAsia" w:eastAsiaTheme="majorEastAsia"/>
          <w:b/>
          <w:color w:val="auto"/>
          <w:sz w:val="22"/>
          <w:szCs w:val="22"/>
          <w:highlight w:val="none"/>
        </w:rPr>
        <w:t>附件十一</w:t>
      </w:r>
    </w:p>
    <w:p w14:paraId="3C69C8EB">
      <w:pPr>
        <w:autoSpaceDE w:val="0"/>
        <w:autoSpaceDN w:val="0"/>
        <w:adjustRightInd w:val="0"/>
        <w:spacing w:line="360" w:lineRule="atLeast"/>
        <w:jc w:val="center"/>
        <w:textAlignment w:val="baseline"/>
        <w:rPr>
          <w:rFonts w:hint="default" w:asciiTheme="majorEastAsia" w:hAnsiTheme="majorEastAsia" w:eastAsiaTheme="majorEastAsia"/>
          <w:color w:val="auto"/>
          <w:sz w:val="36"/>
          <w:szCs w:val="36"/>
          <w:highlight w:val="none"/>
          <w:lang w:val="en-US" w:eastAsia="zh-CN"/>
        </w:rPr>
      </w:pPr>
      <w:r>
        <w:rPr>
          <w:rFonts w:hint="eastAsia" w:asciiTheme="majorEastAsia" w:hAnsiTheme="majorEastAsia" w:eastAsiaTheme="majorEastAsia"/>
          <w:color w:val="auto"/>
          <w:sz w:val="36"/>
          <w:szCs w:val="36"/>
          <w:highlight w:val="none"/>
          <w:lang w:val="zh-CN"/>
        </w:rPr>
        <w:t>（1）投标产品的数量、配置及主要技术参数表</w:t>
      </w:r>
      <w:r>
        <w:rPr>
          <w:rFonts w:hint="eastAsia" w:asciiTheme="majorEastAsia" w:hAnsiTheme="majorEastAsia" w:eastAsiaTheme="majorEastAsia"/>
          <w:color w:val="auto"/>
          <w:sz w:val="36"/>
          <w:szCs w:val="36"/>
          <w:highlight w:val="none"/>
          <w:lang w:val="en-US" w:eastAsia="zh-CN"/>
        </w:rPr>
        <w:t>(如有)</w:t>
      </w:r>
    </w:p>
    <w:p w14:paraId="5D77BC73">
      <w:pPr>
        <w:spacing w:line="360" w:lineRule="exact"/>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 xml:space="preserve">项目名称：               </w:t>
      </w:r>
      <w:r>
        <w:rPr>
          <w:rFonts w:hint="eastAsia" w:asciiTheme="majorEastAsia" w:hAnsiTheme="majorEastAsia" w:eastAsiaTheme="majorEastAsia"/>
          <w:b/>
          <w:color w:val="auto"/>
          <w:spacing w:val="20"/>
          <w:sz w:val="22"/>
          <w:highlight w:val="none"/>
          <w:lang w:val="en-US" w:eastAsia="zh-CN"/>
        </w:rPr>
        <w:t>项目</w:t>
      </w:r>
      <w:r>
        <w:rPr>
          <w:rFonts w:hint="eastAsia" w:asciiTheme="majorEastAsia" w:hAnsiTheme="majorEastAsia" w:eastAsiaTheme="majorEastAsia"/>
          <w:b/>
          <w:color w:val="auto"/>
          <w:spacing w:val="20"/>
          <w:sz w:val="22"/>
          <w:highlight w:val="none"/>
        </w:rPr>
        <w:t>编号：</w:t>
      </w:r>
    </w:p>
    <w:tbl>
      <w:tblPr>
        <w:tblStyle w:val="43"/>
        <w:tblW w:w="0" w:type="auto"/>
        <w:tblInd w:w="12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8"/>
        <w:gridCol w:w="2648"/>
        <w:gridCol w:w="2793"/>
        <w:gridCol w:w="2271"/>
        <w:gridCol w:w="1266"/>
        <w:gridCol w:w="4054"/>
      </w:tblGrid>
      <w:tr w14:paraId="0D2427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532E4B8D">
            <w:pPr>
              <w:spacing w:line="360" w:lineRule="exact"/>
              <w:jc w:val="center"/>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序号</w:t>
            </w:r>
          </w:p>
        </w:tc>
        <w:tc>
          <w:tcPr>
            <w:tcW w:w="2648" w:type="dxa"/>
            <w:vAlign w:val="center"/>
          </w:tcPr>
          <w:p w14:paraId="5A4D0889">
            <w:pPr>
              <w:spacing w:line="360" w:lineRule="exact"/>
              <w:jc w:val="center"/>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设备名称</w:t>
            </w:r>
          </w:p>
        </w:tc>
        <w:tc>
          <w:tcPr>
            <w:tcW w:w="2793" w:type="dxa"/>
            <w:tcBorders>
              <w:right w:val="single" w:color="auto" w:sz="4" w:space="0"/>
            </w:tcBorders>
            <w:vAlign w:val="center"/>
          </w:tcPr>
          <w:p w14:paraId="327AFA76">
            <w:pPr>
              <w:spacing w:line="360" w:lineRule="exact"/>
              <w:jc w:val="center"/>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szCs w:val="22"/>
                <w:highlight w:val="none"/>
              </w:rPr>
              <w:t>商标/品牌/型号/产地</w:t>
            </w:r>
          </w:p>
        </w:tc>
        <w:tc>
          <w:tcPr>
            <w:tcW w:w="2271" w:type="dxa"/>
            <w:tcBorders>
              <w:left w:val="single" w:color="auto" w:sz="4" w:space="0"/>
            </w:tcBorders>
            <w:vAlign w:val="center"/>
          </w:tcPr>
          <w:p w14:paraId="16D2F7F5">
            <w:pPr>
              <w:spacing w:line="360" w:lineRule="exact"/>
              <w:jc w:val="center"/>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szCs w:val="22"/>
                <w:highlight w:val="none"/>
              </w:rPr>
              <w:t>主要规格</w:t>
            </w:r>
          </w:p>
        </w:tc>
        <w:tc>
          <w:tcPr>
            <w:tcW w:w="1266" w:type="dxa"/>
            <w:vAlign w:val="center"/>
          </w:tcPr>
          <w:p w14:paraId="07647177">
            <w:pPr>
              <w:spacing w:line="360" w:lineRule="exact"/>
              <w:jc w:val="center"/>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数量</w:t>
            </w:r>
          </w:p>
        </w:tc>
        <w:tc>
          <w:tcPr>
            <w:tcW w:w="4054" w:type="dxa"/>
            <w:vAlign w:val="center"/>
          </w:tcPr>
          <w:p w14:paraId="5B514757">
            <w:pPr>
              <w:spacing w:line="360" w:lineRule="exact"/>
              <w:jc w:val="center"/>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备注</w:t>
            </w:r>
          </w:p>
        </w:tc>
      </w:tr>
      <w:tr w14:paraId="745EE7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5FF0B66F">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3EB473FE">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0D2D950D">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236D5BC2">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1BECC226">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06167A17">
            <w:pPr>
              <w:spacing w:line="360" w:lineRule="exact"/>
              <w:jc w:val="center"/>
              <w:rPr>
                <w:rFonts w:asciiTheme="majorEastAsia" w:hAnsiTheme="majorEastAsia" w:eastAsiaTheme="majorEastAsia"/>
                <w:b/>
                <w:color w:val="auto"/>
                <w:spacing w:val="20"/>
                <w:sz w:val="22"/>
                <w:highlight w:val="none"/>
              </w:rPr>
            </w:pPr>
          </w:p>
        </w:tc>
      </w:tr>
      <w:tr w14:paraId="5E4CCC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151DF0EE">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4ACB8E89">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7DCFEE2B">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14DEC29E">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18F53125">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19396663">
            <w:pPr>
              <w:spacing w:line="360" w:lineRule="exact"/>
              <w:jc w:val="center"/>
              <w:rPr>
                <w:rFonts w:asciiTheme="majorEastAsia" w:hAnsiTheme="majorEastAsia" w:eastAsiaTheme="majorEastAsia"/>
                <w:b/>
                <w:color w:val="auto"/>
                <w:spacing w:val="20"/>
                <w:sz w:val="22"/>
                <w:highlight w:val="none"/>
              </w:rPr>
            </w:pPr>
          </w:p>
        </w:tc>
      </w:tr>
      <w:tr w14:paraId="702963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69CFE3F0">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597AC3D1">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684CBBEE">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7542DF50">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178230B6">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5BFC041E">
            <w:pPr>
              <w:spacing w:line="360" w:lineRule="exact"/>
              <w:jc w:val="center"/>
              <w:rPr>
                <w:rFonts w:asciiTheme="majorEastAsia" w:hAnsiTheme="majorEastAsia" w:eastAsiaTheme="majorEastAsia"/>
                <w:b/>
                <w:color w:val="auto"/>
                <w:spacing w:val="20"/>
                <w:sz w:val="22"/>
                <w:highlight w:val="none"/>
              </w:rPr>
            </w:pPr>
          </w:p>
        </w:tc>
      </w:tr>
      <w:tr w14:paraId="437B0E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21B55AA5">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0A21C2DA">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24ABFDBC">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33E73B03">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3B82742F">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28C0235D">
            <w:pPr>
              <w:spacing w:line="360" w:lineRule="exact"/>
              <w:jc w:val="center"/>
              <w:rPr>
                <w:rFonts w:asciiTheme="majorEastAsia" w:hAnsiTheme="majorEastAsia" w:eastAsiaTheme="majorEastAsia"/>
                <w:b/>
                <w:color w:val="auto"/>
                <w:spacing w:val="20"/>
                <w:sz w:val="22"/>
                <w:highlight w:val="none"/>
              </w:rPr>
            </w:pPr>
          </w:p>
        </w:tc>
      </w:tr>
      <w:tr w14:paraId="15976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639FE2D5">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22FE7157">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3366742C">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4E5DCDCF">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15D71576">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44AC6261">
            <w:pPr>
              <w:spacing w:line="360" w:lineRule="exact"/>
              <w:jc w:val="center"/>
              <w:rPr>
                <w:rFonts w:asciiTheme="majorEastAsia" w:hAnsiTheme="majorEastAsia" w:eastAsiaTheme="majorEastAsia"/>
                <w:b/>
                <w:color w:val="auto"/>
                <w:spacing w:val="20"/>
                <w:sz w:val="22"/>
                <w:highlight w:val="none"/>
              </w:rPr>
            </w:pPr>
          </w:p>
        </w:tc>
      </w:tr>
      <w:tr w14:paraId="48F978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1DB6A93C">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4DBB0AE8">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253D2CDF">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6F0DD912">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342E77B4">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2EA61A2B">
            <w:pPr>
              <w:spacing w:line="360" w:lineRule="exact"/>
              <w:jc w:val="center"/>
              <w:rPr>
                <w:rFonts w:asciiTheme="majorEastAsia" w:hAnsiTheme="majorEastAsia" w:eastAsiaTheme="majorEastAsia"/>
                <w:b/>
                <w:color w:val="auto"/>
                <w:spacing w:val="20"/>
                <w:sz w:val="22"/>
                <w:highlight w:val="none"/>
              </w:rPr>
            </w:pPr>
          </w:p>
        </w:tc>
      </w:tr>
      <w:tr w14:paraId="658C8A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6580B2EF">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3080645B">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7B8A2D31">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3F49394C">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05DB9620">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0CE661F0">
            <w:pPr>
              <w:spacing w:line="360" w:lineRule="exact"/>
              <w:jc w:val="center"/>
              <w:rPr>
                <w:rFonts w:asciiTheme="majorEastAsia" w:hAnsiTheme="majorEastAsia" w:eastAsiaTheme="majorEastAsia"/>
                <w:b/>
                <w:color w:val="auto"/>
                <w:spacing w:val="20"/>
                <w:sz w:val="22"/>
                <w:highlight w:val="none"/>
              </w:rPr>
            </w:pPr>
          </w:p>
        </w:tc>
      </w:tr>
      <w:tr w14:paraId="5C9D0F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237A8049">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27706E84">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35C7D0A4">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08C431A6">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1C7B4BD9">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5FA5DD58">
            <w:pPr>
              <w:spacing w:line="360" w:lineRule="exact"/>
              <w:jc w:val="center"/>
              <w:rPr>
                <w:rFonts w:asciiTheme="majorEastAsia" w:hAnsiTheme="majorEastAsia" w:eastAsiaTheme="majorEastAsia"/>
                <w:b/>
                <w:color w:val="auto"/>
                <w:spacing w:val="20"/>
                <w:sz w:val="22"/>
                <w:highlight w:val="none"/>
              </w:rPr>
            </w:pPr>
          </w:p>
        </w:tc>
      </w:tr>
      <w:tr w14:paraId="4769A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733EE4B7">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37039141">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61755F1C">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69303CC0">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2479829C">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5C03D7A7">
            <w:pPr>
              <w:spacing w:line="360" w:lineRule="exact"/>
              <w:jc w:val="center"/>
              <w:rPr>
                <w:rFonts w:asciiTheme="majorEastAsia" w:hAnsiTheme="majorEastAsia" w:eastAsiaTheme="majorEastAsia"/>
                <w:b/>
                <w:color w:val="auto"/>
                <w:spacing w:val="20"/>
                <w:sz w:val="22"/>
                <w:highlight w:val="none"/>
              </w:rPr>
            </w:pPr>
          </w:p>
        </w:tc>
      </w:tr>
      <w:tr w14:paraId="67BA36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1393BAEC">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329E01A0">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7D0D1E71">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7B149FBE">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280A66D1">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65C07D3E">
            <w:pPr>
              <w:spacing w:line="360" w:lineRule="exact"/>
              <w:jc w:val="center"/>
              <w:rPr>
                <w:rFonts w:asciiTheme="majorEastAsia" w:hAnsiTheme="majorEastAsia" w:eastAsiaTheme="majorEastAsia"/>
                <w:b/>
                <w:color w:val="auto"/>
                <w:spacing w:val="20"/>
                <w:sz w:val="22"/>
                <w:highlight w:val="none"/>
              </w:rPr>
            </w:pPr>
          </w:p>
        </w:tc>
      </w:tr>
      <w:tr w14:paraId="34E6BB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385D15FD">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71E88985">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6F8AE51F">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5131D610">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1B654FDF">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741D40E4">
            <w:pPr>
              <w:spacing w:line="360" w:lineRule="exact"/>
              <w:jc w:val="center"/>
              <w:rPr>
                <w:rFonts w:asciiTheme="majorEastAsia" w:hAnsiTheme="majorEastAsia" w:eastAsiaTheme="majorEastAsia"/>
                <w:b/>
                <w:color w:val="auto"/>
                <w:spacing w:val="20"/>
                <w:sz w:val="22"/>
                <w:highlight w:val="none"/>
              </w:rPr>
            </w:pPr>
          </w:p>
        </w:tc>
      </w:tr>
      <w:tr w14:paraId="7DBE0F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938" w:type="dxa"/>
            <w:vAlign w:val="center"/>
          </w:tcPr>
          <w:p w14:paraId="63258428">
            <w:pPr>
              <w:spacing w:line="360" w:lineRule="exact"/>
              <w:jc w:val="center"/>
              <w:rPr>
                <w:rFonts w:asciiTheme="majorEastAsia" w:hAnsiTheme="majorEastAsia" w:eastAsiaTheme="majorEastAsia"/>
                <w:b/>
                <w:color w:val="auto"/>
                <w:spacing w:val="20"/>
                <w:sz w:val="22"/>
                <w:highlight w:val="none"/>
              </w:rPr>
            </w:pPr>
          </w:p>
        </w:tc>
        <w:tc>
          <w:tcPr>
            <w:tcW w:w="2648" w:type="dxa"/>
            <w:vAlign w:val="center"/>
          </w:tcPr>
          <w:p w14:paraId="65A2A731">
            <w:pPr>
              <w:spacing w:line="360" w:lineRule="exact"/>
              <w:jc w:val="center"/>
              <w:rPr>
                <w:rFonts w:asciiTheme="majorEastAsia" w:hAnsiTheme="majorEastAsia" w:eastAsiaTheme="majorEastAsia"/>
                <w:b/>
                <w:color w:val="auto"/>
                <w:spacing w:val="20"/>
                <w:sz w:val="22"/>
                <w:highlight w:val="none"/>
              </w:rPr>
            </w:pPr>
          </w:p>
        </w:tc>
        <w:tc>
          <w:tcPr>
            <w:tcW w:w="2793" w:type="dxa"/>
            <w:tcBorders>
              <w:right w:val="single" w:color="auto" w:sz="4" w:space="0"/>
            </w:tcBorders>
            <w:vAlign w:val="center"/>
          </w:tcPr>
          <w:p w14:paraId="7E59C7FC">
            <w:pPr>
              <w:spacing w:line="360" w:lineRule="exact"/>
              <w:jc w:val="center"/>
              <w:rPr>
                <w:rFonts w:asciiTheme="majorEastAsia" w:hAnsiTheme="majorEastAsia" w:eastAsiaTheme="majorEastAsia"/>
                <w:b/>
                <w:color w:val="auto"/>
                <w:spacing w:val="20"/>
                <w:sz w:val="22"/>
                <w:highlight w:val="none"/>
              </w:rPr>
            </w:pPr>
          </w:p>
        </w:tc>
        <w:tc>
          <w:tcPr>
            <w:tcW w:w="2271" w:type="dxa"/>
            <w:tcBorders>
              <w:left w:val="single" w:color="auto" w:sz="4" w:space="0"/>
            </w:tcBorders>
            <w:vAlign w:val="center"/>
          </w:tcPr>
          <w:p w14:paraId="05DCEBFC">
            <w:pPr>
              <w:spacing w:line="360" w:lineRule="exact"/>
              <w:jc w:val="center"/>
              <w:rPr>
                <w:rFonts w:asciiTheme="majorEastAsia" w:hAnsiTheme="majorEastAsia" w:eastAsiaTheme="majorEastAsia"/>
                <w:b/>
                <w:color w:val="auto"/>
                <w:spacing w:val="20"/>
                <w:sz w:val="22"/>
                <w:highlight w:val="none"/>
              </w:rPr>
            </w:pPr>
          </w:p>
        </w:tc>
        <w:tc>
          <w:tcPr>
            <w:tcW w:w="1266" w:type="dxa"/>
            <w:vAlign w:val="center"/>
          </w:tcPr>
          <w:p w14:paraId="0E6FD234">
            <w:pPr>
              <w:spacing w:line="360" w:lineRule="exact"/>
              <w:jc w:val="center"/>
              <w:rPr>
                <w:rFonts w:asciiTheme="majorEastAsia" w:hAnsiTheme="majorEastAsia" w:eastAsiaTheme="majorEastAsia"/>
                <w:b/>
                <w:color w:val="auto"/>
                <w:spacing w:val="20"/>
                <w:sz w:val="22"/>
                <w:highlight w:val="none"/>
              </w:rPr>
            </w:pPr>
          </w:p>
        </w:tc>
        <w:tc>
          <w:tcPr>
            <w:tcW w:w="4054" w:type="dxa"/>
            <w:vAlign w:val="center"/>
          </w:tcPr>
          <w:p w14:paraId="77B1DB7C">
            <w:pPr>
              <w:spacing w:line="360" w:lineRule="exact"/>
              <w:jc w:val="center"/>
              <w:rPr>
                <w:rFonts w:asciiTheme="majorEastAsia" w:hAnsiTheme="majorEastAsia" w:eastAsiaTheme="majorEastAsia"/>
                <w:b/>
                <w:color w:val="auto"/>
                <w:spacing w:val="20"/>
                <w:sz w:val="22"/>
                <w:highlight w:val="none"/>
              </w:rPr>
            </w:pPr>
          </w:p>
        </w:tc>
      </w:tr>
    </w:tbl>
    <w:p w14:paraId="2D4BEAAC">
      <w:pPr>
        <w:pStyle w:val="25"/>
        <w:spacing w:line="360" w:lineRule="auto"/>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lang w:eastAsia="zh-CN"/>
        </w:rPr>
        <w:t>投标人</w:t>
      </w:r>
      <w:r>
        <w:rPr>
          <w:rFonts w:asciiTheme="majorEastAsia" w:hAnsiTheme="majorEastAsia" w:eastAsiaTheme="majorEastAsia"/>
          <w:color w:val="auto"/>
          <w:sz w:val="22"/>
          <w:szCs w:val="22"/>
          <w:highlight w:val="none"/>
        </w:rPr>
        <w:t>全称（盖章）：</w:t>
      </w:r>
    </w:p>
    <w:p w14:paraId="1350A0D7">
      <w:pPr>
        <w:pStyle w:val="25"/>
        <w:spacing w:line="360" w:lineRule="auto"/>
        <w:rPr>
          <w:rFonts w:asciiTheme="majorEastAsia" w:hAnsiTheme="majorEastAsia" w:eastAsiaTheme="majorEastAsia"/>
          <w:color w:val="auto"/>
          <w:sz w:val="22"/>
          <w:szCs w:val="22"/>
          <w:highlight w:val="none"/>
        </w:rPr>
      </w:pPr>
      <w:r>
        <w:rPr>
          <w:rFonts w:asciiTheme="majorEastAsia" w:hAnsiTheme="majorEastAsia" w:eastAsiaTheme="majorEastAsia"/>
          <w:color w:val="auto"/>
          <w:sz w:val="22"/>
          <w:szCs w:val="22"/>
          <w:highlight w:val="none"/>
        </w:rPr>
        <w:t>日 期：       年      月      日</w:t>
      </w:r>
    </w:p>
    <w:p w14:paraId="5C4B4549">
      <w:pPr>
        <w:spacing w:line="360" w:lineRule="exact"/>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注：1、放置技术资信标中</w:t>
      </w:r>
    </w:p>
    <w:p w14:paraId="3AC5230C">
      <w:pPr>
        <w:spacing w:line="360" w:lineRule="exact"/>
        <w:ind w:firstLine="522" w:firstLineChars="200"/>
        <w:rPr>
          <w:rFonts w:asciiTheme="majorEastAsia" w:hAnsiTheme="majorEastAsia" w:eastAsiaTheme="majorEastAsia"/>
          <w:b/>
          <w:color w:val="auto"/>
          <w:spacing w:val="20"/>
          <w:sz w:val="22"/>
          <w:highlight w:val="none"/>
        </w:rPr>
      </w:pPr>
      <w:r>
        <w:rPr>
          <w:rFonts w:hint="eastAsia" w:asciiTheme="majorEastAsia" w:hAnsiTheme="majorEastAsia" w:eastAsiaTheme="majorEastAsia"/>
          <w:b/>
          <w:color w:val="auto"/>
          <w:spacing w:val="20"/>
          <w:sz w:val="22"/>
          <w:highlight w:val="none"/>
        </w:rPr>
        <w:t>2、所投产品详细配置、技术应另页描述。</w:t>
      </w:r>
    </w:p>
    <w:p w14:paraId="6A88AFDB">
      <w:pPr>
        <w:spacing w:line="360" w:lineRule="exact"/>
        <w:ind w:firstLine="520" w:firstLineChars="200"/>
        <w:rPr>
          <w:rFonts w:asciiTheme="majorEastAsia" w:hAnsiTheme="majorEastAsia" w:eastAsiaTheme="majorEastAsia"/>
          <w:color w:val="auto"/>
          <w:highlight w:val="none"/>
        </w:rPr>
        <w:sectPr>
          <w:headerReference r:id="rId16" w:type="first"/>
          <w:headerReference r:id="rId15" w:type="default"/>
          <w:footerReference r:id="rId17" w:type="default"/>
          <w:pgSz w:w="16838" w:h="11906" w:orient="landscape"/>
          <w:pgMar w:top="1134" w:right="1134" w:bottom="1134" w:left="1134" w:header="851" w:footer="850" w:gutter="0"/>
          <w:pgBorders>
            <w:top w:val="none" w:sz="0" w:space="0"/>
            <w:left w:val="none" w:sz="0" w:space="0"/>
            <w:bottom w:val="none" w:sz="0" w:space="0"/>
            <w:right w:val="none" w:sz="0" w:space="0"/>
          </w:pgBorders>
          <w:cols w:space="720" w:num="1"/>
          <w:titlePg/>
          <w:docGrid w:type="lines" w:linePitch="312" w:charSpace="0"/>
        </w:sectPr>
      </w:pPr>
      <w:r>
        <w:rPr>
          <w:rFonts w:hint="eastAsia" w:asciiTheme="majorEastAsia" w:hAnsiTheme="majorEastAsia" w:eastAsiaTheme="majorEastAsia"/>
          <w:color w:val="auto"/>
          <w:spacing w:val="20"/>
          <w:sz w:val="22"/>
          <w:highlight w:val="none"/>
        </w:rPr>
        <w:t>3、相当于不带价格的详细报价表，必须提供，所有项目均需在本表体现</w:t>
      </w:r>
    </w:p>
    <w:p w14:paraId="3E599034">
      <w:pPr>
        <w:autoSpaceDE w:val="0"/>
        <w:autoSpaceDN w:val="0"/>
        <w:adjustRightInd w:val="0"/>
        <w:spacing w:line="460" w:lineRule="atLeast"/>
        <w:jc w:val="center"/>
        <w:rPr>
          <w:rFonts w:asciiTheme="majorEastAsia" w:hAnsiTheme="majorEastAsia" w:eastAsiaTheme="majorEastAsia"/>
          <w:b/>
          <w:color w:val="auto"/>
          <w:sz w:val="36"/>
          <w:highlight w:val="none"/>
          <w:lang w:val="zh-CN"/>
        </w:rPr>
      </w:pPr>
      <w:r>
        <w:rPr>
          <w:rFonts w:hint="eastAsia" w:asciiTheme="majorEastAsia" w:hAnsiTheme="majorEastAsia" w:eastAsiaTheme="majorEastAsia"/>
          <w:b/>
          <w:color w:val="auto"/>
          <w:sz w:val="36"/>
          <w:highlight w:val="none"/>
          <w:lang w:val="zh-CN"/>
        </w:rPr>
        <w:t>（2）设备零件、易损件、备品备件报价表</w:t>
      </w:r>
      <w:r>
        <w:rPr>
          <w:rFonts w:asciiTheme="majorEastAsia" w:hAnsiTheme="majorEastAsia" w:eastAsiaTheme="majorEastAsia"/>
          <w:b/>
          <w:color w:val="auto"/>
          <w:sz w:val="36"/>
          <w:highlight w:val="none"/>
          <w:lang w:val="zh-CN"/>
        </w:rPr>
        <w:t>(如有则提供)</w:t>
      </w:r>
    </w:p>
    <w:tbl>
      <w:tblPr>
        <w:tblStyle w:val="43"/>
        <w:tblW w:w="9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7D52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vAlign w:val="center"/>
          </w:tcPr>
          <w:p w14:paraId="2ED57FDB">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序 号</w:t>
            </w:r>
          </w:p>
        </w:tc>
        <w:tc>
          <w:tcPr>
            <w:tcW w:w="1688" w:type="dxa"/>
            <w:vAlign w:val="center"/>
          </w:tcPr>
          <w:p w14:paraId="762A1011">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名称</w:t>
            </w:r>
          </w:p>
        </w:tc>
        <w:tc>
          <w:tcPr>
            <w:tcW w:w="2110" w:type="dxa"/>
            <w:vAlign w:val="center"/>
          </w:tcPr>
          <w:p w14:paraId="4D7F64F5">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产地/规格/型号</w:t>
            </w:r>
          </w:p>
        </w:tc>
        <w:tc>
          <w:tcPr>
            <w:tcW w:w="1477" w:type="dxa"/>
            <w:vAlign w:val="center"/>
          </w:tcPr>
          <w:p w14:paraId="71F50DD4">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数量</w:t>
            </w:r>
          </w:p>
        </w:tc>
        <w:tc>
          <w:tcPr>
            <w:tcW w:w="1230" w:type="dxa"/>
            <w:vAlign w:val="center"/>
          </w:tcPr>
          <w:p w14:paraId="04E10BD3">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单价</w:t>
            </w:r>
          </w:p>
        </w:tc>
        <w:tc>
          <w:tcPr>
            <w:tcW w:w="1940" w:type="dxa"/>
            <w:vAlign w:val="center"/>
          </w:tcPr>
          <w:p w14:paraId="46E70DDC">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备 注</w:t>
            </w:r>
          </w:p>
        </w:tc>
      </w:tr>
      <w:tr w14:paraId="0A7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76CB59B9">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0A48A8E4">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3BEC2AED">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556797C2">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10E5D57C">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7BF59D17">
            <w:pPr>
              <w:pStyle w:val="25"/>
              <w:snapToGrid w:val="0"/>
              <w:spacing w:line="400" w:lineRule="exact"/>
              <w:jc w:val="center"/>
              <w:rPr>
                <w:rFonts w:asciiTheme="majorEastAsia" w:hAnsiTheme="majorEastAsia" w:eastAsiaTheme="majorEastAsia"/>
                <w:b/>
                <w:color w:val="auto"/>
                <w:sz w:val="22"/>
                <w:highlight w:val="none"/>
              </w:rPr>
            </w:pPr>
          </w:p>
        </w:tc>
      </w:tr>
      <w:tr w14:paraId="6C0D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5407EDE9">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4EDDE716">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7E510564">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688E59AE">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7BAA8BC0">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15DC0B23">
            <w:pPr>
              <w:pStyle w:val="25"/>
              <w:snapToGrid w:val="0"/>
              <w:spacing w:line="400" w:lineRule="exact"/>
              <w:jc w:val="center"/>
              <w:rPr>
                <w:rFonts w:asciiTheme="majorEastAsia" w:hAnsiTheme="majorEastAsia" w:eastAsiaTheme="majorEastAsia"/>
                <w:b/>
                <w:color w:val="auto"/>
                <w:sz w:val="22"/>
                <w:highlight w:val="none"/>
              </w:rPr>
            </w:pPr>
          </w:p>
        </w:tc>
      </w:tr>
      <w:tr w14:paraId="54E5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01BC543E">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4DDB7859">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07F624BB">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6E499131">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167A0DC9">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7D084D98">
            <w:pPr>
              <w:pStyle w:val="25"/>
              <w:snapToGrid w:val="0"/>
              <w:spacing w:line="400" w:lineRule="exact"/>
              <w:jc w:val="center"/>
              <w:rPr>
                <w:rFonts w:asciiTheme="majorEastAsia" w:hAnsiTheme="majorEastAsia" w:eastAsiaTheme="majorEastAsia"/>
                <w:b/>
                <w:color w:val="auto"/>
                <w:sz w:val="22"/>
                <w:highlight w:val="none"/>
              </w:rPr>
            </w:pPr>
          </w:p>
        </w:tc>
      </w:tr>
      <w:tr w14:paraId="7646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5D8A25BF">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69355CC2">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6DE93DB4">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6FCDF083">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8994D3B">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5605B82F">
            <w:pPr>
              <w:pStyle w:val="25"/>
              <w:snapToGrid w:val="0"/>
              <w:spacing w:line="400" w:lineRule="exact"/>
              <w:jc w:val="center"/>
              <w:rPr>
                <w:rFonts w:asciiTheme="majorEastAsia" w:hAnsiTheme="majorEastAsia" w:eastAsiaTheme="majorEastAsia"/>
                <w:b/>
                <w:color w:val="auto"/>
                <w:sz w:val="22"/>
                <w:highlight w:val="none"/>
              </w:rPr>
            </w:pPr>
          </w:p>
        </w:tc>
      </w:tr>
      <w:tr w14:paraId="4300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10CD882C">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4CE97FBB">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6C40B561">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4332740A">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1EAA0C7">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1E81757B">
            <w:pPr>
              <w:pStyle w:val="25"/>
              <w:snapToGrid w:val="0"/>
              <w:spacing w:line="400" w:lineRule="exact"/>
              <w:jc w:val="center"/>
              <w:rPr>
                <w:rFonts w:asciiTheme="majorEastAsia" w:hAnsiTheme="majorEastAsia" w:eastAsiaTheme="majorEastAsia"/>
                <w:b/>
                <w:color w:val="auto"/>
                <w:sz w:val="22"/>
                <w:highlight w:val="none"/>
              </w:rPr>
            </w:pPr>
          </w:p>
        </w:tc>
      </w:tr>
      <w:tr w14:paraId="5679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6CF26B3E">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767081AC">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55169EB0">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6640B35C">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22883E58">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6A66AA4F">
            <w:pPr>
              <w:pStyle w:val="25"/>
              <w:snapToGrid w:val="0"/>
              <w:spacing w:line="400" w:lineRule="exact"/>
              <w:jc w:val="center"/>
              <w:rPr>
                <w:rFonts w:asciiTheme="majorEastAsia" w:hAnsiTheme="majorEastAsia" w:eastAsiaTheme="majorEastAsia"/>
                <w:b/>
                <w:color w:val="auto"/>
                <w:sz w:val="22"/>
                <w:highlight w:val="none"/>
              </w:rPr>
            </w:pPr>
          </w:p>
        </w:tc>
      </w:tr>
      <w:tr w14:paraId="2F70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1E9604B6">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B22BCA7">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1592B91C">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0B790579">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2D681803">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71FE257E">
            <w:pPr>
              <w:pStyle w:val="25"/>
              <w:snapToGrid w:val="0"/>
              <w:spacing w:line="400" w:lineRule="exact"/>
              <w:jc w:val="center"/>
              <w:rPr>
                <w:rFonts w:asciiTheme="majorEastAsia" w:hAnsiTheme="majorEastAsia" w:eastAsiaTheme="majorEastAsia"/>
                <w:b/>
                <w:color w:val="auto"/>
                <w:sz w:val="22"/>
                <w:highlight w:val="none"/>
              </w:rPr>
            </w:pPr>
          </w:p>
        </w:tc>
      </w:tr>
      <w:tr w14:paraId="5523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60918127">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26419967">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7F2F14E2">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58E05BF1">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288C462C">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20A454AC">
            <w:pPr>
              <w:pStyle w:val="25"/>
              <w:snapToGrid w:val="0"/>
              <w:spacing w:line="400" w:lineRule="exact"/>
              <w:jc w:val="center"/>
              <w:rPr>
                <w:rFonts w:asciiTheme="majorEastAsia" w:hAnsiTheme="majorEastAsia" w:eastAsiaTheme="majorEastAsia"/>
                <w:b/>
                <w:color w:val="auto"/>
                <w:sz w:val="22"/>
                <w:highlight w:val="none"/>
              </w:rPr>
            </w:pPr>
          </w:p>
        </w:tc>
      </w:tr>
      <w:tr w14:paraId="2499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742FB8E9">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6276B09C">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23342D28">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12DC00CC">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48DF964">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42915321">
            <w:pPr>
              <w:pStyle w:val="25"/>
              <w:snapToGrid w:val="0"/>
              <w:spacing w:line="400" w:lineRule="exact"/>
              <w:jc w:val="center"/>
              <w:rPr>
                <w:rFonts w:asciiTheme="majorEastAsia" w:hAnsiTheme="majorEastAsia" w:eastAsiaTheme="majorEastAsia"/>
                <w:b/>
                <w:color w:val="auto"/>
                <w:sz w:val="22"/>
                <w:highlight w:val="none"/>
              </w:rPr>
            </w:pPr>
          </w:p>
        </w:tc>
      </w:tr>
      <w:tr w14:paraId="4A62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42B9468E">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4715936E">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1F23846E">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6B5E55F8">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6C4C0F9C">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526358D3">
            <w:pPr>
              <w:pStyle w:val="25"/>
              <w:snapToGrid w:val="0"/>
              <w:spacing w:line="400" w:lineRule="exact"/>
              <w:jc w:val="center"/>
              <w:rPr>
                <w:rFonts w:asciiTheme="majorEastAsia" w:hAnsiTheme="majorEastAsia" w:eastAsiaTheme="majorEastAsia"/>
                <w:b/>
                <w:color w:val="auto"/>
                <w:sz w:val="22"/>
                <w:highlight w:val="none"/>
              </w:rPr>
            </w:pPr>
          </w:p>
        </w:tc>
      </w:tr>
      <w:tr w14:paraId="6C29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0F07FD75">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0F0F3728">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081D5A2C">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227276AC">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66AE545A">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6CB6CFFF">
            <w:pPr>
              <w:pStyle w:val="25"/>
              <w:snapToGrid w:val="0"/>
              <w:spacing w:line="400" w:lineRule="exact"/>
              <w:jc w:val="center"/>
              <w:rPr>
                <w:rFonts w:asciiTheme="majorEastAsia" w:hAnsiTheme="majorEastAsia" w:eastAsiaTheme="majorEastAsia"/>
                <w:b/>
                <w:color w:val="auto"/>
                <w:sz w:val="22"/>
                <w:highlight w:val="none"/>
              </w:rPr>
            </w:pPr>
          </w:p>
        </w:tc>
      </w:tr>
      <w:tr w14:paraId="6BAF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0C2EE5A3">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325011C4">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553E6976">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1723C375">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A9026E1">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4CAE5FB6">
            <w:pPr>
              <w:pStyle w:val="25"/>
              <w:snapToGrid w:val="0"/>
              <w:spacing w:line="400" w:lineRule="exact"/>
              <w:jc w:val="center"/>
              <w:rPr>
                <w:rFonts w:asciiTheme="majorEastAsia" w:hAnsiTheme="majorEastAsia" w:eastAsiaTheme="majorEastAsia"/>
                <w:b/>
                <w:color w:val="auto"/>
                <w:sz w:val="22"/>
                <w:highlight w:val="none"/>
              </w:rPr>
            </w:pPr>
          </w:p>
        </w:tc>
      </w:tr>
      <w:tr w14:paraId="0A45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55" w:type="dxa"/>
          </w:tcPr>
          <w:p w14:paraId="109790F3">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32176E71">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25B7FAE8">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5579747B">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71C2424">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18407F53">
            <w:pPr>
              <w:pStyle w:val="25"/>
              <w:snapToGrid w:val="0"/>
              <w:spacing w:line="400" w:lineRule="exact"/>
              <w:jc w:val="center"/>
              <w:rPr>
                <w:rFonts w:asciiTheme="majorEastAsia" w:hAnsiTheme="majorEastAsia" w:eastAsiaTheme="majorEastAsia"/>
                <w:b/>
                <w:color w:val="auto"/>
                <w:sz w:val="22"/>
                <w:highlight w:val="none"/>
              </w:rPr>
            </w:pPr>
          </w:p>
        </w:tc>
      </w:tr>
    </w:tbl>
    <w:p w14:paraId="087D703B">
      <w:pPr>
        <w:pStyle w:val="25"/>
        <w:snapToGrid w:val="0"/>
        <w:spacing w:line="400" w:lineRule="exact"/>
        <w:rPr>
          <w:rFonts w:asciiTheme="majorEastAsia" w:hAnsiTheme="majorEastAsia" w:eastAsiaTheme="majorEastAsia"/>
          <w:b/>
          <w:color w:val="auto"/>
          <w:sz w:val="22"/>
          <w:highlight w:val="none"/>
        </w:rPr>
      </w:pPr>
    </w:p>
    <w:p w14:paraId="0CC0AB46">
      <w:pPr>
        <w:pStyle w:val="25"/>
        <w:spacing w:line="360" w:lineRule="auto"/>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lang w:eastAsia="zh-CN"/>
        </w:rPr>
        <w:t>投标人</w:t>
      </w:r>
      <w:r>
        <w:rPr>
          <w:rFonts w:asciiTheme="majorEastAsia" w:hAnsiTheme="majorEastAsia" w:eastAsiaTheme="majorEastAsia"/>
          <w:color w:val="auto"/>
          <w:sz w:val="22"/>
          <w:szCs w:val="22"/>
          <w:highlight w:val="none"/>
        </w:rPr>
        <w:t>全称（盖章）：</w:t>
      </w:r>
    </w:p>
    <w:p w14:paraId="1E098C97">
      <w:pPr>
        <w:pStyle w:val="25"/>
        <w:spacing w:line="360" w:lineRule="auto"/>
        <w:rPr>
          <w:rFonts w:asciiTheme="majorEastAsia" w:hAnsiTheme="majorEastAsia" w:eastAsiaTheme="majorEastAsia"/>
          <w:color w:val="auto"/>
          <w:sz w:val="22"/>
          <w:szCs w:val="22"/>
          <w:highlight w:val="none"/>
        </w:rPr>
      </w:pPr>
      <w:r>
        <w:rPr>
          <w:rFonts w:asciiTheme="majorEastAsia" w:hAnsiTheme="majorEastAsia" w:eastAsiaTheme="majorEastAsia"/>
          <w:color w:val="auto"/>
          <w:sz w:val="22"/>
          <w:szCs w:val="22"/>
          <w:highlight w:val="none"/>
        </w:rPr>
        <w:t>日 期：       年      月      日</w:t>
      </w:r>
    </w:p>
    <w:p w14:paraId="17A58B74">
      <w:pPr>
        <w:spacing w:line="360" w:lineRule="exact"/>
        <w:jc w:val="left"/>
        <w:rPr>
          <w:rFonts w:asciiTheme="majorEastAsia" w:hAnsiTheme="majorEastAsia" w:eastAsiaTheme="majorEastAsia"/>
          <w:color w:val="auto"/>
          <w:sz w:val="22"/>
          <w:highlight w:val="none"/>
        </w:rPr>
      </w:pPr>
    </w:p>
    <w:p w14:paraId="5B6CD083">
      <w:pPr>
        <w:spacing w:line="360" w:lineRule="exact"/>
        <w:jc w:val="left"/>
        <w:rPr>
          <w:rFonts w:asciiTheme="majorEastAsia" w:hAnsiTheme="majorEastAsia" w:eastAsiaTheme="majorEastAsia"/>
          <w:color w:val="auto"/>
          <w:sz w:val="22"/>
          <w:highlight w:val="none"/>
        </w:rPr>
      </w:pPr>
    </w:p>
    <w:p w14:paraId="7A6E9BAC">
      <w:pPr>
        <w:spacing w:line="360" w:lineRule="exact"/>
        <w:jc w:val="left"/>
        <w:rPr>
          <w:rFonts w:asciiTheme="majorEastAsia" w:hAnsiTheme="majorEastAsia" w:eastAsiaTheme="majorEastAsia"/>
          <w:color w:val="auto"/>
          <w:sz w:val="22"/>
          <w:highlight w:val="none"/>
        </w:rPr>
      </w:pPr>
    </w:p>
    <w:p w14:paraId="4BA1153B">
      <w:pPr>
        <w:spacing w:line="360" w:lineRule="exact"/>
        <w:jc w:val="left"/>
        <w:rPr>
          <w:rFonts w:asciiTheme="majorEastAsia" w:hAnsiTheme="majorEastAsia" w:eastAsiaTheme="majorEastAsia"/>
          <w:color w:val="auto"/>
          <w:sz w:val="22"/>
          <w:highlight w:val="none"/>
        </w:rPr>
      </w:pPr>
    </w:p>
    <w:p w14:paraId="161398EF">
      <w:pPr>
        <w:spacing w:line="360" w:lineRule="exact"/>
        <w:jc w:val="left"/>
        <w:rPr>
          <w:rFonts w:asciiTheme="majorEastAsia" w:hAnsiTheme="majorEastAsia" w:eastAsiaTheme="majorEastAsia"/>
          <w:color w:val="auto"/>
          <w:sz w:val="22"/>
          <w:highlight w:val="none"/>
        </w:rPr>
      </w:pPr>
    </w:p>
    <w:p w14:paraId="492B6365">
      <w:pPr>
        <w:spacing w:line="360" w:lineRule="exact"/>
        <w:jc w:val="left"/>
        <w:rPr>
          <w:rFonts w:asciiTheme="majorEastAsia" w:hAnsiTheme="majorEastAsia" w:eastAsiaTheme="majorEastAsia"/>
          <w:color w:val="auto"/>
          <w:sz w:val="22"/>
          <w:highlight w:val="none"/>
        </w:rPr>
      </w:pPr>
    </w:p>
    <w:p w14:paraId="019E0259">
      <w:pPr>
        <w:spacing w:line="360" w:lineRule="exact"/>
        <w:jc w:val="left"/>
        <w:rPr>
          <w:rFonts w:asciiTheme="majorEastAsia" w:hAnsiTheme="majorEastAsia" w:eastAsiaTheme="majorEastAsia"/>
          <w:color w:val="auto"/>
          <w:sz w:val="22"/>
          <w:highlight w:val="none"/>
        </w:rPr>
      </w:pPr>
    </w:p>
    <w:p w14:paraId="2782D652">
      <w:pPr>
        <w:spacing w:line="360" w:lineRule="exact"/>
        <w:jc w:val="left"/>
        <w:rPr>
          <w:rFonts w:asciiTheme="majorEastAsia" w:hAnsiTheme="majorEastAsia" w:eastAsiaTheme="majorEastAsia"/>
          <w:color w:val="auto"/>
          <w:sz w:val="22"/>
          <w:highlight w:val="none"/>
        </w:rPr>
      </w:pPr>
    </w:p>
    <w:p w14:paraId="7563EA11">
      <w:pPr>
        <w:spacing w:line="360" w:lineRule="exact"/>
        <w:jc w:val="left"/>
        <w:rPr>
          <w:rFonts w:asciiTheme="majorEastAsia" w:hAnsiTheme="majorEastAsia" w:eastAsiaTheme="majorEastAsia"/>
          <w:color w:val="auto"/>
          <w:sz w:val="22"/>
          <w:highlight w:val="none"/>
        </w:rPr>
      </w:pPr>
    </w:p>
    <w:p w14:paraId="5ACB544B">
      <w:pPr>
        <w:spacing w:line="360" w:lineRule="exact"/>
        <w:jc w:val="left"/>
        <w:rPr>
          <w:rFonts w:asciiTheme="majorEastAsia" w:hAnsiTheme="majorEastAsia" w:eastAsiaTheme="majorEastAsia"/>
          <w:color w:val="auto"/>
          <w:sz w:val="22"/>
          <w:highlight w:val="none"/>
        </w:rPr>
      </w:pPr>
    </w:p>
    <w:p w14:paraId="0D4ADE5F">
      <w:pPr>
        <w:spacing w:line="360" w:lineRule="exact"/>
        <w:jc w:val="left"/>
        <w:rPr>
          <w:rFonts w:asciiTheme="majorEastAsia" w:hAnsiTheme="majorEastAsia" w:eastAsiaTheme="majorEastAsia"/>
          <w:color w:val="auto"/>
          <w:sz w:val="22"/>
          <w:highlight w:val="none"/>
        </w:rPr>
      </w:pPr>
    </w:p>
    <w:p w14:paraId="028648DB">
      <w:pPr>
        <w:spacing w:line="360" w:lineRule="exact"/>
        <w:jc w:val="left"/>
        <w:rPr>
          <w:rFonts w:asciiTheme="majorEastAsia" w:hAnsiTheme="majorEastAsia" w:eastAsiaTheme="majorEastAsia"/>
          <w:color w:val="auto"/>
          <w:sz w:val="22"/>
          <w:highlight w:val="none"/>
        </w:rPr>
      </w:pPr>
    </w:p>
    <w:p w14:paraId="3A38E7C2">
      <w:pPr>
        <w:spacing w:line="360" w:lineRule="exact"/>
        <w:jc w:val="left"/>
        <w:rPr>
          <w:rFonts w:asciiTheme="majorEastAsia" w:hAnsiTheme="majorEastAsia" w:eastAsiaTheme="majorEastAsia"/>
          <w:color w:val="auto"/>
          <w:sz w:val="22"/>
          <w:highlight w:val="none"/>
        </w:rPr>
      </w:pPr>
    </w:p>
    <w:p w14:paraId="3E84022D">
      <w:pPr>
        <w:spacing w:line="360" w:lineRule="exact"/>
        <w:jc w:val="left"/>
        <w:rPr>
          <w:rFonts w:asciiTheme="majorEastAsia" w:hAnsiTheme="majorEastAsia" w:eastAsiaTheme="majorEastAsia"/>
          <w:color w:val="auto"/>
          <w:sz w:val="22"/>
          <w:highlight w:val="none"/>
        </w:rPr>
      </w:pPr>
    </w:p>
    <w:p w14:paraId="4C4279CE">
      <w:pPr>
        <w:spacing w:line="360" w:lineRule="exact"/>
        <w:jc w:val="left"/>
        <w:rPr>
          <w:rFonts w:asciiTheme="majorEastAsia" w:hAnsiTheme="majorEastAsia" w:eastAsiaTheme="majorEastAsia"/>
          <w:color w:val="auto"/>
          <w:sz w:val="22"/>
          <w:highlight w:val="none"/>
        </w:rPr>
      </w:pPr>
    </w:p>
    <w:p w14:paraId="402BAF0F">
      <w:pPr>
        <w:widowControl/>
        <w:jc w:val="left"/>
        <w:rPr>
          <w:rFonts w:asciiTheme="majorEastAsia" w:hAnsiTheme="majorEastAsia" w:eastAsiaTheme="majorEastAsia"/>
          <w:b/>
          <w:color w:val="auto"/>
          <w:kern w:val="0"/>
          <w:sz w:val="32"/>
          <w:highlight w:val="none"/>
        </w:rPr>
      </w:pPr>
      <w:r>
        <w:rPr>
          <w:rFonts w:asciiTheme="majorEastAsia" w:hAnsiTheme="majorEastAsia" w:eastAsiaTheme="majorEastAsia"/>
          <w:b/>
          <w:color w:val="auto"/>
          <w:sz w:val="32"/>
          <w:highlight w:val="none"/>
        </w:rPr>
        <w:br w:type="page"/>
      </w:r>
    </w:p>
    <w:p w14:paraId="5DCFC8C1">
      <w:pPr>
        <w:pStyle w:val="25"/>
        <w:snapToGrid w:val="0"/>
        <w:spacing w:line="400" w:lineRule="exact"/>
        <w:jc w:val="center"/>
        <w:rPr>
          <w:rFonts w:asciiTheme="majorEastAsia" w:hAnsiTheme="majorEastAsia" w:eastAsiaTheme="majorEastAsia"/>
          <w:b/>
          <w:color w:val="auto"/>
          <w:sz w:val="32"/>
          <w:highlight w:val="none"/>
        </w:rPr>
      </w:pPr>
      <w:r>
        <w:rPr>
          <w:rFonts w:hint="eastAsia" w:asciiTheme="majorEastAsia" w:hAnsiTheme="majorEastAsia" w:eastAsiaTheme="majorEastAsia"/>
          <w:b/>
          <w:color w:val="auto"/>
          <w:sz w:val="32"/>
          <w:highlight w:val="none"/>
        </w:rPr>
        <w:t xml:space="preserve">（3）随机备品备件、专用工具清单(如有) </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46F6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vAlign w:val="center"/>
          </w:tcPr>
          <w:p w14:paraId="357433F2">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序 号</w:t>
            </w:r>
          </w:p>
        </w:tc>
        <w:tc>
          <w:tcPr>
            <w:tcW w:w="1688" w:type="dxa"/>
            <w:vAlign w:val="center"/>
          </w:tcPr>
          <w:p w14:paraId="5361FAC1">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名称</w:t>
            </w:r>
          </w:p>
        </w:tc>
        <w:tc>
          <w:tcPr>
            <w:tcW w:w="2110" w:type="dxa"/>
            <w:vAlign w:val="center"/>
          </w:tcPr>
          <w:p w14:paraId="5C183065">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产地/规格/型号</w:t>
            </w:r>
          </w:p>
        </w:tc>
        <w:tc>
          <w:tcPr>
            <w:tcW w:w="1477" w:type="dxa"/>
            <w:vAlign w:val="center"/>
          </w:tcPr>
          <w:p w14:paraId="5C03D0F3">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数量</w:t>
            </w:r>
          </w:p>
        </w:tc>
        <w:tc>
          <w:tcPr>
            <w:tcW w:w="1230" w:type="dxa"/>
            <w:vAlign w:val="center"/>
          </w:tcPr>
          <w:p w14:paraId="7DE2E095">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单价</w:t>
            </w:r>
          </w:p>
        </w:tc>
        <w:tc>
          <w:tcPr>
            <w:tcW w:w="1940" w:type="dxa"/>
            <w:vAlign w:val="center"/>
          </w:tcPr>
          <w:p w14:paraId="22606C8D">
            <w:pPr>
              <w:pStyle w:val="25"/>
              <w:snapToGrid w:val="0"/>
              <w:spacing w:line="400" w:lineRule="exact"/>
              <w:jc w:val="center"/>
              <w:rPr>
                <w:rFonts w:asciiTheme="majorEastAsia" w:hAnsiTheme="majorEastAsia" w:eastAsiaTheme="majorEastAsia"/>
                <w:b/>
                <w:color w:val="auto"/>
                <w:sz w:val="22"/>
                <w:highlight w:val="none"/>
              </w:rPr>
            </w:pPr>
            <w:r>
              <w:rPr>
                <w:rFonts w:hint="eastAsia" w:asciiTheme="majorEastAsia" w:hAnsiTheme="majorEastAsia" w:eastAsiaTheme="majorEastAsia"/>
                <w:b/>
                <w:color w:val="auto"/>
                <w:sz w:val="22"/>
                <w:highlight w:val="none"/>
              </w:rPr>
              <w:t>备 注</w:t>
            </w:r>
          </w:p>
        </w:tc>
      </w:tr>
      <w:tr w14:paraId="3E73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5EAA863">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349BF932">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0D33DB15">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6395E8A2">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05DBB13E">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68534DC8">
            <w:pPr>
              <w:pStyle w:val="25"/>
              <w:snapToGrid w:val="0"/>
              <w:spacing w:line="400" w:lineRule="exact"/>
              <w:jc w:val="center"/>
              <w:rPr>
                <w:rFonts w:asciiTheme="majorEastAsia" w:hAnsiTheme="majorEastAsia" w:eastAsiaTheme="majorEastAsia"/>
                <w:b/>
                <w:color w:val="auto"/>
                <w:sz w:val="22"/>
                <w:highlight w:val="none"/>
              </w:rPr>
            </w:pPr>
          </w:p>
        </w:tc>
      </w:tr>
      <w:tr w14:paraId="25F5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5B07071C">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C368CD8">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12A22972">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3DE6FCB5">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750A04A8">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146DE30A">
            <w:pPr>
              <w:pStyle w:val="25"/>
              <w:snapToGrid w:val="0"/>
              <w:spacing w:line="400" w:lineRule="exact"/>
              <w:jc w:val="center"/>
              <w:rPr>
                <w:rFonts w:asciiTheme="majorEastAsia" w:hAnsiTheme="majorEastAsia" w:eastAsiaTheme="majorEastAsia"/>
                <w:b/>
                <w:color w:val="auto"/>
                <w:sz w:val="22"/>
                <w:highlight w:val="none"/>
              </w:rPr>
            </w:pPr>
          </w:p>
        </w:tc>
      </w:tr>
      <w:tr w14:paraId="38A4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A644262">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0827E06D">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592D439C">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4E1629C6">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2D44850">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2F6C7093">
            <w:pPr>
              <w:pStyle w:val="25"/>
              <w:snapToGrid w:val="0"/>
              <w:spacing w:line="400" w:lineRule="exact"/>
              <w:jc w:val="center"/>
              <w:rPr>
                <w:rFonts w:asciiTheme="majorEastAsia" w:hAnsiTheme="majorEastAsia" w:eastAsiaTheme="majorEastAsia"/>
                <w:b/>
                <w:color w:val="auto"/>
                <w:sz w:val="22"/>
                <w:highlight w:val="none"/>
              </w:rPr>
            </w:pPr>
          </w:p>
        </w:tc>
      </w:tr>
      <w:tr w14:paraId="5BD0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6F9169F">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47E4FB2F">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70ED6150">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1501CC8B">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40FCDF0D">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2CB857E6">
            <w:pPr>
              <w:pStyle w:val="25"/>
              <w:snapToGrid w:val="0"/>
              <w:spacing w:line="400" w:lineRule="exact"/>
              <w:jc w:val="center"/>
              <w:rPr>
                <w:rFonts w:asciiTheme="majorEastAsia" w:hAnsiTheme="majorEastAsia" w:eastAsiaTheme="majorEastAsia"/>
                <w:b/>
                <w:color w:val="auto"/>
                <w:sz w:val="22"/>
                <w:highlight w:val="none"/>
              </w:rPr>
            </w:pPr>
          </w:p>
        </w:tc>
      </w:tr>
      <w:tr w14:paraId="540B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2BA115A">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1C393FA5">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26B5D944">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4CDCC451">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4F0B12E9">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7EF7D523">
            <w:pPr>
              <w:pStyle w:val="25"/>
              <w:snapToGrid w:val="0"/>
              <w:spacing w:line="400" w:lineRule="exact"/>
              <w:jc w:val="center"/>
              <w:rPr>
                <w:rFonts w:asciiTheme="majorEastAsia" w:hAnsiTheme="majorEastAsia" w:eastAsiaTheme="majorEastAsia"/>
                <w:b/>
                <w:color w:val="auto"/>
                <w:sz w:val="22"/>
                <w:highlight w:val="none"/>
              </w:rPr>
            </w:pPr>
          </w:p>
        </w:tc>
      </w:tr>
      <w:tr w14:paraId="4AD0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A4DA685">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BFF5F07">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7CEDF749">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4C048753">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2D3CBEA6">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13944EA4">
            <w:pPr>
              <w:pStyle w:val="25"/>
              <w:snapToGrid w:val="0"/>
              <w:spacing w:line="400" w:lineRule="exact"/>
              <w:jc w:val="center"/>
              <w:rPr>
                <w:rFonts w:asciiTheme="majorEastAsia" w:hAnsiTheme="majorEastAsia" w:eastAsiaTheme="majorEastAsia"/>
                <w:b/>
                <w:color w:val="auto"/>
                <w:sz w:val="22"/>
                <w:highlight w:val="none"/>
              </w:rPr>
            </w:pPr>
          </w:p>
        </w:tc>
      </w:tr>
      <w:tr w14:paraId="6CE8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E0D6B74">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2E4DE321">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0E2E15DD">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1D4C65C5">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5F5B2101">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48376D79">
            <w:pPr>
              <w:pStyle w:val="25"/>
              <w:snapToGrid w:val="0"/>
              <w:spacing w:line="400" w:lineRule="exact"/>
              <w:jc w:val="center"/>
              <w:rPr>
                <w:rFonts w:asciiTheme="majorEastAsia" w:hAnsiTheme="majorEastAsia" w:eastAsiaTheme="majorEastAsia"/>
                <w:b/>
                <w:color w:val="auto"/>
                <w:sz w:val="22"/>
                <w:highlight w:val="none"/>
              </w:rPr>
            </w:pPr>
          </w:p>
        </w:tc>
      </w:tr>
      <w:tr w14:paraId="29A7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14DCCEA2">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4D17838">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6D7985A3">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10B030B8">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3EE4C884">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3676728E">
            <w:pPr>
              <w:pStyle w:val="25"/>
              <w:snapToGrid w:val="0"/>
              <w:spacing w:line="400" w:lineRule="exact"/>
              <w:jc w:val="center"/>
              <w:rPr>
                <w:rFonts w:asciiTheme="majorEastAsia" w:hAnsiTheme="majorEastAsia" w:eastAsiaTheme="majorEastAsia"/>
                <w:b/>
                <w:color w:val="auto"/>
                <w:sz w:val="22"/>
                <w:highlight w:val="none"/>
              </w:rPr>
            </w:pPr>
          </w:p>
        </w:tc>
      </w:tr>
      <w:tr w14:paraId="68A9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51780511">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27B8E0D">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4AC94CB5">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0C956028">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51CC1FFF">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762AF6AF">
            <w:pPr>
              <w:pStyle w:val="25"/>
              <w:snapToGrid w:val="0"/>
              <w:spacing w:line="400" w:lineRule="exact"/>
              <w:jc w:val="center"/>
              <w:rPr>
                <w:rFonts w:asciiTheme="majorEastAsia" w:hAnsiTheme="majorEastAsia" w:eastAsiaTheme="majorEastAsia"/>
                <w:b/>
                <w:color w:val="auto"/>
                <w:sz w:val="22"/>
                <w:highlight w:val="none"/>
              </w:rPr>
            </w:pPr>
          </w:p>
        </w:tc>
      </w:tr>
      <w:tr w14:paraId="6D9A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60299302">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27054C9">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54858682">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015F736A">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1EC670E2">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3C78856F">
            <w:pPr>
              <w:pStyle w:val="25"/>
              <w:snapToGrid w:val="0"/>
              <w:spacing w:line="400" w:lineRule="exact"/>
              <w:jc w:val="center"/>
              <w:rPr>
                <w:rFonts w:asciiTheme="majorEastAsia" w:hAnsiTheme="majorEastAsia" w:eastAsiaTheme="majorEastAsia"/>
                <w:b/>
                <w:color w:val="auto"/>
                <w:sz w:val="22"/>
                <w:highlight w:val="none"/>
              </w:rPr>
            </w:pPr>
          </w:p>
        </w:tc>
      </w:tr>
      <w:tr w14:paraId="36E0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7FC09805">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78C29157">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1584C89E">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444D8158">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66404038">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13567F75">
            <w:pPr>
              <w:pStyle w:val="25"/>
              <w:snapToGrid w:val="0"/>
              <w:spacing w:line="400" w:lineRule="exact"/>
              <w:jc w:val="center"/>
              <w:rPr>
                <w:rFonts w:asciiTheme="majorEastAsia" w:hAnsiTheme="majorEastAsia" w:eastAsiaTheme="majorEastAsia"/>
                <w:b/>
                <w:color w:val="auto"/>
                <w:sz w:val="22"/>
                <w:highlight w:val="none"/>
              </w:rPr>
            </w:pPr>
          </w:p>
        </w:tc>
      </w:tr>
      <w:tr w14:paraId="002F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2184F5BD">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5BDEE9FA">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6E65FB01">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5158FC57">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1CD37FBF">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31B85911">
            <w:pPr>
              <w:pStyle w:val="25"/>
              <w:snapToGrid w:val="0"/>
              <w:spacing w:line="400" w:lineRule="exact"/>
              <w:jc w:val="center"/>
              <w:rPr>
                <w:rFonts w:asciiTheme="majorEastAsia" w:hAnsiTheme="majorEastAsia" w:eastAsiaTheme="majorEastAsia"/>
                <w:b/>
                <w:color w:val="auto"/>
                <w:sz w:val="22"/>
                <w:highlight w:val="none"/>
              </w:rPr>
            </w:pPr>
          </w:p>
        </w:tc>
      </w:tr>
      <w:tr w14:paraId="5094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5602D896">
            <w:pPr>
              <w:pStyle w:val="25"/>
              <w:snapToGrid w:val="0"/>
              <w:spacing w:line="400" w:lineRule="exact"/>
              <w:jc w:val="center"/>
              <w:rPr>
                <w:rFonts w:asciiTheme="majorEastAsia" w:hAnsiTheme="majorEastAsia" w:eastAsiaTheme="majorEastAsia"/>
                <w:b/>
                <w:color w:val="auto"/>
                <w:sz w:val="22"/>
                <w:highlight w:val="none"/>
              </w:rPr>
            </w:pPr>
          </w:p>
        </w:tc>
        <w:tc>
          <w:tcPr>
            <w:tcW w:w="1688" w:type="dxa"/>
          </w:tcPr>
          <w:p w14:paraId="1B2F03DF">
            <w:pPr>
              <w:pStyle w:val="25"/>
              <w:snapToGrid w:val="0"/>
              <w:spacing w:line="400" w:lineRule="exact"/>
              <w:jc w:val="center"/>
              <w:rPr>
                <w:rFonts w:asciiTheme="majorEastAsia" w:hAnsiTheme="majorEastAsia" w:eastAsiaTheme="majorEastAsia"/>
                <w:b/>
                <w:color w:val="auto"/>
                <w:sz w:val="22"/>
                <w:highlight w:val="none"/>
              </w:rPr>
            </w:pPr>
          </w:p>
        </w:tc>
        <w:tc>
          <w:tcPr>
            <w:tcW w:w="2110" w:type="dxa"/>
          </w:tcPr>
          <w:p w14:paraId="484B2F66">
            <w:pPr>
              <w:pStyle w:val="25"/>
              <w:snapToGrid w:val="0"/>
              <w:spacing w:line="400" w:lineRule="exact"/>
              <w:jc w:val="center"/>
              <w:rPr>
                <w:rFonts w:asciiTheme="majorEastAsia" w:hAnsiTheme="majorEastAsia" w:eastAsiaTheme="majorEastAsia"/>
                <w:b/>
                <w:color w:val="auto"/>
                <w:sz w:val="22"/>
                <w:highlight w:val="none"/>
              </w:rPr>
            </w:pPr>
          </w:p>
        </w:tc>
        <w:tc>
          <w:tcPr>
            <w:tcW w:w="1477" w:type="dxa"/>
          </w:tcPr>
          <w:p w14:paraId="39F435C3">
            <w:pPr>
              <w:pStyle w:val="25"/>
              <w:snapToGrid w:val="0"/>
              <w:spacing w:line="400" w:lineRule="exact"/>
              <w:jc w:val="center"/>
              <w:rPr>
                <w:rFonts w:asciiTheme="majorEastAsia" w:hAnsiTheme="majorEastAsia" w:eastAsiaTheme="majorEastAsia"/>
                <w:b/>
                <w:color w:val="auto"/>
                <w:sz w:val="22"/>
                <w:highlight w:val="none"/>
              </w:rPr>
            </w:pPr>
          </w:p>
        </w:tc>
        <w:tc>
          <w:tcPr>
            <w:tcW w:w="1230" w:type="dxa"/>
          </w:tcPr>
          <w:p w14:paraId="2CB6E282">
            <w:pPr>
              <w:pStyle w:val="25"/>
              <w:snapToGrid w:val="0"/>
              <w:spacing w:line="400" w:lineRule="exact"/>
              <w:jc w:val="center"/>
              <w:rPr>
                <w:rFonts w:asciiTheme="majorEastAsia" w:hAnsiTheme="majorEastAsia" w:eastAsiaTheme="majorEastAsia"/>
                <w:b/>
                <w:color w:val="auto"/>
                <w:sz w:val="22"/>
                <w:highlight w:val="none"/>
              </w:rPr>
            </w:pPr>
          </w:p>
        </w:tc>
        <w:tc>
          <w:tcPr>
            <w:tcW w:w="1940" w:type="dxa"/>
          </w:tcPr>
          <w:p w14:paraId="084E5529">
            <w:pPr>
              <w:pStyle w:val="25"/>
              <w:snapToGrid w:val="0"/>
              <w:spacing w:line="400" w:lineRule="exact"/>
              <w:jc w:val="center"/>
              <w:rPr>
                <w:rFonts w:asciiTheme="majorEastAsia" w:hAnsiTheme="majorEastAsia" w:eastAsiaTheme="majorEastAsia"/>
                <w:b/>
                <w:color w:val="auto"/>
                <w:sz w:val="22"/>
                <w:highlight w:val="none"/>
              </w:rPr>
            </w:pPr>
          </w:p>
        </w:tc>
      </w:tr>
    </w:tbl>
    <w:p w14:paraId="2B811501">
      <w:pPr>
        <w:pStyle w:val="25"/>
        <w:snapToGrid w:val="0"/>
        <w:spacing w:line="400" w:lineRule="exact"/>
        <w:rPr>
          <w:rFonts w:asciiTheme="majorEastAsia" w:hAnsiTheme="majorEastAsia" w:eastAsiaTheme="majorEastAsia"/>
          <w:b/>
          <w:color w:val="auto"/>
          <w:sz w:val="22"/>
          <w:highlight w:val="none"/>
        </w:rPr>
      </w:pPr>
    </w:p>
    <w:p w14:paraId="2CD2E447">
      <w:pPr>
        <w:pStyle w:val="25"/>
        <w:spacing w:line="360" w:lineRule="auto"/>
        <w:rPr>
          <w:rFonts w:asciiTheme="majorEastAsia" w:hAnsiTheme="majorEastAsia" w:eastAsiaTheme="majorEastAsia"/>
          <w:color w:val="auto"/>
          <w:sz w:val="22"/>
          <w:szCs w:val="22"/>
          <w:highlight w:val="none"/>
        </w:rPr>
      </w:pPr>
      <w:r>
        <w:rPr>
          <w:rFonts w:hint="eastAsia" w:asciiTheme="majorEastAsia" w:hAnsiTheme="majorEastAsia" w:eastAsiaTheme="majorEastAsia"/>
          <w:color w:val="auto"/>
          <w:sz w:val="22"/>
          <w:szCs w:val="22"/>
          <w:highlight w:val="none"/>
          <w:lang w:eastAsia="zh-CN"/>
        </w:rPr>
        <w:t>投标人</w:t>
      </w:r>
      <w:r>
        <w:rPr>
          <w:rFonts w:asciiTheme="majorEastAsia" w:hAnsiTheme="majorEastAsia" w:eastAsiaTheme="majorEastAsia"/>
          <w:color w:val="auto"/>
          <w:sz w:val="22"/>
          <w:szCs w:val="22"/>
          <w:highlight w:val="none"/>
        </w:rPr>
        <w:t>全称（盖章）：</w:t>
      </w:r>
    </w:p>
    <w:p w14:paraId="2F911B2C">
      <w:pPr>
        <w:pStyle w:val="25"/>
        <w:spacing w:line="360" w:lineRule="auto"/>
        <w:rPr>
          <w:rFonts w:asciiTheme="majorEastAsia" w:hAnsiTheme="majorEastAsia" w:eastAsiaTheme="majorEastAsia"/>
          <w:color w:val="auto"/>
          <w:sz w:val="22"/>
          <w:szCs w:val="22"/>
          <w:highlight w:val="none"/>
        </w:rPr>
      </w:pPr>
      <w:r>
        <w:rPr>
          <w:rFonts w:asciiTheme="majorEastAsia" w:hAnsiTheme="majorEastAsia" w:eastAsiaTheme="majorEastAsia"/>
          <w:color w:val="auto"/>
          <w:sz w:val="22"/>
          <w:szCs w:val="22"/>
          <w:highlight w:val="none"/>
        </w:rPr>
        <w:t>日 期：       年      月      日</w:t>
      </w:r>
    </w:p>
    <w:p w14:paraId="1A3192B1">
      <w:pPr>
        <w:rPr>
          <w:color w:val="auto"/>
          <w:highlight w:val="none"/>
        </w:rPr>
        <w:sectPr>
          <w:pgSz w:w="11906" w:h="16838"/>
          <w:pgMar w:top="1134" w:right="1134" w:bottom="1134" w:left="1134" w:header="851" w:footer="850" w:gutter="0"/>
          <w:pgBorders>
            <w:top w:val="none" w:sz="0" w:space="0"/>
            <w:left w:val="none" w:sz="0" w:space="0"/>
            <w:bottom w:val="none" w:sz="0" w:space="0"/>
            <w:right w:val="none" w:sz="0" w:space="0"/>
          </w:pgBorders>
          <w:cols w:space="720" w:num="1"/>
          <w:titlePg/>
          <w:docGrid w:type="lines" w:linePitch="312" w:charSpace="0"/>
        </w:sectPr>
      </w:pPr>
    </w:p>
    <w:p w14:paraId="2E05C316">
      <w:pPr>
        <w:pStyle w:val="40"/>
        <w:rPr>
          <w:rFonts w:cs="新宋体" w:asciiTheme="majorEastAsia" w:hAnsiTheme="majorEastAsia" w:eastAsiaTheme="majorEastAsia"/>
          <w:color w:val="auto"/>
          <w:sz w:val="30"/>
          <w:szCs w:val="30"/>
          <w:highlight w:val="none"/>
        </w:rPr>
      </w:pPr>
      <w:r>
        <w:rPr>
          <w:rFonts w:hint="eastAsia" w:cs="新宋体" w:asciiTheme="majorEastAsia" w:hAnsiTheme="majorEastAsia" w:eastAsiaTheme="majorEastAsia"/>
          <w:color w:val="auto"/>
          <w:sz w:val="30"/>
          <w:szCs w:val="30"/>
          <w:highlight w:val="none"/>
        </w:rPr>
        <w:t>第七部分 评标定标办法</w:t>
      </w:r>
      <w:bookmarkEnd w:id="314"/>
      <w:bookmarkEnd w:id="315"/>
      <w:bookmarkEnd w:id="316"/>
      <w:bookmarkEnd w:id="445"/>
    </w:p>
    <w:p w14:paraId="29A430FF">
      <w:pPr>
        <w:tabs>
          <w:tab w:val="left" w:pos="8820"/>
        </w:tabs>
        <w:adjustRightInd w:val="0"/>
        <w:snapToGrid w:val="0"/>
        <w:spacing w:before="100" w:after="50"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根据《中华人民共和国政府采购法》等有关政府采购法规，结合本次所要采购服务的实际，按照公平、公正、科学、择优的原则选择中标供应商，特制定本评标办法。</w:t>
      </w:r>
    </w:p>
    <w:p w14:paraId="521E22C4">
      <w:pPr>
        <w:adjustRightInd w:val="0"/>
        <w:snapToGrid w:val="0"/>
        <w:spacing w:before="156" w:beforeLines="50" w:after="50" w:line="460" w:lineRule="atLeast"/>
        <w:jc w:val="center"/>
        <w:rPr>
          <w:rFonts w:cs="新宋体" w:asciiTheme="majorEastAsia" w:hAnsiTheme="majorEastAsia" w:eastAsiaTheme="majorEastAsia"/>
          <w:b/>
          <w:bCs/>
          <w:color w:val="auto"/>
          <w:sz w:val="22"/>
          <w:szCs w:val="22"/>
          <w:highlight w:val="none"/>
        </w:rPr>
      </w:pPr>
      <w:r>
        <w:rPr>
          <w:rFonts w:hint="eastAsia" w:cs="新宋体" w:asciiTheme="majorEastAsia" w:hAnsiTheme="majorEastAsia" w:eastAsiaTheme="majorEastAsia"/>
          <w:b/>
          <w:bCs/>
          <w:color w:val="auto"/>
          <w:sz w:val="22"/>
          <w:szCs w:val="22"/>
          <w:highlight w:val="none"/>
        </w:rPr>
        <w:t>一、总则</w:t>
      </w:r>
    </w:p>
    <w:p w14:paraId="56EA1D14">
      <w:pPr>
        <w:pStyle w:val="27"/>
        <w:adjustRightInd w:val="0"/>
        <w:snapToGrid w:val="0"/>
        <w:spacing w:before="100" w:after="50" w:line="460" w:lineRule="atLeast"/>
        <w:rPr>
          <w:rFonts w:cs="新宋体" w:asciiTheme="majorEastAsia" w:hAnsiTheme="majorEastAsia" w:eastAsiaTheme="majorEastAsia"/>
          <w:b w:val="0"/>
          <w:color w:val="auto"/>
          <w:sz w:val="22"/>
          <w:szCs w:val="22"/>
          <w:highlight w:val="none"/>
        </w:rPr>
      </w:pPr>
      <w:r>
        <w:rPr>
          <w:rFonts w:hint="eastAsia" w:cs="新宋体" w:asciiTheme="majorEastAsia" w:hAnsiTheme="majorEastAsia" w:eastAsiaTheme="majorEastAsia"/>
          <w:b w:val="0"/>
          <w:color w:val="auto"/>
          <w:sz w:val="22"/>
          <w:szCs w:val="22"/>
          <w:highlight w:val="none"/>
        </w:rPr>
        <w:t>评标工作遵循公平、公正、民主、科学的原则和诚实、信誉、效率的服务原则。本着科学、严谨的态度，认真进行评标。择优选定服务供应商，确保服务质量，最大限度的保护当事人权益，严格按照招标文件的商务、技术要求，对投标文件进行综合评定，提出优选方案，编写评标报告。评标委员会必须严格遵守保密规定，不得</w:t>
      </w:r>
      <w:r>
        <w:rPr>
          <w:rFonts w:hint="eastAsia" w:cs="新宋体" w:asciiTheme="majorEastAsia" w:hAnsiTheme="majorEastAsia" w:eastAsiaTheme="majorEastAsia"/>
          <w:b w:val="0"/>
          <w:color w:val="auto"/>
          <w:sz w:val="22"/>
          <w:szCs w:val="22"/>
          <w:highlight w:val="none"/>
          <w:lang w:eastAsia="zh-CN"/>
        </w:rPr>
        <w:t>泄露</w:t>
      </w:r>
      <w:r>
        <w:rPr>
          <w:rFonts w:hint="eastAsia" w:cs="新宋体" w:asciiTheme="majorEastAsia" w:hAnsiTheme="majorEastAsia" w:eastAsiaTheme="majorEastAsia"/>
          <w:b w:val="0"/>
          <w:color w:val="auto"/>
          <w:sz w:val="22"/>
          <w:szCs w:val="22"/>
          <w:highlight w:val="none"/>
        </w:rPr>
        <w:t>评标的有关情况，不得索贿受贿，不得接受吃请和礼品，不得参加影响公正评标的有关活动。对落标供应商，评标委员会不</w:t>
      </w:r>
      <w:r>
        <w:rPr>
          <w:rFonts w:hint="eastAsia" w:cs="新宋体" w:asciiTheme="majorEastAsia" w:hAnsiTheme="majorEastAsia" w:eastAsiaTheme="majorEastAsia"/>
          <w:b w:val="0"/>
          <w:color w:val="auto"/>
          <w:sz w:val="22"/>
          <w:szCs w:val="22"/>
          <w:highlight w:val="none"/>
          <w:lang w:eastAsia="zh-CN"/>
        </w:rPr>
        <w:t>做</w:t>
      </w:r>
      <w:r>
        <w:rPr>
          <w:rFonts w:hint="eastAsia" w:cs="新宋体" w:asciiTheme="majorEastAsia" w:hAnsiTheme="majorEastAsia" w:eastAsiaTheme="majorEastAsia"/>
          <w:b w:val="0"/>
          <w:color w:val="auto"/>
          <w:sz w:val="22"/>
          <w:szCs w:val="22"/>
          <w:highlight w:val="none"/>
        </w:rPr>
        <w:t>任何落标解释。供应商不得以任何方式干扰招投标工作的进行，一经发现其投标文件将被拒绝。</w:t>
      </w:r>
    </w:p>
    <w:p w14:paraId="17BCEA3D">
      <w:pPr>
        <w:adjustRightInd w:val="0"/>
        <w:snapToGrid w:val="0"/>
        <w:spacing w:before="156" w:beforeLines="50" w:after="50" w:line="460" w:lineRule="atLeast"/>
        <w:jc w:val="center"/>
        <w:rPr>
          <w:rFonts w:cs="新宋体" w:asciiTheme="majorEastAsia" w:hAnsiTheme="majorEastAsia" w:eastAsiaTheme="majorEastAsia"/>
          <w:b/>
          <w:bCs/>
          <w:color w:val="auto"/>
          <w:sz w:val="22"/>
          <w:szCs w:val="22"/>
          <w:highlight w:val="none"/>
        </w:rPr>
      </w:pPr>
      <w:r>
        <w:rPr>
          <w:rFonts w:hint="eastAsia" w:cs="新宋体" w:asciiTheme="majorEastAsia" w:hAnsiTheme="majorEastAsia" w:eastAsiaTheme="majorEastAsia"/>
          <w:b/>
          <w:bCs/>
          <w:color w:val="auto"/>
          <w:sz w:val="22"/>
          <w:szCs w:val="22"/>
          <w:highlight w:val="none"/>
        </w:rPr>
        <w:t>二、评标组织</w:t>
      </w:r>
    </w:p>
    <w:p w14:paraId="2D6F4ED4">
      <w:pPr>
        <w:pStyle w:val="27"/>
        <w:adjustRightInd w:val="0"/>
        <w:snapToGrid w:val="0"/>
        <w:spacing w:before="100" w:after="50" w:line="460" w:lineRule="atLeast"/>
        <w:rPr>
          <w:rFonts w:cs="新宋体" w:asciiTheme="majorEastAsia" w:hAnsiTheme="majorEastAsia" w:eastAsiaTheme="majorEastAsia"/>
          <w:b w:val="0"/>
          <w:color w:val="auto"/>
          <w:sz w:val="22"/>
          <w:szCs w:val="22"/>
          <w:highlight w:val="none"/>
        </w:rPr>
      </w:pPr>
      <w:r>
        <w:rPr>
          <w:rFonts w:hint="eastAsia" w:cs="新宋体" w:asciiTheme="majorEastAsia" w:hAnsiTheme="majorEastAsia" w:eastAsiaTheme="majorEastAsia"/>
          <w:b w:val="0"/>
          <w:color w:val="auto"/>
          <w:sz w:val="22"/>
          <w:szCs w:val="22"/>
          <w:highlight w:val="none"/>
        </w:rPr>
        <w:t>评标工作由采购人依法组建的评标委员会负责，评标委员会由采购人代表以及评标专家库中随机抽取的有关技术、经济专家共同组成。评标全过程由采购管理部门监督整个开标、评标和定标过程。</w:t>
      </w:r>
    </w:p>
    <w:p w14:paraId="5B40CC9E">
      <w:pPr>
        <w:pStyle w:val="82"/>
        <w:widowControl w:val="0"/>
        <w:pBdr>
          <w:left w:val="none" w:color="auto" w:sz="0" w:space="0"/>
          <w:bottom w:val="none" w:color="auto" w:sz="0" w:space="0"/>
          <w:right w:val="none" w:color="auto" w:sz="0" w:space="0"/>
        </w:pBdr>
        <w:adjustRightInd w:val="0"/>
        <w:snapToGrid w:val="0"/>
        <w:spacing w:before="156" w:beforeLines="50" w:beforeAutospacing="0" w:after="50" w:afterAutospacing="0" w:line="460" w:lineRule="atLeast"/>
        <w:textAlignment w:val="auto"/>
        <w:rPr>
          <w:rFonts w:cs="新宋体" w:asciiTheme="majorEastAsia" w:hAnsiTheme="majorEastAsia" w:eastAsiaTheme="majorEastAsia"/>
          <w:color w:val="auto"/>
          <w:kern w:val="2"/>
          <w:sz w:val="22"/>
          <w:szCs w:val="22"/>
          <w:highlight w:val="none"/>
        </w:rPr>
      </w:pPr>
      <w:r>
        <w:rPr>
          <w:rFonts w:hint="eastAsia" w:cs="新宋体" w:asciiTheme="majorEastAsia" w:hAnsiTheme="majorEastAsia" w:eastAsiaTheme="majorEastAsia"/>
          <w:color w:val="auto"/>
          <w:kern w:val="2"/>
          <w:sz w:val="22"/>
          <w:szCs w:val="22"/>
          <w:highlight w:val="none"/>
        </w:rPr>
        <w:t>三、评标程序</w:t>
      </w:r>
    </w:p>
    <w:p w14:paraId="4E0025B0">
      <w:pPr>
        <w:adjustRightInd w:val="0"/>
        <w:snapToGrid w:val="0"/>
        <w:spacing w:before="100" w:after="50"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1、开标后，采购人或采购代理机构对各</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的资格进行审查；然后评标委员会对合格</w:t>
      </w:r>
      <w:r>
        <w:rPr>
          <w:rFonts w:hint="eastAsia" w:cs="新宋体" w:asciiTheme="majorEastAsia" w:hAnsiTheme="majorEastAsia" w:eastAsiaTheme="majorEastAsia"/>
          <w:color w:val="auto"/>
          <w:sz w:val="22"/>
          <w:szCs w:val="22"/>
          <w:highlight w:val="none"/>
          <w:lang w:eastAsia="zh-CN"/>
        </w:rPr>
        <w:t>投标人</w:t>
      </w:r>
      <w:r>
        <w:rPr>
          <w:rFonts w:hint="eastAsia" w:cs="新宋体" w:asciiTheme="majorEastAsia" w:hAnsiTheme="majorEastAsia" w:eastAsiaTheme="majorEastAsia"/>
          <w:color w:val="auto"/>
          <w:sz w:val="22"/>
          <w:szCs w:val="22"/>
          <w:highlight w:val="none"/>
        </w:rPr>
        <w:t>的进行符合性审查，按照招标文件中规定的评标方法和标准，对符合性审查合格的投标文件进行商务和技术评估，综合比较与评价。</w:t>
      </w:r>
    </w:p>
    <w:p w14:paraId="33838C79">
      <w:pPr>
        <w:pStyle w:val="10"/>
        <w:adjustRightInd w:val="0"/>
        <w:snapToGrid w:val="0"/>
        <w:spacing w:before="156" w:beforeLines="50" w:after="50" w:line="460" w:lineRule="atLeast"/>
        <w:ind w:firstLine="440"/>
        <w:rPr>
          <w:rFonts w:cs="新宋体" w:asciiTheme="majorEastAsia" w:hAnsiTheme="majorEastAsia" w:eastAsiaTheme="majorEastAsia"/>
          <w:b w:val="0"/>
          <w:color w:val="auto"/>
          <w:sz w:val="22"/>
          <w:szCs w:val="22"/>
          <w:highlight w:val="none"/>
        </w:rPr>
      </w:pPr>
      <w:r>
        <w:rPr>
          <w:rFonts w:hint="eastAsia" w:cs="新宋体" w:asciiTheme="majorEastAsia" w:hAnsiTheme="majorEastAsia" w:eastAsiaTheme="majorEastAsia"/>
          <w:b w:val="0"/>
          <w:color w:val="auto"/>
          <w:sz w:val="22"/>
          <w:szCs w:val="22"/>
          <w:highlight w:val="none"/>
        </w:rPr>
        <w:t>2、由评标委员会依据法律、法规及招标文件有关规定在有效标中按</w:t>
      </w:r>
      <w:r>
        <w:rPr>
          <w:rFonts w:hint="eastAsia" w:cs="新宋体" w:asciiTheme="majorEastAsia" w:hAnsiTheme="majorEastAsia" w:eastAsiaTheme="majorEastAsia"/>
          <w:b w:val="0"/>
          <w:color w:val="auto"/>
          <w:sz w:val="22"/>
          <w:szCs w:val="22"/>
          <w:highlight w:val="none"/>
          <w:lang w:eastAsia="zh-CN"/>
        </w:rPr>
        <w:t>投标人</w:t>
      </w:r>
      <w:r>
        <w:rPr>
          <w:rFonts w:hint="eastAsia" w:cs="新宋体" w:asciiTheme="majorEastAsia" w:hAnsiTheme="majorEastAsia" w:eastAsiaTheme="majorEastAsia"/>
          <w:b w:val="0"/>
          <w:color w:val="auto"/>
          <w:sz w:val="22"/>
          <w:szCs w:val="22"/>
          <w:highlight w:val="none"/>
        </w:rPr>
        <w:t>的最终得分（即技术分与商务分之和）高低进行排序，得分前二名的</w:t>
      </w:r>
      <w:r>
        <w:rPr>
          <w:rFonts w:hint="eastAsia" w:cs="新宋体" w:asciiTheme="majorEastAsia" w:hAnsiTheme="majorEastAsia" w:eastAsiaTheme="majorEastAsia"/>
          <w:b w:val="0"/>
          <w:color w:val="auto"/>
          <w:sz w:val="22"/>
          <w:szCs w:val="22"/>
          <w:highlight w:val="none"/>
          <w:lang w:eastAsia="zh-CN"/>
        </w:rPr>
        <w:t>投标人</w:t>
      </w:r>
      <w:r>
        <w:rPr>
          <w:rFonts w:hint="eastAsia" w:cs="新宋体" w:asciiTheme="majorEastAsia" w:hAnsiTheme="majorEastAsia" w:eastAsiaTheme="majorEastAsia"/>
          <w:b w:val="0"/>
          <w:color w:val="auto"/>
          <w:sz w:val="22"/>
          <w:szCs w:val="22"/>
          <w:highlight w:val="none"/>
        </w:rPr>
        <w:t>推荐为第一中标候选人与第二中标候选人（得分相同投标报价低的排序第一；得分且投标报价相同的，由评标委员会成员抽签决定排序）。</w:t>
      </w:r>
    </w:p>
    <w:p w14:paraId="30D7075A">
      <w:pPr>
        <w:pStyle w:val="10"/>
        <w:adjustRightInd w:val="0"/>
        <w:snapToGrid w:val="0"/>
        <w:spacing w:before="156" w:beforeLines="50" w:after="50" w:line="460" w:lineRule="atLeast"/>
        <w:ind w:firstLine="440"/>
        <w:rPr>
          <w:rFonts w:cs="新宋体" w:asciiTheme="majorEastAsia" w:hAnsiTheme="majorEastAsia" w:eastAsiaTheme="majorEastAsia"/>
          <w:b w:val="0"/>
          <w:color w:val="auto"/>
          <w:sz w:val="22"/>
          <w:szCs w:val="22"/>
          <w:highlight w:val="none"/>
        </w:rPr>
      </w:pPr>
      <w:r>
        <w:rPr>
          <w:rFonts w:hint="eastAsia" w:cs="新宋体" w:asciiTheme="majorEastAsia" w:hAnsiTheme="majorEastAsia" w:eastAsiaTheme="majorEastAsia"/>
          <w:b w:val="0"/>
          <w:color w:val="auto"/>
          <w:sz w:val="22"/>
          <w:szCs w:val="22"/>
          <w:highlight w:val="none"/>
        </w:rPr>
        <w:t xml:space="preserve">3、中标人放弃中标，或者因不可抗力提出不能履行合同，或者招标文件规定应当提交履约保证金、签订合同而在规定的期限内未能提交、签订合同的，采购人可以取消其中标资格。并按供应商评标排序从高到低排序依次确定新的中标人或重新组织采购。 </w:t>
      </w:r>
    </w:p>
    <w:p w14:paraId="5AFD96DA">
      <w:pPr>
        <w:pStyle w:val="10"/>
        <w:adjustRightInd w:val="0"/>
        <w:snapToGrid w:val="0"/>
        <w:spacing w:before="156" w:beforeLines="50" w:after="50" w:line="460" w:lineRule="atLeast"/>
        <w:ind w:firstLine="440"/>
        <w:rPr>
          <w:rFonts w:cs="新宋体" w:asciiTheme="majorEastAsia" w:hAnsiTheme="majorEastAsia" w:eastAsiaTheme="majorEastAsia"/>
          <w:b w:val="0"/>
          <w:color w:val="auto"/>
          <w:sz w:val="22"/>
          <w:szCs w:val="22"/>
          <w:highlight w:val="none"/>
        </w:rPr>
      </w:pPr>
      <w:r>
        <w:rPr>
          <w:rFonts w:hint="eastAsia" w:cs="新宋体" w:asciiTheme="majorEastAsia" w:hAnsiTheme="majorEastAsia" w:eastAsiaTheme="majorEastAsia"/>
          <w:b w:val="0"/>
          <w:color w:val="auto"/>
          <w:sz w:val="22"/>
          <w:szCs w:val="22"/>
          <w:highlight w:val="none"/>
        </w:rPr>
        <w:t>4、其它参见本招标文件第三部分：“供应商须知” 中的相关内容。</w:t>
      </w:r>
    </w:p>
    <w:bookmarkEnd w:id="317"/>
    <w:p w14:paraId="55016476">
      <w:pPr>
        <w:adjustRightInd w:val="0"/>
        <w:spacing w:before="100" w:after="50" w:line="460" w:lineRule="atLeast"/>
        <w:jc w:val="center"/>
        <w:rPr>
          <w:rFonts w:cs="新宋体" w:asciiTheme="majorEastAsia" w:hAnsiTheme="majorEastAsia" w:eastAsiaTheme="majorEastAsia"/>
          <w:b/>
          <w:bCs/>
          <w:color w:val="auto"/>
          <w:sz w:val="22"/>
          <w:szCs w:val="22"/>
          <w:highlight w:val="none"/>
        </w:rPr>
      </w:pPr>
      <w:r>
        <w:rPr>
          <w:rFonts w:hint="eastAsia" w:cs="新宋体" w:asciiTheme="majorEastAsia" w:hAnsiTheme="majorEastAsia" w:eastAsiaTheme="majorEastAsia"/>
          <w:b/>
          <w:bCs/>
          <w:color w:val="auto"/>
          <w:sz w:val="22"/>
          <w:szCs w:val="22"/>
          <w:highlight w:val="none"/>
        </w:rPr>
        <w:t>四、评分细则</w:t>
      </w:r>
    </w:p>
    <w:p w14:paraId="2CADC2B6">
      <w:pPr>
        <w:spacing w:line="460" w:lineRule="atLeast"/>
        <w:ind w:firstLine="440"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一、商务报价评分</w:t>
      </w:r>
      <w:r>
        <w:rPr>
          <w:rFonts w:hint="eastAsia" w:cs="新宋体" w:asciiTheme="majorEastAsia" w:hAnsiTheme="majorEastAsia" w:eastAsiaTheme="majorEastAsia"/>
          <w:color w:val="auto"/>
          <w:sz w:val="22"/>
          <w:szCs w:val="22"/>
          <w:highlight w:val="none"/>
          <w:lang w:val="en-US" w:eastAsia="zh-CN"/>
        </w:rPr>
        <w:t>15</w:t>
      </w:r>
      <w:r>
        <w:rPr>
          <w:rFonts w:hint="eastAsia" w:cs="新宋体" w:asciiTheme="majorEastAsia" w:hAnsiTheme="majorEastAsia" w:eastAsiaTheme="majorEastAsia"/>
          <w:color w:val="auto"/>
          <w:sz w:val="22"/>
          <w:szCs w:val="22"/>
          <w:highlight w:val="none"/>
        </w:rPr>
        <w:t>分</w:t>
      </w:r>
    </w:p>
    <w:p w14:paraId="271FB409">
      <w:pPr>
        <w:widowControl/>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sz w:val="22"/>
          <w:szCs w:val="22"/>
          <w:highlight w:val="none"/>
        </w:rPr>
      </w:pPr>
      <w:r>
        <w:rPr>
          <w:rFonts w:hint="eastAsia" w:cs="新宋体" w:asciiTheme="majorEastAsia" w:hAnsiTheme="majorEastAsia" w:eastAsiaTheme="majorEastAsia"/>
          <w:b/>
          <w:bCs/>
          <w:color w:val="auto"/>
          <w:sz w:val="22"/>
          <w:szCs w:val="22"/>
          <w:highlight w:val="none"/>
        </w:rPr>
        <w:t>1、以供应商有效投标价中的最低报价为评标基准价，得满分</w:t>
      </w:r>
      <w:r>
        <w:rPr>
          <w:rFonts w:hint="eastAsia" w:cs="新宋体" w:asciiTheme="majorEastAsia" w:hAnsiTheme="majorEastAsia" w:eastAsiaTheme="majorEastAsia"/>
          <w:b/>
          <w:bCs/>
          <w:color w:val="auto"/>
          <w:sz w:val="22"/>
          <w:szCs w:val="22"/>
          <w:highlight w:val="none"/>
          <w:lang w:val="en-US" w:eastAsia="zh-CN"/>
        </w:rPr>
        <w:t>15</w:t>
      </w:r>
      <w:r>
        <w:rPr>
          <w:rFonts w:hint="eastAsia" w:cs="新宋体" w:asciiTheme="majorEastAsia" w:hAnsiTheme="majorEastAsia" w:eastAsiaTheme="majorEastAsia"/>
          <w:b/>
          <w:bCs/>
          <w:color w:val="auto"/>
          <w:sz w:val="22"/>
          <w:szCs w:val="22"/>
          <w:highlight w:val="none"/>
        </w:rPr>
        <w:t>分。商务报价评分结算公式为:投标报价得分=</w:t>
      </w:r>
      <w:bookmarkStart w:id="447" w:name="OLE_LINK1"/>
      <w:r>
        <w:rPr>
          <w:rFonts w:hint="eastAsia" w:cs="新宋体" w:asciiTheme="majorEastAsia" w:hAnsiTheme="majorEastAsia" w:eastAsiaTheme="majorEastAsia"/>
          <w:b/>
          <w:bCs/>
          <w:color w:val="auto"/>
          <w:sz w:val="22"/>
          <w:szCs w:val="22"/>
          <w:highlight w:val="none"/>
        </w:rPr>
        <w:t>(评标基准价／投标报价)×</w:t>
      </w:r>
      <w:r>
        <w:rPr>
          <w:rFonts w:hint="eastAsia" w:cs="新宋体" w:asciiTheme="majorEastAsia" w:hAnsiTheme="majorEastAsia" w:eastAsiaTheme="majorEastAsia"/>
          <w:b/>
          <w:bCs/>
          <w:color w:val="auto"/>
          <w:sz w:val="22"/>
          <w:szCs w:val="22"/>
          <w:highlight w:val="none"/>
          <w:lang w:val="en-US" w:eastAsia="zh-CN"/>
        </w:rPr>
        <w:t>15</w:t>
      </w:r>
      <w:r>
        <w:rPr>
          <w:rFonts w:hint="eastAsia" w:cs="新宋体" w:asciiTheme="majorEastAsia" w:hAnsiTheme="majorEastAsia" w:eastAsiaTheme="majorEastAsia"/>
          <w:b/>
          <w:bCs/>
          <w:color w:val="auto"/>
          <w:sz w:val="22"/>
          <w:szCs w:val="22"/>
          <w:highlight w:val="none"/>
        </w:rPr>
        <w:t>%×100</w:t>
      </w:r>
      <w:bookmarkEnd w:id="447"/>
      <w:r>
        <w:rPr>
          <w:rFonts w:hint="eastAsia" w:cs="新宋体" w:asciiTheme="majorEastAsia" w:hAnsiTheme="majorEastAsia" w:eastAsiaTheme="majorEastAsia"/>
          <w:b/>
          <w:bCs/>
          <w:color w:val="auto"/>
          <w:sz w:val="22"/>
          <w:szCs w:val="22"/>
          <w:highlight w:val="none"/>
        </w:rPr>
        <w:t>。</w:t>
      </w:r>
    </w:p>
    <w:p w14:paraId="0DFB469B">
      <w:pPr>
        <w:widowControl/>
        <w:autoSpaceDE w:val="0"/>
        <w:autoSpaceDN w:val="0"/>
        <w:adjustRightInd w:val="0"/>
        <w:spacing w:line="460" w:lineRule="atLeast"/>
        <w:ind w:firstLine="442" w:firstLineChars="200"/>
        <w:textAlignment w:val="bottom"/>
        <w:rPr>
          <w:rFonts w:cs="新宋体" w:asciiTheme="majorEastAsia" w:hAnsiTheme="majorEastAsia" w:eastAsiaTheme="majorEastAsia"/>
          <w:b/>
          <w:bCs/>
          <w:color w:val="auto"/>
          <w:sz w:val="22"/>
          <w:szCs w:val="22"/>
          <w:highlight w:val="none"/>
        </w:rPr>
      </w:pPr>
      <w:r>
        <w:rPr>
          <w:rFonts w:hint="eastAsia" w:cs="新宋体" w:asciiTheme="majorEastAsia" w:hAnsiTheme="majorEastAsia" w:eastAsiaTheme="majorEastAsia"/>
          <w:b/>
          <w:bCs/>
          <w:color w:val="auto"/>
          <w:sz w:val="22"/>
          <w:szCs w:val="22"/>
          <w:highlight w:val="none"/>
        </w:rPr>
        <w:t>2、符合招标文件规定条件的小、微企业（或监狱企业、残疾人企业），给予评标价格折扣（10%）</w:t>
      </w:r>
      <w:r>
        <w:rPr>
          <w:rFonts w:hint="eastAsia" w:ascii="宋体" w:hAnsi="宋体" w:cs="宋体"/>
          <w:b/>
          <w:bCs/>
          <w:color w:val="auto"/>
          <w:sz w:val="22"/>
          <w:szCs w:val="22"/>
          <w:highlight w:val="none"/>
        </w:rPr>
        <w:t>。</w:t>
      </w:r>
    </w:p>
    <w:p w14:paraId="25924392">
      <w:pPr>
        <w:autoSpaceDE w:val="0"/>
        <w:autoSpaceDN w:val="0"/>
        <w:adjustRightInd w:val="0"/>
        <w:spacing w:line="460" w:lineRule="atLeast"/>
        <w:ind w:firstLine="442" w:firstLineChars="200"/>
        <w:rPr>
          <w:rFonts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b/>
          <w:color w:val="auto"/>
          <w:sz w:val="22"/>
          <w:szCs w:val="22"/>
          <w:highlight w:val="none"/>
          <w:u w:val="single"/>
        </w:rPr>
        <w:t>3、</w:t>
      </w:r>
      <w:r>
        <w:rPr>
          <w:rFonts w:hint="eastAsia" w:cs="新宋体" w:asciiTheme="majorEastAsia" w:hAnsiTheme="majorEastAsia" w:eastAsiaTheme="majorEastAsia"/>
          <w:b/>
          <w:color w:val="auto"/>
          <w:sz w:val="22"/>
          <w:highlight w:val="none"/>
          <w:u w:val="single"/>
        </w:rPr>
        <w:t>本项目</w:t>
      </w:r>
      <w:r>
        <w:rPr>
          <w:rFonts w:hint="eastAsia" w:cs="新宋体" w:asciiTheme="majorEastAsia" w:hAnsiTheme="majorEastAsia" w:eastAsiaTheme="majorEastAsia"/>
          <w:b/>
          <w:color w:val="auto"/>
          <w:sz w:val="22"/>
          <w:szCs w:val="22"/>
          <w:highlight w:val="none"/>
          <w:u w:val="single"/>
        </w:rPr>
        <w:t>采购预算见采购公告。</w:t>
      </w:r>
      <w:r>
        <w:rPr>
          <w:rFonts w:hint="eastAsia" w:cs="新宋体" w:asciiTheme="majorEastAsia" w:hAnsiTheme="majorEastAsia" w:eastAsiaTheme="majorEastAsia"/>
          <w:color w:val="auto"/>
          <w:sz w:val="22"/>
          <w:szCs w:val="22"/>
          <w:highlight w:val="none"/>
        </w:rPr>
        <w:t>如果所有供应商的报价均超出采购最高限价且采购人确认不能支付的情况，本次采购做流（废）标处理。如果仅仅某个（些）供应商的商务报价超出采购最高限价则该供应商按无效投标处理。</w:t>
      </w:r>
    </w:p>
    <w:p w14:paraId="4485251D">
      <w:pPr>
        <w:spacing w:line="460" w:lineRule="atLeast"/>
        <w:ind w:firstLine="440" w:firstLineChars="200"/>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 w:val="22"/>
          <w:highlight w:val="none"/>
        </w:rPr>
        <w:t>二、技术、服务、资信业绩综合评分</w:t>
      </w:r>
      <w:r>
        <w:rPr>
          <w:rFonts w:hint="eastAsia" w:cs="新宋体" w:asciiTheme="majorEastAsia" w:hAnsiTheme="majorEastAsia" w:eastAsiaTheme="majorEastAsia"/>
          <w:color w:val="auto"/>
          <w:sz w:val="22"/>
          <w:highlight w:val="none"/>
          <w:lang w:val="en-US" w:eastAsia="zh-CN"/>
        </w:rPr>
        <w:t>85</w:t>
      </w:r>
      <w:r>
        <w:rPr>
          <w:rFonts w:hint="eastAsia" w:cs="新宋体" w:asciiTheme="majorEastAsia" w:hAnsiTheme="majorEastAsia" w:eastAsiaTheme="majorEastAsia"/>
          <w:color w:val="auto"/>
          <w:sz w:val="22"/>
          <w:highlight w:val="none"/>
        </w:rPr>
        <w:t>分</w:t>
      </w:r>
    </w:p>
    <w:p w14:paraId="595A7EF4">
      <w:pPr>
        <w:autoSpaceDE w:val="0"/>
        <w:autoSpaceDN w:val="0"/>
        <w:adjustRightInd w:val="0"/>
        <w:spacing w:line="460" w:lineRule="atLeast"/>
        <w:ind w:firstLine="440" w:firstLineChars="200"/>
        <w:rPr>
          <w:rFonts w:hint="eastAsia" w:cs="新宋体" w:asciiTheme="majorEastAsia" w:hAnsiTheme="majorEastAsia" w:eastAsiaTheme="majorEastAsia"/>
          <w:color w:val="auto"/>
          <w:sz w:val="22"/>
          <w:szCs w:val="22"/>
          <w:highlight w:val="none"/>
        </w:rPr>
      </w:pPr>
      <w:r>
        <w:rPr>
          <w:rFonts w:hint="eastAsia" w:cs="新宋体" w:asciiTheme="majorEastAsia" w:hAnsiTheme="majorEastAsia" w:eastAsiaTheme="majorEastAsia"/>
          <w:color w:val="auto"/>
          <w:sz w:val="22"/>
          <w:szCs w:val="22"/>
          <w:highlight w:val="none"/>
        </w:rPr>
        <w:t>各评委成员按下列评分项目进行评定，每人一张评分计算表，由评标委员会成员各自评定打分并记实名。如任何一张表的一项评分内容分值超过规定的范围，则该张表无效。评标委员会成员对各供应商的各项评分内容评分合计值的算术平均值为该供应商商务技术文件的最终得分（四舍五入，保留小数点后二位）。</w:t>
      </w:r>
    </w:p>
    <w:tbl>
      <w:tblPr>
        <w:tblStyle w:val="43"/>
        <w:tblW w:w="498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9"/>
        <w:gridCol w:w="1131"/>
        <w:gridCol w:w="776"/>
        <w:gridCol w:w="7321"/>
      </w:tblGrid>
      <w:tr w14:paraId="312FB7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00" w:type="pct"/>
            <w:tcBorders>
              <w:tl2br w:val="nil"/>
              <w:tr2bl w:val="nil"/>
            </w:tcBorders>
            <w:vAlign w:val="center"/>
          </w:tcPr>
          <w:p w14:paraId="2E55DF7C">
            <w:pPr>
              <w:widowControl/>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序号</w:t>
            </w:r>
          </w:p>
        </w:tc>
        <w:tc>
          <w:tcPr>
            <w:tcW w:w="576" w:type="pct"/>
            <w:tcBorders>
              <w:tl2br w:val="nil"/>
              <w:tr2bl w:val="nil"/>
            </w:tcBorders>
            <w:vAlign w:val="center"/>
          </w:tcPr>
          <w:p w14:paraId="5F205C45">
            <w:pPr>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评分项</w:t>
            </w:r>
          </w:p>
        </w:tc>
        <w:tc>
          <w:tcPr>
            <w:tcW w:w="395" w:type="pct"/>
            <w:tcBorders>
              <w:tl2br w:val="nil"/>
              <w:tr2bl w:val="nil"/>
            </w:tcBorders>
            <w:vAlign w:val="center"/>
          </w:tcPr>
          <w:p w14:paraId="06761CD7">
            <w:pPr>
              <w:widowControl/>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分值（分）</w:t>
            </w:r>
          </w:p>
        </w:tc>
        <w:tc>
          <w:tcPr>
            <w:tcW w:w="3727" w:type="pct"/>
            <w:tcBorders>
              <w:tl2br w:val="nil"/>
              <w:tr2bl w:val="nil"/>
            </w:tcBorders>
            <w:vAlign w:val="center"/>
          </w:tcPr>
          <w:p w14:paraId="51426FB0">
            <w:pPr>
              <w:widowControl/>
              <w:ind w:left="31"/>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评分细则</w:t>
            </w:r>
          </w:p>
        </w:tc>
      </w:tr>
      <w:tr w14:paraId="7BA3CE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20" w:hRule="atLeast"/>
          <w:jc w:val="center"/>
        </w:trPr>
        <w:tc>
          <w:tcPr>
            <w:tcW w:w="300" w:type="pct"/>
            <w:vMerge w:val="restart"/>
            <w:tcBorders>
              <w:tl2br w:val="nil"/>
              <w:tr2bl w:val="nil"/>
            </w:tcBorders>
            <w:shd w:val="clear" w:color="auto" w:fill="auto"/>
            <w:vAlign w:val="center"/>
          </w:tcPr>
          <w:p w14:paraId="41D12025">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p>
        </w:tc>
        <w:tc>
          <w:tcPr>
            <w:tcW w:w="576" w:type="pct"/>
            <w:vMerge w:val="restart"/>
            <w:tcBorders>
              <w:tl2br w:val="nil"/>
              <w:tr2bl w:val="nil"/>
            </w:tcBorders>
            <w:shd w:val="clear" w:color="auto" w:fill="auto"/>
            <w:vAlign w:val="center"/>
          </w:tcPr>
          <w:p w14:paraId="4A5CDAAB">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投标人综合情况</w:t>
            </w:r>
          </w:p>
        </w:tc>
        <w:tc>
          <w:tcPr>
            <w:tcW w:w="395" w:type="pct"/>
            <w:tcBorders>
              <w:tl2br w:val="nil"/>
              <w:tr2bl w:val="nil"/>
            </w:tcBorders>
            <w:shd w:val="clear" w:color="auto" w:fill="auto"/>
            <w:vAlign w:val="center"/>
          </w:tcPr>
          <w:p w14:paraId="797140CD">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w:t>
            </w:r>
            <w:r>
              <w:rPr>
                <w:rFonts w:hint="eastAsia" w:ascii="宋体" w:hAnsi="宋体" w:cs="宋体"/>
                <w:color w:val="auto"/>
                <w:sz w:val="22"/>
                <w:szCs w:val="22"/>
                <w:highlight w:val="none"/>
                <w:lang w:val="en-US" w:eastAsia="zh-CN"/>
              </w:rPr>
              <w:t>5</w:t>
            </w:r>
          </w:p>
        </w:tc>
        <w:tc>
          <w:tcPr>
            <w:tcW w:w="3727" w:type="pct"/>
            <w:tcBorders>
              <w:tl2br w:val="nil"/>
              <w:tr2bl w:val="nil"/>
            </w:tcBorders>
            <w:shd w:val="clear" w:color="auto" w:fill="auto"/>
            <w:vAlign w:val="center"/>
          </w:tcPr>
          <w:p w14:paraId="7C0EFB3C">
            <w:pPr>
              <w:widowControl/>
              <w:ind w:left="31"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投标人拥有ISO9001质量管理体系认证、ISO14001环境管理体系认证、ISO45001职业健康安全管理体系认证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rPr>
              <w:t>ISO27001信息安全管理体系认证证书、ISO20000信息技术服务管理体系证书</w:t>
            </w:r>
            <w:r>
              <w:rPr>
                <w:rFonts w:hint="eastAsia" w:ascii="宋体" w:hAnsi="宋体" w:eastAsia="宋体" w:cs="宋体"/>
                <w:color w:val="auto"/>
                <w:sz w:val="22"/>
                <w:szCs w:val="22"/>
                <w:highlight w:val="none"/>
              </w:rPr>
              <w:t>，每提供一个有效证书得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分。</w:t>
            </w:r>
          </w:p>
          <w:p w14:paraId="4D2F06A1">
            <w:pPr>
              <w:widowControl/>
              <w:ind w:left="31" w:left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rPr>
              <w:t>注：须提供以上有效证书扫描件加盖投标人公章及证书在全国认证认可信息公共服务平台上证书状态为“有效”的查询结果网页截图</w:t>
            </w:r>
            <w:r>
              <w:rPr>
                <w:rFonts w:hint="eastAsia" w:ascii="宋体" w:hAnsi="宋体" w:cs="宋体"/>
                <w:b/>
                <w:bCs/>
                <w:color w:val="auto"/>
                <w:sz w:val="22"/>
                <w:szCs w:val="22"/>
                <w:highlight w:val="none"/>
                <w:lang w:eastAsia="zh-CN"/>
              </w:rPr>
              <w:t>，</w:t>
            </w:r>
            <w:r>
              <w:rPr>
                <w:rFonts w:hint="eastAsia" w:ascii="宋体" w:hAnsi="宋体" w:eastAsia="宋体" w:cs="宋体"/>
                <w:b/>
                <w:bCs/>
                <w:color w:val="auto"/>
                <w:sz w:val="22"/>
                <w:szCs w:val="22"/>
                <w:highlight w:val="none"/>
              </w:rPr>
              <w:t>加盖投标人公章，否则不得分。</w:t>
            </w:r>
          </w:p>
        </w:tc>
      </w:tr>
      <w:tr w14:paraId="56FC60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300" w:type="pct"/>
            <w:vMerge w:val="continue"/>
            <w:tcBorders>
              <w:tl2br w:val="nil"/>
              <w:tr2bl w:val="nil"/>
            </w:tcBorders>
            <w:vAlign w:val="center"/>
          </w:tcPr>
          <w:p w14:paraId="207B66BF">
            <w:pPr>
              <w:widowControl/>
              <w:jc w:val="center"/>
              <w:rPr>
                <w:rFonts w:hint="eastAsia" w:ascii="宋体" w:hAnsi="宋体" w:eastAsia="宋体" w:cs="宋体"/>
                <w:color w:val="auto"/>
                <w:sz w:val="22"/>
                <w:szCs w:val="22"/>
                <w:highlight w:val="none"/>
              </w:rPr>
            </w:pPr>
          </w:p>
        </w:tc>
        <w:tc>
          <w:tcPr>
            <w:tcW w:w="576" w:type="pct"/>
            <w:vMerge w:val="continue"/>
            <w:tcBorders>
              <w:tl2br w:val="nil"/>
              <w:tr2bl w:val="nil"/>
            </w:tcBorders>
            <w:vAlign w:val="center"/>
          </w:tcPr>
          <w:p w14:paraId="78D99E51">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6C2A1A27">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0-1</w:t>
            </w:r>
          </w:p>
        </w:tc>
        <w:tc>
          <w:tcPr>
            <w:tcW w:w="3727" w:type="pct"/>
            <w:tcBorders>
              <w:tl2br w:val="nil"/>
              <w:tr2bl w:val="nil"/>
            </w:tcBorders>
            <w:shd w:val="clear" w:color="auto" w:fill="auto"/>
            <w:vAlign w:val="center"/>
          </w:tcPr>
          <w:p w14:paraId="6062E017">
            <w:pPr>
              <w:widowControl/>
              <w:ind w:left="31" w:leftChars="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rPr>
              <w:t>投标人具有信息技术服务标准符合性证书的得</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分。注：须提供以上有效证书扫描件加盖投标人公章，否则不得分。</w:t>
            </w:r>
          </w:p>
        </w:tc>
      </w:tr>
      <w:tr w14:paraId="538D70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20" w:hRule="atLeast"/>
          <w:jc w:val="center"/>
        </w:trPr>
        <w:tc>
          <w:tcPr>
            <w:tcW w:w="300" w:type="pct"/>
            <w:vMerge w:val="continue"/>
            <w:tcBorders>
              <w:tl2br w:val="nil"/>
              <w:tr2bl w:val="nil"/>
            </w:tcBorders>
            <w:vAlign w:val="center"/>
          </w:tcPr>
          <w:p w14:paraId="115145B6">
            <w:pPr>
              <w:widowControl/>
              <w:jc w:val="center"/>
              <w:rPr>
                <w:rFonts w:hint="eastAsia" w:ascii="宋体" w:hAnsi="宋体" w:eastAsia="宋体" w:cs="宋体"/>
                <w:color w:val="auto"/>
                <w:sz w:val="22"/>
                <w:szCs w:val="22"/>
                <w:highlight w:val="none"/>
              </w:rPr>
            </w:pPr>
          </w:p>
        </w:tc>
        <w:tc>
          <w:tcPr>
            <w:tcW w:w="576" w:type="pct"/>
            <w:vMerge w:val="continue"/>
            <w:tcBorders>
              <w:tl2br w:val="nil"/>
              <w:tr2bl w:val="nil"/>
            </w:tcBorders>
            <w:vAlign w:val="center"/>
          </w:tcPr>
          <w:p w14:paraId="0AA122BE">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3374A17E">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0-3</w:t>
            </w:r>
          </w:p>
        </w:tc>
        <w:tc>
          <w:tcPr>
            <w:tcW w:w="3727" w:type="pct"/>
            <w:tcBorders>
              <w:tl2br w:val="nil"/>
              <w:tr2bl w:val="nil"/>
            </w:tcBorders>
            <w:shd w:val="clear" w:color="auto" w:fill="auto"/>
            <w:vAlign w:val="center"/>
          </w:tcPr>
          <w:p w14:paraId="021F07B5">
            <w:pPr>
              <w:widowControl/>
              <w:ind w:left="31"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投标人具备由中华人民共和国国家版权局颁发的《计算机软件著作权登记证书》，提供1至3个证书得1分，提供4至8个证书得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分，提供9个及以上证书得</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分。</w:t>
            </w:r>
          </w:p>
          <w:p w14:paraId="5F9E239E">
            <w:pPr>
              <w:widowControl/>
              <w:ind w:left="31" w:left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rPr>
              <w:t>注：须提供相关证书或证明材料扫描件加盖投标人公章；未按要求提供的不得分。</w:t>
            </w:r>
          </w:p>
        </w:tc>
      </w:tr>
      <w:tr w14:paraId="213E9B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00" w:type="pct"/>
            <w:tcBorders>
              <w:tl2br w:val="nil"/>
              <w:tr2bl w:val="nil"/>
            </w:tcBorders>
            <w:vAlign w:val="center"/>
          </w:tcPr>
          <w:p w14:paraId="0B6ADE53">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576" w:type="pct"/>
            <w:tcBorders>
              <w:tl2br w:val="nil"/>
              <w:tr2bl w:val="nil"/>
            </w:tcBorders>
            <w:vAlign w:val="center"/>
          </w:tcPr>
          <w:p w14:paraId="38556F16">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业绩</w:t>
            </w:r>
          </w:p>
        </w:tc>
        <w:tc>
          <w:tcPr>
            <w:tcW w:w="395" w:type="pct"/>
            <w:tcBorders>
              <w:tl2br w:val="nil"/>
              <w:tr2bl w:val="nil"/>
            </w:tcBorders>
            <w:vAlign w:val="center"/>
          </w:tcPr>
          <w:p w14:paraId="612C20E0">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0-1.5</w:t>
            </w:r>
          </w:p>
        </w:tc>
        <w:tc>
          <w:tcPr>
            <w:tcW w:w="3727" w:type="pct"/>
            <w:tcBorders>
              <w:tl2br w:val="nil"/>
              <w:tr2bl w:val="nil"/>
            </w:tcBorders>
            <w:vAlign w:val="center"/>
          </w:tcPr>
          <w:p w14:paraId="01B3D5B8">
            <w:pPr>
              <w:widowControl/>
              <w:ind w:left="31" w:leftChars="0"/>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bidi="ar"/>
              </w:rPr>
              <w:t>供应商自202</w:t>
            </w:r>
            <w:r>
              <w:rPr>
                <w:rFonts w:hint="eastAsia" w:ascii="宋体" w:hAnsi="宋体" w:eastAsia="宋体" w:cs="宋体"/>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bidi="ar"/>
              </w:rPr>
              <w:t>年1月1日（以签订合同时间为准）以来</w:t>
            </w:r>
            <w:r>
              <w:rPr>
                <w:rFonts w:hint="eastAsia" w:ascii="宋体" w:hAnsi="宋体" w:cs="宋体"/>
                <w:color w:val="auto"/>
                <w:kern w:val="0"/>
                <w:sz w:val="22"/>
                <w:szCs w:val="22"/>
                <w:highlight w:val="none"/>
                <w:lang w:eastAsia="zh-CN" w:bidi="ar"/>
              </w:rPr>
              <w:t>相关</w:t>
            </w:r>
            <w:r>
              <w:rPr>
                <w:rFonts w:hint="eastAsia" w:ascii="宋体" w:hAnsi="宋体" w:eastAsia="宋体" w:cs="宋体"/>
                <w:color w:val="auto"/>
                <w:kern w:val="0"/>
                <w:sz w:val="22"/>
                <w:szCs w:val="22"/>
                <w:highlight w:val="none"/>
                <w:lang w:val="en-US" w:eastAsia="zh-CN" w:bidi="ar"/>
              </w:rPr>
              <w:t>软件开发</w:t>
            </w:r>
            <w:r>
              <w:rPr>
                <w:rFonts w:hint="eastAsia" w:ascii="宋体" w:hAnsi="宋体" w:eastAsia="宋体" w:cs="宋体"/>
                <w:color w:val="auto"/>
                <w:kern w:val="0"/>
                <w:sz w:val="22"/>
                <w:szCs w:val="22"/>
                <w:highlight w:val="none"/>
                <w:lang w:bidi="ar"/>
              </w:rPr>
              <w:t>项目业绩案例，每提供一</w:t>
            </w:r>
            <w:r>
              <w:rPr>
                <w:rFonts w:hint="eastAsia" w:ascii="宋体" w:hAnsi="宋体" w:eastAsia="宋体" w:cs="宋体"/>
                <w:color w:val="auto"/>
                <w:kern w:val="0"/>
                <w:sz w:val="22"/>
                <w:szCs w:val="22"/>
                <w:highlight w:val="none"/>
                <w:lang w:val="en-US" w:eastAsia="zh-CN" w:bidi="ar"/>
              </w:rPr>
              <w:t>个</w:t>
            </w:r>
            <w:r>
              <w:rPr>
                <w:rFonts w:hint="eastAsia" w:ascii="宋体" w:hAnsi="宋体" w:eastAsia="宋体" w:cs="宋体"/>
                <w:color w:val="auto"/>
                <w:kern w:val="0"/>
                <w:sz w:val="22"/>
                <w:szCs w:val="22"/>
                <w:highlight w:val="none"/>
                <w:lang w:bidi="ar"/>
              </w:rPr>
              <w:t>得</w:t>
            </w:r>
            <w:r>
              <w:rPr>
                <w:rFonts w:hint="eastAsia" w:ascii="宋体" w:hAnsi="宋体" w:eastAsia="宋体" w:cs="宋体"/>
                <w:color w:val="auto"/>
                <w:kern w:val="0"/>
                <w:sz w:val="22"/>
                <w:szCs w:val="22"/>
                <w:highlight w:val="none"/>
                <w:lang w:val="en-US" w:eastAsia="zh-CN" w:bidi="ar"/>
              </w:rPr>
              <w:t>0.5</w:t>
            </w:r>
            <w:r>
              <w:rPr>
                <w:rFonts w:hint="eastAsia" w:ascii="宋体" w:hAnsi="宋体" w:eastAsia="宋体" w:cs="宋体"/>
                <w:color w:val="auto"/>
                <w:kern w:val="0"/>
                <w:sz w:val="22"/>
                <w:szCs w:val="22"/>
                <w:highlight w:val="none"/>
                <w:lang w:bidi="ar"/>
              </w:rPr>
              <w:t>分，最多得</w:t>
            </w:r>
            <w:r>
              <w:rPr>
                <w:rFonts w:hint="eastAsia" w:ascii="宋体" w:hAnsi="宋体" w:eastAsia="宋体" w:cs="宋体"/>
                <w:color w:val="auto"/>
                <w:kern w:val="0"/>
                <w:sz w:val="22"/>
                <w:szCs w:val="22"/>
                <w:highlight w:val="none"/>
                <w:lang w:val="en-US" w:eastAsia="zh-CN" w:bidi="ar"/>
              </w:rPr>
              <w:t>1.5</w:t>
            </w:r>
            <w:r>
              <w:rPr>
                <w:rFonts w:hint="eastAsia" w:ascii="宋体" w:hAnsi="宋体" w:eastAsia="宋体" w:cs="宋体"/>
                <w:color w:val="auto"/>
                <w:kern w:val="0"/>
                <w:sz w:val="22"/>
                <w:szCs w:val="22"/>
                <w:highlight w:val="none"/>
                <w:lang w:bidi="ar"/>
              </w:rPr>
              <w:t>分。</w:t>
            </w:r>
          </w:p>
          <w:p w14:paraId="66F9FAFD">
            <w:pPr>
              <w:widowControl/>
              <w:ind w:left="31" w:leftChars="0"/>
              <w:rPr>
                <w:rFonts w:hint="eastAsia" w:ascii="宋体" w:hAnsi="宋体" w:eastAsia="宋体" w:cs="宋体"/>
                <w:color w:val="auto"/>
                <w:sz w:val="22"/>
                <w:szCs w:val="22"/>
                <w:highlight w:val="none"/>
              </w:rPr>
            </w:pPr>
            <w:r>
              <w:rPr>
                <w:rFonts w:hint="eastAsia" w:ascii="宋体" w:hAnsi="宋体" w:cs="宋体"/>
                <w:color w:val="auto"/>
                <w:kern w:val="0"/>
                <w:sz w:val="22"/>
                <w:szCs w:val="22"/>
                <w:highlight w:val="none"/>
                <w:lang w:val="en-US" w:eastAsia="zh-CN" w:bidi="ar"/>
              </w:rPr>
              <w:t>注：</w:t>
            </w:r>
            <w:r>
              <w:rPr>
                <w:rFonts w:hint="eastAsia" w:ascii="宋体" w:hAnsi="宋体" w:eastAsia="宋体" w:cs="宋体"/>
                <w:color w:val="auto"/>
                <w:kern w:val="0"/>
                <w:sz w:val="22"/>
                <w:szCs w:val="22"/>
                <w:highlight w:val="none"/>
                <w:lang w:bidi="ar"/>
              </w:rPr>
              <w:t>须提供合同扫描件加盖投标人公章</w:t>
            </w:r>
            <w:r>
              <w:rPr>
                <w:rFonts w:hint="eastAsia" w:ascii="宋体" w:hAnsi="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bidi="ar"/>
              </w:rPr>
              <w:t>未提供或提供的扫描件字迹模糊无法辨识的，该项</w:t>
            </w:r>
            <w:r>
              <w:rPr>
                <w:rFonts w:hint="eastAsia" w:ascii="宋体" w:hAnsi="宋体" w:eastAsia="宋体" w:cs="宋体"/>
                <w:color w:val="auto"/>
                <w:kern w:val="0"/>
                <w:sz w:val="22"/>
                <w:szCs w:val="22"/>
                <w:highlight w:val="none"/>
                <w:lang w:val="en-US" w:eastAsia="zh-CN" w:bidi="ar"/>
              </w:rPr>
              <w:t>不得分</w:t>
            </w:r>
            <w:r>
              <w:rPr>
                <w:rFonts w:hint="eastAsia" w:ascii="宋体" w:hAnsi="宋体" w:cs="宋体"/>
                <w:color w:val="auto"/>
                <w:kern w:val="0"/>
                <w:sz w:val="22"/>
                <w:szCs w:val="22"/>
                <w:highlight w:val="none"/>
                <w:lang w:val="en-US" w:eastAsia="zh-CN" w:bidi="ar"/>
              </w:rPr>
              <w:t>。</w:t>
            </w:r>
          </w:p>
        </w:tc>
      </w:tr>
      <w:tr w14:paraId="4831FC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00" w:type="pct"/>
            <w:tcBorders>
              <w:tl2br w:val="nil"/>
              <w:tr2bl w:val="nil"/>
            </w:tcBorders>
            <w:vAlign w:val="center"/>
          </w:tcPr>
          <w:p w14:paraId="619A4F23">
            <w:pPr>
              <w:widowControl/>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576" w:type="pct"/>
            <w:tcBorders>
              <w:tl2br w:val="nil"/>
              <w:tr2bl w:val="nil"/>
            </w:tcBorders>
            <w:vAlign w:val="center"/>
          </w:tcPr>
          <w:p w14:paraId="3C291DB6">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参数符合情况</w:t>
            </w:r>
          </w:p>
        </w:tc>
        <w:tc>
          <w:tcPr>
            <w:tcW w:w="395" w:type="pct"/>
            <w:tcBorders>
              <w:tl2br w:val="nil"/>
              <w:tr2bl w:val="nil"/>
            </w:tcBorders>
            <w:vAlign w:val="center"/>
          </w:tcPr>
          <w:p w14:paraId="126DBA42">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0-1</w:t>
            </w:r>
            <w:r>
              <w:rPr>
                <w:rFonts w:hint="eastAsia" w:ascii="宋体" w:hAnsi="宋体" w:cs="宋体"/>
                <w:color w:val="auto"/>
                <w:sz w:val="22"/>
                <w:szCs w:val="22"/>
                <w:highlight w:val="none"/>
                <w:lang w:val="en-US" w:eastAsia="zh-CN"/>
              </w:rPr>
              <w:t>8</w:t>
            </w:r>
          </w:p>
        </w:tc>
        <w:tc>
          <w:tcPr>
            <w:tcW w:w="3727" w:type="pct"/>
            <w:tcBorders>
              <w:tl2br w:val="nil"/>
              <w:tr2bl w:val="nil"/>
            </w:tcBorders>
            <w:vAlign w:val="center"/>
          </w:tcPr>
          <w:p w14:paraId="5A39209F">
            <w:pP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响应情况：</w:t>
            </w:r>
            <w:r>
              <w:rPr>
                <w:rFonts w:hint="eastAsia" w:ascii="宋体" w:hAnsi="宋体" w:eastAsia="宋体" w:cs="宋体"/>
                <w:color w:val="auto"/>
                <w:kern w:val="0"/>
                <w:sz w:val="22"/>
                <w:szCs w:val="22"/>
                <w:highlight w:val="none"/>
                <w:lang w:bidi="ar"/>
              </w:rPr>
              <w:t>根据</w:t>
            </w:r>
            <w:r>
              <w:rPr>
                <w:rFonts w:hint="eastAsia" w:ascii="宋体" w:hAnsi="宋体" w:cs="宋体"/>
                <w:color w:val="auto"/>
                <w:kern w:val="0"/>
                <w:sz w:val="22"/>
                <w:szCs w:val="22"/>
                <w:highlight w:val="none"/>
                <w:lang w:val="en-US" w:eastAsia="zh-CN" w:bidi="ar"/>
              </w:rPr>
              <w:t>投标人</w:t>
            </w:r>
            <w:r>
              <w:rPr>
                <w:rFonts w:hint="eastAsia" w:ascii="宋体" w:hAnsi="宋体" w:eastAsia="宋体" w:cs="宋体"/>
                <w:color w:val="auto"/>
                <w:kern w:val="0"/>
                <w:sz w:val="22"/>
                <w:szCs w:val="22"/>
                <w:highlight w:val="none"/>
                <w:lang w:val="en-US" w:eastAsia="zh-CN" w:bidi="ar"/>
              </w:rPr>
              <w:t>的</w:t>
            </w:r>
            <w:r>
              <w:rPr>
                <w:rFonts w:hint="eastAsia" w:ascii="宋体" w:hAnsi="宋体" w:eastAsia="宋体" w:cs="宋体"/>
                <w:color w:val="auto"/>
                <w:kern w:val="0"/>
                <w:sz w:val="22"/>
                <w:szCs w:val="22"/>
                <w:highlight w:val="none"/>
                <w:lang w:bidi="ar"/>
              </w:rPr>
              <w:t>指标及技术参数要求与本项目要求的吻合与偏差程度进行打分。其中带“</w:t>
            </w:r>
            <w:r>
              <w:rPr>
                <w:rFonts w:hint="eastAsia" w:ascii="宋体" w:hAnsi="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bidi="ar"/>
              </w:rPr>
              <w:t>”号的技术要求项，未满足1个扣1分，不带“</w:t>
            </w:r>
            <w:r>
              <w:rPr>
                <w:rFonts w:hint="eastAsia" w:ascii="宋体" w:hAnsi="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bidi="ar"/>
              </w:rPr>
              <w:t>”的条款内容，未满足1个扣0.5分</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bidi="ar"/>
              </w:rPr>
              <w:t>本项满分</w:t>
            </w:r>
            <w:r>
              <w:rPr>
                <w:rFonts w:hint="eastAsia" w:ascii="宋体" w:hAnsi="宋体" w:eastAsia="宋体" w:cs="宋体"/>
                <w:color w:val="auto"/>
                <w:kern w:val="0"/>
                <w:sz w:val="22"/>
                <w:szCs w:val="22"/>
                <w:highlight w:val="none"/>
                <w:lang w:val="en-US" w:eastAsia="zh-CN" w:bidi="ar"/>
              </w:rPr>
              <w:t>1</w:t>
            </w:r>
            <w:r>
              <w:rPr>
                <w:rFonts w:hint="eastAsia" w:ascii="宋体" w:hAnsi="宋体" w:cs="宋体"/>
                <w:color w:val="auto"/>
                <w:kern w:val="0"/>
                <w:sz w:val="22"/>
                <w:szCs w:val="22"/>
                <w:highlight w:val="none"/>
                <w:lang w:val="en-US" w:eastAsia="zh-CN" w:bidi="ar"/>
              </w:rPr>
              <w:t>8</w:t>
            </w:r>
            <w:r>
              <w:rPr>
                <w:rFonts w:hint="eastAsia" w:ascii="宋体" w:hAnsi="宋体" w:eastAsia="宋体" w:cs="宋体"/>
                <w:color w:val="auto"/>
                <w:kern w:val="0"/>
                <w:sz w:val="22"/>
                <w:szCs w:val="22"/>
                <w:highlight w:val="none"/>
                <w:lang w:bidi="ar"/>
              </w:rPr>
              <w:t>分，</w:t>
            </w:r>
            <w:r>
              <w:rPr>
                <w:rFonts w:hint="eastAsia" w:ascii="宋体" w:hAnsi="宋体" w:eastAsia="宋体" w:cs="宋体"/>
                <w:color w:val="auto"/>
                <w:kern w:val="0"/>
                <w:sz w:val="22"/>
                <w:szCs w:val="22"/>
                <w:highlight w:val="none"/>
                <w:lang w:val="en-US" w:eastAsia="zh-CN" w:bidi="ar"/>
              </w:rPr>
              <w:t>实质性条款除外，</w:t>
            </w:r>
            <w:r>
              <w:rPr>
                <w:rFonts w:hint="eastAsia" w:ascii="宋体" w:hAnsi="宋体" w:eastAsia="宋体" w:cs="宋体"/>
                <w:color w:val="auto"/>
                <w:kern w:val="0"/>
                <w:sz w:val="22"/>
                <w:szCs w:val="22"/>
                <w:highlight w:val="none"/>
                <w:lang w:bidi="ar"/>
              </w:rPr>
              <w:t>扣完为止。（</w:t>
            </w: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需提供清晰的功能截图，未提供或提供图片不清晰视为不满足要求）</w:t>
            </w:r>
            <w:r>
              <w:rPr>
                <w:rFonts w:hint="eastAsia" w:ascii="宋体" w:hAnsi="宋体" w:eastAsia="宋体" w:cs="宋体"/>
                <w:color w:val="auto"/>
                <w:sz w:val="22"/>
                <w:szCs w:val="22"/>
                <w:highlight w:val="none"/>
              </w:rPr>
              <w:t>备注：实质性条款除外；以上技术指标如出现偏离应在《技术偏离表》中体现，如查实有任一投标产品技术参数有造假行为，将取消其中标资格。</w:t>
            </w:r>
          </w:p>
        </w:tc>
      </w:tr>
      <w:tr w14:paraId="34228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1" w:hRule="atLeast"/>
          <w:jc w:val="center"/>
        </w:trPr>
        <w:tc>
          <w:tcPr>
            <w:tcW w:w="300" w:type="pct"/>
            <w:tcBorders>
              <w:tl2br w:val="nil"/>
              <w:tr2bl w:val="nil"/>
            </w:tcBorders>
            <w:vAlign w:val="center"/>
          </w:tcPr>
          <w:p w14:paraId="6E767AE4">
            <w:pPr>
              <w:widowControl/>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4</w:t>
            </w:r>
          </w:p>
        </w:tc>
        <w:tc>
          <w:tcPr>
            <w:tcW w:w="576" w:type="pct"/>
            <w:tcBorders>
              <w:tl2br w:val="nil"/>
              <w:tr2bl w:val="nil"/>
            </w:tcBorders>
            <w:vAlign w:val="center"/>
          </w:tcPr>
          <w:p w14:paraId="6AE4F40B">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系统演示</w:t>
            </w:r>
          </w:p>
        </w:tc>
        <w:tc>
          <w:tcPr>
            <w:tcW w:w="395" w:type="pct"/>
            <w:tcBorders>
              <w:tl2br w:val="nil"/>
              <w:tr2bl w:val="nil"/>
            </w:tcBorders>
            <w:vAlign w:val="center"/>
          </w:tcPr>
          <w:p w14:paraId="5CFB6816">
            <w:pPr>
              <w:widowControl/>
              <w:ind w:left="31" w:lef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0-18</w:t>
            </w:r>
          </w:p>
        </w:tc>
        <w:tc>
          <w:tcPr>
            <w:tcW w:w="3727" w:type="pct"/>
            <w:tcBorders>
              <w:tl2br w:val="nil"/>
              <w:tr2bl w:val="nil"/>
            </w:tcBorders>
            <w:vAlign w:val="center"/>
          </w:tcPr>
          <w:p w14:paraId="240FEB94">
            <w:pPr>
              <w:pStyle w:val="3"/>
              <w:spacing w:before="0" w:after="0" w:line="240" w:lineRule="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val="0"/>
                <w:bCs w:val="0"/>
                <w:color w:val="auto"/>
                <w:kern w:val="0"/>
                <w:sz w:val="22"/>
                <w:szCs w:val="22"/>
                <w:highlight w:val="none"/>
                <w:lang w:bidi="ar"/>
              </w:rPr>
              <w:t>系统演示：</w:t>
            </w:r>
            <w:r>
              <w:rPr>
                <w:rFonts w:hint="eastAsia" w:ascii="宋体" w:hAnsi="宋体" w:eastAsia="宋体" w:cs="宋体"/>
                <w:b w:val="0"/>
                <w:bCs w:val="0"/>
                <w:color w:val="auto"/>
                <w:kern w:val="0"/>
                <w:sz w:val="22"/>
                <w:szCs w:val="22"/>
                <w:highlight w:val="none"/>
                <w:lang w:eastAsia="zh-CN" w:bidi="ar"/>
              </w:rPr>
              <w:t>投标人</w:t>
            </w:r>
            <w:r>
              <w:rPr>
                <w:rFonts w:hint="eastAsia" w:ascii="宋体" w:hAnsi="宋体" w:eastAsia="宋体" w:cs="宋体"/>
                <w:b w:val="0"/>
                <w:bCs w:val="0"/>
                <w:color w:val="auto"/>
                <w:kern w:val="0"/>
                <w:sz w:val="22"/>
                <w:szCs w:val="22"/>
                <w:highlight w:val="none"/>
                <w:lang w:bidi="ar"/>
              </w:rPr>
              <w:t>需通过真实系统</w:t>
            </w:r>
            <w:r>
              <w:rPr>
                <w:rFonts w:hint="eastAsia" w:ascii="宋体" w:hAnsi="宋体" w:eastAsia="宋体" w:cs="宋体"/>
                <w:b w:val="0"/>
                <w:bCs w:val="0"/>
                <w:color w:val="auto"/>
                <w:kern w:val="0"/>
                <w:sz w:val="22"/>
                <w:szCs w:val="22"/>
                <w:highlight w:val="none"/>
                <w:lang w:val="en-US" w:eastAsia="zh-CN" w:bidi="ar"/>
              </w:rPr>
              <w:t>录屏</w:t>
            </w:r>
            <w:r>
              <w:rPr>
                <w:rFonts w:hint="eastAsia" w:ascii="宋体" w:hAnsi="宋体" w:eastAsia="宋体" w:cs="宋体"/>
                <w:b w:val="0"/>
                <w:bCs w:val="0"/>
                <w:color w:val="auto"/>
                <w:kern w:val="0"/>
                <w:sz w:val="22"/>
                <w:szCs w:val="22"/>
                <w:highlight w:val="none"/>
                <w:lang w:bidi="ar"/>
              </w:rPr>
              <w:t>进行视频演示，满分</w:t>
            </w:r>
            <w:r>
              <w:rPr>
                <w:rFonts w:hint="eastAsia" w:ascii="宋体" w:hAnsi="宋体" w:eastAsia="宋体" w:cs="宋体"/>
                <w:b w:val="0"/>
                <w:bCs w:val="0"/>
                <w:color w:val="auto"/>
                <w:kern w:val="0"/>
                <w:sz w:val="22"/>
                <w:szCs w:val="22"/>
                <w:highlight w:val="none"/>
                <w:lang w:val="en-US" w:eastAsia="zh-CN" w:bidi="ar"/>
              </w:rPr>
              <w:t>18</w:t>
            </w:r>
            <w:r>
              <w:rPr>
                <w:rFonts w:hint="eastAsia" w:ascii="宋体" w:hAnsi="宋体" w:eastAsia="宋体" w:cs="宋体"/>
                <w:b w:val="0"/>
                <w:bCs w:val="0"/>
                <w:color w:val="auto"/>
                <w:kern w:val="0"/>
                <w:sz w:val="22"/>
                <w:szCs w:val="22"/>
                <w:highlight w:val="none"/>
                <w:lang w:bidi="ar"/>
              </w:rPr>
              <w:t>分，仅提供PPT最高得</w:t>
            </w:r>
            <w:r>
              <w:rPr>
                <w:rFonts w:hint="eastAsia" w:ascii="宋体" w:hAnsi="宋体" w:eastAsia="宋体" w:cs="宋体"/>
                <w:b w:val="0"/>
                <w:bCs w:val="0"/>
                <w:color w:val="auto"/>
                <w:kern w:val="0"/>
                <w:sz w:val="22"/>
                <w:szCs w:val="22"/>
                <w:highlight w:val="none"/>
                <w:lang w:val="en-US" w:eastAsia="zh-CN" w:bidi="ar"/>
              </w:rPr>
              <w:t>6</w:t>
            </w:r>
            <w:r>
              <w:rPr>
                <w:rFonts w:hint="eastAsia" w:ascii="宋体" w:hAnsi="宋体" w:eastAsia="宋体" w:cs="宋体"/>
                <w:b w:val="0"/>
                <w:bCs w:val="0"/>
                <w:color w:val="auto"/>
                <w:kern w:val="0"/>
                <w:sz w:val="22"/>
                <w:szCs w:val="22"/>
                <w:highlight w:val="none"/>
                <w:lang w:bidi="ar"/>
              </w:rPr>
              <w:t>分，演示时间不超过</w:t>
            </w:r>
            <w:r>
              <w:rPr>
                <w:rFonts w:hint="eastAsia" w:ascii="宋体" w:hAnsi="宋体" w:eastAsia="宋体" w:cs="宋体"/>
                <w:b w:val="0"/>
                <w:bCs w:val="0"/>
                <w:color w:val="auto"/>
                <w:kern w:val="0"/>
                <w:sz w:val="22"/>
                <w:szCs w:val="22"/>
                <w:highlight w:val="none"/>
                <w:lang w:val="en-US" w:eastAsia="zh-CN" w:bidi="ar"/>
              </w:rPr>
              <w:t>20</w:t>
            </w:r>
            <w:r>
              <w:rPr>
                <w:rFonts w:hint="eastAsia" w:ascii="宋体" w:hAnsi="宋体" w:eastAsia="宋体" w:cs="宋体"/>
                <w:b w:val="0"/>
                <w:bCs w:val="0"/>
                <w:color w:val="auto"/>
                <w:kern w:val="0"/>
                <w:sz w:val="22"/>
                <w:szCs w:val="22"/>
                <w:highlight w:val="none"/>
                <w:lang w:bidi="ar"/>
              </w:rPr>
              <w:t>分钟，无演示不得分。</w:t>
            </w:r>
            <w:r>
              <w:rPr>
                <w:rFonts w:hint="eastAsia" w:ascii="宋体" w:hAnsi="宋体" w:eastAsia="宋体" w:cs="宋体"/>
                <w:b w:val="0"/>
                <w:bCs w:val="0"/>
                <w:color w:val="auto"/>
                <w:kern w:val="0"/>
                <w:sz w:val="22"/>
                <w:szCs w:val="22"/>
                <w:highlight w:val="none"/>
                <w:lang w:val="en-US" w:eastAsia="zh-CN" w:bidi="ar"/>
              </w:rPr>
              <w:t>评标委员会根据供应商演示情况酌情打分</w:t>
            </w:r>
          </w:p>
        </w:tc>
      </w:tr>
      <w:tr w14:paraId="5EC227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6" w:hRule="atLeast"/>
          <w:jc w:val="center"/>
        </w:trPr>
        <w:tc>
          <w:tcPr>
            <w:tcW w:w="300" w:type="pct"/>
            <w:tcBorders>
              <w:tl2br w:val="nil"/>
              <w:tr2bl w:val="nil"/>
            </w:tcBorders>
            <w:shd w:val="clear" w:color="auto" w:fill="auto"/>
            <w:vAlign w:val="center"/>
          </w:tcPr>
          <w:p w14:paraId="62051EC0">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4.1</w:t>
            </w:r>
          </w:p>
        </w:tc>
        <w:tc>
          <w:tcPr>
            <w:tcW w:w="576" w:type="pct"/>
            <w:tcBorders>
              <w:tl2br w:val="nil"/>
              <w:tr2bl w:val="nil"/>
            </w:tcBorders>
            <w:shd w:val="clear" w:color="auto" w:fill="auto"/>
            <w:vAlign w:val="center"/>
          </w:tcPr>
          <w:p w14:paraId="42D1181A">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数据分析平台（数据驾驶舱）</w:t>
            </w:r>
          </w:p>
        </w:tc>
        <w:tc>
          <w:tcPr>
            <w:tcW w:w="395" w:type="pct"/>
            <w:tcBorders>
              <w:tl2br w:val="nil"/>
              <w:tr2bl w:val="nil"/>
            </w:tcBorders>
            <w:shd w:val="clear" w:color="auto" w:fill="auto"/>
            <w:vAlign w:val="center"/>
          </w:tcPr>
          <w:p w14:paraId="30F82280">
            <w:pPr>
              <w:widowControl/>
              <w:ind w:left="31" w:left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0-1</w:t>
            </w:r>
          </w:p>
        </w:tc>
        <w:tc>
          <w:tcPr>
            <w:tcW w:w="3727" w:type="pct"/>
            <w:tcBorders>
              <w:tl2br w:val="nil"/>
              <w:tr2bl w:val="nil"/>
            </w:tcBorders>
            <w:shd w:val="clear" w:color="auto" w:fill="auto"/>
            <w:vAlign w:val="center"/>
          </w:tcPr>
          <w:p w14:paraId="41A78AC5">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近七天急救病种排名展示：创伤，胸痛，卒中，危重孕产妇，危重新生儿</w:t>
            </w:r>
            <w:r>
              <w:rPr>
                <w:rFonts w:hint="eastAsia" w:ascii="宋体" w:hAnsi="宋体" w:eastAsia="宋体" w:cs="宋体"/>
                <w:color w:val="auto"/>
                <w:sz w:val="22"/>
                <w:szCs w:val="22"/>
                <w:highlight w:val="none"/>
                <w:lang w:eastAsia="zh-CN"/>
              </w:rPr>
              <w:t>。</w:t>
            </w:r>
            <w:r>
              <w:rPr>
                <w:rFonts w:hint="eastAsia" w:ascii="宋体" w:hAnsi="宋体" w:eastAsia="宋体" w:cs="宋体"/>
                <w:bCs/>
                <w:color w:val="auto"/>
                <w:sz w:val="22"/>
                <w:szCs w:val="22"/>
                <w:highlight w:val="none"/>
                <w:lang w:val="en-US" w:eastAsia="zh-CN"/>
              </w:rPr>
              <w:t>满分1分（评分范围：1，0.5，0）</w:t>
            </w:r>
            <w:r>
              <w:rPr>
                <w:rFonts w:hint="eastAsia" w:ascii="宋体" w:hAnsi="宋体" w:eastAsia="宋体" w:cs="宋体"/>
                <w:color w:val="auto"/>
                <w:sz w:val="22"/>
                <w:szCs w:val="22"/>
                <w:highlight w:val="none"/>
                <w:lang w:val="en-US" w:eastAsia="zh-CN"/>
              </w:rPr>
              <w:t>。</w:t>
            </w:r>
          </w:p>
        </w:tc>
      </w:tr>
      <w:tr w14:paraId="4F23B5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1" w:hRule="atLeast"/>
          <w:jc w:val="center"/>
        </w:trPr>
        <w:tc>
          <w:tcPr>
            <w:tcW w:w="300" w:type="pct"/>
            <w:vMerge w:val="restart"/>
            <w:tcBorders>
              <w:tl2br w:val="nil"/>
              <w:tr2bl w:val="nil"/>
            </w:tcBorders>
            <w:shd w:val="clear" w:color="auto" w:fill="auto"/>
            <w:vAlign w:val="center"/>
          </w:tcPr>
          <w:p w14:paraId="750DC4F4">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4.2</w:t>
            </w:r>
          </w:p>
        </w:tc>
        <w:tc>
          <w:tcPr>
            <w:tcW w:w="576" w:type="pct"/>
            <w:vMerge w:val="restart"/>
            <w:tcBorders>
              <w:tl2br w:val="nil"/>
              <w:tr2bl w:val="nil"/>
            </w:tcBorders>
            <w:shd w:val="clear" w:color="auto" w:fill="auto"/>
            <w:vAlign w:val="center"/>
          </w:tcPr>
          <w:p w14:paraId="1EE4274D">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院内急诊系统</w:t>
            </w:r>
          </w:p>
        </w:tc>
        <w:tc>
          <w:tcPr>
            <w:tcW w:w="395" w:type="pct"/>
            <w:tcBorders>
              <w:tl2br w:val="nil"/>
              <w:tr2bl w:val="nil"/>
            </w:tcBorders>
            <w:shd w:val="clear" w:color="auto" w:fill="auto"/>
            <w:vAlign w:val="center"/>
          </w:tcPr>
          <w:p w14:paraId="3030C637">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541E3DE3">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系统支持对接第三方院前急救系统，获取院前患者信息。支持查看院前急救患者列表。支持院前患者弹出框智能提醒，提醒医护人员提前诊疗准备。</w:t>
            </w:r>
            <w:r>
              <w:rPr>
                <w:rFonts w:hint="eastAsia" w:ascii="宋体" w:hAnsi="宋体" w:eastAsia="宋体" w:cs="宋体"/>
                <w:bCs/>
                <w:color w:val="auto"/>
                <w:sz w:val="22"/>
                <w:szCs w:val="22"/>
                <w:highlight w:val="none"/>
                <w:lang w:val="en-US" w:eastAsia="zh-CN"/>
              </w:rPr>
              <w:t>满分1分（评分范围：1，0.5，0）。</w:t>
            </w:r>
          </w:p>
        </w:tc>
      </w:tr>
      <w:tr w14:paraId="01B7F7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shd w:val="clear" w:color="auto" w:fill="auto"/>
            <w:vAlign w:val="center"/>
          </w:tcPr>
          <w:p w14:paraId="036463F3">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shd w:val="clear" w:color="auto" w:fill="auto"/>
            <w:vAlign w:val="center"/>
          </w:tcPr>
          <w:p w14:paraId="671D96C4">
            <w:pPr>
              <w:jc w:val="center"/>
              <w:rPr>
                <w:rFonts w:hint="eastAsia" w:ascii="宋体" w:hAnsi="宋体" w:eastAsia="宋体" w:cs="宋体"/>
                <w:color w:val="auto"/>
                <w:sz w:val="22"/>
                <w:szCs w:val="22"/>
                <w:highlight w:val="none"/>
                <w:lang w:val="en-US" w:eastAsia="zh-CN"/>
              </w:rPr>
            </w:pPr>
          </w:p>
        </w:tc>
        <w:tc>
          <w:tcPr>
            <w:tcW w:w="395" w:type="pct"/>
            <w:tcBorders>
              <w:tl2br w:val="nil"/>
              <w:tr2bl w:val="nil"/>
            </w:tcBorders>
            <w:shd w:val="clear" w:color="auto" w:fill="auto"/>
            <w:vAlign w:val="center"/>
          </w:tcPr>
          <w:p w14:paraId="2C198468">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2D3D429B">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支持二次分诊，不同级别患者超过规定时间内未接诊，自动提醒；系统能够实现自动分级、每个级别有颜色管理，选择病人流向；</w:t>
            </w:r>
            <w:r>
              <w:rPr>
                <w:rFonts w:hint="eastAsia" w:ascii="宋体" w:hAnsi="宋体" w:eastAsia="宋体" w:cs="宋体"/>
                <w:bCs/>
                <w:color w:val="auto"/>
                <w:sz w:val="22"/>
                <w:szCs w:val="22"/>
                <w:highlight w:val="none"/>
                <w:lang w:val="en-US" w:eastAsia="zh-CN"/>
              </w:rPr>
              <w:t>满分1分（评分范围：1，0.5，0）。</w:t>
            </w:r>
          </w:p>
        </w:tc>
      </w:tr>
      <w:tr w14:paraId="2B1C2B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jc w:val="center"/>
        </w:trPr>
        <w:tc>
          <w:tcPr>
            <w:tcW w:w="300" w:type="pct"/>
            <w:vMerge w:val="continue"/>
            <w:tcBorders>
              <w:tl2br w:val="nil"/>
              <w:tr2bl w:val="nil"/>
            </w:tcBorders>
            <w:vAlign w:val="center"/>
          </w:tcPr>
          <w:p w14:paraId="1456C683">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4DB692F5">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2905F6E0">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5AD7BE20">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提供患者时间窗管理，可在任意时间添加节点记录时间，并同步展示在患者时间轴上。</w:t>
            </w:r>
            <w:r>
              <w:rPr>
                <w:rFonts w:hint="eastAsia" w:ascii="宋体" w:hAnsi="宋体" w:eastAsia="宋体" w:cs="宋体"/>
                <w:bCs/>
                <w:color w:val="auto"/>
                <w:sz w:val="22"/>
                <w:szCs w:val="22"/>
                <w:highlight w:val="none"/>
                <w:lang w:val="en-US" w:eastAsia="zh-CN"/>
              </w:rPr>
              <w:t>满分1分（评分范围：1，0.5，0）。</w:t>
            </w:r>
          </w:p>
        </w:tc>
      </w:tr>
      <w:tr w14:paraId="777727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5CFD29A1">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27EEC6A5">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4B931220">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01E2235A">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支持体温单趋势图从护理记录生命体征中直接读取，支持体温单数据直接导入护理记录单。</w:t>
            </w:r>
            <w:r>
              <w:rPr>
                <w:rFonts w:hint="eastAsia" w:ascii="宋体" w:hAnsi="宋体" w:eastAsia="宋体" w:cs="宋体"/>
                <w:bCs/>
                <w:color w:val="auto"/>
                <w:sz w:val="22"/>
                <w:szCs w:val="22"/>
                <w:highlight w:val="none"/>
                <w:lang w:val="en-US" w:eastAsia="zh-CN"/>
              </w:rPr>
              <w:t>满分1分（评分范围：1，0.5，0）。</w:t>
            </w:r>
          </w:p>
        </w:tc>
      </w:tr>
      <w:tr w14:paraId="73FA89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3DF4583A">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0E595B06">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6539C41B">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2CB1D37E">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系统支持与医院现有输血、HIS、LIS等系统对接，实现输血、口服药及检验信息闭环展示以及导入护理记录单的功能</w:t>
            </w:r>
            <w:r>
              <w:rPr>
                <w:rFonts w:hint="eastAsia" w:ascii="宋体" w:hAnsi="宋体" w:eastAsia="宋体" w:cs="宋体"/>
                <w:color w:val="auto"/>
                <w:sz w:val="22"/>
                <w:szCs w:val="22"/>
                <w:highlight w:val="none"/>
                <w:lang w:eastAsia="zh-CN"/>
              </w:rPr>
              <w:t>。</w:t>
            </w:r>
            <w:r>
              <w:rPr>
                <w:rFonts w:hint="eastAsia" w:ascii="宋体" w:hAnsi="宋体" w:eastAsia="宋体" w:cs="宋体"/>
                <w:bCs/>
                <w:color w:val="auto"/>
                <w:sz w:val="22"/>
                <w:szCs w:val="22"/>
                <w:highlight w:val="none"/>
                <w:lang w:val="en-US" w:eastAsia="zh-CN"/>
              </w:rPr>
              <w:t>满分1分（评分范围：1，0.5，0）。</w:t>
            </w:r>
          </w:p>
        </w:tc>
      </w:tr>
      <w:tr w14:paraId="5F8422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2FCAF008">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4ADCBA13">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70AA39C5">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3E384F96">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支持疑似脓毒血症专项护理评估，并提供系统自动弹框预警提醒，医生可直接点击预警信息进行诊断修正；支持移动端扫码采集脓毒血症事件节点，系统支持自定义筛选事件时间，形成脓毒血症专项时间轴。</w:t>
            </w:r>
            <w:r>
              <w:rPr>
                <w:rFonts w:hint="eastAsia" w:ascii="宋体" w:hAnsi="宋体" w:eastAsia="宋体" w:cs="宋体"/>
                <w:bCs/>
                <w:color w:val="auto"/>
                <w:sz w:val="22"/>
                <w:szCs w:val="22"/>
                <w:highlight w:val="none"/>
                <w:lang w:val="en-US" w:eastAsia="zh-CN"/>
              </w:rPr>
              <w:t>满分1分（评分范围：1，0.5，0）。</w:t>
            </w:r>
          </w:p>
        </w:tc>
      </w:tr>
      <w:tr w14:paraId="34E5DB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185957C2">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2284E724">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54955482">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70C2FFD7">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支持新医嘱信息弹出框智能提醒，可直接进入移动输液系统中医嘱核对功能页面，进行医嘱核对、医嘱拆分、执行单打印等工作</w:t>
            </w:r>
            <w:r>
              <w:rPr>
                <w:rFonts w:hint="eastAsia" w:ascii="宋体" w:hAnsi="宋体" w:cs="宋体"/>
                <w:color w:val="auto"/>
                <w:kern w:val="2"/>
                <w:sz w:val="22"/>
                <w:szCs w:val="22"/>
                <w:highlight w:val="none"/>
                <w:lang w:val="en-US" w:eastAsia="zh-CN" w:bidi="ar-SA"/>
              </w:rPr>
              <w:t>。</w:t>
            </w:r>
            <w:r>
              <w:rPr>
                <w:rFonts w:hint="eastAsia" w:ascii="宋体" w:hAnsi="宋体" w:eastAsia="宋体" w:cs="宋体"/>
                <w:bCs/>
                <w:color w:val="auto"/>
                <w:sz w:val="22"/>
                <w:szCs w:val="22"/>
                <w:highlight w:val="none"/>
                <w:lang w:val="en-US" w:eastAsia="zh-CN"/>
              </w:rPr>
              <w:t>满分1分（评分范围：1，0.5，0）。</w:t>
            </w:r>
          </w:p>
        </w:tc>
      </w:tr>
      <w:tr w14:paraId="7AEA6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653AE1BD">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60D809A8">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26D1C5C0">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0D607C93">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支持新增、删除文本医嘱功能，可手工录入或套餐选择录入文本医嘱功能。其中套餐可自定义维护。支持修改医嘱开立时间功能，打印的医嘱单开立时间以修改的为准。</w:t>
            </w:r>
            <w:r>
              <w:rPr>
                <w:rFonts w:hint="eastAsia" w:ascii="宋体" w:hAnsi="宋体" w:eastAsia="宋体" w:cs="宋体"/>
                <w:bCs/>
                <w:color w:val="auto"/>
                <w:sz w:val="22"/>
                <w:szCs w:val="22"/>
                <w:highlight w:val="none"/>
                <w:lang w:val="en-US" w:eastAsia="zh-CN"/>
              </w:rPr>
              <w:t>满分1分（评分范围：1，0.5，0）。</w:t>
            </w:r>
          </w:p>
        </w:tc>
      </w:tr>
      <w:tr w14:paraId="755FCD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restart"/>
            <w:tcBorders>
              <w:tl2br w:val="nil"/>
              <w:tr2bl w:val="nil"/>
            </w:tcBorders>
            <w:shd w:val="clear" w:color="auto" w:fill="auto"/>
            <w:vAlign w:val="center"/>
          </w:tcPr>
          <w:p w14:paraId="1BCEE5DB">
            <w:pPr>
              <w:widowControl/>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4.3</w:t>
            </w:r>
          </w:p>
          <w:p w14:paraId="6BC8D6CA">
            <w:pPr>
              <w:widowControl/>
              <w:jc w:val="center"/>
              <w:rPr>
                <w:rFonts w:hint="eastAsia" w:ascii="宋体" w:hAnsi="宋体" w:eastAsia="宋体" w:cs="宋体"/>
                <w:color w:val="auto"/>
                <w:kern w:val="2"/>
                <w:sz w:val="22"/>
                <w:szCs w:val="22"/>
                <w:highlight w:val="none"/>
                <w:lang w:val="en-US" w:eastAsia="zh-CN" w:bidi="ar-SA"/>
              </w:rPr>
            </w:pPr>
          </w:p>
        </w:tc>
        <w:tc>
          <w:tcPr>
            <w:tcW w:w="576" w:type="pct"/>
            <w:vMerge w:val="restart"/>
            <w:tcBorders>
              <w:tl2br w:val="nil"/>
              <w:tr2bl w:val="nil"/>
            </w:tcBorders>
            <w:shd w:val="clear" w:color="auto" w:fill="auto"/>
            <w:vAlign w:val="center"/>
          </w:tcPr>
          <w:p w14:paraId="177AA291">
            <w:pPr>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五大中心系统</w:t>
            </w:r>
          </w:p>
          <w:p w14:paraId="597890D7">
            <w:pPr>
              <w:jc w:val="center"/>
              <w:rPr>
                <w:rFonts w:hint="eastAsia" w:ascii="宋体" w:hAnsi="宋体" w:eastAsia="宋体" w:cs="宋体"/>
                <w:color w:val="auto"/>
                <w:kern w:val="2"/>
                <w:sz w:val="22"/>
                <w:szCs w:val="22"/>
                <w:highlight w:val="none"/>
                <w:lang w:val="en-US" w:eastAsia="zh-CN" w:bidi="ar-SA"/>
              </w:rPr>
            </w:pPr>
          </w:p>
        </w:tc>
        <w:tc>
          <w:tcPr>
            <w:tcW w:w="395" w:type="pct"/>
            <w:tcBorders>
              <w:tl2br w:val="nil"/>
              <w:tr2bl w:val="nil"/>
            </w:tcBorders>
            <w:shd w:val="clear" w:color="auto" w:fill="auto"/>
            <w:vAlign w:val="center"/>
          </w:tcPr>
          <w:p w14:paraId="7923C6DC">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2BB85CD1">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多学科协同通知（AI电话版）：支持与科室值班电话对接，接收患者后，点击一键启动呼叫，在线监视电话语音通报完成，若是占线或者失败，可进行回拨处理。</w:t>
            </w:r>
            <w:r>
              <w:rPr>
                <w:rFonts w:hint="eastAsia" w:ascii="宋体" w:hAnsi="宋体" w:eastAsia="宋体" w:cs="宋体"/>
                <w:bCs/>
                <w:color w:val="auto"/>
                <w:sz w:val="22"/>
                <w:szCs w:val="22"/>
                <w:highlight w:val="none"/>
                <w:lang w:val="en-US" w:eastAsia="zh-CN"/>
              </w:rPr>
              <w:t>满分1分（评分范围：1，0.5，0）。</w:t>
            </w:r>
          </w:p>
        </w:tc>
      </w:tr>
      <w:tr w14:paraId="593F75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70282238">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05ABA9DC">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68796359">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6549F4F3">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多学科协同信息共享：系统支持在钉钉群组自动推送患者信息、患者检验检查报告、患者会诊邀请信息、会诊回复内容。患者影像资料查阅支持前置预览，在影像未审核前系统就能接收到影像图片集群到钉钉端，医生可点击连接进行影像预览，支持图片的缩放、旋转功能。</w:t>
            </w:r>
            <w:r>
              <w:rPr>
                <w:rFonts w:hint="eastAsia" w:ascii="宋体" w:hAnsi="宋体" w:eastAsia="宋体" w:cs="宋体"/>
                <w:bCs/>
                <w:color w:val="auto"/>
                <w:sz w:val="22"/>
                <w:szCs w:val="22"/>
                <w:highlight w:val="none"/>
                <w:lang w:val="en-US" w:eastAsia="zh-CN"/>
              </w:rPr>
              <w:t>满分1分（评分范围：1，0.5，0）。</w:t>
            </w:r>
          </w:p>
        </w:tc>
      </w:tr>
      <w:tr w14:paraId="450E57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shd w:val="clear" w:color="auto" w:fill="auto"/>
            <w:vAlign w:val="center"/>
          </w:tcPr>
          <w:p w14:paraId="742265ED">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shd w:val="clear" w:color="auto" w:fill="auto"/>
            <w:vAlign w:val="center"/>
          </w:tcPr>
          <w:p w14:paraId="1CCF0F28">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0F5F2A6E">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07A8AD56">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提供胸痛诊疗流程图，通过自动数据的采集和医护人员数据的操作记录，点亮关键时间节点，并提供关键时间节点的倒计时。</w:t>
            </w:r>
            <w:r>
              <w:rPr>
                <w:rFonts w:hint="eastAsia" w:ascii="宋体" w:hAnsi="宋体" w:eastAsia="宋体" w:cs="宋体"/>
                <w:bCs/>
                <w:color w:val="auto"/>
                <w:sz w:val="22"/>
                <w:szCs w:val="22"/>
                <w:highlight w:val="none"/>
                <w:lang w:val="en-US" w:eastAsia="zh-CN"/>
              </w:rPr>
              <w:t>满分1分（评分范围：1，0.5，0）。</w:t>
            </w:r>
          </w:p>
        </w:tc>
      </w:tr>
      <w:tr w14:paraId="57859A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6960518C">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29417E38">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113CF18D">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06D06A62">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支持知情同意谈话录音，包括患者入院通知家属、患者确诊通知家属和患者谈话、病情变化通知家属。</w:t>
            </w:r>
            <w:r>
              <w:rPr>
                <w:rFonts w:hint="eastAsia" w:ascii="宋体" w:hAnsi="宋体" w:eastAsia="宋体" w:cs="宋体"/>
                <w:bCs/>
                <w:color w:val="auto"/>
                <w:sz w:val="22"/>
                <w:szCs w:val="22"/>
                <w:highlight w:val="none"/>
                <w:lang w:val="en-US" w:eastAsia="zh-CN"/>
              </w:rPr>
              <w:t>满分1分（评分范围：1，0.5，0）。</w:t>
            </w:r>
          </w:p>
        </w:tc>
      </w:tr>
      <w:tr w14:paraId="0077B8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00" w:type="pct"/>
            <w:vMerge w:val="continue"/>
            <w:tcBorders>
              <w:tl2br w:val="nil"/>
              <w:tr2bl w:val="nil"/>
            </w:tcBorders>
            <w:vAlign w:val="center"/>
          </w:tcPr>
          <w:p w14:paraId="3C658409">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175A6D33">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036640FB">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7ED45BFA">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提供卒中诊疗流程图，通过自动数据的采集和医护人员数据的操作记录，点亮关键时间节点，并提供关键时间节点的倒计时。</w:t>
            </w:r>
            <w:r>
              <w:rPr>
                <w:rFonts w:hint="eastAsia" w:ascii="宋体" w:hAnsi="宋体" w:eastAsia="宋体" w:cs="宋体"/>
                <w:bCs/>
                <w:color w:val="auto"/>
                <w:sz w:val="22"/>
                <w:szCs w:val="22"/>
                <w:highlight w:val="none"/>
                <w:lang w:val="en-US" w:eastAsia="zh-CN"/>
              </w:rPr>
              <w:t>满分1分（评分范围：1，0.5，0）。</w:t>
            </w:r>
          </w:p>
        </w:tc>
      </w:tr>
      <w:tr w14:paraId="7F3DF0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1F8F16B8">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30F4DD7B">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3897F1F8">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0FB6B080">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多学科协同会诊：一键呼叫和通知启动后，支持同步启动多学科会诊，根据呼叫的科室以及呼叫内容，系统自动生成对应的会诊单。护士在线监视电话语音播报同时直接记录会诊医生到场时间。</w:t>
            </w:r>
            <w:r>
              <w:rPr>
                <w:rFonts w:hint="eastAsia" w:ascii="宋体" w:hAnsi="宋体" w:eastAsia="宋体" w:cs="宋体"/>
                <w:bCs/>
                <w:color w:val="auto"/>
                <w:sz w:val="22"/>
                <w:szCs w:val="22"/>
                <w:highlight w:val="none"/>
                <w:lang w:val="en-US" w:eastAsia="zh-CN"/>
              </w:rPr>
              <w:t>满分1分（评分范围：1，0.5，0）。</w:t>
            </w:r>
          </w:p>
        </w:tc>
      </w:tr>
      <w:tr w14:paraId="504B8B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19D4BB6C">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0B71E59A">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0E8D438E">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25F85BB5">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支持展示创伤患者急救全流程诊疗流程时间轴和严重创伤患者急诊救治时间轴。支持创伤中心严重创伤患者院内救治时间轴查看，包括对各个流程关键事件点进行客观、真实的数据采集以及可视化展示，以及ATMIST、ABCDE、AMPLE关键信息预览。</w:t>
            </w:r>
            <w:r>
              <w:rPr>
                <w:rFonts w:hint="eastAsia" w:ascii="宋体" w:hAnsi="宋体" w:eastAsia="宋体" w:cs="宋体"/>
                <w:bCs/>
                <w:color w:val="auto"/>
                <w:sz w:val="22"/>
                <w:szCs w:val="22"/>
                <w:highlight w:val="none"/>
                <w:lang w:val="en-US" w:eastAsia="zh-CN"/>
              </w:rPr>
              <w:t>满分1分（评分范围：1，0.5，0）。</w:t>
            </w:r>
          </w:p>
        </w:tc>
      </w:tr>
      <w:tr w14:paraId="01B869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2912BC6C">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0F13F753">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763B83D9">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6276FEFE">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系统支持移动端扫系统自定义场所码记录事件时间节点，扫码采集患者到达急诊科、CT室、导管室、ICU、手术室的就医全程时间轨迹。可在时间轴上直接展示。支持按不同的病种和场景灵活配置二维码，支持设置存放位置以及是否生效；支持指定二维码按不同的业务场景进行事件时间节点配置。</w:t>
            </w:r>
            <w:r>
              <w:rPr>
                <w:rFonts w:hint="eastAsia" w:ascii="宋体" w:hAnsi="宋体" w:eastAsia="宋体" w:cs="宋体"/>
                <w:bCs/>
                <w:color w:val="auto"/>
                <w:sz w:val="22"/>
                <w:szCs w:val="22"/>
                <w:highlight w:val="none"/>
                <w:lang w:val="en-US" w:eastAsia="zh-CN"/>
              </w:rPr>
              <w:t>满分1分（评分范围：1，0.5，0）。</w:t>
            </w:r>
          </w:p>
        </w:tc>
      </w:tr>
      <w:tr w14:paraId="163B45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00" w:type="pct"/>
            <w:vMerge w:val="continue"/>
            <w:tcBorders>
              <w:tl2br w:val="nil"/>
              <w:tr2bl w:val="nil"/>
            </w:tcBorders>
            <w:vAlign w:val="center"/>
          </w:tcPr>
          <w:p w14:paraId="2FBC436A">
            <w:pPr>
              <w:widowControl/>
              <w:jc w:val="center"/>
              <w:rPr>
                <w:rFonts w:hint="eastAsia" w:ascii="宋体" w:hAnsi="宋体" w:eastAsia="宋体" w:cs="宋体"/>
                <w:color w:val="auto"/>
                <w:sz w:val="22"/>
                <w:szCs w:val="22"/>
                <w:highlight w:val="none"/>
                <w:lang w:val="en-US" w:eastAsia="zh-CN"/>
              </w:rPr>
            </w:pPr>
          </w:p>
        </w:tc>
        <w:tc>
          <w:tcPr>
            <w:tcW w:w="576" w:type="pct"/>
            <w:vMerge w:val="continue"/>
            <w:tcBorders>
              <w:tl2br w:val="nil"/>
              <w:tr2bl w:val="nil"/>
            </w:tcBorders>
            <w:vAlign w:val="center"/>
          </w:tcPr>
          <w:p w14:paraId="3FAADA48">
            <w:pPr>
              <w:jc w:val="center"/>
              <w:rPr>
                <w:rFonts w:hint="eastAsia" w:ascii="宋体" w:hAnsi="宋体" w:eastAsia="宋体" w:cs="宋体"/>
                <w:color w:val="auto"/>
                <w:sz w:val="22"/>
                <w:szCs w:val="22"/>
                <w:highlight w:val="none"/>
              </w:rPr>
            </w:pPr>
          </w:p>
        </w:tc>
        <w:tc>
          <w:tcPr>
            <w:tcW w:w="395" w:type="pct"/>
            <w:tcBorders>
              <w:tl2br w:val="nil"/>
              <w:tr2bl w:val="nil"/>
            </w:tcBorders>
            <w:shd w:val="clear" w:color="auto" w:fill="auto"/>
            <w:vAlign w:val="center"/>
          </w:tcPr>
          <w:p w14:paraId="16BBADB5">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0-1</w:t>
            </w:r>
          </w:p>
        </w:tc>
        <w:tc>
          <w:tcPr>
            <w:tcW w:w="3727" w:type="pct"/>
            <w:tcBorders>
              <w:tl2br w:val="nil"/>
              <w:tr2bl w:val="nil"/>
            </w:tcBorders>
            <w:shd w:val="clear" w:color="auto" w:fill="auto"/>
            <w:vAlign w:val="center"/>
          </w:tcPr>
          <w:p w14:paraId="52F1BF5F">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系统支持PDA扫手腕带记录事件时间节点，扫码后直接以点选的方式记录患者全流程的时间轨迹。可实现创伤患者全流程诊疗时间节点采集和严重创伤患者急诊救治时间节点采集。支持按不同的业务场景灵活配置事件时间节点。</w:t>
            </w:r>
            <w:r>
              <w:rPr>
                <w:rFonts w:hint="eastAsia" w:ascii="宋体" w:hAnsi="宋体" w:eastAsia="宋体" w:cs="宋体"/>
                <w:bCs/>
                <w:color w:val="auto"/>
                <w:sz w:val="22"/>
                <w:szCs w:val="22"/>
                <w:highlight w:val="none"/>
                <w:lang w:val="en-US" w:eastAsia="zh-CN"/>
              </w:rPr>
              <w:t>满分1分（评分范围：1，0.5，0）。</w:t>
            </w:r>
          </w:p>
        </w:tc>
      </w:tr>
      <w:tr w14:paraId="738D95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00" w:type="pct"/>
            <w:tcBorders>
              <w:tl2br w:val="nil"/>
              <w:tr2bl w:val="nil"/>
            </w:tcBorders>
            <w:shd w:val="clear" w:color="auto" w:fill="auto"/>
            <w:vAlign w:val="center"/>
          </w:tcPr>
          <w:p w14:paraId="0EA2B894">
            <w:pPr>
              <w:widowControl/>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5</w:t>
            </w:r>
          </w:p>
        </w:tc>
        <w:tc>
          <w:tcPr>
            <w:tcW w:w="576" w:type="pct"/>
            <w:tcBorders>
              <w:tl2br w:val="nil"/>
              <w:tr2bl w:val="nil"/>
            </w:tcBorders>
            <w:shd w:val="clear" w:color="000000" w:fill="FFFFFF"/>
            <w:vAlign w:val="center"/>
          </w:tcPr>
          <w:p w14:paraId="28F1C60C">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技术方案</w:t>
            </w:r>
          </w:p>
        </w:tc>
        <w:tc>
          <w:tcPr>
            <w:tcW w:w="395" w:type="pct"/>
            <w:tcBorders>
              <w:tl2br w:val="nil"/>
              <w:tr2bl w:val="nil"/>
            </w:tcBorders>
            <w:shd w:val="clear" w:color="auto" w:fill="auto"/>
            <w:vAlign w:val="center"/>
          </w:tcPr>
          <w:p w14:paraId="22D24E38">
            <w:pPr>
              <w:ind w:firstLine="0" w:firstLineChars="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0-4</w:t>
            </w:r>
          </w:p>
        </w:tc>
        <w:tc>
          <w:tcPr>
            <w:tcW w:w="3727" w:type="pct"/>
            <w:tcBorders>
              <w:tl2br w:val="nil"/>
              <w:tr2bl w:val="nil"/>
            </w:tcBorders>
            <w:shd w:val="clear" w:color="auto" w:fill="auto"/>
            <w:vAlign w:val="center"/>
          </w:tcPr>
          <w:p w14:paraId="5F2C6BCB">
            <w:pPr>
              <w:ind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须提供严密的、具有逻辑的技术方案，包括对需求解析、技术路线、功能点的技术实现等内容。根据项目技术方案设计完整合理、详尽准确、可行</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满分4分（评分范围：4，3，2，1，0）</w:t>
            </w:r>
            <w:r>
              <w:rPr>
                <w:rFonts w:hint="eastAsia" w:ascii="宋体" w:hAnsi="宋体" w:eastAsia="宋体" w:cs="宋体"/>
                <w:color w:val="auto"/>
                <w:kern w:val="0"/>
                <w:sz w:val="22"/>
                <w:szCs w:val="22"/>
                <w:highlight w:val="none"/>
                <w:lang w:bidi="ar"/>
              </w:rPr>
              <w:t>。</w:t>
            </w:r>
          </w:p>
        </w:tc>
      </w:tr>
      <w:tr w14:paraId="0E69C4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00" w:type="pct"/>
            <w:tcBorders>
              <w:tl2br w:val="nil"/>
              <w:tr2bl w:val="nil"/>
            </w:tcBorders>
            <w:shd w:val="clear" w:color="auto" w:fill="auto"/>
            <w:vAlign w:val="center"/>
          </w:tcPr>
          <w:p w14:paraId="346F8BCD">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576" w:type="pct"/>
            <w:tcBorders>
              <w:tl2br w:val="nil"/>
              <w:tr2bl w:val="nil"/>
            </w:tcBorders>
            <w:shd w:val="clear" w:color="000000" w:fill="FFFFFF"/>
            <w:vAlign w:val="center"/>
          </w:tcPr>
          <w:p w14:paraId="1440FB1B">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实施方案</w:t>
            </w:r>
          </w:p>
        </w:tc>
        <w:tc>
          <w:tcPr>
            <w:tcW w:w="395" w:type="pct"/>
            <w:tcBorders>
              <w:tl2br w:val="nil"/>
              <w:tr2bl w:val="nil"/>
            </w:tcBorders>
            <w:shd w:val="clear" w:color="000000" w:fill="FFFFFF"/>
            <w:vAlign w:val="center"/>
          </w:tcPr>
          <w:p w14:paraId="433DFEA5">
            <w:pPr>
              <w:widowControl/>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0-5</w:t>
            </w:r>
          </w:p>
        </w:tc>
        <w:tc>
          <w:tcPr>
            <w:tcW w:w="3727" w:type="pct"/>
            <w:tcBorders>
              <w:tl2br w:val="nil"/>
              <w:tr2bl w:val="nil"/>
            </w:tcBorders>
            <w:shd w:val="clear" w:color="000000" w:fill="FFFFFF"/>
            <w:vAlign w:val="center"/>
          </w:tcPr>
          <w:p w14:paraId="6FC8F740">
            <w:pP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须提供成熟的实施方案，清晰定义项目实施各环节的任务。并对项目实施团队进行严格要求，明确实施人员职责及任务。根据实施方案完整详尽、清晰准确、合理可行等情况综合打分。根据项目</w:t>
            </w:r>
            <w:r>
              <w:rPr>
                <w:rFonts w:hint="eastAsia" w:ascii="宋体" w:hAnsi="宋体" w:eastAsia="宋体" w:cs="宋体"/>
                <w:color w:val="auto"/>
                <w:kern w:val="0"/>
                <w:sz w:val="22"/>
                <w:szCs w:val="22"/>
                <w:highlight w:val="none"/>
                <w:lang w:val="en-US" w:eastAsia="zh-CN" w:bidi="ar"/>
              </w:rPr>
              <w:t>实施</w:t>
            </w:r>
            <w:r>
              <w:rPr>
                <w:rFonts w:hint="eastAsia" w:ascii="宋体" w:hAnsi="宋体" w:eastAsia="宋体" w:cs="宋体"/>
                <w:color w:val="auto"/>
                <w:kern w:val="0"/>
                <w:sz w:val="22"/>
                <w:szCs w:val="22"/>
                <w:highlight w:val="none"/>
                <w:lang w:bidi="ar"/>
              </w:rPr>
              <w:t>方案完整合理、详尽准确、可行等情况综合打分</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满分5分（评分范围：5，4，3，2，1，0）</w:t>
            </w:r>
            <w:r>
              <w:rPr>
                <w:rFonts w:hint="eastAsia" w:ascii="宋体" w:hAnsi="宋体" w:eastAsia="宋体" w:cs="宋体"/>
                <w:color w:val="auto"/>
                <w:sz w:val="22"/>
                <w:szCs w:val="22"/>
                <w:highlight w:val="none"/>
                <w:lang w:val="en-US" w:eastAsia="zh-CN"/>
              </w:rPr>
              <w:t>。</w:t>
            </w:r>
          </w:p>
        </w:tc>
      </w:tr>
      <w:tr w14:paraId="254967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00" w:type="pct"/>
            <w:tcBorders>
              <w:tl2br w:val="nil"/>
              <w:tr2bl w:val="nil"/>
            </w:tcBorders>
            <w:shd w:val="clear" w:color="auto" w:fill="auto"/>
            <w:vAlign w:val="center"/>
          </w:tcPr>
          <w:p w14:paraId="2B292FEC">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p>
        </w:tc>
        <w:tc>
          <w:tcPr>
            <w:tcW w:w="576" w:type="pct"/>
            <w:tcBorders>
              <w:tl2br w:val="nil"/>
              <w:tr2bl w:val="nil"/>
            </w:tcBorders>
            <w:shd w:val="clear" w:color="000000" w:fill="FFFFFF"/>
            <w:vAlign w:val="center"/>
          </w:tcPr>
          <w:p w14:paraId="3801B364">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系统对接方案</w:t>
            </w:r>
          </w:p>
        </w:tc>
        <w:tc>
          <w:tcPr>
            <w:tcW w:w="395" w:type="pct"/>
            <w:tcBorders>
              <w:tl2br w:val="nil"/>
              <w:tr2bl w:val="nil"/>
            </w:tcBorders>
            <w:shd w:val="clear" w:color="000000" w:fill="FFFFFF"/>
            <w:vAlign w:val="center"/>
          </w:tcPr>
          <w:p w14:paraId="5BD5A1C2">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0-8</w:t>
            </w:r>
          </w:p>
        </w:tc>
        <w:tc>
          <w:tcPr>
            <w:tcW w:w="3727" w:type="pct"/>
            <w:tcBorders>
              <w:tl2br w:val="nil"/>
              <w:tr2bl w:val="nil"/>
            </w:tcBorders>
            <w:shd w:val="clear" w:color="000000" w:fill="FFFFFF"/>
            <w:vAlign w:val="center"/>
          </w:tcPr>
          <w:p w14:paraId="6BA12C20">
            <w:pPr>
              <w:numPr>
                <w:ilvl w:val="0"/>
                <w:numId w:val="9"/>
              </w:numP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kern w:val="0"/>
                <w:sz w:val="22"/>
                <w:szCs w:val="22"/>
                <w:highlight w:val="none"/>
                <w:lang w:val="en-US" w:eastAsia="zh-CN" w:bidi="ar"/>
              </w:rPr>
              <w:t>院前院内一体化</w:t>
            </w:r>
            <w:r>
              <w:rPr>
                <w:rFonts w:hint="eastAsia" w:ascii="宋体" w:hAnsi="宋体" w:eastAsia="宋体" w:cs="宋体"/>
                <w:b/>
                <w:bCs/>
                <w:color w:val="auto"/>
                <w:kern w:val="0"/>
                <w:sz w:val="22"/>
                <w:szCs w:val="22"/>
                <w:highlight w:val="none"/>
                <w:lang w:bidi="ar"/>
              </w:rPr>
              <w:t>系统对接方案：</w:t>
            </w: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须提供合理、可行的系统对接方案。内容准确、方案可行</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满分2分（评分范围：2，1，0）</w:t>
            </w:r>
            <w:r>
              <w:rPr>
                <w:rFonts w:hint="eastAsia" w:ascii="宋体" w:hAnsi="宋体" w:eastAsia="宋体" w:cs="宋体"/>
                <w:color w:val="auto"/>
                <w:sz w:val="22"/>
                <w:szCs w:val="22"/>
                <w:highlight w:val="none"/>
                <w:lang w:val="en-US" w:eastAsia="zh-CN"/>
              </w:rPr>
              <w:t>。</w:t>
            </w:r>
          </w:p>
          <w:p w14:paraId="7854CDBA">
            <w:pPr>
              <w:widowControl w:val="0"/>
              <w:numPr>
                <w:ilvl w:val="0"/>
                <w:numId w:val="9"/>
              </w:numPr>
              <w:ind w:left="0" w:leftChars="0" w:firstLine="0" w:firstLineChars="0"/>
              <w:jc w:val="both"/>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HIS、LIS、PACS信息接口</w:t>
            </w:r>
            <w:r>
              <w:rPr>
                <w:rFonts w:hint="eastAsia" w:ascii="宋体" w:hAnsi="宋体" w:eastAsia="宋体" w:cs="宋体"/>
                <w:b/>
                <w:bCs/>
                <w:color w:val="auto"/>
                <w:kern w:val="0"/>
                <w:sz w:val="22"/>
                <w:szCs w:val="22"/>
                <w:highlight w:val="none"/>
                <w:lang w:bidi="ar"/>
              </w:rPr>
              <w:t>系统对接方案：</w:t>
            </w: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须提供合理、可行的系统对接方案。内容准确、方案可行</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满分2分（评分范围：2，1，0）</w:t>
            </w:r>
            <w:r>
              <w:rPr>
                <w:rFonts w:hint="eastAsia" w:ascii="宋体" w:hAnsi="宋体" w:eastAsia="宋体" w:cs="宋体"/>
                <w:color w:val="auto"/>
                <w:sz w:val="22"/>
                <w:szCs w:val="22"/>
                <w:highlight w:val="none"/>
                <w:lang w:val="en-US" w:eastAsia="zh-CN"/>
              </w:rPr>
              <w:t>。</w:t>
            </w:r>
          </w:p>
          <w:p w14:paraId="6BF6D50B">
            <w:pPr>
              <w:widowControl w:val="0"/>
              <w:numPr>
                <w:ilvl w:val="0"/>
                <w:numId w:val="9"/>
              </w:numPr>
              <w:ind w:left="0" w:leftChars="0" w:firstLine="0" w:firstLineChars="0"/>
              <w:jc w:val="both"/>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kern w:val="2"/>
                <w:sz w:val="22"/>
                <w:szCs w:val="22"/>
                <w:highlight w:val="none"/>
                <w:lang w:val="en-US" w:eastAsia="zh-CN" w:bidi="ar-SA"/>
              </w:rPr>
              <w:t>集成平台数据推送</w:t>
            </w:r>
            <w:r>
              <w:rPr>
                <w:rFonts w:hint="eastAsia" w:ascii="宋体" w:hAnsi="宋体" w:eastAsia="宋体" w:cs="宋体"/>
                <w:b/>
                <w:bCs/>
                <w:color w:val="auto"/>
                <w:kern w:val="0"/>
                <w:sz w:val="22"/>
                <w:szCs w:val="22"/>
                <w:highlight w:val="none"/>
                <w:lang w:bidi="ar"/>
              </w:rPr>
              <w:t>系统对接方案：</w:t>
            </w: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须提供合理、可行的系统对接方案。内容准确、方案可行</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满分2分（评分范围：2，1，0）</w:t>
            </w:r>
            <w:r>
              <w:rPr>
                <w:rFonts w:hint="eastAsia" w:ascii="宋体" w:hAnsi="宋体" w:eastAsia="宋体" w:cs="宋体"/>
                <w:color w:val="auto"/>
                <w:sz w:val="22"/>
                <w:szCs w:val="22"/>
                <w:highlight w:val="none"/>
                <w:lang w:val="en-US" w:eastAsia="zh-CN"/>
              </w:rPr>
              <w:t>。</w:t>
            </w:r>
          </w:p>
          <w:p w14:paraId="67789791">
            <w:pPr>
              <w:widowControl w:val="0"/>
              <w:numPr>
                <w:ilvl w:val="0"/>
                <w:numId w:val="9"/>
              </w:numPr>
              <w:ind w:left="0" w:leftChars="0" w:firstLine="0" w:firstLineChars="0"/>
              <w:jc w:val="both"/>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kern w:val="2"/>
                <w:sz w:val="22"/>
                <w:szCs w:val="22"/>
                <w:highlight w:val="none"/>
                <w:lang w:val="en-US" w:eastAsia="zh-CN" w:bidi="ar-SA"/>
              </w:rPr>
              <w:t>CA电子签名-医护、CA电子签名-患者</w:t>
            </w:r>
            <w:r>
              <w:rPr>
                <w:rFonts w:hint="eastAsia" w:ascii="宋体" w:hAnsi="宋体" w:eastAsia="宋体" w:cs="宋体"/>
                <w:b/>
                <w:bCs/>
                <w:color w:val="auto"/>
                <w:kern w:val="0"/>
                <w:sz w:val="22"/>
                <w:szCs w:val="22"/>
                <w:highlight w:val="none"/>
                <w:lang w:bidi="ar"/>
              </w:rPr>
              <w:t>系统对接方案：</w:t>
            </w: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须提供合理、可行的系统对接方案。内容准确、方案可行</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满分2分（评分范围：2，1，0）</w:t>
            </w:r>
            <w:r>
              <w:rPr>
                <w:rFonts w:hint="eastAsia" w:ascii="宋体" w:hAnsi="宋体" w:eastAsia="宋体" w:cs="宋体"/>
                <w:color w:val="auto"/>
                <w:sz w:val="22"/>
                <w:szCs w:val="22"/>
                <w:highlight w:val="none"/>
                <w:lang w:val="en-US" w:eastAsia="zh-CN"/>
              </w:rPr>
              <w:t>。</w:t>
            </w:r>
          </w:p>
        </w:tc>
      </w:tr>
      <w:tr w14:paraId="010EA5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atLeast"/>
          <w:jc w:val="center"/>
        </w:trPr>
        <w:tc>
          <w:tcPr>
            <w:tcW w:w="300" w:type="pct"/>
            <w:vMerge w:val="restart"/>
            <w:tcBorders>
              <w:tl2br w:val="nil"/>
              <w:tr2bl w:val="nil"/>
            </w:tcBorders>
            <w:vAlign w:val="center"/>
          </w:tcPr>
          <w:p w14:paraId="35B06EBC">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576" w:type="pct"/>
            <w:vMerge w:val="restart"/>
            <w:tcBorders>
              <w:tl2br w:val="nil"/>
              <w:tr2bl w:val="nil"/>
            </w:tcBorders>
            <w:vAlign w:val="center"/>
          </w:tcPr>
          <w:p w14:paraId="406E2B17">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项目组成员（</w:t>
            </w:r>
            <w:r>
              <w:rPr>
                <w:rFonts w:hint="eastAsia" w:ascii="宋体" w:hAnsi="宋体" w:eastAsia="宋体" w:cs="宋体"/>
                <w:color w:val="auto"/>
                <w:sz w:val="22"/>
                <w:szCs w:val="22"/>
                <w:highlight w:val="none"/>
              </w:rPr>
              <w:t>须提供人员有效的证书和近3个月任意一月在供应商的社保证明材料扫描件，否则不得分。</w:t>
            </w:r>
            <w:bookmarkStart w:id="448" w:name="_GoBack"/>
            <w:bookmarkEnd w:id="448"/>
            <w:r>
              <w:rPr>
                <w:rFonts w:hint="eastAsia" w:ascii="宋体" w:hAnsi="宋体" w:eastAsia="宋体" w:cs="宋体"/>
                <w:color w:val="auto"/>
                <w:sz w:val="22"/>
                <w:szCs w:val="22"/>
                <w:highlight w:val="none"/>
                <w:lang w:val="en-US" w:eastAsia="zh-CN"/>
              </w:rPr>
              <w:t>）</w:t>
            </w:r>
          </w:p>
        </w:tc>
        <w:tc>
          <w:tcPr>
            <w:tcW w:w="395" w:type="pct"/>
            <w:tcBorders>
              <w:tl2br w:val="nil"/>
              <w:tr2bl w:val="nil"/>
            </w:tcBorders>
            <w:vAlign w:val="center"/>
          </w:tcPr>
          <w:p w14:paraId="60BA5FD9">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0-3</w:t>
            </w:r>
          </w:p>
        </w:tc>
        <w:tc>
          <w:tcPr>
            <w:tcW w:w="3727" w:type="pct"/>
            <w:tcBorders>
              <w:tl2br w:val="nil"/>
              <w:tr2bl w:val="nil"/>
            </w:tcBorders>
            <w:vAlign w:val="center"/>
          </w:tcPr>
          <w:p w14:paraId="52047BE6">
            <w:pPr>
              <w:widowControl/>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根据投入的项目负责人（一名）的信息化从业经验、信息专业认证证书</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专家综合打</w:t>
            </w:r>
            <w:r>
              <w:rPr>
                <w:rFonts w:hint="eastAsia" w:ascii="宋体" w:hAnsi="宋体" w:cs="宋体"/>
                <w:color w:val="auto"/>
                <w:sz w:val="22"/>
                <w:szCs w:val="22"/>
                <w:highlight w:val="none"/>
                <w:lang w:eastAsia="zh-CN"/>
              </w:rPr>
              <w:t>分</w:t>
            </w:r>
            <w:r>
              <w:rPr>
                <w:rFonts w:hint="eastAsia" w:ascii="宋体" w:hAnsi="宋体" w:eastAsia="宋体" w:cs="宋体"/>
                <w:color w:val="auto"/>
                <w:sz w:val="22"/>
                <w:szCs w:val="22"/>
                <w:highlight w:val="none"/>
              </w:rPr>
              <w:t>，</w:t>
            </w:r>
            <w:r>
              <w:rPr>
                <w:rFonts w:hint="eastAsia" w:ascii="宋体" w:hAnsi="宋体" w:cs="宋体"/>
                <w:bCs/>
                <w:color w:val="auto"/>
                <w:sz w:val="22"/>
                <w:szCs w:val="22"/>
                <w:highlight w:val="none"/>
                <w:lang w:val="en-US" w:eastAsia="zh-CN"/>
              </w:rPr>
              <w:t>满分3分（评分范围：3，2，1，0）</w:t>
            </w:r>
            <w:r>
              <w:rPr>
                <w:rFonts w:hint="eastAsia" w:ascii="宋体" w:hAnsi="宋体" w:eastAsia="宋体" w:cs="宋体"/>
                <w:color w:val="auto"/>
                <w:sz w:val="22"/>
                <w:szCs w:val="22"/>
                <w:highlight w:val="none"/>
                <w:lang w:val="en-US" w:eastAsia="zh-CN"/>
              </w:rPr>
              <w:t>。</w:t>
            </w:r>
          </w:p>
          <w:p w14:paraId="2FF28637">
            <w:pPr>
              <w:widowControl/>
              <w:textAlignment w:val="center"/>
              <w:rPr>
                <w:rFonts w:hint="eastAsia" w:ascii="宋体" w:hAnsi="宋体" w:eastAsia="宋体" w:cs="宋体"/>
                <w:color w:val="auto"/>
                <w:sz w:val="22"/>
                <w:szCs w:val="22"/>
                <w:highlight w:val="none"/>
              </w:rPr>
            </w:pPr>
            <w:r>
              <w:rPr>
                <w:rFonts w:hint="eastAsia" w:ascii="宋体" w:hAnsi="宋体" w:eastAsia="宋体" w:cs="宋体"/>
                <w:b w:val="0"/>
                <w:bCs w:val="0"/>
                <w:color w:val="auto"/>
                <w:kern w:val="2"/>
                <w:sz w:val="22"/>
                <w:szCs w:val="22"/>
                <w:highlight w:val="none"/>
                <w:lang w:val="en-US" w:eastAsia="zh-CN" w:bidi="ar-SA"/>
              </w:rPr>
              <w:t>注：(1)需提供《国家职业资格目录》内与项目相关的证书。(2)提供业绩等相关佐证材料。否则不得分。</w:t>
            </w:r>
          </w:p>
        </w:tc>
      </w:tr>
      <w:tr w14:paraId="16E502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jc w:val="center"/>
        </w:trPr>
        <w:tc>
          <w:tcPr>
            <w:tcW w:w="300" w:type="pct"/>
            <w:vMerge w:val="continue"/>
            <w:tcBorders>
              <w:tl2br w:val="nil"/>
              <w:tr2bl w:val="nil"/>
            </w:tcBorders>
            <w:vAlign w:val="center"/>
          </w:tcPr>
          <w:p w14:paraId="43ACC97D">
            <w:pPr>
              <w:widowControl/>
              <w:jc w:val="center"/>
              <w:rPr>
                <w:rFonts w:hint="eastAsia" w:ascii="宋体" w:hAnsi="宋体" w:eastAsia="宋体" w:cs="宋体"/>
                <w:color w:val="auto"/>
                <w:sz w:val="22"/>
                <w:szCs w:val="22"/>
                <w:highlight w:val="none"/>
              </w:rPr>
            </w:pPr>
          </w:p>
        </w:tc>
        <w:tc>
          <w:tcPr>
            <w:tcW w:w="576" w:type="pct"/>
            <w:vMerge w:val="continue"/>
            <w:tcBorders>
              <w:tl2br w:val="nil"/>
              <w:tr2bl w:val="nil"/>
            </w:tcBorders>
            <w:vAlign w:val="center"/>
          </w:tcPr>
          <w:p w14:paraId="1F370E18">
            <w:pPr>
              <w:jc w:val="center"/>
              <w:rPr>
                <w:rFonts w:hint="eastAsia" w:ascii="宋体" w:hAnsi="宋体" w:eastAsia="宋体" w:cs="宋体"/>
                <w:color w:val="auto"/>
                <w:sz w:val="22"/>
                <w:szCs w:val="22"/>
                <w:highlight w:val="none"/>
              </w:rPr>
            </w:pPr>
          </w:p>
        </w:tc>
        <w:tc>
          <w:tcPr>
            <w:tcW w:w="395" w:type="pct"/>
            <w:tcBorders>
              <w:tl2br w:val="nil"/>
              <w:tr2bl w:val="nil"/>
            </w:tcBorders>
            <w:vAlign w:val="center"/>
          </w:tcPr>
          <w:p w14:paraId="656360D6">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w:t>
            </w:r>
            <w:r>
              <w:rPr>
                <w:rFonts w:hint="eastAsia" w:ascii="宋体" w:hAnsi="宋体" w:cs="宋体"/>
                <w:color w:val="auto"/>
                <w:sz w:val="22"/>
                <w:szCs w:val="22"/>
                <w:highlight w:val="none"/>
                <w:lang w:val="en-US" w:eastAsia="zh-CN"/>
              </w:rPr>
              <w:t>9</w:t>
            </w:r>
          </w:p>
        </w:tc>
        <w:tc>
          <w:tcPr>
            <w:tcW w:w="3727" w:type="pct"/>
            <w:tcBorders>
              <w:tl2br w:val="nil"/>
              <w:tr2bl w:val="nil"/>
            </w:tcBorders>
            <w:vAlign w:val="center"/>
          </w:tcPr>
          <w:p w14:paraId="5CF8AC07">
            <w:pPr>
              <w:widowControl/>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项目团队其</w:t>
            </w:r>
            <w:r>
              <w:rPr>
                <w:rFonts w:hint="eastAsia" w:ascii="宋体" w:hAnsi="宋体" w:cs="宋体"/>
                <w:color w:val="auto"/>
                <w:sz w:val="22"/>
                <w:szCs w:val="22"/>
                <w:highlight w:val="none"/>
                <w:lang w:val="en-US" w:eastAsia="zh-CN"/>
              </w:rPr>
              <w:t>他</w:t>
            </w:r>
            <w:r>
              <w:rPr>
                <w:rFonts w:hint="eastAsia" w:ascii="宋体" w:hAnsi="宋体" w:eastAsia="宋体" w:cs="宋体"/>
                <w:color w:val="auto"/>
                <w:sz w:val="22"/>
                <w:szCs w:val="22"/>
                <w:highlight w:val="none"/>
              </w:rPr>
              <w:t>服务人员（项目负责人</w:t>
            </w:r>
            <w:r>
              <w:rPr>
                <w:rFonts w:hint="eastAsia" w:ascii="宋体" w:hAnsi="宋体" w:cs="宋体"/>
                <w:color w:val="auto"/>
                <w:sz w:val="22"/>
                <w:szCs w:val="22"/>
                <w:highlight w:val="none"/>
                <w:lang w:val="en-US" w:eastAsia="zh-CN"/>
              </w:rPr>
              <w:t>除外)</w:t>
            </w:r>
            <w:r>
              <w:rPr>
                <w:rFonts w:hint="eastAsia" w:ascii="宋体" w:hAnsi="宋体" w:eastAsia="宋体" w:cs="宋体"/>
                <w:color w:val="auto"/>
                <w:sz w:val="22"/>
                <w:szCs w:val="22"/>
                <w:highlight w:val="none"/>
              </w:rPr>
              <w:t>资质：</w:t>
            </w:r>
          </w:p>
          <w:p w14:paraId="480EBD22">
            <w:pPr>
              <w:widowControl/>
              <w:numPr>
                <w:ilvl w:val="0"/>
                <w:numId w:val="10"/>
              </w:numP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项目成员具有软件设计师</w:t>
            </w:r>
            <w:r>
              <w:rPr>
                <w:rFonts w:hint="eastAsia" w:ascii="宋体" w:hAnsi="宋体" w:cs="宋体"/>
                <w:color w:val="auto"/>
                <w:sz w:val="22"/>
                <w:szCs w:val="22"/>
                <w:highlight w:val="none"/>
                <w:lang w:val="en-US" w:eastAsia="zh-CN"/>
              </w:rPr>
              <w:t>或系统分析师或系统架构设计师或系统规划与管理师</w:t>
            </w:r>
            <w:r>
              <w:rPr>
                <w:rFonts w:hint="eastAsia" w:ascii="宋体" w:hAnsi="宋体" w:eastAsia="宋体" w:cs="宋体"/>
                <w:color w:val="auto"/>
                <w:sz w:val="22"/>
                <w:szCs w:val="22"/>
                <w:highlight w:val="none"/>
              </w:rPr>
              <w:t>，人数为5人得3分,每增加1个人加一分，最高得5分；</w:t>
            </w:r>
          </w:p>
          <w:p w14:paraId="2D4BCC58">
            <w:pPr>
              <w:widowControl/>
              <w:numPr>
                <w:ilvl w:val="0"/>
                <w:numId w:val="10"/>
              </w:numP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项目成员具有数据库系统工程师</w:t>
            </w:r>
            <w:r>
              <w:rPr>
                <w:rFonts w:hint="eastAsia" w:ascii="宋体" w:hAnsi="宋体" w:cs="宋体"/>
                <w:color w:val="auto"/>
                <w:sz w:val="22"/>
                <w:szCs w:val="22"/>
                <w:highlight w:val="none"/>
                <w:lang w:eastAsia="zh-CN"/>
              </w:rPr>
              <w:t>、网络工程师、软件测评师、信息系统项目管理师，</w:t>
            </w:r>
            <w:r>
              <w:rPr>
                <w:rFonts w:hint="eastAsia" w:ascii="宋体" w:hAnsi="宋体" w:eastAsia="宋体" w:cs="宋体"/>
                <w:color w:val="auto"/>
                <w:sz w:val="22"/>
                <w:szCs w:val="22"/>
                <w:highlight w:val="none"/>
              </w:rPr>
              <w:t>每具备1项证书得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tc>
      </w:tr>
      <w:tr w14:paraId="507B45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8" w:hRule="atLeast"/>
          <w:jc w:val="center"/>
        </w:trPr>
        <w:tc>
          <w:tcPr>
            <w:tcW w:w="300" w:type="pct"/>
            <w:tcBorders>
              <w:tl2br w:val="nil"/>
              <w:tr2bl w:val="nil"/>
            </w:tcBorders>
            <w:vAlign w:val="center"/>
          </w:tcPr>
          <w:p w14:paraId="3D8F3C34">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576" w:type="pct"/>
            <w:tcBorders>
              <w:tl2br w:val="nil"/>
              <w:tr2bl w:val="nil"/>
            </w:tcBorders>
            <w:vAlign w:val="center"/>
          </w:tcPr>
          <w:p w14:paraId="6560BA2A">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售后服务方案、人员驻场服务</w:t>
            </w:r>
          </w:p>
        </w:tc>
        <w:tc>
          <w:tcPr>
            <w:tcW w:w="395" w:type="pct"/>
            <w:tcBorders>
              <w:tl2br w:val="nil"/>
              <w:tr2bl w:val="nil"/>
            </w:tcBorders>
            <w:vAlign w:val="center"/>
          </w:tcPr>
          <w:p w14:paraId="02811511">
            <w:pPr>
              <w:widowControl/>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w:t>
            </w:r>
            <w:r>
              <w:rPr>
                <w:rFonts w:hint="eastAsia" w:ascii="宋体" w:hAnsi="宋体" w:cs="宋体"/>
                <w:color w:val="auto"/>
                <w:sz w:val="22"/>
                <w:szCs w:val="22"/>
                <w:highlight w:val="none"/>
                <w:lang w:val="en-US" w:eastAsia="zh-CN"/>
              </w:rPr>
              <w:t>7.5</w:t>
            </w:r>
          </w:p>
        </w:tc>
        <w:tc>
          <w:tcPr>
            <w:tcW w:w="3727" w:type="pct"/>
            <w:tcBorders>
              <w:tl2br w:val="nil"/>
              <w:tr2bl w:val="nil"/>
            </w:tcBorders>
            <w:vAlign w:val="center"/>
          </w:tcPr>
          <w:p w14:paraId="5C721694">
            <w:pPr>
              <w:widowControl/>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售后服务方案:</w:t>
            </w:r>
          </w:p>
          <w:p w14:paraId="2D28EB7B">
            <w:pPr>
              <w:widowControl/>
              <w:numPr>
                <w:ilvl w:val="0"/>
                <w:numId w:val="11"/>
              </w:numPr>
              <w:textAlignment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投标人</w:t>
            </w:r>
            <w:r>
              <w:rPr>
                <w:rFonts w:hint="eastAsia" w:ascii="宋体" w:hAnsi="宋体" w:eastAsia="宋体" w:cs="宋体"/>
                <w:color w:val="auto"/>
                <w:sz w:val="22"/>
                <w:szCs w:val="22"/>
                <w:highlight w:val="none"/>
              </w:rPr>
              <w:t>须提供完整、可靠的售后服务方案，根据方案的售后服务保证措施、售后服务团队规模、维修响应时间、售后服务承诺等服务内容综合打分。方案详细完善，服务人员经验丰富、售后响应速度快，排除故障能力强</w:t>
            </w:r>
            <w:r>
              <w:rPr>
                <w:rFonts w:hint="eastAsia" w:ascii="宋体" w:hAnsi="宋体" w:eastAsia="宋体" w:cs="宋体"/>
                <w:color w:val="auto"/>
                <w:sz w:val="22"/>
                <w:szCs w:val="22"/>
                <w:highlight w:val="none"/>
                <w:lang w:eastAsia="zh-CN"/>
              </w:rPr>
              <w:t>，</w:t>
            </w:r>
            <w:r>
              <w:rPr>
                <w:rFonts w:hint="eastAsia" w:ascii="宋体" w:hAnsi="宋体" w:eastAsia="宋体" w:cs="宋体"/>
                <w:bCs/>
                <w:color w:val="auto"/>
                <w:sz w:val="22"/>
                <w:szCs w:val="22"/>
                <w:highlight w:val="none"/>
                <w:lang w:val="en-US" w:eastAsia="zh-CN"/>
              </w:rPr>
              <w:t>满分4分（评分范围：4，3，2，1，0）</w:t>
            </w:r>
            <w:r>
              <w:rPr>
                <w:rFonts w:hint="eastAsia" w:ascii="宋体" w:hAnsi="宋体" w:eastAsia="宋体" w:cs="宋体"/>
                <w:color w:val="auto"/>
                <w:sz w:val="22"/>
                <w:szCs w:val="22"/>
                <w:highlight w:val="none"/>
                <w:lang w:val="en-US" w:eastAsia="zh-CN"/>
              </w:rPr>
              <w:t>。</w:t>
            </w:r>
          </w:p>
          <w:p w14:paraId="1C221765">
            <w:pPr>
              <w:widowControl/>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2、项目最终验收后，免费提供1年</w:t>
            </w:r>
            <w:r>
              <w:rPr>
                <w:rFonts w:hint="eastAsia" w:ascii="宋体" w:hAnsi="宋体" w:eastAsia="宋体" w:cs="宋体"/>
                <w:color w:val="auto"/>
                <w:sz w:val="22"/>
                <w:szCs w:val="22"/>
                <w:highlight w:val="none"/>
              </w:rPr>
              <w:t>人员驻场服务</w:t>
            </w:r>
            <w:r>
              <w:rPr>
                <w:rFonts w:hint="eastAsia" w:ascii="宋体" w:hAnsi="宋体" w:cs="宋体"/>
                <w:color w:val="auto"/>
                <w:sz w:val="22"/>
                <w:szCs w:val="22"/>
                <w:highlight w:val="none"/>
                <w:lang w:eastAsia="zh-CN"/>
              </w:rPr>
              <w:t>的得</w:t>
            </w:r>
            <w:r>
              <w:rPr>
                <w:rFonts w:hint="eastAsia" w:ascii="宋体" w:hAnsi="宋体" w:cs="宋体"/>
                <w:color w:val="auto"/>
                <w:sz w:val="22"/>
                <w:szCs w:val="22"/>
                <w:highlight w:val="none"/>
                <w:lang w:val="en-US" w:eastAsia="zh-CN"/>
              </w:rPr>
              <w:t>1分，每增加半年免费</w:t>
            </w:r>
            <w:r>
              <w:rPr>
                <w:rFonts w:hint="eastAsia" w:ascii="宋体" w:hAnsi="宋体" w:eastAsia="宋体" w:cs="宋体"/>
                <w:color w:val="auto"/>
                <w:sz w:val="22"/>
                <w:szCs w:val="22"/>
                <w:highlight w:val="none"/>
              </w:rPr>
              <w:t>人员驻场服务</w:t>
            </w:r>
            <w:r>
              <w:rPr>
                <w:rFonts w:hint="eastAsia" w:ascii="宋体" w:hAnsi="宋体" w:cs="宋体"/>
                <w:color w:val="auto"/>
                <w:sz w:val="22"/>
                <w:szCs w:val="22"/>
                <w:highlight w:val="none"/>
                <w:lang w:eastAsia="zh-CN"/>
              </w:rPr>
              <w:t>的加</w:t>
            </w:r>
            <w:r>
              <w:rPr>
                <w:rFonts w:hint="eastAsia" w:ascii="宋体" w:hAnsi="宋体" w:cs="宋体"/>
                <w:color w:val="auto"/>
                <w:sz w:val="22"/>
                <w:szCs w:val="22"/>
                <w:highlight w:val="none"/>
                <w:lang w:val="en-US" w:eastAsia="zh-CN"/>
              </w:rPr>
              <w:t>0.5分，最高得1.5分。</w:t>
            </w:r>
          </w:p>
          <w:p w14:paraId="52562C45">
            <w:pPr>
              <w:widowControl/>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、免费维保期外每年维保费用基准价为合同金额的10%，每下降1%得1分（不足1%不得分），最高得2分。</w:t>
            </w:r>
          </w:p>
        </w:tc>
      </w:tr>
      <w:tr w14:paraId="2896AA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atLeast"/>
          <w:jc w:val="center"/>
        </w:trPr>
        <w:tc>
          <w:tcPr>
            <w:tcW w:w="300" w:type="pct"/>
            <w:tcBorders>
              <w:tl2br w:val="nil"/>
              <w:tr2bl w:val="nil"/>
            </w:tcBorders>
            <w:vAlign w:val="center"/>
          </w:tcPr>
          <w:p w14:paraId="118734B2">
            <w:pPr>
              <w:widowControl/>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576" w:type="pct"/>
            <w:tcBorders>
              <w:tl2br w:val="nil"/>
              <w:tr2bl w:val="nil"/>
            </w:tcBorders>
            <w:vAlign w:val="center"/>
          </w:tcPr>
          <w:p w14:paraId="2DCBCDC4">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培训方案</w:t>
            </w:r>
          </w:p>
        </w:tc>
        <w:tc>
          <w:tcPr>
            <w:tcW w:w="395" w:type="pct"/>
            <w:tcBorders>
              <w:tl2br w:val="nil"/>
              <w:tr2bl w:val="nil"/>
            </w:tcBorders>
            <w:vAlign w:val="center"/>
          </w:tcPr>
          <w:p w14:paraId="01F39013">
            <w:pPr>
              <w:widowControl/>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0-</w:t>
            </w:r>
            <w:r>
              <w:rPr>
                <w:rFonts w:hint="eastAsia" w:ascii="宋体" w:hAnsi="宋体" w:cs="宋体"/>
                <w:color w:val="auto"/>
                <w:sz w:val="22"/>
                <w:szCs w:val="22"/>
                <w:highlight w:val="none"/>
                <w:lang w:val="en-US" w:eastAsia="zh-CN"/>
              </w:rPr>
              <w:t>2</w:t>
            </w:r>
          </w:p>
        </w:tc>
        <w:tc>
          <w:tcPr>
            <w:tcW w:w="3727" w:type="pct"/>
            <w:tcBorders>
              <w:tl2br w:val="nil"/>
              <w:tr2bl w:val="nil"/>
            </w:tcBorders>
            <w:vAlign w:val="center"/>
          </w:tcPr>
          <w:p w14:paraId="2A76CAC8">
            <w:pPr>
              <w:rPr>
                <w:rFonts w:hint="eastAsia" w:ascii="宋体" w:hAnsi="宋体" w:eastAsia="宋体" w:cs="宋体"/>
                <w:color w:val="auto"/>
                <w:sz w:val="22"/>
                <w:szCs w:val="22"/>
                <w:highlight w:val="none"/>
              </w:rPr>
            </w:pPr>
            <w:r>
              <w:rPr>
                <w:rFonts w:hint="eastAsia" w:ascii="宋体" w:hAnsi="宋体" w:eastAsia="宋体" w:cs="宋体"/>
                <w:b/>
                <w:bCs/>
                <w:color w:val="auto"/>
                <w:kern w:val="0"/>
                <w:sz w:val="22"/>
                <w:szCs w:val="22"/>
                <w:highlight w:val="none"/>
                <w:lang w:bidi="ar"/>
              </w:rPr>
              <w:t>培训方案:</w:t>
            </w:r>
            <w:r>
              <w:rPr>
                <w:rFonts w:hint="eastAsia" w:ascii="宋体" w:hAnsi="宋体" w:cs="宋体"/>
                <w:color w:val="auto"/>
                <w:kern w:val="0"/>
                <w:sz w:val="22"/>
                <w:szCs w:val="22"/>
                <w:highlight w:val="none"/>
                <w:lang w:eastAsia="zh-CN" w:bidi="ar"/>
              </w:rPr>
              <w:t>投标人</w:t>
            </w:r>
            <w:r>
              <w:rPr>
                <w:rFonts w:hint="eastAsia" w:ascii="宋体" w:hAnsi="宋体" w:eastAsia="宋体" w:cs="宋体"/>
                <w:color w:val="auto"/>
                <w:kern w:val="0"/>
                <w:sz w:val="22"/>
                <w:szCs w:val="22"/>
                <w:highlight w:val="none"/>
                <w:lang w:bidi="ar"/>
              </w:rPr>
              <w:t>须提供实用、全面的培训方案，根据方案的培训内容、培训计划、培训团队、培训时间等情况综合打分</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满分</w:t>
            </w: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lang w:val="en-US" w:eastAsia="zh-CN"/>
              </w:rPr>
              <w:t>分（评分范围：</w:t>
            </w:r>
            <w:r>
              <w:rPr>
                <w:rFonts w:hint="eastAsia" w:ascii="宋体" w:hAnsi="宋体" w:cs="宋体"/>
                <w:bCs/>
                <w:color w:val="auto"/>
                <w:sz w:val="22"/>
                <w:szCs w:val="22"/>
                <w:highlight w:val="none"/>
                <w:lang w:val="en-US" w:eastAsia="zh-CN"/>
              </w:rPr>
              <w:t>2</w:t>
            </w:r>
            <w:r>
              <w:rPr>
                <w:rFonts w:hint="eastAsia" w:ascii="宋体" w:hAnsi="宋体" w:eastAsia="宋体" w:cs="宋体"/>
                <w:bCs/>
                <w:color w:val="auto"/>
                <w:sz w:val="22"/>
                <w:szCs w:val="22"/>
                <w:highlight w:val="none"/>
                <w:lang w:val="en-US" w:eastAsia="zh-CN"/>
              </w:rPr>
              <w:t>，</w:t>
            </w:r>
            <w:r>
              <w:rPr>
                <w:rFonts w:hint="eastAsia" w:ascii="宋体" w:hAnsi="宋体" w:cs="宋体"/>
                <w:bCs/>
                <w:color w:val="auto"/>
                <w:sz w:val="22"/>
                <w:szCs w:val="22"/>
                <w:highlight w:val="none"/>
                <w:lang w:val="en-US" w:eastAsia="zh-CN"/>
              </w:rPr>
              <w:t>1</w:t>
            </w:r>
            <w:r>
              <w:rPr>
                <w:rFonts w:hint="eastAsia" w:ascii="宋体" w:hAnsi="宋体" w:eastAsia="宋体" w:cs="宋体"/>
                <w:bCs/>
                <w:color w:val="auto"/>
                <w:sz w:val="22"/>
                <w:szCs w:val="22"/>
                <w:highlight w:val="none"/>
                <w:lang w:val="en-US" w:eastAsia="zh-CN"/>
              </w:rPr>
              <w:t>，0）</w:t>
            </w:r>
            <w:r>
              <w:rPr>
                <w:rFonts w:hint="eastAsia" w:ascii="宋体" w:hAnsi="宋体" w:eastAsia="宋体" w:cs="宋体"/>
                <w:color w:val="auto"/>
                <w:sz w:val="22"/>
                <w:szCs w:val="22"/>
                <w:highlight w:val="none"/>
                <w:lang w:val="en-US" w:eastAsia="zh-CN"/>
              </w:rPr>
              <w:t>。</w:t>
            </w:r>
          </w:p>
        </w:tc>
      </w:tr>
    </w:tbl>
    <w:p w14:paraId="0D18EE4F">
      <w:pPr>
        <w:spacing w:line="460" w:lineRule="exact"/>
        <w:ind w:firstLine="330" w:firstLineChars="1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注：</w:t>
      </w:r>
    </w:p>
    <w:p w14:paraId="402F66F1">
      <w:pPr>
        <w:pStyle w:val="84"/>
        <w:numPr>
          <w:ilvl w:val="0"/>
          <w:numId w:val="12"/>
        </w:numPr>
        <w:ind w:firstLineChars="0"/>
        <w:rPr>
          <w:rFonts w:cs="新宋体" w:asciiTheme="majorEastAsia" w:hAnsiTheme="majorEastAsia" w:eastAsiaTheme="majorEastAsia"/>
          <w:b/>
          <w:color w:val="auto"/>
          <w:sz w:val="22"/>
          <w:highlight w:val="none"/>
        </w:rPr>
      </w:pPr>
      <w:r>
        <w:rPr>
          <w:rFonts w:hint="eastAsia" w:cs="新宋体" w:asciiTheme="majorEastAsia" w:hAnsiTheme="majorEastAsia" w:eastAsiaTheme="majorEastAsia"/>
          <w:b/>
          <w:color w:val="auto"/>
          <w:sz w:val="22"/>
          <w:highlight w:val="none"/>
        </w:rPr>
        <w:t>每个供应商最终得分=技术资信部分分值（所有评标委员会成员打分的算术平均值）＋商务报价部分分值。</w:t>
      </w:r>
    </w:p>
    <w:p w14:paraId="1296AF8B">
      <w:pPr>
        <w:widowControl/>
        <w:autoSpaceDE w:val="0"/>
        <w:autoSpaceDN w:val="0"/>
        <w:adjustRightInd w:val="0"/>
        <w:spacing w:line="460" w:lineRule="atLeast"/>
        <w:ind w:firstLine="420" w:firstLineChars="200"/>
        <w:textAlignment w:val="bottom"/>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Cs w:val="21"/>
          <w:highlight w:val="none"/>
        </w:rPr>
        <w:t>三</w:t>
      </w:r>
      <w:r>
        <w:rPr>
          <w:rFonts w:hint="eastAsia" w:cs="新宋体" w:asciiTheme="majorEastAsia" w:hAnsiTheme="majorEastAsia" w:eastAsiaTheme="majorEastAsia"/>
          <w:color w:val="auto"/>
          <w:sz w:val="22"/>
          <w:highlight w:val="none"/>
        </w:rPr>
        <w:t>、注意事项</w:t>
      </w:r>
    </w:p>
    <w:p w14:paraId="76ACA311">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 w:val="22"/>
          <w:highlight w:val="none"/>
        </w:rPr>
        <w:t>为确保评标工作的顺利进行，防止因泄密或其它意外而造成不良后果及影响，凡参加评标工作的人员都必须认真执行下面规定：</w:t>
      </w:r>
    </w:p>
    <w:p w14:paraId="15AD6B4E">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 w:val="22"/>
          <w:highlight w:val="none"/>
        </w:rPr>
        <w:t>1． 在评标工作期间，所有分发的投标文件、资料等仅限于在评标场所中使用，不得带往其它地方。</w:t>
      </w:r>
    </w:p>
    <w:p w14:paraId="4860B671">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 w:val="22"/>
          <w:highlight w:val="none"/>
        </w:rPr>
        <w:t>2． 评标人员及工作人员不得在公共场合谈论有关评标内容。</w:t>
      </w:r>
    </w:p>
    <w:p w14:paraId="1E143C11">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 w:val="22"/>
          <w:highlight w:val="none"/>
        </w:rPr>
        <w:t>3． 评标人员及工作人员不得以书信、电讯、口述等方式将有关评标内容（如资料、投标文件、报价、评标方式、评标委员会的决定、评标人员名单等）披露给未参加评标的任何无关人员，包括上级领导、同级和下级人员，任何与评标无关的人员（包括亲朋好友和同事）不得进入评标场所。</w:t>
      </w:r>
    </w:p>
    <w:p w14:paraId="6478AF32">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 w:val="22"/>
          <w:highlight w:val="none"/>
        </w:rPr>
      </w:pPr>
      <w:r>
        <w:rPr>
          <w:rFonts w:hint="eastAsia" w:cs="新宋体" w:asciiTheme="majorEastAsia" w:hAnsiTheme="majorEastAsia" w:eastAsiaTheme="majorEastAsia"/>
          <w:color w:val="auto"/>
          <w:sz w:val="22"/>
          <w:highlight w:val="none"/>
        </w:rPr>
        <w:t>4． 任何需要向</w:t>
      </w:r>
      <w:r>
        <w:rPr>
          <w:rFonts w:hint="eastAsia" w:cs="新宋体" w:asciiTheme="majorEastAsia" w:hAnsiTheme="majorEastAsia" w:eastAsiaTheme="majorEastAsia"/>
          <w:color w:val="auto"/>
          <w:sz w:val="22"/>
          <w:highlight w:val="none"/>
          <w:lang w:eastAsia="zh-CN"/>
        </w:rPr>
        <w:t>投标人</w:t>
      </w:r>
      <w:r>
        <w:rPr>
          <w:rFonts w:hint="eastAsia" w:cs="新宋体" w:asciiTheme="majorEastAsia" w:hAnsiTheme="majorEastAsia" w:eastAsiaTheme="majorEastAsia"/>
          <w:color w:val="auto"/>
          <w:sz w:val="22"/>
          <w:highlight w:val="none"/>
        </w:rPr>
        <w:t>进行询标的问题必须经评标委员会成员签字并由主询标人提出。在询标期间，对于涉及本规定保密范畴的所有内容，主询标人不得向</w:t>
      </w:r>
      <w:r>
        <w:rPr>
          <w:rFonts w:hint="eastAsia" w:cs="新宋体" w:asciiTheme="majorEastAsia" w:hAnsiTheme="majorEastAsia" w:eastAsiaTheme="majorEastAsia"/>
          <w:color w:val="auto"/>
          <w:sz w:val="22"/>
          <w:highlight w:val="none"/>
          <w:lang w:eastAsia="zh-CN"/>
        </w:rPr>
        <w:t>投标人</w:t>
      </w:r>
      <w:r>
        <w:rPr>
          <w:rFonts w:hint="eastAsia" w:cs="新宋体" w:asciiTheme="majorEastAsia" w:hAnsiTheme="majorEastAsia" w:eastAsiaTheme="majorEastAsia"/>
          <w:color w:val="auto"/>
          <w:sz w:val="22"/>
          <w:highlight w:val="none"/>
        </w:rPr>
        <w:t>透露。</w:t>
      </w:r>
    </w:p>
    <w:p w14:paraId="52C9DC88">
      <w:pPr>
        <w:widowControl/>
        <w:autoSpaceDE w:val="0"/>
        <w:autoSpaceDN w:val="0"/>
        <w:adjustRightInd w:val="0"/>
        <w:spacing w:line="460" w:lineRule="atLeast"/>
        <w:ind w:firstLine="440" w:firstLineChars="200"/>
        <w:textAlignment w:val="bottom"/>
        <w:rPr>
          <w:rFonts w:cs="新宋体" w:asciiTheme="majorEastAsia" w:hAnsiTheme="majorEastAsia" w:eastAsiaTheme="majorEastAsia"/>
          <w:color w:val="auto"/>
          <w:szCs w:val="21"/>
          <w:highlight w:val="none"/>
        </w:rPr>
      </w:pPr>
      <w:r>
        <w:rPr>
          <w:rFonts w:hint="eastAsia" w:cs="新宋体" w:asciiTheme="majorEastAsia" w:hAnsiTheme="majorEastAsia" w:eastAsiaTheme="majorEastAsia"/>
          <w:color w:val="auto"/>
          <w:sz w:val="22"/>
          <w:highlight w:val="none"/>
        </w:rPr>
        <w:t>5． 任何评标人员和工作人员不得对外公布评标的一切内容。</w:t>
      </w:r>
    </w:p>
    <w:sectPr>
      <w:pgSz w:w="11906" w:h="16838"/>
      <w:pgMar w:top="1134" w:right="1134" w:bottom="1134" w:left="1134" w:header="851" w:footer="850"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Helvetica">
    <w:altName w:val="Arial"/>
    <w:panose1 w:val="020B0504020202020204"/>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3C836">
    <w:pPr>
      <w:pStyle w:val="29"/>
      <w:jc w:val="right"/>
    </w:pPr>
    <w:r>
      <w:rPr>
        <w:rFonts w:hint="eastAsia"/>
      </w:rPr>
      <w:t>温州市中概工程管理咨询有限公司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9258">
    <w:pPr>
      <w:pStyle w:val="29"/>
      <w:framePr w:wrap="around" w:vAnchor="text" w:hAnchor="margin" w:xAlign="center" w:y="1"/>
      <w:rPr>
        <w:rStyle w:val="47"/>
      </w:rPr>
    </w:pPr>
    <w:r>
      <w:fldChar w:fldCharType="begin"/>
    </w:r>
    <w:r>
      <w:rPr>
        <w:rStyle w:val="47"/>
      </w:rPr>
      <w:instrText xml:space="preserve">PAGE  </w:instrText>
    </w:r>
    <w:r>
      <w:fldChar w:fldCharType="end"/>
    </w:r>
  </w:p>
  <w:p w14:paraId="40BB417E">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475111"/>
      <w:showingPlcHdr/>
    </w:sdtPr>
    <w:sdtContent>
      <w:p w14:paraId="76A10D4B">
        <w:pPr>
          <w:pStyle w:val="29"/>
          <w:jc w:val="center"/>
        </w:pPr>
      </w:p>
    </w:sdtContent>
  </w:sdt>
  <w:p w14:paraId="5A4DA96C">
    <w:pPr>
      <w:pStyle w:val="29"/>
      <w:ind w:right="720"/>
      <w:rPr>
        <w:rFonts w:ascii="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5C5D0">
    <w:pPr>
      <w:pStyle w:val="29"/>
      <w:framePr w:wrap="around" w:vAnchor="text" w:hAnchor="margin" w:xAlign="center" w:y="1"/>
      <w:rPr>
        <w:rStyle w:val="47"/>
      </w:rPr>
    </w:pPr>
    <w:r>
      <w:fldChar w:fldCharType="begin"/>
    </w:r>
    <w:r>
      <w:rPr>
        <w:rStyle w:val="47"/>
      </w:rPr>
      <w:instrText xml:space="preserve">PAGE  </w:instrText>
    </w:r>
    <w:r>
      <w:fldChar w:fldCharType="separate"/>
    </w:r>
    <w:r>
      <w:rPr>
        <w:rStyle w:val="47"/>
      </w:rPr>
      <w:t>37</w:t>
    </w:r>
    <w:r>
      <w:fldChar w:fldCharType="end"/>
    </w:r>
  </w:p>
  <w:p w14:paraId="7FCABA2C">
    <w:pPr>
      <w:pStyle w:val="29"/>
      <w:tabs>
        <w:tab w:val="left" w:pos="5820"/>
        <w:tab w:val="clear" w:pos="4153"/>
        <w:tab w:val="clear" w:pos="8306"/>
      </w:tabs>
      <w:ind w:right="990"/>
      <w:jc w:val="right"/>
    </w:pPr>
    <w:r>
      <w:rPr>
        <w:rFonts w:hint="eastAsia"/>
      </w:rPr>
      <w:t>温州市中概工程管理咨询有限公司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0400974"/>
    </w:sdtPr>
    <w:sdtContent>
      <w:p w14:paraId="27D6B39B">
        <w:pPr>
          <w:pStyle w:val="29"/>
          <w:jc w:val="center"/>
        </w:pPr>
        <w:r>
          <w:fldChar w:fldCharType="begin"/>
        </w:r>
        <w:r>
          <w:instrText xml:space="preserve"> PAGE   \* MERGEFORMAT </w:instrText>
        </w:r>
        <w:r>
          <w:fldChar w:fldCharType="separate"/>
        </w:r>
        <w:r>
          <w:rPr>
            <w:lang w:val="zh-CN"/>
          </w:rPr>
          <w:t>57</w:t>
        </w:r>
        <w:r>
          <w:rPr>
            <w:lang w:val="zh-CN"/>
          </w:rPr>
          <w:fldChar w:fldCharType="end"/>
        </w:r>
      </w:p>
    </w:sdtContent>
  </w:sdt>
  <w:p w14:paraId="185DB9F9">
    <w:pPr>
      <w:pStyle w:val="29"/>
      <w:ind w:right="720"/>
      <w:jc w:val="right"/>
      <w:rPr>
        <w:rFonts w:ascii="宋体"/>
      </w:rPr>
    </w:pPr>
    <w:r>
      <w:rPr>
        <w:rFonts w:ascii="宋体"/>
      </w:rPr>
      <w:t>温州市中概工程管理咨询有限公司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FBD9B">
    <w:pPr>
      <w:pStyle w:val="29"/>
      <w:framePr w:wrap="around" w:vAnchor="text" w:hAnchor="page" w:x="5719" w:y="18"/>
      <w:rPr>
        <w:rStyle w:val="47"/>
        <w:rFonts w:ascii="宋体"/>
      </w:rPr>
    </w:pPr>
    <w:r>
      <w:rPr>
        <w:rFonts w:ascii="宋体"/>
      </w:rPr>
      <w:fldChar w:fldCharType="begin"/>
    </w:r>
    <w:r>
      <w:rPr>
        <w:rStyle w:val="47"/>
        <w:rFonts w:ascii="宋体"/>
      </w:rPr>
      <w:instrText xml:space="preserve">PAGE  </w:instrText>
    </w:r>
    <w:r>
      <w:rPr>
        <w:rFonts w:ascii="宋体"/>
      </w:rPr>
      <w:fldChar w:fldCharType="separate"/>
    </w:r>
    <w:r>
      <w:rPr>
        <w:rStyle w:val="47"/>
        <w:rFonts w:ascii="宋体"/>
      </w:rPr>
      <w:t>55</w:t>
    </w:r>
    <w:r>
      <w:rPr>
        <w:rFonts w:ascii="宋体"/>
      </w:rPr>
      <w:fldChar w:fldCharType="end"/>
    </w:r>
  </w:p>
  <w:p w14:paraId="6A351B3B">
    <w:pPr>
      <w:pStyle w:val="29"/>
      <w:ind w:right="720"/>
      <w:rPr>
        <w:rFonts w:ascii="宋体"/>
      </w:rPr>
    </w:pPr>
    <w:r>
      <w:rPr>
        <w:rFonts w:ascii="宋体"/>
      </w:rPr>
      <w:t>温州市中概工程管理咨询有限公司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E9A56">
    <w:pPr>
      <w:pStyle w:val="29"/>
      <w:framePr w:wrap="around" w:vAnchor="text" w:hAnchor="page" w:x="5719" w:y="18"/>
      <w:rPr>
        <w:rStyle w:val="47"/>
        <w:rFonts w:ascii="宋体"/>
      </w:rPr>
    </w:pPr>
    <w:r>
      <w:rPr>
        <w:rFonts w:ascii="宋体"/>
      </w:rPr>
      <w:fldChar w:fldCharType="begin"/>
    </w:r>
    <w:r>
      <w:rPr>
        <w:rStyle w:val="47"/>
        <w:rFonts w:ascii="宋体"/>
      </w:rPr>
      <w:instrText xml:space="preserve">PAGE  </w:instrText>
    </w:r>
    <w:r>
      <w:rPr>
        <w:rFonts w:ascii="宋体"/>
      </w:rPr>
      <w:fldChar w:fldCharType="separate"/>
    </w:r>
    <w:r>
      <w:rPr>
        <w:rStyle w:val="47"/>
        <w:rFonts w:ascii="宋体"/>
      </w:rPr>
      <w:t>58</w:t>
    </w:r>
    <w:r>
      <w:rPr>
        <w:rFonts w:ascii="宋体"/>
      </w:rPr>
      <w:fldChar w:fldCharType="end"/>
    </w:r>
  </w:p>
  <w:p w14:paraId="51E4B037">
    <w:pPr>
      <w:pStyle w:val="29"/>
      <w:ind w:right="720"/>
      <w:jc w:val="right"/>
      <w:rPr>
        <w:rFonts w:ascii="宋体"/>
      </w:rPr>
    </w:pPr>
    <w:r>
      <w:rPr>
        <w:rFonts w:ascii="宋体"/>
      </w:rPr>
      <w:t>温州市中概工程管理咨询有限公司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5942C">
    <w:pPr>
      <w:pStyle w:val="29"/>
      <w:framePr w:wrap="around" w:vAnchor="text" w:hAnchor="page" w:x="5719" w:y="18"/>
      <w:rPr>
        <w:rStyle w:val="47"/>
        <w:rFonts w:ascii="宋体"/>
      </w:rPr>
    </w:pPr>
    <w:r>
      <w:rPr>
        <w:rFonts w:ascii="宋体"/>
      </w:rPr>
      <w:fldChar w:fldCharType="begin"/>
    </w:r>
    <w:r>
      <w:rPr>
        <w:rStyle w:val="47"/>
        <w:rFonts w:ascii="宋体"/>
      </w:rPr>
      <w:instrText xml:space="preserve">PAGE  </w:instrText>
    </w:r>
    <w:r>
      <w:rPr>
        <w:rFonts w:ascii="宋体"/>
      </w:rPr>
      <w:fldChar w:fldCharType="separate"/>
    </w:r>
    <w:r>
      <w:rPr>
        <w:rStyle w:val="47"/>
        <w:rFonts w:ascii="宋体"/>
      </w:rPr>
      <w:t>70</w:t>
    </w:r>
    <w:r>
      <w:rPr>
        <w:rFonts w:ascii="宋体"/>
      </w:rPr>
      <w:fldChar w:fldCharType="end"/>
    </w:r>
  </w:p>
  <w:p w14:paraId="452815A3">
    <w:pPr>
      <w:pStyle w:val="29"/>
      <w:ind w:right="720"/>
      <w:rPr>
        <w:rFonts w:ascii="宋体"/>
      </w:rPr>
    </w:pPr>
    <w:r>
      <w:rPr>
        <w:rFonts w:ascii="宋体"/>
      </w:rPr>
      <w:t>温州市中概工程管理咨询有限公司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EBF79">
    <w:pPr>
      <w:pStyle w:val="30"/>
      <w:jc w:val="both"/>
    </w:pPr>
    <w:r>
      <w:rPr>
        <w:rFonts w:hint="eastAsia"/>
      </w:rPr>
      <w:t>政府招标文件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4CCF6">
    <w:pPr>
      <w:pStyle w:val="30"/>
      <w:jc w:val="both"/>
    </w:pPr>
    <w:r>
      <w:rPr>
        <w:rFonts w:hint="eastAsia"/>
      </w:rPr>
      <w:t>政府招标文件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78757">
    <w:pPr>
      <w:pStyle w:val="30"/>
      <w:jc w:val="both"/>
      <w:rPr>
        <w:rFonts w:ascii="宋体"/>
        <w:b/>
      </w:rPr>
    </w:pPr>
    <w:r>
      <w:rPr>
        <w:rFonts w:hint="eastAsia" w:ascii="宋体"/>
      </w:rPr>
      <w:t>政府采购招标文件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F008">
    <w:pPr>
      <w:pStyle w:val="30"/>
      <w:jc w:val="both"/>
      <w:rPr>
        <w:rFonts w:ascii="宋体"/>
        <w:b/>
      </w:rPr>
    </w:pPr>
    <w:r>
      <w:rPr>
        <w:rFonts w:hint="eastAsia" w:ascii="宋体"/>
        <w:b/>
      </w:rPr>
      <w:t>政府采购招标文件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5152F">
    <w:pPr>
      <w:pStyle w:val="30"/>
      <w:jc w:val="both"/>
      <w:rPr>
        <w:rFonts w:ascii="宋体"/>
        <w:b/>
      </w:rPr>
    </w:pPr>
    <w:r>
      <w:rPr>
        <w:rFonts w:hint="eastAsia" w:ascii="宋体"/>
        <w:b/>
      </w:rPr>
      <w:t>政府采购招标文件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9A8CF">
    <w:pPr>
      <w:pStyle w:val="30"/>
      <w:jc w:val="both"/>
      <w:rPr>
        <w:rFonts w:ascii="宋体"/>
        <w:b/>
      </w:rPr>
    </w:pPr>
    <w:r>
      <w:rPr>
        <w:rFonts w:hint="eastAsia" w:ascii="宋体"/>
        <w:b/>
      </w:rPr>
      <w:t>政府采购招标文件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8A4F7">
    <w:pPr>
      <w:pStyle w:val="30"/>
      <w:jc w:val="both"/>
      <w:rPr>
        <w:rFonts w:ascii="宋体"/>
        <w:b/>
      </w:rPr>
    </w:pPr>
    <w:r>
      <w:rPr>
        <w:rFonts w:hint="eastAsia" w:ascii="宋体"/>
        <w:b/>
      </w:rPr>
      <w:t>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2A7DE"/>
    <w:multiLevelType w:val="singleLevel"/>
    <w:tmpl w:val="9132A7DE"/>
    <w:lvl w:ilvl="0" w:tentative="0">
      <w:start w:val="1"/>
      <w:numFmt w:val="decimal"/>
      <w:suff w:val="nothing"/>
      <w:lvlText w:val="%1．"/>
      <w:lvlJc w:val="left"/>
      <w:pPr>
        <w:ind w:left="0" w:firstLine="400"/>
      </w:pPr>
      <w:rPr>
        <w:rFonts w:hint="default"/>
      </w:rPr>
    </w:lvl>
  </w:abstractNum>
  <w:abstractNum w:abstractNumId="1">
    <w:nsid w:val="9780D570"/>
    <w:multiLevelType w:val="singleLevel"/>
    <w:tmpl w:val="9780D570"/>
    <w:lvl w:ilvl="0" w:tentative="0">
      <w:start w:val="1"/>
      <w:numFmt w:val="decimal"/>
      <w:suff w:val="nothing"/>
      <w:lvlText w:val="%1．"/>
      <w:lvlJc w:val="left"/>
      <w:pPr>
        <w:ind w:left="0" w:firstLine="400"/>
      </w:pPr>
      <w:rPr>
        <w:rFonts w:hint="default"/>
      </w:rPr>
    </w:lvl>
  </w:abstractNum>
  <w:abstractNum w:abstractNumId="2">
    <w:nsid w:val="B8E076A5"/>
    <w:multiLevelType w:val="singleLevel"/>
    <w:tmpl w:val="B8E076A5"/>
    <w:lvl w:ilvl="0" w:tentative="0">
      <w:start w:val="1"/>
      <w:numFmt w:val="decimal"/>
      <w:suff w:val="nothing"/>
      <w:lvlText w:val="%1、"/>
      <w:lvlJc w:val="left"/>
    </w:lvl>
  </w:abstractNum>
  <w:abstractNum w:abstractNumId="3">
    <w:nsid w:val="E3F53841"/>
    <w:multiLevelType w:val="singleLevel"/>
    <w:tmpl w:val="E3F53841"/>
    <w:lvl w:ilvl="0" w:tentative="0">
      <w:start w:val="1"/>
      <w:numFmt w:val="decimal"/>
      <w:suff w:val="nothing"/>
      <w:lvlText w:val="%1、"/>
      <w:lvlJc w:val="left"/>
    </w:lvl>
  </w:abstractNum>
  <w:abstractNum w:abstractNumId="4">
    <w:nsid w:val="E70C2182"/>
    <w:multiLevelType w:val="singleLevel"/>
    <w:tmpl w:val="E70C2182"/>
    <w:lvl w:ilvl="0" w:tentative="0">
      <w:start w:val="1"/>
      <w:numFmt w:val="decimal"/>
      <w:suff w:val="nothing"/>
      <w:lvlText w:val="（%1）"/>
      <w:lvlJc w:val="left"/>
    </w:lvl>
  </w:abstractNum>
  <w:abstractNum w:abstractNumId="5">
    <w:nsid w:val="F6688304"/>
    <w:multiLevelType w:val="singleLevel"/>
    <w:tmpl w:val="F6688304"/>
    <w:lvl w:ilvl="0" w:tentative="0">
      <w:start w:val="1"/>
      <w:numFmt w:val="chineseCounting"/>
      <w:suff w:val="nothing"/>
      <w:lvlText w:val="%1、"/>
      <w:lvlJc w:val="left"/>
      <w:pPr>
        <w:ind w:left="0" w:firstLine="420"/>
      </w:pPr>
      <w:rPr>
        <w:rFonts w:hint="eastAsia"/>
      </w:rPr>
    </w:lvl>
  </w:abstractNum>
  <w:abstractNum w:abstractNumId="6">
    <w:nsid w:val="00000006"/>
    <w:multiLevelType w:val="singleLevel"/>
    <w:tmpl w:val="00000006"/>
    <w:lvl w:ilvl="0" w:tentative="0">
      <w:start w:val="1"/>
      <w:numFmt w:val="decimal"/>
      <w:suff w:val="nothing"/>
      <w:lvlText w:val="%1．"/>
      <w:lvlJc w:val="left"/>
      <w:pPr>
        <w:ind w:left="0" w:firstLine="400"/>
      </w:pPr>
      <w:rPr>
        <w:rFonts w:hint="default"/>
      </w:rPr>
    </w:lvl>
  </w:abstractNum>
  <w:abstractNum w:abstractNumId="7">
    <w:nsid w:val="0D1875C4"/>
    <w:multiLevelType w:val="multilevel"/>
    <w:tmpl w:val="0D1875C4"/>
    <w:lvl w:ilvl="0" w:tentative="0">
      <w:start w:val="1"/>
      <w:numFmt w:val="decimalEnclosedCircleChinese"/>
      <w:lvlText w:val="%1　"/>
      <w:lvlJc w:val="left"/>
      <w:pPr>
        <w:ind w:left="420" w:hanging="420"/>
      </w:pPr>
    </w:lvl>
    <w:lvl w:ilvl="1" w:tentative="0">
      <w:start w:val="1"/>
      <w:numFmt w:val="decimal"/>
      <w:lvlText w:val="%2."/>
      <w:lvlJc w:val="left"/>
      <w:pPr>
        <w:tabs>
          <w:tab w:val="left" w:pos="1440"/>
        </w:tabs>
        <w:ind w:left="1440" w:hanging="360"/>
      </w:pPr>
    </w:lvl>
    <w:lvl w:ilvl="2" w:tentative="0">
      <w:start w:val="1"/>
      <w:numFmt w:val="decimalEnclosedCircleChinese"/>
      <w:lvlText w:val="%3　"/>
      <w:lvlJc w:val="left"/>
      <w:pPr>
        <w:ind w:left="1260" w:hanging="42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7B919D6"/>
    <w:multiLevelType w:val="multilevel"/>
    <w:tmpl w:val="27B919D6"/>
    <w:lvl w:ilvl="0" w:tentative="0">
      <w:start w:val="1"/>
      <w:numFmt w:val="decimal"/>
      <w:lvlText w:val="（%1）"/>
      <w:lvlJc w:val="left"/>
      <w:pPr>
        <w:ind w:left="860" w:hanging="42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9">
    <w:nsid w:val="4AA559D9"/>
    <w:multiLevelType w:val="singleLevel"/>
    <w:tmpl w:val="4AA559D9"/>
    <w:lvl w:ilvl="0" w:tentative="0">
      <w:start w:val="1"/>
      <w:numFmt w:val="bullet"/>
      <w:lvlText w:val=""/>
      <w:lvlJc w:val="left"/>
      <w:pPr>
        <w:tabs>
          <w:tab w:val="left" w:pos="425"/>
        </w:tabs>
        <w:ind w:left="425" w:hanging="425"/>
      </w:pPr>
      <w:rPr>
        <w:rFonts w:hint="default" w:ascii="Wingdings" w:hAnsi="Wingdings"/>
      </w:rPr>
    </w:lvl>
  </w:abstractNum>
  <w:abstractNum w:abstractNumId="10">
    <w:nsid w:val="6C07C839"/>
    <w:multiLevelType w:val="singleLevel"/>
    <w:tmpl w:val="6C07C839"/>
    <w:lvl w:ilvl="0" w:tentative="0">
      <w:start w:val="1"/>
      <w:numFmt w:val="decimal"/>
      <w:suff w:val="nothing"/>
      <w:lvlText w:val="（%1）"/>
      <w:lvlJc w:val="left"/>
    </w:lvl>
  </w:abstractNum>
  <w:abstractNum w:abstractNumId="11">
    <w:nsid w:val="7B9B3A13"/>
    <w:multiLevelType w:val="singleLevel"/>
    <w:tmpl w:val="7B9B3A13"/>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11"/>
  </w:num>
  <w:num w:numId="3">
    <w:abstractNumId w:val="9"/>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0"/>
  </w:num>
  <w:num w:numId="9">
    <w:abstractNumId w:val="2"/>
  </w:num>
  <w:num w:numId="10">
    <w:abstractNumId w:val="4"/>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3MzRhNGU0YTJiZGQzZDEyM2Q3ZGQ2YTc1YTRjNGEifQ=="/>
  </w:docVars>
  <w:rsids>
    <w:rsidRoot w:val="00AF6227"/>
    <w:rsid w:val="0000005C"/>
    <w:rsid w:val="00002061"/>
    <w:rsid w:val="000020A8"/>
    <w:rsid w:val="000025D0"/>
    <w:rsid w:val="0000311A"/>
    <w:rsid w:val="0000333D"/>
    <w:rsid w:val="0000391E"/>
    <w:rsid w:val="00005613"/>
    <w:rsid w:val="00005A48"/>
    <w:rsid w:val="00006A42"/>
    <w:rsid w:val="00007907"/>
    <w:rsid w:val="00007A30"/>
    <w:rsid w:val="0001039F"/>
    <w:rsid w:val="00011410"/>
    <w:rsid w:val="0001323D"/>
    <w:rsid w:val="00013A41"/>
    <w:rsid w:val="00013DE8"/>
    <w:rsid w:val="0001559D"/>
    <w:rsid w:val="000163FB"/>
    <w:rsid w:val="00017269"/>
    <w:rsid w:val="00017C20"/>
    <w:rsid w:val="00021D1D"/>
    <w:rsid w:val="00024C7A"/>
    <w:rsid w:val="00024FDE"/>
    <w:rsid w:val="00025079"/>
    <w:rsid w:val="00026E94"/>
    <w:rsid w:val="00027072"/>
    <w:rsid w:val="00027A5C"/>
    <w:rsid w:val="00030140"/>
    <w:rsid w:val="00030435"/>
    <w:rsid w:val="00030615"/>
    <w:rsid w:val="00030C19"/>
    <w:rsid w:val="00030C61"/>
    <w:rsid w:val="0003197C"/>
    <w:rsid w:val="000335A6"/>
    <w:rsid w:val="000352D7"/>
    <w:rsid w:val="000356EA"/>
    <w:rsid w:val="00037F27"/>
    <w:rsid w:val="000410B8"/>
    <w:rsid w:val="00041F1F"/>
    <w:rsid w:val="00042A65"/>
    <w:rsid w:val="00042F61"/>
    <w:rsid w:val="000430D7"/>
    <w:rsid w:val="0004325C"/>
    <w:rsid w:val="00043D81"/>
    <w:rsid w:val="00044563"/>
    <w:rsid w:val="00044A09"/>
    <w:rsid w:val="0004559B"/>
    <w:rsid w:val="00046E9A"/>
    <w:rsid w:val="00050219"/>
    <w:rsid w:val="00051F29"/>
    <w:rsid w:val="0005220E"/>
    <w:rsid w:val="00053BE2"/>
    <w:rsid w:val="00053D63"/>
    <w:rsid w:val="00054613"/>
    <w:rsid w:val="00054A1A"/>
    <w:rsid w:val="00054CDE"/>
    <w:rsid w:val="0005556E"/>
    <w:rsid w:val="00055C14"/>
    <w:rsid w:val="000605C8"/>
    <w:rsid w:val="00060FB3"/>
    <w:rsid w:val="00061B13"/>
    <w:rsid w:val="00062A47"/>
    <w:rsid w:val="0006310B"/>
    <w:rsid w:val="000634EC"/>
    <w:rsid w:val="0006355C"/>
    <w:rsid w:val="00064919"/>
    <w:rsid w:val="00064B20"/>
    <w:rsid w:val="00064C44"/>
    <w:rsid w:val="00064C6E"/>
    <w:rsid w:val="00065845"/>
    <w:rsid w:val="000676E6"/>
    <w:rsid w:val="0006788E"/>
    <w:rsid w:val="0007127B"/>
    <w:rsid w:val="00073DCC"/>
    <w:rsid w:val="00074EF5"/>
    <w:rsid w:val="00075082"/>
    <w:rsid w:val="000776B7"/>
    <w:rsid w:val="00077E2F"/>
    <w:rsid w:val="00080672"/>
    <w:rsid w:val="00080BE8"/>
    <w:rsid w:val="00081438"/>
    <w:rsid w:val="0008180F"/>
    <w:rsid w:val="00082ACA"/>
    <w:rsid w:val="0008321E"/>
    <w:rsid w:val="000836EA"/>
    <w:rsid w:val="000842D2"/>
    <w:rsid w:val="000843FA"/>
    <w:rsid w:val="00084586"/>
    <w:rsid w:val="00084844"/>
    <w:rsid w:val="00085C2F"/>
    <w:rsid w:val="00085E61"/>
    <w:rsid w:val="00086538"/>
    <w:rsid w:val="00086C22"/>
    <w:rsid w:val="00086C2A"/>
    <w:rsid w:val="00086C38"/>
    <w:rsid w:val="00087389"/>
    <w:rsid w:val="00087781"/>
    <w:rsid w:val="00091BE1"/>
    <w:rsid w:val="00092AB7"/>
    <w:rsid w:val="00093339"/>
    <w:rsid w:val="000938BC"/>
    <w:rsid w:val="00093AE4"/>
    <w:rsid w:val="00093C07"/>
    <w:rsid w:val="00093EF8"/>
    <w:rsid w:val="000941F0"/>
    <w:rsid w:val="0009444B"/>
    <w:rsid w:val="000944AD"/>
    <w:rsid w:val="000945AF"/>
    <w:rsid w:val="00094AAF"/>
    <w:rsid w:val="000953C4"/>
    <w:rsid w:val="00095548"/>
    <w:rsid w:val="00095570"/>
    <w:rsid w:val="000956DF"/>
    <w:rsid w:val="0009590D"/>
    <w:rsid w:val="00095E6A"/>
    <w:rsid w:val="0009608E"/>
    <w:rsid w:val="00096711"/>
    <w:rsid w:val="00097189"/>
    <w:rsid w:val="000A0293"/>
    <w:rsid w:val="000A1491"/>
    <w:rsid w:val="000A1E95"/>
    <w:rsid w:val="000A23C6"/>
    <w:rsid w:val="000A24D9"/>
    <w:rsid w:val="000A26E7"/>
    <w:rsid w:val="000A318D"/>
    <w:rsid w:val="000A3745"/>
    <w:rsid w:val="000A4FB6"/>
    <w:rsid w:val="000A533B"/>
    <w:rsid w:val="000A596D"/>
    <w:rsid w:val="000A5A41"/>
    <w:rsid w:val="000A5EBC"/>
    <w:rsid w:val="000A7AB5"/>
    <w:rsid w:val="000B02A3"/>
    <w:rsid w:val="000B0393"/>
    <w:rsid w:val="000B0648"/>
    <w:rsid w:val="000B1353"/>
    <w:rsid w:val="000B3313"/>
    <w:rsid w:val="000B44B5"/>
    <w:rsid w:val="000B5045"/>
    <w:rsid w:val="000B52ED"/>
    <w:rsid w:val="000B6938"/>
    <w:rsid w:val="000B7114"/>
    <w:rsid w:val="000B7352"/>
    <w:rsid w:val="000B7A57"/>
    <w:rsid w:val="000C0973"/>
    <w:rsid w:val="000C0E8E"/>
    <w:rsid w:val="000C0F33"/>
    <w:rsid w:val="000C139D"/>
    <w:rsid w:val="000C1A09"/>
    <w:rsid w:val="000C2BB1"/>
    <w:rsid w:val="000C2ED9"/>
    <w:rsid w:val="000C3605"/>
    <w:rsid w:val="000C3931"/>
    <w:rsid w:val="000C3F83"/>
    <w:rsid w:val="000C5181"/>
    <w:rsid w:val="000C568A"/>
    <w:rsid w:val="000C59AC"/>
    <w:rsid w:val="000C5C41"/>
    <w:rsid w:val="000C783C"/>
    <w:rsid w:val="000C7DFA"/>
    <w:rsid w:val="000D0CE1"/>
    <w:rsid w:val="000D1234"/>
    <w:rsid w:val="000D12CD"/>
    <w:rsid w:val="000D139B"/>
    <w:rsid w:val="000D1D8D"/>
    <w:rsid w:val="000D1E63"/>
    <w:rsid w:val="000D26C8"/>
    <w:rsid w:val="000D3854"/>
    <w:rsid w:val="000D3866"/>
    <w:rsid w:val="000D4569"/>
    <w:rsid w:val="000D4B9A"/>
    <w:rsid w:val="000D5398"/>
    <w:rsid w:val="000D5EB4"/>
    <w:rsid w:val="000D6053"/>
    <w:rsid w:val="000D64E5"/>
    <w:rsid w:val="000E024B"/>
    <w:rsid w:val="000E09BF"/>
    <w:rsid w:val="000E118B"/>
    <w:rsid w:val="000E1253"/>
    <w:rsid w:val="000E1A2A"/>
    <w:rsid w:val="000E21CE"/>
    <w:rsid w:val="000E24CD"/>
    <w:rsid w:val="000E2574"/>
    <w:rsid w:val="000E3977"/>
    <w:rsid w:val="000E3B25"/>
    <w:rsid w:val="000E4034"/>
    <w:rsid w:val="000E4481"/>
    <w:rsid w:val="000E4776"/>
    <w:rsid w:val="000E4C02"/>
    <w:rsid w:val="000E4EF2"/>
    <w:rsid w:val="000E50E0"/>
    <w:rsid w:val="000E63BA"/>
    <w:rsid w:val="000E6A7B"/>
    <w:rsid w:val="000E6E6A"/>
    <w:rsid w:val="000F088D"/>
    <w:rsid w:val="000F115A"/>
    <w:rsid w:val="000F188F"/>
    <w:rsid w:val="000F2120"/>
    <w:rsid w:val="000F2200"/>
    <w:rsid w:val="000F35E2"/>
    <w:rsid w:val="000F39AA"/>
    <w:rsid w:val="000F3C69"/>
    <w:rsid w:val="000F4740"/>
    <w:rsid w:val="000F61EC"/>
    <w:rsid w:val="0010035B"/>
    <w:rsid w:val="0010063E"/>
    <w:rsid w:val="001007F1"/>
    <w:rsid w:val="001014AF"/>
    <w:rsid w:val="0010229C"/>
    <w:rsid w:val="0010279A"/>
    <w:rsid w:val="00104584"/>
    <w:rsid w:val="00106AAB"/>
    <w:rsid w:val="00107410"/>
    <w:rsid w:val="001103F5"/>
    <w:rsid w:val="001108DE"/>
    <w:rsid w:val="00110F7D"/>
    <w:rsid w:val="00111825"/>
    <w:rsid w:val="001124B3"/>
    <w:rsid w:val="00112BF0"/>
    <w:rsid w:val="00112E48"/>
    <w:rsid w:val="0011301B"/>
    <w:rsid w:val="0011326C"/>
    <w:rsid w:val="001135DA"/>
    <w:rsid w:val="00113862"/>
    <w:rsid w:val="00113DEA"/>
    <w:rsid w:val="0011494F"/>
    <w:rsid w:val="00114D55"/>
    <w:rsid w:val="00115FCC"/>
    <w:rsid w:val="00116893"/>
    <w:rsid w:val="001178CF"/>
    <w:rsid w:val="00121C10"/>
    <w:rsid w:val="00123CC4"/>
    <w:rsid w:val="00123D6A"/>
    <w:rsid w:val="00125555"/>
    <w:rsid w:val="00125B54"/>
    <w:rsid w:val="00126530"/>
    <w:rsid w:val="00127130"/>
    <w:rsid w:val="00127AB3"/>
    <w:rsid w:val="00130065"/>
    <w:rsid w:val="00133381"/>
    <w:rsid w:val="0013430F"/>
    <w:rsid w:val="00135824"/>
    <w:rsid w:val="001361BD"/>
    <w:rsid w:val="00140B8B"/>
    <w:rsid w:val="0014129F"/>
    <w:rsid w:val="00141F27"/>
    <w:rsid w:val="00143C54"/>
    <w:rsid w:val="00144918"/>
    <w:rsid w:val="001455C9"/>
    <w:rsid w:val="00145A19"/>
    <w:rsid w:val="001460A2"/>
    <w:rsid w:val="00146232"/>
    <w:rsid w:val="001463A9"/>
    <w:rsid w:val="00146555"/>
    <w:rsid w:val="00146D9B"/>
    <w:rsid w:val="00146EE0"/>
    <w:rsid w:val="001502BC"/>
    <w:rsid w:val="00151F6C"/>
    <w:rsid w:val="001542FA"/>
    <w:rsid w:val="0015469B"/>
    <w:rsid w:val="001546D2"/>
    <w:rsid w:val="001550AC"/>
    <w:rsid w:val="0015553F"/>
    <w:rsid w:val="00155860"/>
    <w:rsid w:val="00155BCA"/>
    <w:rsid w:val="00155E47"/>
    <w:rsid w:val="00155F48"/>
    <w:rsid w:val="00156EEE"/>
    <w:rsid w:val="001575D4"/>
    <w:rsid w:val="001579B6"/>
    <w:rsid w:val="00161E2A"/>
    <w:rsid w:val="0016216C"/>
    <w:rsid w:val="00163794"/>
    <w:rsid w:val="00163B70"/>
    <w:rsid w:val="00163D03"/>
    <w:rsid w:val="001655BA"/>
    <w:rsid w:val="00165673"/>
    <w:rsid w:val="001660B2"/>
    <w:rsid w:val="00166F8C"/>
    <w:rsid w:val="001673E0"/>
    <w:rsid w:val="00167C28"/>
    <w:rsid w:val="001705F9"/>
    <w:rsid w:val="00171506"/>
    <w:rsid w:val="00171516"/>
    <w:rsid w:val="001721E5"/>
    <w:rsid w:val="001727E7"/>
    <w:rsid w:val="00173674"/>
    <w:rsid w:val="00173B7B"/>
    <w:rsid w:val="001748DC"/>
    <w:rsid w:val="001758C8"/>
    <w:rsid w:val="00175D42"/>
    <w:rsid w:val="00175D54"/>
    <w:rsid w:val="00175DAB"/>
    <w:rsid w:val="00176208"/>
    <w:rsid w:val="00176D09"/>
    <w:rsid w:val="00176E72"/>
    <w:rsid w:val="00177960"/>
    <w:rsid w:val="00177B64"/>
    <w:rsid w:val="00180A3A"/>
    <w:rsid w:val="00183061"/>
    <w:rsid w:val="001832A3"/>
    <w:rsid w:val="00184681"/>
    <w:rsid w:val="001848B8"/>
    <w:rsid w:val="001851AB"/>
    <w:rsid w:val="0018525E"/>
    <w:rsid w:val="00185510"/>
    <w:rsid w:val="00185DDD"/>
    <w:rsid w:val="00185E0D"/>
    <w:rsid w:val="0018678B"/>
    <w:rsid w:val="00190D79"/>
    <w:rsid w:val="001910E8"/>
    <w:rsid w:val="0019112F"/>
    <w:rsid w:val="00191735"/>
    <w:rsid w:val="00191910"/>
    <w:rsid w:val="0019298D"/>
    <w:rsid w:val="00192EA7"/>
    <w:rsid w:val="001931EF"/>
    <w:rsid w:val="0019325A"/>
    <w:rsid w:val="0019385C"/>
    <w:rsid w:val="00193BBC"/>
    <w:rsid w:val="00194588"/>
    <w:rsid w:val="0019461A"/>
    <w:rsid w:val="00194D56"/>
    <w:rsid w:val="00194DEA"/>
    <w:rsid w:val="00196A61"/>
    <w:rsid w:val="001970B6"/>
    <w:rsid w:val="00197329"/>
    <w:rsid w:val="001974F3"/>
    <w:rsid w:val="001976DD"/>
    <w:rsid w:val="001A0831"/>
    <w:rsid w:val="001A101C"/>
    <w:rsid w:val="001A25E3"/>
    <w:rsid w:val="001A3847"/>
    <w:rsid w:val="001A3AD5"/>
    <w:rsid w:val="001A3B9E"/>
    <w:rsid w:val="001A3DEA"/>
    <w:rsid w:val="001A458D"/>
    <w:rsid w:val="001A4DC0"/>
    <w:rsid w:val="001A66A6"/>
    <w:rsid w:val="001A6700"/>
    <w:rsid w:val="001A6E87"/>
    <w:rsid w:val="001A77A5"/>
    <w:rsid w:val="001B0428"/>
    <w:rsid w:val="001B0C6B"/>
    <w:rsid w:val="001B13D3"/>
    <w:rsid w:val="001B1E03"/>
    <w:rsid w:val="001B2DC1"/>
    <w:rsid w:val="001B3A4C"/>
    <w:rsid w:val="001B3DB1"/>
    <w:rsid w:val="001B3DF5"/>
    <w:rsid w:val="001B3F00"/>
    <w:rsid w:val="001B41FD"/>
    <w:rsid w:val="001B4216"/>
    <w:rsid w:val="001B4971"/>
    <w:rsid w:val="001B4AC5"/>
    <w:rsid w:val="001B515D"/>
    <w:rsid w:val="001B66E0"/>
    <w:rsid w:val="001B7574"/>
    <w:rsid w:val="001B75D2"/>
    <w:rsid w:val="001B79A0"/>
    <w:rsid w:val="001B7FBF"/>
    <w:rsid w:val="001C0E2E"/>
    <w:rsid w:val="001C0E81"/>
    <w:rsid w:val="001C13F5"/>
    <w:rsid w:val="001C1D62"/>
    <w:rsid w:val="001C29CC"/>
    <w:rsid w:val="001C2B4B"/>
    <w:rsid w:val="001C2CC4"/>
    <w:rsid w:val="001C3F18"/>
    <w:rsid w:val="001C4B16"/>
    <w:rsid w:val="001C58B5"/>
    <w:rsid w:val="001C6427"/>
    <w:rsid w:val="001C6925"/>
    <w:rsid w:val="001C7031"/>
    <w:rsid w:val="001C7C9F"/>
    <w:rsid w:val="001D0546"/>
    <w:rsid w:val="001D1380"/>
    <w:rsid w:val="001D2104"/>
    <w:rsid w:val="001D3075"/>
    <w:rsid w:val="001D3321"/>
    <w:rsid w:val="001D3ADD"/>
    <w:rsid w:val="001D3D60"/>
    <w:rsid w:val="001D4502"/>
    <w:rsid w:val="001D50BA"/>
    <w:rsid w:val="001D53C4"/>
    <w:rsid w:val="001D563E"/>
    <w:rsid w:val="001D71AF"/>
    <w:rsid w:val="001D7588"/>
    <w:rsid w:val="001D75F5"/>
    <w:rsid w:val="001D7EF1"/>
    <w:rsid w:val="001E0B75"/>
    <w:rsid w:val="001E0EEA"/>
    <w:rsid w:val="001E131D"/>
    <w:rsid w:val="001E1A7A"/>
    <w:rsid w:val="001E1ECF"/>
    <w:rsid w:val="001E2150"/>
    <w:rsid w:val="001E26AE"/>
    <w:rsid w:val="001E2C3D"/>
    <w:rsid w:val="001E35B8"/>
    <w:rsid w:val="001E4043"/>
    <w:rsid w:val="001E6581"/>
    <w:rsid w:val="001F064C"/>
    <w:rsid w:val="001F1178"/>
    <w:rsid w:val="001F1448"/>
    <w:rsid w:val="001F1850"/>
    <w:rsid w:val="001F27BC"/>
    <w:rsid w:val="001F2D5C"/>
    <w:rsid w:val="001F3285"/>
    <w:rsid w:val="001F3595"/>
    <w:rsid w:val="001F38AA"/>
    <w:rsid w:val="001F3CFB"/>
    <w:rsid w:val="001F40CC"/>
    <w:rsid w:val="001F5246"/>
    <w:rsid w:val="001F5456"/>
    <w:rsid w:val="001F6574"/>
    <w:rsid w:val="001F6BE3"/>
    <w:rsid w:val="001F6C53"/>
    <w:rsid w:val="001F795D"/>
    <w:rsid w:val="00200A92"/>
    <w:rsid w:val="00202344"/>
    <w:rsid w:val="002039DA"/>
    <w:rsid w:val="00203D45"/>
    <w:rsid w:val="002044FE"/>
    <w:rsid w:val="002048BB"/>
    <w:rsid w:val="00204F27"/>
    <w:rsid w:val="00205404"/>
    <w:rsid w:val="0020556E"/>
    <w:rsid w:val="002118CB"/>
    <w:rsid w:val="00211B42"/>
    <w:rsid w:val="00213484"/>
    <w:rsid w:val="0021379B"/>
    <w:rsid w:val="00214C24"/>
    <w:rsid w:val="00215318"/>
    <w:rsid w:val="00215A0E"/>
    <w:rsid w:val="00215AD2"/>
    <w:rsid w:val="0021694E"/>
    <w:rsid w:val="00216EDF"/>
    <w:rsid w:val="0022107C"/>
    <w:rsid w:val="00222052"/>
    <w:rsid w:val="0022246D"/>
    <w:rsid w:val="0022377D"/>
    <w:rsid w:val="00224C16"/>
    <w:rsid w:val="00224E41"/>
    <w:rsid w:val="0022580B"/>
    <w:rsid w:val="00226D48"/>
    <w:rsid w:val="00226D76"/>
    <w:rsid w:val="0022799E"/>
    <w:rsid w:val="00227F94"/>
    <w:rsid w:val="002327C6"/>
    <w:rsid w:val="002343C2"/>
    <w:rsid w:val="00234FB0"/>
    <w:rsid w:val="0023544B"/>
    <w:rsid w:val="002357FE"/>
    <w:rsid w:val="00235F5D"/>
    <w:rsid w:val="00236429"/>
    <w:rsid w:val="00236A21"/>
    <w:rsid w:val="00236DD9"/>
    <w:rsid w:val="00237FDB"/>
    <w:rsid w:val="00240207"/>
    <w:rsid w:val="00240521"/>
    <w:rsid w:val="00241202"/>
    <w:rsid w:val="002418CB"/>
    <w:rsid w:val="002419B0"/>
    <w:rsid w:val="00241C9A"/>
    <w:rsid w:val="00241EBD"/>
    <w:rsid w:val="00242B92"/>
    <w:rsid w:val="00244B1A"/>
    <w:rsid w:val="00245A31"/>
    <w:rsid w:val="002462DE"/>
    <w:rsid w:val="0025070E"/>
    <w:rsid w:val="0025102F"/>
    <w:rsid w:val="002510AD"/>
    <w:rsid w:val="002527AF"/>
    <w:rsid w:val="00252F1B"/>
    <w:rsid w:val="00254AFB"/>
    <w:rsid w:val="00254DCA"/>
    <w:rsid w:val="0025508A"/>
    <w:rsid w:val="002552B5"/>
    <w:rsid w:val="00255F2D"/>
    <w:rsid w:val="002567F1"/>
    <w:rsid w:val="0025792B"/>
    <w:rsid w:val="00261544"/>
    <w:rsid w:val="0026190B"/>
    <w:rsid w:val="0026209E"/>
    <w:rsid w:val="00262587"/>
    <w:rsid w:val="00262BFB"/>
    <w:rsid w:val="00263FCC"/>
    <w:rsid w:val="00264182"/>
    <w:rsid w:val="002649EE"/>
    <w:rsid w:val="002652A5"/>
    <w:rsid w:val="002654EC"/>
    <w:rsid w:val="002658CC"/>
    <w:rsid w:val="00265F89"/>
    <w:rsid w:val="00266F39"/>
    <w:rsid w:val="00267060"/>
    <w:rsid w:val="00270316"/>
    <w:rsid w:val="002715F0"/>
    <w:rsid w:val="00272A41"/>
    <w:rsid w:val="00272BE1"/>
    <w:rsid w:val="00272FFF"/>
    <w:rsid w:val="00273952"/>
    <w:rsid w:val="00274171"/>
    <w:rsid w:val="0027463A"/>
    <w:rsid w:val="002747E3"/>
    <w:rsid w:val="002749FC"/>
    <w:rsid w:val="00274C2E"/>
    <w:rsid w:val="002752AA"/>
    <w:rsid w:val="002757B8"/>
    <w:rsid w:val="00277D43"/>
    <w:rsid w:val="002803EA"/>
    <w:rsid w:val="00280C3F"/>
    <w:rsid w:val="00280F86"/>
    <w:rsid w:val="00281241"/>
    <w:rsid w:val="0028162F"/>
    <w:rsid w:val="002817C5"/>
    <w:rsid w:val="002821F9"/>
    <w:rsid w:val="00282DFA"/>
    <w:rsid w:val="00282F30"/>
    <w:rsid w:val="002833A3"/>
    <w:rsid w:val="00283984"/>
    <w:rsid w:val="002839D9"/>
    <w:rsid w:val="002854D7"/>
    <w:rsid w:val="002868E1"/>
    <w:rsid w:val="00286AA5"/>
    <w:rsid w:val="00286D89"/>
    <w:rsid w:val="00287140"/>
    <w:rsid w:val="0029108F"/>
    <w:rsid w:val="002913B3"/>
    <w:rsid w:val="0029163F"/>
    <w:rsid w:val="00292E14"/>
    <w:rsid w:val="00293572"/>
    <w:rsid w:val="00293E4F"/>
    <w:rsid w:val="0029598C"/>
    <w:rsid w:val="00295FC9"/>
    <w:rsid w:val="00296A1F"/>
    <w:rsid w:val="00296F17"/>
    <w:rsid w:val="00297482"/>
    <w:rsid w:val="002A0150"/>
    <w:rsid w:val="002A08F7"/>
    <w:rsid w:val="002A0F48"/>
    <w:rsid w:val="002A1279"/>
    <w:rsid w:val="002A1FE0"/>
    <w:rsid w:val="002A2269"/>
    <w:rsid w:val="002A288B"/>
    <w:rsid w:val="002A2C24"/>
    <w:rsid w:val="002A3871"/>
    <w:rsid w:val="002A3E40"/>
    <w:rsid w:val="002B00E3"/>
    <w:rsid w:val="002B0164"/>
    <w:rsid w:val="002B0D95"/>
    <w:rsid w:val="002B0ECA"/>
    <w:rsid w:val="002B1E6E"/>
    <w:rsid w:val="002B27F7"/>
    <w:rsid w:val="002B2F4B"/>
    <w:rsid w:val="002B3A38"/>
    <w:rsid w:val="002B4FB9"/>
    <w:rsid w:val="002B5E20"/>
    <w:rsid w:val="002B66AB"/>
    <w:rsid w:val="002B6B1C"/>
    <w:rsid w:val="002B6BF9"/>
    <w:rsid w:val="002C0551"/>
    <w:rsid w:val="002C10E0"/>
    <w:rsid w:val="002C2865"/>
    <w:rsid w:val="002C3114"/>
    <w:rsid w:val="002C3C04"/>
    <w:rsid w:val="002C4499"/>
    <w:rsid w:val="002C5D32"/>
    <w:rsid w:val="002C6660"/>
    <w:rsid w:val="002C6AEB"/>
    <w:rsid w:val="002C6CA3"/>
    <w:rsid w:val="002C7435"/>
    <w:rsid w:val="002D1361"/>
    <w:rsid w:val="002D1B96"/>
    <w:rsid w:val="002D2822"/>
    <w:rsid w:val="002D3325"/>
    <w:rsid w:val="002D3756"/>
    <w:rsid w:val="002D4143"/>
    <w:rsid w:val="002D422C"/>
    <w:rsid w:val="002D6BA2"/>
    <w:rsid w:val="002E1783"/>
    <w:rsid w:val="002E25CE"/>
    <w:rsid w:val="002E35CA"/>
    <w:rsid w:val="002E41C8"/>
    <w:rsid w:val="002E5C2C"/>
    <w:rsid w:val="002E5C70"/>
    <w:rsid w:val="002E6B46"/>
    <w:rsid w:val="002E7A62"/>
    <w:rsid w:val="002E7C35"/>
    <w:rsid w:val="002F02FF"/>
    <w:rsid w:val="002F1C1D"/>
    <w:rsid w:val="002F1F75"/>
    <w:rsid w:val="002F1FF4"/>
    <w:rsid w:val="002F2172"/>
    <w:rsid w:val="002F2DE3"/>
    <w:rsid w:val="002F3831"/>
    <w:rsid w:val="002F3A07"/>
    <w:rsid w:val="002F4334"/>
    <w:rsid w:val="002F45F4"/>
    <w:rsid w:val="002F5525"/>
    <w:rsid w:val="002F658E"/>
    <w:rsid w:val="002F7003"/>
    <w:rsid w:val="002F7173"/>
    <w:rsid w:val="00302B0A"/>
    <w:rsid w:val="00303B36"/>
    <w:rsid w:val="00303C5B"/>
    <w:rsid w:val="00304A9F"/>
    <w:rsid w:val="00304C12"/>
    <w:rsid w:val="00305BD3"/>
    <w:rsid w:val="00306B04"/>
    <w:rsid w:val="0030757E"/>
    <w:rsid w:val="003075D2"/>
    <w:rsid w:val="0031039B"/>
    <w:rsid w:val="00310FF5"/>
    <w:rsid w:val="0031105D"/>
    <w:rsid w:val="00311692"/>
    <w:rsid w:val="00311B27"/>
    <w:rsid w:val="00311FAA"/>
    <w:rsid w:val="003121BE"/>
    <w:rsid w:val="003130D6"/>
    <w:rsid w:val="00313ED0"/>
    <w:rsid w:val="003141E7"/>
    <w:rsid w:val="003156AC"/>
    <w:rsid w:val="003163F6"/>
    <w:rsid w:val="003168A3"/>
    <w:rsid w:val="003169C0"/>
    <w:rsid w:val="00317845"/>
    <w:rsid w:val="00317A4E"/>
    <w:rsid w:val="00320018"/>
    <w:rsid w:val="003200B5"/>
    <w:rsid w:val="00321148"/>
    <w:rsid w:val="00322AC4"/>
    <w:rsid w:val="00323034"/>
    <w:rsid w:val="003233C6"/>
    <w:rsid w:val="003235A8"/>
    <w:rsid w:val="00323ABA"/>
    <w:rsid w:val="00325FD8"/>
    <w:rsid w:val="003268B5"/>
    <w:rsid w:val="003268FA"/>
    <w:rsid w:val="00326E13"/>
    <w:rsid w:val="00334E12"/>
    <w:rsid w:val="00334FA2"/>
    <w:rsid w:val="0033578E"/>
    <w:rsid w:val="00335F8B"/>
    <w:rsid w:val="0033688B"/>
    <w:rsid w:val="003368AF"/>
    <w:rsid w:val="00340F8B"/>
    <w:rsid w:val="00343641"/>
    <w:rsid w:val="003436F0"/>
    <w:rsid w:val="003439E0"/>
    <w:rsid w:val="00344703"/>
    <w:rsid w:val="003458DD"/>
    <w:rsid w:val="00346353"/>
    <w:rsid w:val="003467E9"/>
    <w:rsid w:val="00346859"/>
    <w:rsid w:val="003474A7"/>
    <w:rsid w:val="00350476"/>
    <w:rsid w:val="0035198D"/>
    <w:rsid w:val="00351CC3"/>
    <w:rsid w:val="00351F6A"/>
    <w:rsid w:val="00352953"/>
    <w:rsid w:val="0035342E"/>
    <w:rsid w:val="00354A41"/>
    <w:rsid w:val="00354FEF"/>
    <w:rsid w:val="0035533C"/>
    <w:rsid w:val="00355384"/>
    <w:rsid w:val="003558A4"/>
    <w:rsid w:val="00356F95"/>
    <w:rsid w:val="003575E6"/>
    <w:rsid w:val="003604A2"/>
    <w:rsid w:val="00360B48"/>
    <w:rsid w:val="00360D82"/>
    <w:rsid w:val="003623B6"/>
    <w:rsid w:val="003638C6"/>
    <w:rsid w:val="00363DE7"/>
    <w:rsid w:val="00364189"/>
    <w:rsid w:val="00364798"/>
    <w:rsid w:val="00364999"/>
    <w:rsid w:val="00364BED"/>
    <w:rsid w:val="00364C9D"/>
    <w:rsid w:val="00365E49"/>
    <w:rsid w:val="0036606D"/>
    <w:rsid w:val="003663CE"/>
    <w:rsid w:val="00366A4D"/>
    <w:rsid w:val="00366DBC"/>
    <w:rsid w:val="00367D64"/>
    <w:rsid w:val="0037085D"/>
    <w:rsid w:val="003710F6"/>
    <w:rsid w:val="003712C1"/>
    <w:rsid w:val="003720AC"/>
    <w:rsid w:val="0037282B"/>
    <w:rsid w:val="0037514E"/>
    <w:rsid w:val="00375D27"/>
    <w:rsid w:val="00375DCC"/>
    <w:rsid w:val="00376C1A"/>
    <w:rsid w:val="00377DAE"/>
    <w:rsid w:val="00377DD3"/>
    <w:rsid w:val="00380332"/>
    <w:rsid w:val="003809C8"/>
    <w:rsid w:val="00382AC2"/>
    <w:rsid w:val="003841DF"/>
    <w:rsid w:val="00384245"/>
    <w:rsid w:val="0038439F"/>
    <w:rsid w:val="0038453E"/>
    <w:rsid w:val="003851F7"/>
    <w:rsid w:val="003859D0"/>
    <w:rsid w:val="003862ED"/>
    <w:rsid w:val="00386BFB"/>
    <w:rsid w:val="00386C5E"/>
    <w:rsid w:val="003875EB"/>
    <w:rsid w:val="00387CAB"/>
    <w:rsid w:val="0039054A"/>
    <w:rsid w:val="00390E91"/>
    <w:rsid w:val="00390FB3"/>
    <w:rsid w:val="00390FD5"/>
    <w:rsid w:val="00392D36"/>
    <w:rsid w:val="00392FD4"/>
    <w:rsid w:val="00393019"/>
    <w:rsid w:val="00394173"/>
    <w:rsid w:val="0039451A"/>
    <w:rsid w:val="00394CFD"/>
    <w:rsid w:val="003954D8"/>
    <w:rsid w:val="00395916"/>
    <w:rsid w:val="00396E09"/>
    <w:rsid w:val="003970CC"/>
    <w:rsid w:val="00397B29"/>
    <w:rsid w:val="00397EB8"/>
    <w:rsid w:val="003A0B8B"/>
    <w:rsid w:val="003A1709"/>
    <w:rsid w:val="003A22C0"/>
    <w:rsid w:val="003A4855"/>
    <w:rsid w:val="003A54FF"/>
    <w:rsid w:val="003A5529"/>
    <w:rsid w:val="003A5D1D"/>
    <w:rsid w:val="003A5FBE"/>
    <w:rsid w:val="003A6911"/>
    <w:rsid w:val="003A7276"/>
    <w:rsid w:val="003A7F4C"/>
    <w:rsid w:val="003B012F"/>
    <w:rsid w:val="003B0131"/>
    <w:rsid w:val="003B035A"/>
    <w:rsid w:val="003B064A"/>
    <w:rsid w:val="003B0D42"/>
    <w:rsid w:val="003B2124"/>
    <w:rsid w:val="003B5167"/>
    <w:rsid w:val="003B5953"/>
    <w:rsid w:val="003B5A30"/>
    <w:rsid w:val="003B5D5A"/>
    <w:rsid w:val="003B5F7E"/>
    <w:rsid w:val="003C00AD"/>
    <w:rsid w:val="003C0445"/>
    <w:rsid w:val="003C088F"/>
    <w:rsid w:val="003C0D38"/>
    <w:rsid w:val="003C114A"/>
    <w:rsid w:val="003C1736"/>
    <w:rsid w:val="003C198E"/>
    <w:rsid w:val="003C1D34"/>
    <w:rsid w:val="003C2743"/>
    <w:rsid w:val="003C3387"/>
    <w:rsid w:val="003C363F"/>
    <w:rsid w:val="003C5550"/>
    <w:rsid w:val="003C6925"/>
    <w:rsid w:val="003C7F75"/>
    <w:rsid w:val="003D114D"/>
    <w:rsid w:val="003D1BA8"/>
    <w:rsid w:val="003D2060"/>
    <w:rsid w:val="003D2A01"/>
    <w:rsid w:val="003D3420"/>
    <w:rsid w:val="003D35D8"/>
    <w:rsid w:val="003D400D"/>
    <w:rsid w:val="003D4995"/>
    <w:rsid w:val="003D4AA5"/>
    <w:rsid w:val="003D551B"/>
    <w:rsid w:val="003D5A9F"/>
    <w:rsid w:val="003D5F9E"/>
    <w:rsid w:val="003D630C"/>
    <w:rsid w:val="003D6E96"/>
    <w:rsid w:val="003D6F6E"/>
    <w:rsid w:val="003D70D7"/>
    <w:rsid w:val="003D7DCB"/>
    <w:rsid w:val="003E07DA"/>
    <w:rsid w:val="003E1EC3"/>
    <w:rsid w:val="003E2505"/>
    <w:rsid w:val="003E3046"/>
    <w:rsid w:val="003E4957"/>
    <w:rsid w:val="003E4C4B"/>
    <w:rsid w:val="003E5300"/>
    <w:rsid w:val="003E58CA"/>
    <w:rsid w:val="003E6165"/>
    <w:rsid w:val="003E7070"/>
    <w:rsid w:val="003E7798"/>
    <w:rsid w:val="003E7A0A"/>
    <w:rsid w:val="003E7B27"/>
    <w:rsid w:val="003F084E"/>
    <w:rsid w:val="003F08CE"/>
    <w:rsid w:val="003F17E1"/>
    <w:rsid w:val="003F1C4E"/>
    <w:rsid w:val="003F25F9"/>
    <w:rsid w:val="003F37AC"/>
    <w:rsid w:val="003F3EFC"/>
    <w:rsid w:val="003F4043"/>
    <w:rsid w:val="003F724B"/>
    <w:rsid w:val="0040008D"/>
    <w:rsid w:val="004007EE"/>
    <w:rsid w:val="0040239C"/>
    <w:rsid w:val="00402C80"/>
    <w:rsid w:val="00402D26"/>
    <w:rsid w:val="00402DBC"/>
    <w:rsid w:val="00403FC1"/>
    <w:rsid w:val="00404429"/>
    <w:rsid w:val="00404591"/>
    <w:rsid w:val="00404AB1"/>
    <w:rsid w:val="004052C7"/>
    <w:rsid w:val="00405CA0"/>
    <w:rsid w:val="004061DE"/>
    <w:rsid w:val="00407A3C"/>
    <w:rsid w:val="00407CB8"/>
    <w:rsid w:val="00407EF3"/>
    <w:rsid w:val="004101A6"/>
    <w:rsid w:val="004103A5"/>
    <w:rsid w:val="004109E6"/>
    <w:rsid w:val="00411175"/>
    <w:rsid w:val="00413181"/>
    <w:rsid w:val="004139E1"/>
    <w:rsid w:val="00413F04"/>
    <w:rsid w:val="004154AD"/>
    <w:rsid w:val="0041632D"/>
    <w:rsid w:val="00416E66"/>
    <w:rsid w:val="00421264"/>
    <w:rsid w:val="00421E01"/>
    <w:rsid w:val="004222DB"/>
    <w:rsid w:val="004234C0"/>
    <w:rsid w:val="00424125"/>
    <w:rsid w:val="00424E11"/>
    <w:rsid w:val="00424E85"/>
    <w:rsid w:val="0042736A"/>
    <w:rsid w:val="00427AA3"/>
    <w:rsid w:val="0043028B"/>
    <w:rsid w:val="00430841"/>
    <w:rsid w:val="004314CE"/>
    <w:rsid w:val="004318B4"/>
    <w:rsid w:val="00431C5E"/>
    <w:rsid w:val="00432ADD"/>
    <w:rsid w:val="004330F7"/>
    <w:rsid w:val="004341D5"/>
    <w:rsid w:val="0043437F"/>
    <w:rsid w:val="004348F1"/>
    <w:rsid w:val="0043629F"/>
    <w:rsid w:val="004367CC"/>
    <w:rsid w:val="00436F17"/>
    <w:rsid w:val="00437D2D"/>
    <w:rsid w:val="0044125C"/>
    <w:rsid w:val="004422A7"/>
    <w:rsid w:val="00442D1D"/>
    <w:rsid w:val="00443261"/>
    <w:rsid w:val="004449E6"/>
    <w:rsid w:val="004454D6"/>
    <w:rsid w:val="00450AEB"/>
    <w:rsid w:val="00452B9A"/>
    <w:rsid w:val="00454701"/>
    <w:rsid w:val="0045477E"/>
    <w:rsid w:val="0045479B"/>
    <w:rsid w:val="00454CE9"/>
    <w:rsid w:val="00454E63"/>
    <w:rsid w:val="00455FBB"/>
    <w:rsid w:val="00456139"/>
    <w:rsid w:val="00456594"/>
    <w:rsid w:val="00456840"/>
    <w:rsid w:val="004571E4"/>
    <w:rsid w:val="0046043B"/>
    <w:rsid w:val="00462FA8"/>
    <w:rsid w:val="00463024"/>
    <w:rsid w:val="004633BC"/>
    <w:rsid w:val="004637D5"/>
    <w:rsid w:val="004639D4"/>
    <w:rsid w:val="00463A7A"/>
    <w:rsid w:val="004642F9"/>
    <w:rsid w:val="00464D73"/>
    <w:rsid w:val="00465919"/>
    <w:rsid w:val="00465B99"/>
    <w:rsid w:val="00466BDD"/>
    <w:rsid w:val="00467203"/>
    <w:rsid w:val="004674D6"/>
    <w:rsid w:val="00467EA5"/>
    <w:rsid w:val="00467EC9"/>
    <w:rsid w:val="00467FC0"/>
    <w:rsid w:val="00470525"/>
    <w:rsid w:val="00471849"/>
    <w:rsid w:val="0047193E"/>
    <w:rsid w:val="004721A8"/>
    <w:rsid w:val="004725D1"/>
    <w:rsid w:val="00472FBD"/>
    <w:rsid w:val="004732A8"/>
    <w:rsid w:val="00473DAB"/>
    <w:rsid w:val="004746E4"/>
    <w:rsid w:val="00475035"/>
    <w:rsid w:val="00476152"/>
    <w:rsid w:val="00477296"/>
    <w:rsid w:val="004779BF"/>
    <w:rsid w:val="004802E9"/>
    <w:rsid w:val="0048033F"/>
    <w:rsid w:val="0048062E"/>
    <w:rsid w:val="0048139F"/>
    <w:rsid w:val="0048207C"/>
    <w:rsid w:val="004902D0"/>
    <w:rsid w:val="00490F10"/>
    <w:rsid w:val="004913B0"/>
    <w:rsid w:val="00491484"/>
    <w:rsid w:val="00492644"/>
    <w:rsid w:val="0049418F"/>
    <w:rsid w:val="0049467D"/>
    <w:rsid w:val="004969C5"/>
    <w:rsid w:val="004A14A8"/>
    <w:rsid w:val="004A1E94"/>
    <w:rsid w:val="004A21DB"/>
    <w:rsid w:val="004A2E81"/>
    <w:rsid w:val="004A6B85"/>
    <w:rsid w:val="004A7708"/>
    <w:rsid w:val="004A7A2B"/>
    <w:rsid w:val="004B18D5"/>
    <w:rsid w:val="004B1D36"/>
    <w:rsid w:val="004B2C4C"/>
    <w:rsid w:val="004B40DA"/>
    <w:rsid w:val="004B4654"/>
    <w:rsid w:val="004B5676"/>
    <w:rsid w:val="004B5A55"/>
    <w:rsid w:val="004B63EF"/>
    <w:rsid w:val="004B686D"/>
    <w:rsid w:val="004B6EA1"/>
    <w:rsid w:val="004B73D5"/>
    <w:rsid w:val="004C1EA0"/>
    <w:rsid w:val="004C2F2D"/>
    <w:rsid w:val="004C3F1A"/>
    <w:rsid w:val="004C48B6"/>
    <w:rsid w:val="004C49C1"/>
    <w:rsid w:val="004C4DC0"/>
    <w:rsid w:val="004C55AD"/>
    <w:rsid w:val="004C5905"/>
    <w:rsid w:val="004C60C0"/>
    <w:rsid w:val="004C78AD"/>
    <w:rsid w:val="004D0999"/>
    <w:rsid w:val="004D0AFC"/>
    <w:rsid w:val="004D162E"/>
    <w:rsid w:val="004D1FE2"/>
    <w:rsid w:val="004D2067"/>
    <w:rsid w:val="004D2ED1"/>
    <w:rsid w:val="004D39DA"/>
    <w:rsid w:val="004D3C71"/>
    <w:rsid w:val="004D3CD2"/>
    <w:rsid w:val="004D489A"/>
    <w:rsid w:val="004D4F35"/>
    <w:rsid w:val="004D601B"/>
    <w:rsid w:val="004D60A9"/>
    <w:rsid w:val="004D651B"/>
    <w:rsid w:val="004D69A0"/>
    <w:rsid w:val="004E0F73"/>
    <w:rsid w:val="004E13A8"/>
    <w:rsid w:val="004E2DC7"/>
    <w:rsid w:val="004E3AF3"/>
    <w:rsid w:val="004E3FA7"/>
    <w:rsid w:val="004E44D8"/>
    <w:rsid w:val="004E524B"/>
    <w:rsid w:val="004E6919"/>
    <w:rsid w:val="004E6EB1"/>
    <w:rsid w:val="004E6FA9"/>
    <w:rsid w:val="004F0318"/>
    <w:rsid w:val="004F044B"/>
    <w:rsid w:val="004F0D46"/>
    <w:rsid w:val="004F19E3"/>
    <w:rsid w:val="004F2445"/>
    <w:rsid w:val="004F2A83"/>
    <w:rsid w:val="004F44D5"/>
    <w:rsid w:val="004F480A"/>
    <w:rsid w:val="004F4A10"/>
    <w:rsid w:val="004F5236"/>
    <w:rsid w:val="004F5617"/>
    <w:rsid w:val="004F5ACD"/>
    <w:rsid w:val="004F666B"/>
    <w:rsid w:val="00500043"/>
    <w:rsid w:val="005003B5"/>
    <w:rsid w:val="00503096"/>
    <w:rsid w:val="00504588"/>
    <w:rsid w:val="00504FB2"/>
    <w:rsid w:val="005053F4"/>
    <w:rsid w:val="00505E13"/>
    <w:rsid w:val="00506436"/>
    <w:rsid w:val="00506E07"/>
    <w:rsid w:val="00506E80"/>
    <w:rsid w:val="005072EE"/>
    <w:rsid w:val="00507AF2"/>
    <w:rsid w:val="0051027B"/>
    <w:rsid w:val="00510EA8"/>
    <w:rsid w:val="00511360"/>
    <w:rsid w:val="0051180C"/>
    <w:rsid w:val="00511925"/>
    <w:rsid w:val="00511EE1"/>
    <w:rsid w:val="00512721"/>
    <w:rsid w:val="00513303"/>
    <w:rsid w:val="00514D42"/>
    <w:rsid w:val="00514E83"/>
    <w:rsid w:val="00516410"/>
    <w:rsid w:val="00516A40"/>
    <w:rsid w:val="00517267"/>
    <w:rsid w:val="005172F3"/>
    <w:rsid w:val="0051763A"/>
    <w:rsid w:val="005203DA"/>
    <w:rsid w:val="0052049C"/>
    <w:rsid w:val="0052112B"/>
    <w:rsid w:val="00521283"/>
    <w:rsid w:val="005217F0"/>
    <w:rsid w:val="005219BD"/>
    <w:rsid w:val="005231C2"/>
    <w:rsid w:val="0052346C"/>
    <w:rsid w:val="0052383A"/>
    <w:rsid w:val="005238FD"/>
    <w:rsid w:val="00523AB0"/>
    <w:rsid w:val="00523F0C"/>
    <w:rsid w:val="00524DC3"/>
    <w:rsid w:val="00525079"/>
    <w:rsid w:val="00526B3D"/>
    <w:rsid w:val="0052731C"/>
    <w:rsid w:val="00527770"/>
    <w:rsid w:val="00530FCA"/>
    <w:rsid w:val="00531F98"/>
    <w:rsid w:val="005328B2"/>
    <w:rsid w:val="005329C9"/>
    <w:rsid w:val="00533ECD"/>
    <w:rsid w:val="00533F42"/>
    <w:rsid w:val="005347F8"/>
    <w:rsid w:val="00534FAA"/>
    <w:rsid w:val="00535017"/>
    <w:rsid w:val="00535285"/>
    <w:rsid w:val="00535628"/>
    <w:rsid w:val="005358A0"/>
    <w:rsid w:val="00535DEE"/>
    <w:rsid w:val="00540690"/>
    <w:rsid w:val="00540DB0"/>
    <w:rsid w:val="00541BEB"/>
    <w:rsid w:val="005426DF"/>
    <w:rsid w:val="005430F4"/>
    <w:rsid w:val="005439BE"/>
    <w:rsid w:val="00543B1F"/>
    <w:rsid w:val="00543DEA"/>
    <w:rsid w:val="005443B9"/>
    <w:rsid w:val="005457A5"/>
    <w:rsid w:val="00546C38"/>
    <w:rsid w:val="00546D55"/>
    <w:rsid w:val="00546FAB"/>
    <w:rsid w:val="005504B6"/>
    <w:rsid w:val="005506FE"/>
    <w:rsid w:val="00550A00"/>
    <w:rsid w:val="005510B0"/>
    <w:rsid w:val="00551E0D"/>
    <w:rsid w:val="00554418"/>
    <w:rsid w:val="005547E9"/>
    <w:rsid w:val="005554B9"/>
    <w:rsid w:val="00555822"/>
    <w:rsid w:val="00556479"/>
    <w:rsid w:val="00556B66"/>
    <w:rsid w:val="00556E29"/>
    <w:rsid w:val="00557051"/>
    <w:rsid w:val="005577F1"/>
    <w:rsid w:val="00560D19"/>
    <w:rsid w:val="00561119"/>
    <w:rsid w:val="00561CD5"/>
    <w:rsid w:val="005622BB"/>
    <w:rsid w:val="0056304C"/>
    <w:rsid w:val="0057003B"/>
    <w:rsid w:val="0057059B"/>
    <w:rsid w:val="00571844"/>
    <w:rsid w:val="00571BF4"/>
    <w:rsid w:val="0057267E"/>
    <w:rsid w:val="00573536"/>
    <w:rsid w:val="00573CC5"/>
    <w:rsid w:val="00574B59"/>
    <w:rsid w:val="005752F4"/>
    <w:rsid w:val="005754E7"/>
    <w:rsid w:val="00575808"/>
    <w:rsid w:val="00576444"/>
    <w:rsid w:val="00576BB8"/>
    <w:rsid w:val="00577587"/>
    <w:rsid w:val="005775C8"/>
    <w:rsid w:val="0058174A"/>
    <w:rsid w:val="00581DD5"/>
    <w:rsid w:val="0058356C"/>
    <w:rsid w:val="00583E5F"/>
    <w:rsid w:val="005862BF"/>
    <w:rsid w:val="00586672"/>
    <w:rsid w:val="005868AB"/>
    <w:rsid w:val="00586AE2"/>
    <w:rsid w:val="00587712"/>
    <w:rsid w:val="00587797"/>
    <w:rsid w:val="00587C4A"/>
    <w:rsid w:val="00590A35"/>
    <w:rsid w:val="005920D4"/>
    <w:rsid w:val="005930AA"/>
    <w:rsid w:val="00593577"/>
    <w:rsid w:val="00593E98"/>
    <w:rsid w:val="00594458"/>
    <w:rsid w:val="00594F7D"/>
    <w:rsid w:val="00595524"/>
    <w:rsid w:val="00595FA4"/>
    <w:rsid w:val="005A0A06"/>
    <w:rsid w:val="005A1A49"/>
    <w:rsid w:val="005A2236"/>
    <w:rsid w:val="005A34B7"/>
    <w:rsid w:val="005A3E3D"/>
    <w:rsid w:val="005A3E93"/>
    <w:rsid w:val="005A67E6"/>
    <w:rsid w:val="005A6D9F"/>
    <w:rsid w:val="005A75ED"/>
    <w:rsid w:val="005B050D"/>
    <w:rsid w:val="005B05AA"/>
    <w:rsid w:val="005B1182"/>
    <w:rsid w:val="005B19DF"/>
    <w:rsid w:val="005B1E4A"/>
    <w:rsid w:val="005B2421"/>
    <w:rsid w:val="005B2A71"/>
    <w:rsid w:val="005B565E"/>
    <w:rsid w:val="005B7482"/>
    <w:rsid w:val="005B7C6F"/>
    <w:rsid w:val="005C0056"/>
    <w:rsid w:val="005C0777"/>
    <w:rsid w:val="005C0D41"/>
    <w:rsid w:val="005C1B1A"/>
    <w:rsid w:val="005C2775"/>
    <w:rsid w:val="005C3211"/>
    <w:rsid w:val="005C3977"/>
    <w:rsid w:val="005C3AB1"/>
    <w:rsid w:val="005C521C"/>
    <w:rsid w:val="005C5462"/>
    <w:rsid w:val="005C5A78"/>
    <w:rsid w:val="005C6106"/>
    <w:rsid w:val="005C73CC"/>
    <w:rsid w:val="005D0522"/>
    <w:rsid w:val="005D1524"/>
    <w:rsid w:val="005D31F1"/>
    <w:rsid w:val="005D36A0"/>
    <w:rsid w:val="005D37B6"/>
    <w:rsid w:val="005D3889"/>
    <w:rsid w:val="005D469F"/>
    <w:rsid w:val="005D475C"/>
    <w:rsid w:val="005D47F7"/>
    <w:rsid w:val="005D483E"/>
    <w:rsid w:val="005D4B41"/>
    <w:rsid w:val="005D70B2"/>
    <w:rsid w:val="005D7334"/>
    <w:rsid w:val="005D77E0"/>
    <w:rsid w:val="005D7CCF"/>
    <w:rsid w:val="005E0836"/>
    <w:rsid w:val="005E0B9F"/>
    <w:rsid w:val="005E0EF5"/>
    <w:rsid w:val="005E0F5D"/>
    <w:rsid w:val="005E1A33"/>
    <w:rsid w:val="005E2510"/>
    <w:rsid w:val="005E2BD3"/>
    <w:rsid w:val="005E31A3"/>
    <w:rsid w:val="005E3D0B"/>
    <w:rsid w:val="005E3D62"/>
    <w:rsid w:val="005E59CD"/>
    <w:rsid w:val="005E5B1C"/>
    <w:rsid w:val="005E7F55"/>
    <w:rsid w:val="005F091B"/>
    <w:rsid w:val="005F1444"/>
    <w:rsid w:val="005F2161"/>
    <w:rsid w:val="005F229D"/>
    <w:rsid w:val="005F2724"/>
    <w:rsid w:val="005F293F"/>
    <w:rsid w:val="005F2E07"/>
    <w:rsid w:val="005F325B"/>
    <w:rsid w:val="005F35C2"/>
    <w:rsid w:val="005F3EE7"/>
    <w:rsid w:val="005F4EE2"/>
    <w:rsid w:val="005F54C9"/>
    <w:rsid w:val="005F56A2"/>
    <w:rsid w:val="005F65CB"/>
    <w:rsid w:val="005F6FB6"/>
    <w:rsid w:val="005F7408"/>
    <w:rsid w:val="005F774A"/>
    <w:rsid w:val="00600D7A"/>
    <w:rsid w:val="006013E3"/>
    <w:rsid w:val="006026AF"/>
    <w:rsid w:val="00602815"/>
    <w:rsid w:val="00602CE6"/>
    <w:rsid w:val="00603292"/>
    <w:rsid w:val="006039A7"/>
    <w:rsid w:val="0060440E"/>
    <w:rsid w:val="00604BB0"/>
    <w:rsid w:val="006050C3"/>
    <w:rsid w:val="00605D26"/>
    <w:rsid w:val="006064E3"/>
    <w:rsid w:val="00607AB9"/>
    <w:rsid w:val="00607E5B"/>
    <w:rsid w:val="006108CC"/>
    <w:rsid w:val="00611267"/>
    <w:rsid w:val="00611F8B"/>
    <w:rsid w:val="0061295E"/>
    <w:rsid w:val="00612C74"/>
    <w:rsid w:val="00612CE7"/>
    <w:rsid w:val="00612F99"/>
    <w:rsid w:val="0061320B"/>
    <w:rsid w:val="006135D5"/>
    <w:rsid w:val="00613729"/>
    <w:rsid w:val="006156E6"/>
    <w:rsid w:val="006162ED"/>
    <w:rsid w:val="006165BB"/>
    <w:rsid w:val="00616E90"/>
    <w:rsid w:val="00617C71"/>
    <w:rsid w:val="0062088B"/>
    <w:rsid w:val="006209E1"/>
    <w:rsid w:val="00620CF0"/>
    <w:rsid w:val="0062273F"/>
    <w:rsid w:val="0062286E"/>
    <w:rsid w:val="00622E40"/>
    <w:rsid w:val="00622FEE"/>
    <w:rsid w:val="00623172"/>
    <w:rsid w:val="006234AE"/>
    <w:rsid w:val="0062367B"/>
    <w:rsid w:val="0062367D"/>
    <w:rsid w:val="00624889"/>
    <w:rsid w:val="00626864"/>
    <w:rsid w:val="00630278"/>
    <w:rsid w:val="00630786"/>
    <w:rsid w:val="00631B80"/>
    <w:rsid w:val="006322F9"/>
    <w:rsid w:val="006327EB"/>
    <w:rsid w:val="0063323E"/>
    <w:rsid w:val="006338CB"/>
    <w:rsid w:val="00633C03"/>
    <w:rsid w:val="006346AD"/>
    <w:rsid w:val="00634927"/>
    <w:rsid w:val="00634B93"/>
    <w:rsid w:val="00634C5A"/>
    <w:rsid w:val="00636DF7"/>
    <w:rsid w:val="00636E50"/>
    <w:rsid w:val="006400E7"/>
    <w:rsid w:val="00640883"/>
    <w:rsid w:val="00640A10"/>
    <w:rsid w:val="00640DF1"/>
    <w:rsid w:val="00641242"/>
    <w:rsid w:val="00641DB3"/>
    <w:rsid w:val="00643B1D"/>
    <w:rsid w:val="00645629"/>
    <w:rsid w:val="006458E1"/>
    <w:rsid w:val="00645EBF"/>
    <w:rsid w:val="0064611C"/>
    <w:rsid w:val="006461A0"/>
    <w:rsid w:val="006475D8"/>
    <w:rsid w:val="00647DC3"/>
    <w:rsid w:val="0065074F"/>
    <w:rsid w:val="0065112C"/>
    <w:rsid w:val="00651E01"/>
    <w:rsid w:val="0065248B"/>
    <w:rsid w:val="00652CE6"/>
    <w:rsid w:val="00655EED"/>
    <w:rsid w:val="006567CE"/>
    <w:rsid w:val="00660785"/>
    <w:rsid w:val="00660859"/>
    <w:rsid w:val="00660863"/>
    <w:rsid w:val="00661102"/>
    <w:rsid w:val="006611C4"/>
    <w:rsid w:val="00661304"/>
    <w:rsid w:val="00662108"/>
    <w:rsid w:val="00662983"/>
    <w:rsid w:val="00662E05"/>
    <w:rsid w:val="006648F7"/>
    <w:rsid w:val="006651C8"/>
    <w:rsid w:val="00665835"/>
    <w:rsid w:val="00665B86"/>
    <w:rsid w:val="00666143"/>
    <w:rsid w:val="00666149"/>
    <w:rsid w:val="006661B8"/>
    <w:rsid w:val="006669CB"/>
    <w:rsid w:val="00666B10"/>
    <w:rsid w:val="00666CC0"/>
    <w:rsid w:val="0066738A"/>
    <w:rsid w:val="006675A7"/>
    <w:rsid w:val="0066797C"/>
    <w:rsid w:val="006706D8"/>
    <w:rsid w:val="006711FF"/>
    <w:rsid w:val="00671AA6"/>
    <w:rsid w:val="00672506"/>
    <w:rsid w:val="00672858"/>
    <w:rsid w:val="006731F0"/>
    <w:rsid w:val="00674409"/>
    <w:rsid w:val="00677617"/>
    <w:rsid w:val="00680BAF"/>
    <w:rsid w:val="00681466"/>
    <w:rsid w:val="006818D2"/>
    <w:rsid w:val="00682332"/>
    <w:rsid w:val="00682A44"/>
    <w:rsid w:val="0068320A"/>
    <w:rsid w:val="00684615"/>
    <w:rsid w:val="00684EA0"/>
    <w:rsid w:val="006853A5"/>
    <w:rsid w:val="0068566D"/>
    <w:rsid w:val="00685992"/>
    <w:rsid w:val="00685AFF"/>
    <w:rsid w:val="00686237"/>
    <w:rsid w:val="00686994"/>
    <w:rsid w:val="0069237A"/>
    <w:rsid w:val="0069256A"/>
    <w:rsid w:val="006925BB"/>
    <w:rsid w:val="00692D45"/>
    <w:rsid w:val="00693623"/>
    <w:rsid w:val="00693C64"/>
    <w:rsid w:val="00693FA7"/>
    <w:rsid w:val="00694488"/>
    <w:rsid w:val="006960E0"/>
    <w:rsid w:val="0069659B"/>
    <w:rsid w:val="00696B03"/>
    <w:rsid w:val="006973AE"/>
    <w:rsid w:val="00697515"/>
    <w:rsid w:val="00697B29"/>
    <w:rsid w:val="00697F9F"/>
    <w:rsid w:val="006A094E"/>
    <w:rsid w:val="006A0D2E"/>
    <w:rsid w:val="006A1E72"/>
    <w:rsid w:val="006A2060"/>
    <w:rsid w:val="006A233F"/>
    <w:rsid w:val="006A2DF1"/>
    <w:rsid w:val="006A3151"/>
    <w:rsid w:val="006A3C61"/>
    <w:rsid w:val="006A3F9D"/>
    <w:rsid w:val="006A4DBB"/>
    <w:rsid w:val="006A56E8"/>
    <w:rsid w:val="006A688A"/>
    <w:rsid w:val="006A69CA"/>
    <w:rsid w:val="006A6FA0"/>
    <w:rsid w:val="006B1054"/>
    <w:rsid w:val="006B1368"/>
    <w:rsid w:val="006B3C23"/>
    <w:rsid w:val="006B3E6C"/>
    <w:rsid w:val="006B3E74"/>
    <w:rsid w:val="006B5A32"/>
    <w:rsid w:val="006B6371"/>
    <w:rsid w:val="006B6ADD"/>
    <w:rsid w:val="006B78EB"/>
    <w:rsid w:val="006C0553"/>
    <w:rsid w:val="006C0A48"/>
    <w:rsid w:val="006C141F"/>
    <w:rsid w:val="006C163C"/>
    <w:rsid w:val="006C1796"/>
    <w:rsid w:val="006C1CE3"/>
    <w:rsid w:val="006C22E5"/>
    <w:rsid w:val="006C3DFB"/>
    <w:rsid w:val="006C4655"/>
    <w:rsid w:val="006C5007"/>
    <w:rsid w:val="006C5253"/>
    <w:rsid w:val="006C673C"/>
    <w:rsid w:val="006C703E"/>
    <w:rsid w:val="006C793B"/>
    <w:rsid w:val="006D0C35"/>
    <w:rsid w:val="006D1CEF"/>
    <w:rsid w:val="006D252E"/>
    <w:rsid w:val="006D3B5D"/>
    <w:rsid w:val="006D4EA8"/>
    <w:rsid w:val="006D50B9"/>
    <w:rsid w:val="006D5334"/>
    <w:rsid w:val="006D69A8"/>
    <w:rsid w:val="006D6A05"/>
    <w:rsid w:val="006D7A89"/>
    <w:rsid w:val="006D7BB3"/>
    <w:rsid w:val="006E0F48"/>
    <w:rsid w:val="006E110F"/>
    <w:rsid w:val="006E1689"/>
    <w:rsid w:val="006E30B4"/>
    <w:rsid w:val="006E3F96"/>
    <w:rsid w:val="006E66CC"/>
    <w:rsid w:val="006E789E"/>
    <w:rsid w:val="006F0536"/>
    <w:rsid w:val="006F165C"/>
    <w:rsid w:val="006F216A"/>
    <w:rsid w:val="006F2FE2"/>
    <w:rsid w:val="006F32F5"/>
    <w:rsid w:val="006F3EB5"/>
    <w:rsid w:val="006F498F"/>
    <w:rsid w:val="006F49CA"/>
    <w:rsid w:val="006F4A6A"/>
    <w:rsid w:val="006F5185"/>
    <w:rsid w:val="006F5A65"/>
    <w:rsid w:val="006F6464"/>
    <w:rsid w:val="006F66B1"/>
    <w:rsid w:val="006F7816"/>
    <w:rsid w:val="00701088"/>
    <w:rsid w:val="0070188F"/>
    <w:rsid w:val="00701B4D"/>
    <w:rsid w:val="007029C1"/>
    <w:rsid w:val="00702CC6"/>
    <w:rsid w:val="00703D3E"/>
    <w:rsid w:val="00705B4D"/>
    <w:rsid w:val="00705B9C"/>
    <w:rsid w:val="00706276"/>
    <w:rsid w:val="007104CA"/>
    <w:rsid w:val="007106F9"/>
    <w:rsid w:val="0071185F"/>
    <w:rsid w:val="00711B5B"/>
    <w:rsid w:val="00711C7B"/>
    <w:rsid w:val="0071332E"/>
    <w:rsid w:val="00714F03"/>
    <w:rsid w:val="0071501F"/>
    <w:rsid w:val="007154E4"/>
    <w:rsid w:val="0071688F"/>
    <w:rsid w:val="007177BA"/>
    <w:rsid w:val="00717898"/>
    <w:rsid w:val="00717901"/>
    <w:rsid w:val="00717A1F"/>
    <w:rsid w:val="0072030E"/>
    <w:rsid w:val="007209A0"/>
    <w:rsid w:val="00720B87"/>
    <w:rsid w:val="00721422"/>
    <w:rsid w:val="00721BB0"/>
    <w:rsid w:val="00721EB4"/>
    <w:rsid w:val="00722110"/>
    <w:rsid w:val="00722DCF"/>
    <w:rsid w:val="007240EE"/>
    <w:rsid w:val="007241E2"/>
    <w:rsid w:val="00724301"/>
    <w:rsid w:val="00725EBD"/>
    <w:rsid w:val="007262F0"/>
    <w:rsid w:val="007264D5"/>
    <w:rsid w:val="007267CA"/>
    <w:rsid w:val="00726F62"/>
    <w:rsid w:val="007278C4"/>
    <w:rsid w:val="00730B41"/>
    <w:rsid w:val="007314DB"/>
    <w:rsid w:val="007318BF"/>
    <w:rsid w:val="00732BDD"/>
    <w:rsid w:val="007340FE"/>
    <w:rsid w:val="007348F8"/>
    <w:rsid w:val="00735238"/>
    <w:rsid w:val="0073578A"/>
    <w:rsid w:val="007363AF"/>
    <w:rsid w:val="007365B7"/>
    <w:rsid w:val="00737A25"/>
    <w:rsid w:val="007401A4"/>
    <w:rsid w:val="00741685"/>
    <w:rsid w:val="007419ED"/>
    <w:rsid w:val="00742A2F"/>
    <w:rsid w:val="00744978"/>
    <w:rsid w:val="00745021"/>
    <w:rsid w:val="007456E0"/>
    <w:rsid w:val="00746B41"/>
    <w:rsid w:val="007478C0"/>
    <w:rsid w:val="00747F08"/>
    <w:rsid w:val="00750080"/>
    <w:rsid w:val="00750DB0"/>
    <w:rsid w:val="00751970"/>
    <w:rsid w:val="00752FE3"/>
    <w:rsid w:val="00753212"/>
    <w:rsid w:val="00753B55"/>
    <w:rsid w:val="00753FAC"/>
    <w:rsid w:val="007553A2"/>
    <w:rsid w:val="0075549C"/>
    <w:rsid w:val="00755B5F"/>
    <w:rsid w:val="00755CCF"/>
    <w:rsid w:val="00757B46"/>
    <w:rsid w:val="00757EED"/>
    <w:rsid w:val="00760322"/>
    <w:rsid w:val="00760D19"/>
    <w:rsid w:val="00761B12"/>
    <w:rsid w:val="00763BCF"/>
    <w:rsid w:val="00764168"/>
    <w:rsid w:val="00764D34"/>
    <w:rsid w:val="00765652"/>
    <w:rsid w:val="00765A19"/>
    <w:rsid w:val="00765D05"/>
    <w:rsid w:val="007661F3"/>
    <w:rsid w:val="007700DA"/>
    <w:rsid w:val="00770330"/>
    <w:rsid w:val="00770CB2"/>
    <w:rsid w:val="0077196D"/>
    <w:rsid w:val="0077252E"/>
    <w:rsid w:val="00774030"/>
    <w:rsid w:val="007749A2"/>
    <w:rsid w:val="00774C4F"/>
    <w:rsid w:val="00775050"/>
    <w:rsid w:val="00775167"/>
    <w:rsid w:val="00775CCD"/>
    <w:rsid w:val="00780161"/>
    <w:rsid w:val="00780939"/>
    <w:rsid w:val="007816A5"/>
    <w:rsid w:val="00781C33"/>
    <w:rsid w:val="00781E62"/>
    <w:rsid w:val="00782A67"/>
    <w:rsid w:val="00782E75"/>
    <w:rsid w:val="00784E62"/>
    <w:rsid w:val="00784F0C"/>
    <w:rsid w:val="00786833"/>
    <w:rsid w:val="007872E3"/>
    <w:rsid w:val="00790B41"/>
    <w:rsid w:val="00790E39"/>
    <w:rsid w:val="00790F4E"/>
    <w:rsid w:val="00791483"/>
    <w:rsid w:val="00791954"/>
    <w:rsid w:val="007922DA"/>
    <w:rsid w:val="0079411F"/>
    <w:rsid w:val="00794181"/>
    <w:rsid w:val="007948C0"/>
    <w:rsid w:val="007948D9"/>
    <w:rsid w:val="00795E13"/>
    <w:rsid w:val="0079699C"/>
    <w:rsid w:val="007A22A2"/>
    <w:rsid w:val="007A2750"/>
    <w:rsid w:val="007A278E"/>
    <w:rsid w:val="007A2C42"/>
    <w:rsid w:val="007A3D24"/>
    <w:rsid w:val="007A4E10"/>
    <w:rsid w:val="007A58DC"/>
    <w:rsid w:val="007A5B63"/>
    <w:rsid w:val="007A638E"/>
    <w:rsid w:val="007B071B"/>
    <w:rsid w:val="007B1681"/>
    <w:rsid w:val="007B19FC"/>
    <w:rsid w:val="007B3091"/>
    <w:rsid w:val="007B3116"/>
    <w:rsid w:val="007B32BF"/>
    <w:rsid w:val="007B499E"/>
    <w:rsid w:val="007B5A59"/>
    <w:rsid w:val="007B5D96"/>
    <w:rsid w:val="007B5F02"/>
    <w:rsid w:val="007B6C90"/>
    <w:rsid w:val="007B6CC4"/>
    <w:rsid w:val="007B76A1"/>
    <w:rsid w:val="007B791C"/>
    <w:rsid w:val="007C00B7"/>
    <w:rsid w:val="007C0A8E"/>
    <w:rsid w:val="007C0C17"/>
    <w:rsid w:val="007C0D41"/>
    <w:rsid w:val="007C0FE0"/>
    <w:rsid w:val="007C1B1F"/>
    <w:rsid w:val="007C2BF3"/>
    <w:rsid w:val="007C32B1"/>
    <w:rsid w:val="007C3631"/>
    <w:rsid w:val="007C38F2"/>
    <w:rsid w:val="007C418C"/>
    <w:rsid w:val="007C42BD"/>
    <w:rsid w:val="007C573F"/>
    <w:rsid w:val="007C586B"/>
    <w:rsid w:val="007C5D12"/>
    <w:rsid w:val="007C655E"/>
    <w:rsid w:val="007C6AC9"/>
    <w:rsid w:val="007C7043"/>
    <w:rsid w:val="007C79A1"/>
    <w:rsid w:val="007C7A15"/>
    <w:rsid w:val="007D0D81"/>
    <w:rsid w:val="007D15CB"/>
    <w:rsid w:val="007D17E7"/>
    <w:rsid w:val="007D30E0"/>
    <w:rsid w:val="007D3B6B"/>
    <w:rsid w:val="007D4F98"/>
    <w:rsid w:val="007D5B19"/>
    <w:rsid w:val="007D5D84"/>
    <w:rsid w:val="007D6CD7"/>
    <w:rsid w:val="007D6F0F"/>
    <w:rsid w:val="007D790F"/>
    <w:rsid w:val="007D7C8B"/>
    <w:rsid w:val="007E0630"/>
    <w:rsid w:val="007E0BCC"/>
    <w:rsid w:val="007E19FB"/>
    <w:rsid w:val="007E1FB8"/>
    <w:rsid w:val="007E2ED5"/>
    <w:rsid w:val="007E3007"/>
    <w:rsid w:val="007E3658"/>
    <w:rsid w:val="007E45D3"/>
    <w:rsid w:val="007E4B62"/>
    <w:rsid w:val="007E4BE8"/>
    <w:rsid w:val="007E5431"/>
    <w:rsid w:val="007E5B06"/>
    <w:rsid w:val="007E657B"/>
    <w:rsid w:val="007E6C91"/>
    <w:rsid w:val="007F1D58"/>
    <w:rsid w:val="007F2D71"/>
    <w:rsid w:val="007F3B11"/>
    <w:rsid w:val="007F4274"/>
    <w:rsid w:val="007F4A5D"/>
    <w:rsid w:val="007F5651"/>
    <w:rsid w:val="007F7D14"/>
    <w:rsid w:val="00800183"/>
    <w:rsid w:val="00800BCF"/>
    <w:rsid w:val="0080160F"/>
    <w:rsid w:val="00801D88"/>
    <w:rsid w:val="00803F1D"/>
    <w:rsid w:val="0080409B"/>
    <w:rsid w:val="00804658"/>
    <w:rsid w:val="00804AD8"/>
    <w:rsid w:val="008050C1"/>
    <w:rsid w:val="00805EC4"/>
    <w:rsid w:val="00806402"/>
    <w:rsid w:val="00806841"/>
    <w:rsid w:val="00806B0D"/>
    <w:rsid w:val="00810321"/>
    <w:rsid w:val="00810821"/>
    <w:rsid w:val="008108EF"/>
    <w:rsid w:val="0081157E"/>
    <w:rsid w:val="008120C6"/>
    <w:rsid w:val="00813E27"/>
    <w:rsid w:val="0081426D"/>
    <w:rsid w:val="00814385"/>
    <w:rsid w:val="00814ECC"/>
    <w:rsid w:val="0081560A"/>
    <w:rsid w:val="00815927"/>
    <w:rsid w:val="00815AA4"/>
    <w:rsid w:val="00815E3A"/>
    <w:rsid w:val="0081647D"/>
    <w:rsid w:val="0081693A"/>
    <w:rsid w:val="00816BE7"/>
    <w:rsid w:val="00816F54"/>
    <w:rsid w:val="00817574"/>
    <w:rsid w:val="00821AE1"/>
    <w:rsid w:val="00821B7B"/>
    <w:rsid w:val="0082236A"/>
    <w:rsid w:val="008228AA"/>
    <w:rsid w:val="00822A64"/>
    <w:rsid w:val="00822CCA"/>
    <w:rsid w:val="008235A7"/>
    <w:rsid w:val="008236E5"/>
    <w:rsid w:val="008239F0"/>
    <w:rsid w:val="008252C2"/>
    <w:rsid w:val="00825510"/>
    <w:rsid w:val="0082578E"/>
    <w:rsid w:val="00826749"/>
    <w:rsid w:val="008275F3"/>
    <w:rsid w:val="00827B3E"/>
    <w:rsid w:val="00830B95"/>
    <w:rsid w:val="0083127C"/>
    <w:rsid w:val="008316A5"/>
    <w:rsid w:val="008317D1"/>
    <w:rsid w:val="00831DD5"/>
    <w:rsid w:val="0083262E"/>
    <w:rsid w:val="00833762"/>
    <w:rsid w:val="008337C3"/>
    <w:rsid w:val="0083454A"/>
    <w:rsid w:val="008346F6"/>
    <w:rsid w:val="00834A29"/>
    <w:rsid w:val="00834EB5"/>
    <w:rsid w:val="008350D3"/>
    <w:rsid w:val="00835327"/>
    <w:rsid w:val="00835723"/>
    <w:rsid w:val="00841213"/>
    <w:rsid w:val="00841F8B"/>
    <w:rsid w:val="00842CB6"/>
    <w:rsid w:val="0084336E"/>
    <w:rsid w:val="00844F26"/>
    <w:rsid w:val="00845656"/>
    <w:rsid w:val="008457B4"/>
    <w:rsid w:val="00845A37"/>
    <w:rsid w:val="00847A49"/>
    <w:rsid w:val="00847B3D"/>
    <w:rsid w:val="0085007C"/>
    <w:rsid w:val="00850218"/>
    <w:rsid w:val="00850544"/>
    <w:rsid w:val="00850F79"/>
    <w:rsid w:val="008527A7"/>
    <w:rsid w:val="008530D9"/>
    <w:rsid w:val="008530DA"/>
    <w:rsid w:val="008533C7"/>
    <w:rsid w:val="0085366F"/>
    <w:rsid w:val="00853B7A"/>
    <w:rsid w:val="00853CE1"/>
    <w:rsid w:val="0085474F"/>
    <w:rsid w:val="008548C6"/>
    <w:rsid w:val="008565C0"/>
    <w:rsid w:val="00856798"/>
    <w:rsid w:val="00860FBA"/>
    <w:rsid w:val="00861D93"/>
    <w:rsid w:val="00863547"/>
    <w:rsid w:val="0086354E"/>
    <w:rsid w:val="00863596"/>
    <w:rsid w:val="008648A5"/>
    <w:rsid w:val="0086604D"/>
    <w:rsid w:val="00866487"/>
    <w:rsid w:val="008664F7"/>
    <w:rsid w:val="0086675B"/>
    <w:rsid w:val="00866FB2"/>
    <w:rsid w:val="008710D3"/>
    <w:rsid w:val="00871209"/>
    <w:rsid w:val="00872327"/>
    <w:rsid w:val="00874EC7"/>
    <w:rsid w:val="00876489"/>
    <w:rsid w:val="00876E3B"/>
    <w:rsid w:val="0087740C"/>
    <w:rsid w:val="00877EC2"/>
    <w:rsid w:val="00880669"/>
    <w:rsid w:val="00880C07"/>
    <w:rsid w:val="008818DD"/>
    <w:rsid w:val="00881C25"/>
    <w:rsid w:val="008820F9"/>
    <w:rsid w:val="008821F9"/>
    <w:rsid w:val="0088241E"/>
    <w:rsid w:val="008838D5"/>
    <w:rsid w:val="00883C52"/>
    <w:rsid w:val="00884583"/>
    <w:rsid w:val="00885A1C"/>
    <w:rsid w:val="0088685B"/>
    <w:rsid w:val="00886F39"/>
    <w:rsid w:val="00890ED3"/>
    <w:rsid w:val="0089204E"/>
    <w:rsid w:val="0089230F"/>
    <w:rsid w:val="0089248E"/>
    <w:rsid w:val="008925C6"/>
    <w:rsid w:val="00893398"/>
    <w:rsid w:val="00893B43"/>
    <w:rsid w:val="00893D30"/>
    <w:rsid w:val="00895B6A"/>
    <w:rsid w:val="0089610F"/>
    <w:rsid w:val="0089651B"/>
    <w:rsid w:val="00896A1B"/>
    <w:rsid w:val="00896FE9"/>
    <w:rsid w:val="008973DE"/>
    <w:rsid w:val="00897521"/>
    <w:rsid w:val="00897CAF"/>
    <w:rsid w:val="008A02E5"/>
    <w:rsid w:val="008A099F"/>
    <w:rsid w:val="008A119A"/>
    <w:rsid w:val="008A1E19"/>
    <w:rsid w:val="008A3DC3"/>
    <w:rsid w:val="008A4E24"/>
    <w:rsid w:val="008A4FEB"/>
    <w:rsid w:val="008A5EAE"/>
    <w:rsid w:val="008A639D"/>
    <w:rsid w:val="008A684F"/>
    <w:rsid w:val="008A7675"/>
    <w:rsid w:val="008A7D2B"/>
    <w:rsid w:val="008B1A7F"/>
    <w:rsid w:val="008B21A9"/>
    <w:rsid w:val="008B256C"/>
    <w:rsid w:val="008B31CC"/>
    <w:rsid w:val="008B3E35"/>
    <w:rsid w:val="008B4159"/>
    <w:rsid w:val="008B4857"/>
    <w:rsid w:val="008B4AE6"/>
    <w:rsid w:val="008B4C8D"/>
    <w:rsid w:val="008B53BA"/>
    <w:rsid w:val="008B5485"/>
    <w:rsid w:val="008B663A"/>
    <w:rsid w:val="008B70AD"/>
    <w:rsid w:val="008C03DE"/>
    <w:rsid w:val="008C04D9"/>
    <w:rsid w:val="008C12C5"/>
    <w:rsid w:val="008C157C"/>
    <w:rsid w:val="008C16FD"/>
    <w:rsid w:val="008C19A5"/>
    <w:rsid w:val="008C1C4F"/>
    <w:rsid w:val="008C2580"/>
    <w:rsid w:val="008C3025"/>
    <w:rsid w:val="008C332B"/>
    <w:rsid w:val="008C3672"/>
    <w:rsid w:val="008C3A73"/>
    <w:rsid w:val="008C3AF8"/>
    <w:rsid w:val="008C5926"/>
    <w:rsid w:val="008C6394"/>
    <w:rsid w:val="008C66CD"/>
    <w:rsid w:val="008C70DA"/>
    <w:rsid w:val="008C797D"/>
    <w:rsid w:val="008D09DF"/>
    <w:rsid w:val="008D1FE9"/>
    <w:rsid w:val="008D2B77"/>
    <w:rsid w:val="008D33BE"/>
    <w:rsid w:val="008D42BD"/>
    <w:rsid w:val="008D441A"/>
    <w:rsid w:val="008D52B7"/>
    <w:rsid w:val="008D55ED"/>
    <w:rsid w:val="008D76B0"/>
    <w:rsid w:val="008E1555"/>
    <w:rsid w:val="008E1A32"/>
    <w:rsid w:val="008E1E5B"/>
    <w:rsid w:val="008E2057"/>
    <w:rsid w:val="008E20E9"/>
    <w:rsid w:val="008E2E44"/>
    <w:rsid w:val="008E3783"/>
    <w:rsid w:val="008E37E7"/>
    <w:rsid w:val="008E46F9"/>
    <w:rsid w:val="008E5FE3"/>
    <w:rsid w:val="008E70F6"/>
    <w:rsid w:val="008E7904"/>
    <w:rsid w:val="008E79C1"/>
    <w:rsid w:val="008F0A3D"/>
    <w:rsid w:val="008F103F"/>
    <w:rsid w:val="008F1CFA"/>
    <w:rsid w:val="008F254B"/>
    <w:rsid w:val="008F30B8"/>
    <w:rsid w:val="008F3AAF"/>
    <w:rsid w:val="008F464C"/>
    <w:rsid w:val="008F5CE6"/>
    <w:rsid w:val="008F71A8"/>
    <w:rsid w:val="008F73EB"/>
    <w:rsid w:val="008F7B14"/>
    <w:rsid w:val="00901B8F"/>
    <w:rsid w:val="00901E73"/>
    <w:rsid w:val="00902E1E"/>
    <w:rsid w:val="00903400"/>
    <w:rsid w:val="009042EF"/>
    <w:rsid w:val="0090440D"/>
    <w:rsid w:val="0090496B"/>
    <w:rsid w:val="00904AD4"/>
    <w:rsid w:val="0090564E"/>
    <w:rsid w:val="00905C08"/>
    <w:rsid w:val="009061E8"/>
    <w:rsid w:val="00906448"/>
    <w:rsid w:val="00906EB3"/>
    <w:rsid w:val="00907243"/>
    <w:rsid w:val="009129AF"/>
    <w:rsid w:val="00912ACF"/>
    <w:rsid w:val="00912D61"/>
    <w:rsid w:val="00914486"/>
    <w:rsid w:val="009152E6"/>
    <w:rsid w:val="009152F8"/>
    <w:rsid w:val="00915D2A"/>
    <w:rsid w:val="009160D9"/>
    <w:rsid w:val="009164DA"/>
    <w:rsid w:val="00920141"/>
    <w:rsid w:val="009208FB"/>
    <w:rsid w:val="00920EBD"/>
    <w:rsid w:val="00921418"/>
    <w:rsid w:val="0092197F"/>
    <w:rsid w:val="00922206"/>
    <w:rsid w:val="0092253A"/>
    <w:rsid w:val="00922A08"/>
    <w:rsid w:val="00923A92"/>
    <w:rsid w:val="00923CF2"/>
    <w:rsid w:val="00924400"/>
    <w:rsid w:val="009251AF"/>
    <w:rsid w:val="00933606"/>
    <w:rsid w:val="009338B1"/>
    <w:rsid w:val="00934809"/>
    <w:rsid w:val="0093524E"/>
    <w:rsid w:val="009365FA"/>
    <w:rsid w:val="00936664"/>
    <w:rsid w:val="00937A41"/>
    <w:rsid w:val="00940404"/>
    <w:rsid w:val="00942152"/>
    <w:rsid w:val="00942307"/>
    <w:rsid w:val="00942953"/>
    <w:rsid w:val="00943202"/>
    <w:rsid w:val="00943DCB"/>
    <w:rsid w:val="0094577A"/>
    <w:rsid w:val="00946087"/>
    <w:rsid w:val="00946122"/>
    <w:rsid w:val="00946D44"/>
    <w:rsid w:val="00947034"/>
    <w:rsid w:val="00947D1C"/>
    <w:rsid w:val="00947F3A"/>
    <w:rsid w:val="00951CB2"/>
    <w:rsid w:val="00952AB7"/>
    <w:rsid w:val="00952EF7"/>
    <w:rsid w:val="00952F2B"/>
    <w:rsid w:val="00953B2E"/>
    <w:rsid w:val="00953C54"/>
    <w:rsid w:val="00954FAE"/>
    <w:rsid w:val="009558D4"/>
    <w:rsid w:val="00955D64"/>
    <w:rsid w:val="00955FE6"/>
    <w:rsid w:val="009576F3"/>
    <w:rsid w:val="009608EF"/>
    <w:rsid w:val="00960C90"/>
    <w:rsid w:val="00960ECD"/>
    <w:rsid w:val="009612CB"/>
    <w:rsid w:val="0096281D"/>
    <w:rsid w:val="00963F09"/>
    <w:rsid w:val="00964272"/>
    <w:rsid w:val="0096517D"/>
    <w:rsid w:val="0096590B"/>
    <w:rsid w:val="00966B1B"/>
    <w:rsid w:val="009674E8"/>
    <w:rsid w:val="009676B8"/>
    <w:rsid w:val="00970414"/>
    <w:rsid w:val="00970D1F"/>
    <w:rsid w:val="00971386"/>
    <w:rsid w:val="00971513"/>
    <w:rsid w:val="0097170E"/>
    <w:rsid w:val="009735FC"/>
    <w:rsid w:val="0097421B"/>
    <w:rsid w:val="00974333"/>
    <w:rsid w:val="00975597"/>
    <w:rsid w:val="00981846"/>
    <w:rsid w:val="00981AD9"/>
    <w:rsid w:val="00982518"/>
    <w:rsid w:val="009830ED"/>
    <w:rsid w:val="009836BB"/>
    <w:rsid w:val="0098578A"/>
    <w:rsid w:val="00985834"/>
    <w:rsid w:val="00985E27"/>
    <w:rsid w:val="0098680E"/>
    <w:rsid w:val="009903CD"/>
    <w:rsid w:val="009905C9"/>
    <w:rsid w:val="009909CE"/>
    <w:rsid w:val="00991A1B"/>
    <w:rsid w:val="00992193"/>
    <w:rsid w:val="00992431"/>
    <w:rsid w:val="00993D19"/>
    <w:rsid w:val="009948E2"/>
    <w:rsid w:val="0099494C"/>
    <w:rsid w:val="009949ED"/>
    <w:rsid w:val="00994AD9"/>
    <w:rsid w:val="00994D84"/>
    <w:rsid w:val="00995876"/>
    <w:rsid w:val="009959EB"/>
    <w:rsid w:val="009961EC"/>
    <w:rsid w:val="009964D6"/>
    <w:rsid w:val="009A163F"/>
    <w:rsid w:val="009A2324"/>
    <w:rsid w:val="009A245D"/>
    <w:rsid w:val="009A3023"/>
    <w:rsid w:val="009A32B8"/>
    <w:rsid w:val="009A4176"/>
    <w:rsid w:val="009A4265"/>
    <w:rsid w:val="009A4295"/>
    <w:rsid w:val="009A42A3"/>
    <w:rsid w:val="009A66DC"/>
    <w:rsid w:val="009A6E23"/>
    <w:rsid w:val="009B1017"/>
    <w:rsid w:val="009B1FD4"/>
    <w:rsid w:val="009B2177"/>
    <w:rsid w:val="009B38F7"/>
    <w:rsid w:val="009B4422"/>
    <w:rsid w:val="009B4694"/>
    <w:rsid w:val="009B4790"/>
    <w:rsid w:val="009B4838"/>
    <w:rsid w:val="009B4D03"/>
    <w:rsid w:val="009B550D"/>
    <w:rsid w:val="009B611B"/>
    <w:rsid w:val="009B633B"/>
    <w:rsid w:val="009B66B7"/>
    <w:rsid w:val="009B7587"/>
    <w:rsid w:val="009C0280"/>
    <w:rsid w:val="009C09FC"/>
    <w:rsid w:val="009C0D90"/>
    <w:rsid w:val="009C0FDF"/>
    <w:rsid w:val="009C2466"/>
    <w:rsid w:val="009C33CC"/>
    <w:rsid w:val="009C4D33"/>
    <w:rsid w:val="009C6B9F"/>
    <w:rsid w:val="009C6BAE"/>
    <w:rsid w:val="009C74DE"/>
    <w:rsid w:val="009C7790"/>
    <w:rsid w:val="009C7A40"/>
    <w:rsid w:val="009C7F13"/>
    <w:rsid w:val="009D0392"/>
    <w:rsid w:val="009D1886"/>
    <w:rsid w:val="009D1BA8"/>
    <w:rsid w:val="009D2489"/>
    <w:rsid w:val="009D29D7"/>
    <w:rsid w:val="009D3049"/>
    <w:rsid w:val="009D3EC2"/>
    <w:rsid w:val="009D590B"/>
    <w:rsid w:val="009D5C0C"/>
    <w:rsid w:val="009D6A38"/>
    <w:rsid w:val="009D73EF"/>
    <w:rsid w:val="009E016A"/>
    <w:rsid w:val="009E266E"/>
    <w:rsid w:val="009E289D"/>
    <w:rsid w:val="009E3F9E"/>
    <w:rsid w:val="009E40F8"/>
    <w:rsid w:val="009E559C"/>
    <w:rsid w:val="009E69A9"/>
    <w:rsid w:val="009F19AF"/>
    <w:rsid w:val="009F2BA4"/>
    <w:rsid w:val="009F32F8"/>
    <w:rsid w:val="009F344D"/>
    <w:rsid w:val="009F5116"/>
    <w:rsid w:val="009F6C2B"/>
    <w:rsid w:val="009F6F03"/>
    <w:rsid w:val="00A002A5"/>
    <w:rsid w:val="00A00631"/>
    <w:rsid w:val="00A0148D"/>
    <w:rsid w:val="00A03578"/>
    <w:rsid w:val="00A03832"/>
    <w:rsid w:val="00A048B1"/>
    <w:rsid w:val="00A057FB"/>
    <w:rsid w:val="00A05DEF"/>
    <w:rsid w:val="00A0728C"/>
    <w:rsid w:val="00A07DE8"/>
    <w:rsid w:val="00A10611"/>
    <w:rsid w:val="00A111B8"/>
    <w:rsid w:val="00A1123D"/>
    <w:rsid w:val="00A12B1E"/>
    <w:rsid w:val="00A13120"/>
    <w:rsid w:val="00A138C5"/>
    <w:rsid w:val="00A13DF3"/>
    <w:rsid w:val="00A14581"/>
    <w:rsid w:val="00A15144"/>
    <w:rsid w:val="00A15828"/>
    <w:rsid w:val="00A1741B"/>
    <w:rsid w:val="00A17668"/>
    <w:rsid w:val="00A208C5"/>
    <w:rsid w:val="00A247C6"/>
    <w:rsid w:val="00A24D9C"/>
    <w:rsid w:val="00A257CF"/>
    <w:rsid w:val="00A25C99"/>
    <w:rsid w:val="00A26293"/>
    <w:rsid w:val="00A26D55"/>
    <w:rsid w:val="00A27307"/>
    <w:rsid w:val="00A27BDC"/>
    <w:rsid w:val="00A307C7"/>
    <w:rsid w:val="00A31003"/>
    <w:rsid w:val="00A3146F"/>
    <w:rsid w:val="00A3291C"/>
    <w:rsid w:val="00A32C9D"/>
    <w:rsid w:val="00A37381"/>
    <w:rsid w:val="00A37418"/>
    <w:rsid w:val="00A4005F"/>
    <w:rsid w:val="00A4017E"/>
    <w:rsid w:val="00A42526"/>
    <w:rsid w:val="00A435D3"/>
    <w:rsid w:val="00A44DC2"/>
    <w:rsid w:val="00A45C92"/>
    <w:rsid w:val="00A463AE"/>
    <w:rsid w:val="00A46AE8"/>
    <w:rsid w:val="00A471C1"/>
    <w:rsid w:val="00A47587"/>
    <w:rsid w:val="00A4766E"/>
    <w:rsid w:val="00A47A2A"/>
    <w:rsid w:val="00A47DA5"/>
    <w:rsid w:val="00A47DB2"/>
    <w:rsid w:val="00A528F0"/>
    <w:rsid w:val="00A52BF9"/>
    <w:rsid w:val="00A52CA9"/>
    <w:rsid w:val="00A52D17"/>
    <w:rsid w:val="00A546E0"/>
    <w:rsid w:val="00A5559F"/>
    <w:rsid w:val="00A566F9"/>
    <w:rsid w:val="00A56AC8"/>
    <w:rsid w:val="00A56E84"/>
    <w:rsid w:val="00A57101"/>
    <w:rsid w:val="00A57152"/>
    <w:rsid w:val="00A5789C"/>
    <w:rsid w:val="00A57AFC"/>
    <w:rsid w:val="00A60C73"/>
    <w:rsid w:val="00A61355"/>
    <w:rsid w:val="00A615F9"/>
    <w:rsid w:val="00A62E98"/>
    <w:rsid w:val="00A637F0"/>
    <w:rsid w:val="00A64FCF"/>
    <w:rsid w:val="00A65D59"/>
    <w:rsid w:val="00A65E4B"/>
    <w:rsid w:val="00A667FF"/>
    <w:rsid w:val="00A66B6F"/>
    <w:rsid w:val="00A66D69"/>
    <w:rsid w:val="00A704F4"/>
    <w:rsid w:val="00A70904"/>
    <w:rsid w:val="00A71601"/>
    <w:rsid w:val="00A71EFC"/>
    <w:rsid w:val="00A72EF1"/>
    <w:rsid w:val="00A732EC"/>
    <w:rsid w:val="00A7392A"/>
    <w:rsid w:val="00A74927"/>
    <w:rsid w:val="00A74963"/>
    <w:rsid w:val="00A7498D"/>
    <w:rsid w:val="00A7507D"/>
    <w:rsid w:val="00A757CD"/>
    <w:rsid w:val="00A76081"/>
    <w:rsid w:val="00A77189"/>
    <w:rsid w:val="00A777C1"/>
    <w:rsid w:val="00A77A04"/>
    <w:rsid w:val="00A822EC"/>
    <w:rsid w:val="00A82D74"/>
    <w:rsid w:val="00A82FFC"/>
    <w:rsid w:val="00A83F6D"/>
    <w:rsid w:val="00A83FDC"/>
    <w:rsid w:val="00A84339"/>
    <w:rsid w:val="00A84C69"/>
    <w:rsid w:val="00A85A26"/>
    <w:rsid w:val="00A86143"/>
    <w:rsid w:val="00A86154"/>
    <w:rsid w:val="00A8696A"/>
    <w:rsid w:val="00A86F4B"/>
    <w:rsid w:val="00A8790C"/>
    <w:rsid w:val="00A91558"/>
    <w:rsid w:val="00A91764"/>
    <w:rsid w:val="00A92EB3"/>
    <w:rsid w:val="00A9338C"/>
    <w:rsid w:val="00A93C5F"/>
    <w:rsid w:val="00A93FE0"/>
    <w:rsid w:val="00A95744"/>
    <w:rsid w:val="00A95E1B"/>
    <w:rsid w:val="00A96127"/>
    <w:rsid w:val="00A96BB9"/>
    <w:rsid w:val="00AA1CD6"/>
    <w:rsid w:val="00AA1E0B"/>
    <w:rsid w:val="00AA2492"/>
    <w:rsid w:val="00AA3659"/>
    <w:rsid w:val="00AA37BA"/>
    <w:rsid w:val="00AA38F9"/>
    <w:rsid w:val="00AA494E"/>
    <w:rsid w:val="00AA517D"/>
    <w:rsid w:val="00AA544C"/>
    <w:rsid w:val="00AA749D"/>
    <w:rsid w:val="00AA7988"/>
    <w:rsid w:val="00AA79FF"/>
    <w:rsid w:val="00AB0147"/>
    <w:rsid w:val="00AB21C4"/>
    <w:rsid w:val="00AB522E"/>
    <w:rsid w:val="00AB54EF"/>
    <w:rsid w:val="00AB54F7"/>
    <w:rsid w:val="00AB6291"/>
    <w:rsid w:val="00AB6520"/>
    <w:rsid w:val="00AB7663"/>
    <w:rsid w:val="00AB7E21"/>
    <w:rsid w:val="00AC0621"/>
    <w:rsid w:val="00AC0DC5"/>
    <w:rsid w:val="00AC22E3"/>
    <w:rsid w:val="00AC287B"/>
    <w:rsid w:val="00AC2EA8"/>
    <w:rsid w:val="00AC340C"/>
    <w:rsid w:val="00AC3B6D"/>
    <w:rsid w:val="00AC41B8"/>
    <w:rsid w:val="00AC470D"/>
    <w:rsid w:val="00AC4D06"/>
    <w:rsid w:val="00AC4D2F"/>
    <w:rsid w:val="00AC55B5"/>
    <w:rsid w:val="00AC5639"/>
    <w:rsid w:val="00AC67EE"/>
    <w:rsid w:val="00AC6966"/>
    <w:rsid w:val="00AC7887"/>
    <w:rsid w:val="00AD05D2"/>
    <w:rsid w:val="00AD0976"/>
    <w:rsid w:val="00AD0EF1"/>
    <w:rsid w:val="00AD10BA"/>
    <w:rsid w:val="00AD126E"/>
    <w:rsid w:val="00AD175A"/>
    <w:rsid w:val="00AD1F00"/>
    <w:rsid w:val="00AD2CF2"/>
    <w:rsid w:val="00AD2EF1"/>
    <w:rsid w:val="00AD5B85"/>
    <w:rsid w:val="00AD5D2E"/>
    <w:rsid w:val="00AD5ECB"/>
    <w:rsid w:val="00AD6027"/>
    <w:rsid w:val="00AD66DC"/>
    <w:rsid w:val="00AD693E"/>
    <w:rsid w:val="00AD7FEF"/>
    <w:rsid w:val="00AE0378"/>
    <w:rsid w:val="00AE0784"/>
    <w:rsid w:val="00AE10C3"/>
    <w:rsid w:val="00AE1810"/>
    <w:rsid w:val="00AE1DE8"/>
    <w:rsid w:val="00AE2193"/>
    <w:rsid w:val="00AE21C1"/>
    <w:rsid w:val="00AE39F6"/>
    <w:rsid w:val="00AE3C67"/>
    <w:rsid w:val="00AE4205"/>
    <w:rsid w:val="00AE4F93"/>
    <w:rsid w:val="00AE7561"/>
    <w:rsid w:val="00AE768F"/>
    <w:rsid w:val="00AE79B4"/>
    <w:rsid w:val="00AE7CE4"/>
    <w:rsid w:val="00AF047D"/>
    <w:rsid w:val="00AF0836"/>
    <w:rsid w:val="00AF0C81"/>
    <w:rsid w:val="00AF188B"/>
    <w:rsid w:val="00AF1E04"/>
    <w:rsid w:val="00AF1E22"/>
    <w:rsid w:val="00AF24DE"/>
    <w:rsid w:val="00AF2C49"/>
    <w:rsid w:val="00AF31EF"/>
    <w:rsid w:val="00AF3465"/>
    <w:rsid w:val="00AF3B18"/>
    <w:rsid w:val="00AF4516"/>
    <w:rsid w:val="00AF474C"/>
    <w:rsid w:val="00AF4B84"/>
    <w:rsid w:val="00AF4E85"/>
    <w:rsid w:val="00AF6227"/>
    <w:rsid w:val="00AF688A"/>
    <w:rsid w:val="00AF6A0E"/>
    <w:rsid w:val="00AF7B1E"/>
    <w:rsid w:val="00B00ED4"/>
    <w:rsid w:val="00B012AA"/>
    <w:rsid w:val="00B01524"/>
    <w:rsid w:val="00B01B3D"/>
    <w:rsid w:val="00B02398"/>
    <w:rsid w:val="00B0246C"/>
    <w:rsid w:val="00B02AFC"/>
    <w:rsid w:val="00B0402C"/>
    <w:rsid w:val="00B04F80"/>
    <w:rsid w:val="00B0596C"/>
    <w:rsid w:val="00B0653E"/>
    <w:rsid w:val="00B06F29"/>
    <w:rsid w:val="00B07391"/>
    <w:rsid w:val="00B07A9D"/>
    <w:rsid w:val="00B10CE1"/>
    <w:rsid w:val="00B114BB"/>
    <w:rsid w:val="00B135AA"/>
    <w:rsid w:val="00B13B22"/>
    <w:rsid w:val="00B14C61"/>
    <w:rsid w:val="00B14E9A"/>
    <w:rsid w:val="00B16707"/>
    <w:rsid w:val="00B17357"/>
    <w:rsid w:val="00B17B3E"/>
    <w:rsid w:val="00B17B4B"/>
    <w:rsid w:val="00B17BA1"/>
    <w:rsid w:val="00B20AC0"/>
    <w:rsid w:val="00B21C60"/>
    <w:rsid w:val="00B21DC0"/>
    <w:rsid w:val="00B22C97"/>
    <w:rsid w:val="00B23AE5"/>
    <w:rsid w:val="00B242D9"/>
    <w:rsid w:val="00B24584"/>
    <w:rsid w:val="00B24F6F"/>
    <w:rsid w:val="00B252F5"/>
    <w:rsid w:val="00B25717"/>
    <w:rsid w:val="00B25BE0"/>
    <w:rsid w:val="00B25DC8"/>
    <w:rsid w:val="00B2603B"/>
    <w:rsid w:val="00B2641C"/>
    <w:rsid w:val="00B268A6"/>
    <w:rsid w:val="00B277ED"/>
    <w:rsid w:val="00B278E2"/>
    <w:rsid w:val="00B30D63"/>
    <w:rsid w:val="00B30FEA"/>
    <w:rsid w:val="00B31110"/>
    <w:rsid w:val="00B33919"/>
    <w:rsid w:val="00B33B31"/>
    <w:rsid w:val="00B3429D"/>
    <w:rsid w:val="00B35394"/>
    <w:rsid w:val="00B35563"/>
    <w:rsid w:val="00B35B92"/>
    <w:rsid w:val="00B36320"/>
    <w:rsid w:val="00B36934"/>
    <w:rsid w:val="00B36D69"/>
    <w:rsid w:val="00B400BD"/>
    <w:rsid w:val="00B40399"/>
    <w:rsid w:val="00B404D1"/>
    <w:rsid w:val="00B4079A"/>
    <w:rsid w:val="00B40833"/>
    <w:rsid w:val="00B40902"/>
    <w:rsid w:val="00B41EFC"/>
    <w:rsid w:val="00B42840"/>
    <w:rsid w:val="00B42979"/>
    <w:rsid w:val="00B431E9"/>
    <w:rsid w:val="00B439F8"/>
    <w:rsid w:val="00B44DE8"/>
    <w:rsid w:val="00B454A9"/>
    <w:rsid w:val="00B459C2"/>
    <w:rsid w:val="00B47CBA"/>
    <w:rsid w:val="00B5059C"/>
    <w:rsid w:val="00B51310"/>
    <w:rsid w:val="00B513BE"/>
    <w:rsid w:val="00B515AA"/>
    <w:rsid w:val="00B5199A"/>
    <w:rsid w:val="00B51EE1"/>
    <w:rsid w:val="00B52D05"/>
    <w:rsid w:val="00B540C1"/>
    <w:rsid w:val="00B540D4"/>
    <w:rsid w:val="00B54380"/>
    <w:rsid w:val="00B543FE"/>
    <w:rsid w:val="00B545DE"/>
    <w:rsid w:val="00B5660D"/>
    <w:rsid w:val="00B5684E"/>
    <w:rsid w:val="00B57981"/>
    <w:rsid w:val="00B60A34"/>
    <w:rsid w:val="00B61175"/>
    <w:rsid w:val="00B614FB"/>
    <w:rsid w:val="00B618C2"/>
    <w:rsid w:val="00B6194E"/>
    <w:rsid w:val="00B61950"/>
    <w:rsid w:val="00B6295A"/>
    <w:rsid w:val="00B634E3"/>
    <w:rsid w:val="00B6419B"/>
    <w:rsid w:val="00B644AE"/>
    <w:rsid w:val="00B646C0"/>
    <w:rsid w:val="00B65941"/>
    <w:rsid w:val="00B65CFD"/>
    <w:rsid w:val="00B660F5"/>
    <w:rsid w:val="00B66986"/>
    <w:rsid w:val="00B66AD1"/>
    <w:rsid w:val="00B67E1D"/>
    <w:rsid w:val="00B708DC"/>
    <w:rsid w:val="00B71F7F"/>
    <w:rsid w:val="00B72360"/>
    <w:rsid w:val="00B74426"/>
    <w:rsid w:val="00B7587A"/>
    <w:rsid w:val="00B76019"/>
    <w:rsid w:val="00B76445"/>
    <w:rsid w:val="00B765BA"/>
    <w:rsid w:val="00B76797"/>
    <w:rsid w:val="00B76D1B"/>
    <w:rsid w:val="00B80335"/>
    <w:rsid w:val="00B80B44"/>
    <w:rsid w:val="00B83E08"/>
    <w:rsid w:val="00B85885"/>
    <w:rsid w:val="00B85BB8"/>
    <w:rsid w:val="00B8646B"/>
    <w:rsid w:val="00B872D2"/>
    <w:rsid w:val="00B901A4"/>
    <w:rsid w:val="00B9092A"/>
    <w:rsid w:val="00B90FDF"/>
    <w:rsid w:val="00B91C8A"/>
    <w:rsid w:val="00B91DFB"/>
    <w:rsid w:val="00B920D1"/>
    <w:rsid w:val="00B925BE"/>
    <w:rsid w:val="00B93061"/>
    <w:rsid w:val="00B933CF"/>
    <w:rsid w:val="00B93A48"/>
    <w:rsid w:val="00B945F5"/>
    <w:rsid w:val="00B9529A"/>
    <w:rsid w:val="00B9681A"/>
    <w:rsid w:val="00B971E9"/>
    <w:rsid w:val="00B97F29"/>
    <w:rsid w:val="00BA0662"/>
    <w:rsid w:val="00BA0723"/>
    <w:rsid w:val="00BA0ED2"/>
    <w:rsid w:val="00BA11CB"/>
    <w:rsid w:val="00BA1AC3"/>
    <w:rsid w:val="00BA1C54"/>
    <w:rsid w:val="00BA2D33"/>
    <w:rsid w:val="00BA3115"/>
    <w:rsid w:val="00BA3E65"/>
    <w:rsid w:val="00BA3F82"/>
    <w:rsid w:val="00BA4468"/>
    <w:rsid w:val="00BA5B14"/>
    <w:rsid w:val="00BA6BE4"/>
    <w:rsid w:val="00BA7461"/>
    <w:rsid w:val="00BB01B5"/>
    <w:rsid w:val="00BB08B2"/>
    <w:rsid w:val="00BB29AA"/>
    <w:rsid w:val="00BB35DF"/>
    <w:rsid w:val="00BB3EC0"/>
    <w:rsid w:val="00BB4A0D"/>
    <w:rsid w:val="00BB4A5B"/>
    <w:rsid w:val="00BB5336"/>
    <w:rsid w:val="00BB5538"/>
    <w:rsid w:val="00BB554E"/>
    <w:rsid w:val="00BB5B81"/>
    <w:rsid w:val="00BB5E21"/>
    <w:rsid w:val="00BB611E"/>
    <w:rsid w:val="00BB62D4"/>
    <w:rsid w:val="00BB6BD5"/>
    <w:rsid w:val="00BB6D39"/>
    <w:rsid w:val="00BB7152"/>
    <w:rsid w:val="00BB71A8"/>
    <w:rsid w:val="00BB772D"/>
    <w:rsid w:val="00BB7792"/>
    <w:rsid w:val="00BB7A3C"/>
    <w:rsid w:val="00BB7C2D"/>
    <w:rsid w:val="00BC092A"/>
    <w:rsid w:val="00BC0BCA"/>
    <w:rsid w:val="00BC1C49"/>
    <w:rsid w:val="00BC22D7"/>
    <w:rsid w:val="00BC2AD6"/>
    <w:rsid w:val="00BC3756"/>
    <w:rsid w:val="00BC4D9A"/>
    <w:rsid w:val="00BC5602"/>
    <w:rsid w:val="00BC56FA"/>
    <w:rsid w:val="00BC719C"/>
    <w:rsid w:val="00BC7D17"/>
    <w:rsid w:val="00BD3603"/>
    <w:rsid w:val="00BD400A"/>
    <w:rsid w:val="00BD425A"/>
    <w:rsid w:val="00BD45B0"/>
    <w:rsid w:val="00BD4B3A"/>
    <w:rsid w:val="00BD4DBD"/>
    <w:rsid w:val="00BD706F"/>
    <w:rsid w:val="00BD7328"/>
    <w:rsid w:val="00BD7498"/>
    <w:rsid w:val="00BD7EE7"/>
    <w:rsid w:val="00BE039B"/>
    <w:rsid w:val="00BE0BA8"/>
    <w:rsid w:val="00BE189B"/>
    <w:rsid w:val="00BE4793"/>
    <w:rsid w:val="00BE59EF"/>
    <w:rsid w:val="00BE6BD1"/>
    <w:rsid w:val="00BE7BA2"/>
    <w:rsid w:val="00BF0966"/>
    <w:rsid w:val="00BF19CA"/>
    <w:rsid w:val="00BF1B16"/>
    <w:rsid w:val="00BF2FF1"/>
    <w:rsid w:val="00BF3302"/>
    <w:rsid w:val="00BF3697"/>
    <w:rsid w:val="00BF3DAB"/>
    <w:rsid w:val="00BF4B48"/>
    <w:rsid w:val="00BF4ED4"/>
    <w:rsid w:val="00BF4FD6"/>
    <w:rsid w:val="00BF569C"/>
    <w:rsid w:val="00BF5FBD"/>
    <w:rsid w:val="00BF62FC"/>
    <w:rsid w:val="00BF6563"/>
    <w:rsid w:val="00BF6A65"/>
    <w:rsid w:val="00BF6ACE"/>
    <w:rsid w:val="00BF7356"/>
    <w:rsid w:val="00BF79ED"/>
    <w:rsid w:val="00BF7F1C"/>
    <w:rsid w:val="00C00D0F"/>
    <w:rsid w:val="00C0177B"/>
    <w:rsid w:val="00C01827"/>
    <w:rsid w:val="00C0250D"/>
    <w:rsid w:val="00C03F7B"/>
    <w:rsid w:val="00C04F0C"/>
    <w:rsid w:val="00C04FB6"/>
    <w:rsid w:val="00C0518A"/>
    <w:rsid w:val="00C05C58"/>
    <w:rsid w:val="00C0754D"/>
    <w:rsid w:val="00C07667"/>
    <w:rsid w:val="00C10295"/>
    <w:rsid w:val="00C10C4D"/>
    <w:rsid w:val="00C11961"/>
    <w:rsid w:val="00C13A51"/>
    <w:rsid w:val="00C1476B"/>
    <w:rsid w:val="00C16160"/>
    <w:rsid w:val="00C169C7"/>
    <w:rsid w:val="00C16FEE"/>
    <w:rsid w:val="00C1746A"/>
    <w:rsid w:val="00C20039"/>
    <w:rsid w:val="00C20CD5"/>
    <w:rsid w:val="00C2110E"/>
    <w:rsid w:val="00C2119A"/>
    <w:rsid w:val="00C2203D"/>
    <w:rsid w:val="00C226E6"/>
    <w:rsid w:val="00C22E85"/>
    <w:rsid w:val="00C236D1"/>
    <w:rsid w:val="00C24CAC"/>
    <w:rsid w:val="00C2517F"/>
    <w:rsid w:val="00C25815"/>
    <w:rsid w:val="00C26A45"/>
    <w:rsid w:val="00C26B29"/>
    <w:rsid w:val="00C273EB"/>
    <w:rsid w:val="00C31018"/>
    <w:rsid w:val="00C313BF"/>
    <w:rsid w:val="00C31432"/>
    <w:rsid w:val="00C31EAE"/>
    <w:rsid w:val="00C322CE"/>
    <w:rsid w:val="00C323A5"/>
    <w:rsid w:val="00C32750"/>
    <w:rsid w:val="00C32BBA"/>
    <w:rsid w:val="00C3342D"/>
    <w:rsid w:val="00C33450"/>
    <w:rsid w:val="00C3426B"/>
    <w:rsid w:val="00C35CFB"/>
    <w:rsid w:val="00C36B6B"/>
    <w:rsid w:val="00C37071"/>
    <w:rsid w:val="00C37D32"/>
    <w:rsid w:val="00C37F3E"/>
    <w:rsid w:val="00C40C4C"/>
    <w:rsid w:val="00C41586"/>
    <w:rsid w:val="00C42902"/>
    <w:rsid w:val="00C429CF"/>
    <w:rsid w:val="00C42C94"/>
    <w:rsid w:val="00C4353C"/>
    <w:rsid w:val="00C43C45"/>
    <w:rsid w:val="00C43FE2"/>
    <w:rsid w:val="00C44118"/>
    <w:rsid w:val="00C444CE"/>
    <w:rsid w:val="00C505E4"/>
    <w:rsid w:val="00C51DBB"/>
    <w:rsid w:val="00C52061"/>
    <w:rsid w:val="00C522E9"/>
    <w:rsid w:val="00C524A3"/>
    <w:rsid w:val="00C52681"/>
    <w:rsid w:val="00C53095"/>
    <w:rsid w:val="00C5317F"/>
    <w:rsid w:val="00C53680"/>
    <w:rsid w:val="00C550D8"/>
    <w:rsid w:val="00C55D51"/>
    <w:rsid w:val="00C57C43"/>
    <w:rsid w:val="00C611D9"/>
    <w:rsid w:val="00C617D4"/>
    <w:rsid w:val="00C61F61"/>
    <w:rsid w:val="00C620A7"/>
    <w:rsid w:val="00C62342"/>
    <w:rsid w:val="00C634A0"/>
    <w:rsid w:val="00C645F9"/>
    <w:rsid w:val="00C6482B"/>
    <w:rsid w:val="00C64967"/>
    <w:rsid w:val="00C65456"/>
    <w:rsid w:val="00C65AA3"/>
    <w:rsid w:val="00C679ED"/>
    <w:rsid w:val="00C71151"/>
    <w:rsid w:val="00C715E1"/>
    <w:rsid w:val="00C72544"/>
    <w:rsid w:val="00C734E9"/>
    <w:rsid w:val="00C7590D"/>
    <w:rsid w:val="00C76765"/>
    <w:rsid w:val="00C76FBB"/>
    <w:rsid w:val="00C777A9"/>
    <w:rsid w:val="00C80455"/>
    <w:rsid w:val="00C8114F"/>
    <w:rsid w:val="00C84E62"/>
    <w:rsid w:val="00C86DAC"/>
    <w:rsid w:val="00C87C55"/>
    <w:rsid w:val="00C92596"/>
    <w:rsid w:val="00C92FD1"/>
    <w:rsid w:val="00C93576"/>
    <w:rsid w:val="00C937E1"/>
    <w:rsid w:val="00C93BB7"/>
    <w:rsid w:val="00C94281"/>
    <w:rsid w:val="00C954E6"/>
    <w:rsid w:val="00C955A6"/>
    <w:rsid w:val="00C96353"/>
    <w:rsid w:val="00C97369"/>
    <w:rsid w:val="00C97628"/>
    <w:rsid w:val="00C97CCB"/>
    <w:rsid w:val="00C97F5E"/>
    <w:rsid w:val="00CA020D"/>
    <w:rsid w:val="00CA0D6F"/>
    <w:rsid w:val="00CA0D7D"/>
    <w:rsid w:val="00CA1147"/>
    <w:rsid w:val="00CA2ACA"/>
    <w:rsid w:val="00CA3407"/>
    <w:rsid w:val="00CA41D4"/>
    <w:rsid w:val="00CA41E9"/>
    <w:rsid w:val="00CA4A3C"/>
    <w:rsid w:val="00CA4FEC"/>
    <w:rsid w:val="00CA50E5"/>
    <w:rsid w:val="00CA6044"/>
    <w:rsid w:val="00CA645C"/>
    <w:rsid w:val="00CA650E"/>
    <w:rsid w:val="00CA6F45"/>
    <w:rsid w:val="00CA7473"/>
    <w:rsid w:val="00CB0D7D"/>
    <w:rsid w:val="00CB0F13"/>
    <w:rsid w:val="00CB151B"/>
    <w:rsid w:val="00CB36C1"/>
    <w:rsid w:val="00CB4258"/>
    <w:rsid w:val="00CB42EF"/>
    <w:rsid w:val="00CB45BC"/>
    <w:rsid w:val="00CB4609"/>
    <w:rsid w:val="00CB4B74"/>
    <w:rsid w:val="00CB636A"/>
    <w:rsid w:val="00CC0D33"/>
    <w:rsid w:val="00CC16ED"/>
    <w:rsid w:val="00CC29FD"/>
    <w:rsid w:val="00CC311F"/>
    <w:rsid w:val="00CC3DCF"/>
    <w:rsid w:val="00CC50E3"/>
    <w:rsid w:val="00CC5511"/>
    <w:rsid w:val="00CC5973"/>
    <w:rsid w:val="00CC5E52"/>
    <w:rsid w:val="00CC6048"/>
    <w:rsid w:val="00CC6147"/>
    <w:rsid w:val="00CC66AF"/>
    <w:rsid w:val="00CC69B2"/>
    <w:rsid w:val="00CC6A11"/>
    <w:rsid w:val="00CC7450"/>
    <w:rsid w:val="00CC7AC1"/>
    <w:rsid w:val="00CD139A"/>
    <w:rsid w:val="00CD1A11"/>
    <w:rsid w:val="00CD209F"/>
    <w:rsid w:val="00CD31CD"/>
    <w:rsid w:val="00CD35CA"/>
    <w:rsid w:val="00CD368F"/>
    <w:rsid w:val="00CD3CB8"/>
    <w:rsid w:val="00CD4F11"/>
    <w:rsid w:val="00CD592C"/>
    <w:rsid w:val="00CD5AD0"/>
    <w:rsid w:val="00CD6665"/>
    <w:rsid w:val="00CD70F8"/>
    <w:rsid w:val="00CE02D2"/>
    <w:rsid w:val="00CE2335"/>
    <w:rsid w:val="00CE32D5"/>
    <w:rsid w:val="00CE4537"/>
    <w:rsid w:val="00CE588D"/>
    <w:rsid w:val="00CE6528"/>
    <w:rsid w:val="00CE75EF"/>
    <w:rsid w:val="00CF1638"/>
    <w:rsid w:val="00CF17FD"/>
    <w:rsid w:val="00CF1B4B"/>
    <w:rsid w:val="00CF1C7F"/>
    <w:rsid w:val="00CF288F"/>
    <w:rsid w:val="00CF2921"/>
    <w:rsid w:val="00CF50E5"/>
    <w:rsid w:val="00CF5EFF"/>
    <w:rsid w:val="00CF62D6"/>
    <w:rsid w:val="00CF721B"/>
    <w:rsid w:val="00CF75F9"/>
    <w:rsid w:val="00D0122B"/>
    <w:rsid w:val="00D01FEC"/>
    <w:rsid w:val="00D027D9"/>
    <w:rsid w:val="00D04130"/>
    <w:rsid w:val="00D054E8"/>
    <w:rsid w:val="00D06E18"/>
    <w:rsid w:val="00D0715E"/>
    <w:rsid w:val="00D0731C"/>
    <w:rsid w:val="00D074E2"/>
    <w:rsid w:val="00D07950"/>
    <w:rsid w:val="00D11C1F"/>
    <w:rsid w:val="00D12D81"/>
    <w:rsid w:val="00D12D97"/>
    <w:rsid w:val="00D136A0"/>
    <w:rsid w:val="00D13A8F"/>
    <w:rsid w:val="00D15073"/>
    <w:rsid w:val="00D15407"/>
    <w:rsid w:val="00D166CB"/>
    <w:rsid w:val="00D178CE"/>
    <w:rsid w:val="00D20490"/>
    <w:rsid w:val="00D205D3"/>
    <w:rsid w:val="00D213D1"/>
    <w:rsid w:val="00D214EF"/>
    <w:rsid w:val="00D22F72"/>
    <w:rsid w:val="00D2371B"/>
    <w:rsid w:val="00D23A8C"/>
    <w:rsid w:val="00D24F9D"/>
    <w:rsid w:val="00D254F0"/>
    <w:rsid w:val="00D25899"/>
    <w:rsid w:val="00D276A0"/>
    <w:rsid w:val="00D27B6B"/>
    <w:rsid w:val="00D31C8A"/>
    <w:rsid w:val="00D325B3"/>
    <w:rsid w:val="00D33370"/>
    <w:rsid w:val="00D33A16"/>
    <w:rsid w:val="00D33AAF"/>
    <w:rsid w:val="00D356F9"/>
    <w:rsid w:val="00D35B97"/>
    <w:rsid w:val="00D362C3"/>
    <w:rsid w:val="00D36426"/>
    <w:rsid w:val="00D36C4E"/>
    <w:rsid w:val="00D36D9A"/>
    <w:rsid w:val="00D402B0"/>
    <w:rsid w:val="00D402EB"/>
    <w:rsid w:val="00D4076E"/>
    <w:rsid w:val="00D41484"/>
    <w:rsid w:val="00D42135"/>
    <w:rsid w:val="00D4301C"/>
    <w:rsid w:val="00D445BA"/>
    <w:rsid w:val="00D45206"/>
    <w:rsid w:val="00D46A00"/>
    <w:rsid w:val="00D46F74"/>
    <w:rsid w:val="00D47132"/>
    <w:rsid w:val="00D47BC0"/>
    <w:rsid w:val="00D50391"/>
    <w:rsid w:val="00D50839"/>
    <w:rsid w:val="00D5124C"/>
    <w:rsid w:val="00D512D2"/>
    <w:rsid w:val="00D517D4"/>
    <w:rsid w:val="00D51AAC"/>
    <w:rsid w:val="00D51C36"/>
    <w:rsid w:val="00D529B1"/>
    <w:rsid w:val="00D54C58"/>
    <w:rsid w:val="00D55330"/>
    <w:rsid w:val="00D55558"/>
    <w:rsid w:val="00D566E1"/>
    <w:rsid w:val="00D56989"/>
    <w:rsid w:val="00D5740A"/>
    <w:rsid w:val="00D57410"/>
    <w:rsid w:val="00D6095E"/>
    <w:rsid w:val="00D621E0"/>
    <w:rsid w:val="00D622DA"/>
    <w:rsid w:val="00D6316B"/>
    <w:rsid w:val="00D632B5"/>
    <w:rsid w:val="00D63E6D"/>
    <w:rsid w:val="00D64301"/>
    <w:rsid w:val="00D64E04"/>
    <w:rsid w:val="00D652F2"/>
    <w:rsid w:val="00D6634A"/>
    <w:rsid w:val="00D66AF8"/>
    <w:rsid w:val="00D66CD0"/>
    <w:rsid w:val="00D70D04"/>
    <w:rsid w:val="00D70FD0"/>
    <w:rsid w:val="00D7100F"/>
    <w:rsid w:val="00D72429"/>
    <w:rsid w:val="00D73260"/>
    <w:rsid w:val="00D73F2A"/>
    <w:rsid w:val="00D75048"/>
    <w:rsid w:val="00D7543F"/>
    <w:rsid w:val="00D75CC6"/>
    <w:rsid w:val="00D7644F"/>
    <w:rsid w:val="00D76C5B"/>
    <w:rsid w:val="00D7730C"/>
    <w:rsid w:val="00D8068A"/>
    <w:rsid w:val="00D818FC"/>
    <w:rsid w:val="00D81B34"/>
    <w:rsid w:val="00D81E5D"/>
    <w:rsid w:val="00D8268A"/>
    <w:rsid w:val="00D82BAE"/>
    <w:rsid w:val="00D83916"/>
    <w:rsid w:val="00D844CC"/>
    <w:rsid w:val="00D8479E"/>
    <w:rsid w:val="00D848D0"/>
    <w:rsid w:val="00D84EF5"/>
    <w:rsid w:val="00D84F0E"/>
    <w:rsid w:val="00D85A22"/>
    <w:rsid w:val="00D872E5"/>
    <w:rsid w:val="00D90081"/>
    <w:rsid w:val="00D901B4"/>
    <w:rsid w:val="00D91AA3"/>
    <w:rsid w:val="00D91DE7"/>
    <w:rsid w:val="00D91EE4"/>
    <w:rsid w:val="00D92005"/>
    <w:rsid w:val="00D92312"/>
    <w:rsid w:val="00D92C18"/>
    <w:rsid w:val="00D970D3"/>
    <w:rsid w:val="00D974D9"/>
    <w:rsid w:val="00D9784A"/>
    <w:rsid w:val="00D97F26"/>
    <w:rsid w:val="00DA1553"/>
    <w:rsid w:val="00DA2AE9"/>
    <w:rsid w:val="00DA3AFC"/>
    <w:rsid w:val="00DA3ED6"/>
    <w:rsid w:val="00DA4326"/>
    <w:rsid w:val="00DA562E"/>
    <w:rsid w:val="00DA6F73"/>
    <w:rsid w:val="00DB1531"/>
    <w:rsid w:val="00DB2067"/>
    <w:rsid w:val="00DB4212"/>
    <w:rsid w:val="00DB4C26"/>
    <w:rsid w:val="00DB4D1E"/>
    <w:rsid w:val="00DB516B"/>
    <w:rsid w:val="00DB5ED6"/>
    <w:rsid w:val="00DB6910"/>
    <w:rsid w:val="00DC0546"/>
    <w:rsid w:val="00DC24DE"/>
    <w:rsid w:val="00DC56C0"/>
    <w:rsid w:val="00DC5A39"/>
    <w:rsid w:val="00DC6707"/>
    <w:rsid w:val="00DC6F4B"/>
    <w:rsid w:val="00DC75FE"/>
    <w:rsid w:val="00DC7664"/>
    <w:rsid w:val="00DD0BF1"/>
    <w:rsid w:val="00DD364F"/>
    <w:rsid w:val="00DD3B77"/>
    <w:rsid w:val="00DD4069"/>
    <w:rsid w:val="00DD418A"/>
    <w:rsid w:val="00DD43CA"/>
    <w:rsid w:val="00DD494B"/>
    <w:rsid w:val="00DD514D"/>
    <w:rsid w:val="00DD59AB"/>
    <w:rsid w:val="00DD5AB8"/>
    <w:rsid w:val="00DD789E"/>
    <w:rsid w:val="00DE01D1"/>
    <w:rsid w:val="00DE0839"/>
    <w:rsid w:val="00DE14E5"/>
    <w:rsid w:val="00DE1BC4"/>
    <w:rsid w:val="00DE5C64"/>
    <w:rsid w:val="00DE6304"/>
    <w:rsid w:val="00DE6410"/>
    <w:rsid w:val="00DE77C9"/>
    <w:rsid w:val="00DF17AE"/>
    <w:rsid w:val="00DF1C40"/>
    <w:rsid w:val="00DF359C"/>
    <w:rsid w:val="00DF3A46"/>
    <w:rsid w:val="00DF4163"/>
    <w:rsid w:val="00DF56FC"/>
    <w:rsid w:val="00DF589D"/>
    <w:rsid w:val="00DF66B5"/>
    <w:rsid w:val="00DF6D21"/>
    <w:rsid w:val="00DF6E0F"/>
    <w:rsid w:val="00DF724E"/>
    <w:rsid w:val="00DF75AF"/>
    <w:rsid w:val="00E00704"/>
    <w:rsid w:val="00E00743"/>
    <w:rsid w:val="00E010F8"/>
    <w:rsid w:val="00E013F0"/>
    <w:rsid w:val="00E01EAB"/>
    <w:rsid w:val="00E020D0"/>
    <w:rsid w:val="00E025C3"/>
    <w:rsid w:val="00E02DF8"/>
    <w:rsid w:val="00E034E0"/>
    <w:rsid w:val="00E0409D"/>
    <w:rsid w:val="00E0473F"/>
    <w:rsid w:val="00E04CA7"/>
    <w:rsid w:val="00E05823"/>
    <w:rsid w:val="00E05C48"/>
    <w:rsid w:val="00E05C89"/>
    <w:rsid w:val="00E066F3"/>
    <w:rsid w:val="00E075A5"/>
    <w:rsid w:val="00E075EF"/>
    <w:rsid w:val="00E07D2A"/>
    <w:rsid w:val="00E10F9D"/>
    <w:rsid w:val="00E11270"/>
    <w:rsid w:val="00E115B4"/>
    <w:rsid w:val="00E11A15"/>
    <w:rsid w:val="00E12D5D"/>
    <w:rsid w:val="00E14BC1"/>
    <w:rsid w:val="00E150D0"/>
    <w:rsid w:val="00E15F47"/>
    <w:rsid w:val="00E16563"/>
    <w:rsid w:val="00E167ED"/>
    <w:rsid w:val="00E171C2"/>
    <w:rsid w:val="00E20542"/>
    <w:rsid w:val="00E21914"/>
    <w:rsid w:val="00E234BE"/>
    <w:rsid w:val="00E24C40"/>
    <w:rsid w:val="00E2615F"/>
    <w:rsid w:val="00E26AE7"/>
    <w:rsid w:val="00E278F8"/>
    <w:rsid w:val="00E303F1"/>
    <w:rsid w:val="00E305AA"/>
    <w:rsid w:val="00E30C0D"/>
    <w:rsid w:val="00E311FE"/>
    <w:rsid w:val="00E31D2D"/>
    <w:rsid w:val="00E31DEB"/>
    <w:rsid w:val="00E323DF"/>
    <w:rsid w:val="00E32A0A"/>
    <w:rsid w:val="00E345F3"/>
    <w:rsid w:val="00E3480F"/>
    <w:rsid w:val="00E34A0B"/>
    <w:rsid w:val="00E35066"/>
    <w:rsid w:val="00E353D2"/>
    <w:rsid w:val="00E35A74"/>
    <w:rsid w:val="00E35E78"/>
    <w:rsid w:val="00E363BF"/>
    <w:rsid w:val="00E365C0"/>
    <w:rsid w:val="00E365FA"/>
    <w:rsid w:val="00E36F35"/>
    <w:rsid w:val="00E41886"/>
    <w:rsid w:val="00E42736"/>
    <w:rsid w:val="00E43517"/>
    <w:rsid w:val="00E43C40"/>
    <w:rsid w:val="00E44630"/>
    <w:rsid w:val="00E44D75"/>
    <w:rsid w:val="00E44E70"/>
    <w:rsid w:val="00E45955"/>
    <w:rsid w:val="00E46572"/>
    <w:rsid w:val="00E46635"/>
    <w:rsid w:val="00E4685E"/>
    <w:rsid w:val="00E47046"/>
    <w:rsid w:val="00E47580"/>
    <w:rsid w:val="00E475B2"/>
    <w:rsid w:val="00E47E99"/>
    <w:rsid w:val="00E508D0"/>
    <w:rsid w:val="00E50A06"/>
    <w:rsid w:val="00E511BD"/>
    <w:rsid w:val="00E5207C"/>
    <w:rsid w:val="00E523B3"/>
    <w:rsid w:val="00E54065"/>
    <w:rsid w:val="00E545CD"/>
    <w:rsid w:val="00E554AF"/>
    <w:rsid w:val="00E57340"/>
    <w:rsid w:val="00E6017F"/>
    <w:rsid w:val="00E60A7B"/>
    <w:rsid w:val="00E60D48"/>
    <w:rsid w:val="00E611CC"/>
    <w:rsid w:val="00E6227E"/>
    <w:rsid w:val="00E626B6"/>
    <w:rsid w:val="00E63E2D"/>
    <w:rsid w:val="00E6456B"/>
    <w:rsid w:val="00E64D54"/>
    <w:rsid w:val="00E64F29"/>
    <w:rsid w:val="00E663BA"/>
    <w:rsid w:val="00E66932"/>
    <w:rsid w:val="00E67881"/>
    <w:rsid w:val="00E70033"/>
    <w:rsid w:val="00E70135"/>
    <w:rsid w:val="00E70461"/>
    <w:rsid w:val="00E7069A"/>
    <w:rsid w:val="00E70A57"/>
    <w:rsid w:val="00E71351"/>
    <w:rsid w:val="00E714BE"/>
    <w:rsid w:val="00E71728"/>
    <w:rsid w:val="00E737F7"/>
    <w:rsid w:val="00E740A7"/>
    <w:rsid w:val="00E748F1"/>
    <w:rsid w:val="00E74A55"/>
    <w:rsid w:val="00E75202"/>
    <w:rsid w:val="00E75DF2"/>
    <w:rsid w:val="00E76A3B"/>
    <w:rsid w:val="00E7702F"/>
    <w:rsid w:val="00E775D4"/>
    <w:rsid w:val="00E7769F"/>
    <w:rsid w:val="00E77756"/>
    <w:rsid w:val="00E77ACA"/>
    <w:rsid w:val="00E77B8F"/>
    <w:rsid w:val="00E8141A"/>
    <w:rsid w:val="00E81EC5"/>
    <w:rsid w:val="00E825ED"/>
    <w:rsid w:val="00E82F28"/>
    <w:rsid w:val="00E835AC"/>
    <w:rsid w:val="00E84027"/>
    <w:rsid w:val="00E850B8"/>
    <w:rsid w:val="00E850FE"/>
    <w:rsid w:val="00E85D1F"/>
    <w:rsid w:val="00E86059"/>
    <w:rsid w:val="00E86F0B"/>
    <w:rsid w:val="00E87877"/>
    <w:rsid w:val="00E879C9"/>
    <w:rsid w:val="00E90016"/>
    <w:rsid w:val="00E905A4"/>
    <w:rsid w:val="00E914ED"/>
    <w:rsid w:val="00E928C6"/>
    <w:rsid w:val="00E9341F"/>
    <w:rsid w:val="00E93D37"/>
    <w:rsid w:val="00E93DB4"/>
    <w:rsid w:val="00E93DD4"/>
    <w:rsid w:val="00E94CA8"/>
    <w:rsid w:val="00E94F0B"/>
    <w:rsid w:val="00E956D4"/>
    <w:rsid w:val="00E95CB2"/>
    <w:rsid w:val="00E968D7"/>
    <w:rsid w:val="00E96C9B"/>
    <w:rsid w:val="00EA08B1"/>
    <w:rsid w:val="00EA0AE5"/>
    <w:rsid w:val="00EA147D"/>
    <w:rsid w:val="00EA18AF"/>
    <w:rsid w:val="00EA192A"/>
    <w:rsid w:val="00EA289A"/>
    <w:rsid w:val="00EA30AA"/>
    <w:rsid w:val="00EA30F5"/>
    <w:rsid w:val="00EA44A9"/>
    <w:rsid w:val="00EA5016"/>
    <w:rsid w:val="00EA5310"/>
    <w:rsid w:val="00EA5E0C"/>
    <w:rsid w:val="00EA5F60"/>
    <w:rsid w:val="00EA69A1"/>
    <w:rsid w:val="00EA6E93"/>
    <w:rsid w:val="00EA71FA"/>
    <w:rsid w:val="00EA7A2A"/>
    <w:rsid w:val="00EB1807"/>
    <w:rsid w:val="00EB1995"/>
    <w:rsid w:val="00EB21BE"/>
    <w:rsid w:val="00EB27CC"/>
    <w:rsid w:val="00EB2EFD"/>
    <w:rsid w:val="00EB41F5"/>
    <w:rsid w:val="00EB49DB"/>
    <w:rsid w:val="00EB6299"/>
    <w:rsid w:val="00EB632A"/>
    <w:rsid w:val="00EB6B8D"/>
    <w:rsid w:val="00EB6CF1"/>
    <w:rsid w:val="00EB6EFB"/>
    <w:rsid w:val="00EB78EA"/>
    <w:rsid w:val="00EB7BF1"/>
    <w:rsid w:val="00EC01D8"/>
    <w:rsid w:val="00EC06F0"/>
    <w:rsid w:val="00EC0912"/>
    <w:rsid w:val="00EC0DB5"/>
    <w:rsid w:val="00EC17BB"/>
    <w:rsid w:val="00EC1977"/>
    <w:rsid w:val="00EC2088"/>
    <w:rsid w:val="00EC2111"/>
    <w:rsid w:val="00EC274D"/>
    <w:rsid w:val="00EC38FD"/>
    <w:rsid w:val="00EC3D3E"/>
    <w:rsid w:val="00EC517B"/>
    <w:rsid w:val="00EC576A"/>
    <w:rsid w:val="00EC5816"/>
    <w:rsid w:val="00EC5838"/>
    <w:rsid w:val="00EC5BD1"/>
    <w:rsid w:val="00EC5BFC"/>
    <w:rsid w:val="00EC615B"/>
    <w:rsid w:val="00EC6798"/>
    <w:rsid w:val="00EC6A81"/>
    <w:rsid w:val="00EC6B30"/>
    <w:rsid w:val="00EC6E05"/>
    <w:rsid w:val="00EC7929"/>
    <w:rsid w:val="00ED1A6D"/>
    <w:rsid w:val="00ED1F06"/>
    <w:rsid w:val="00ED321E"/>
    <w:rsid w:val="00ED440A"/>
    <w:rsid w:val="00ED460F"/>
    <w:rsid w:val="00ED4E3A"/>
    <w:rsid w:val="00ED56D0"/>
    <w:rsid w:val="00ED5E8C"/>
    <w:rsid w:val="00ED6831"/>
    <w:rsid w:val="00ED7330"/>
    <w:rsid w:val="00ED741D"/>
    <w:rsid w:val="00EE0AB4"/>
    <w:rsid w:val="00EE16D2"/>
    <w:rsid w:val="00EE2FB1"/>
    <w:rsid w:val="00EE3A42"/>
    <w:rsid w:val="00EE3BBD"/>
    <w:rsid w:val="00EE4499"/>
    <w:rsid w:val="00EE4D99"/>
    <w:rsid w:val="00EE5110"/>
    <w:rsid w:val="00EE62DF"/>
    <w:rsid w:val="00EE65BC"/>
    <w:rsid w:val="00EE686E"/>
    <w:rsid w:val="00EE70D3"/>
    <w:rsid w:val="00EE754D"/>
    <w:rsid w:val="00EF00B8"/>
    <w:rsid w:val="00EF0E19"/>
    <w:rsid w:val="00EF16A3"/>
    <w:rsid w:val="00EF254D"/>
    <w:rsid w:val="00EF44F7"/>
    <w:rsid w:val="00EF471A"/>
    <w:rsid w:val="00EF60A0"/>
    <w:rsid w:val="00EF663A"/>
    <w:rsid w:val="00EF6829"/>
    <w:rsid w:val="00EF692E"/>
    <w:rsid w:val="00EF6F41"/>
    <w:rsid w:val="00F005AC"/>
    <w:rsid w:val="00F008F6"/>
    <w:rsid w:val="00F00A4D"/>
    <w:rsid w:val="00F02DE5"/>
    <w:rsid w:val="00F02EE3"/>
    <w:rsid w:val="00F0418B"/>
    <w:rsid w:val="00F04CA3"/>
    <w:rsid w:val="00F052FF"/>
    <w:rsid w:val="00F0673C"/>
    <w:rsid w:val="00F06A67"/>
    <w:rsid w:val="00F06C34"/>
    <w:rsid w:val="00F0740E"/>
    <w:rsid w:val="00F106A3"/>
    <w:rsid w:val="00F10826"/>
    <w:rsid w:val="00F10A23"/>
    <w:rsid w:val="00F10D50"/>
    <w:rsid w:val="00F10DDE"/>
    <w:rsid w:val="00F10E4D"/>
    <w:rsid w:val="00F11688"/>
    <w:rsid w:val="00F11B72"/>
    <w:rsid w:val="00F138A3"/>
    <w:rsid w:val="00F14554"/>
    <w:rsid w:val="00F14629"/>
    <w:rsid w:val="00F1615C"/>
    <w:rsid w:val="00F162CA"/>
    <w:rsid w:val="00F16779"/>
    <w:rsid w:val="00F16BE9"/>
    <w:rsid w:val="00F177F6"/>
    <w:rsid w:val="00F2049E"/>
    <w:rsid w:val="00F20DB1"/>
    <w:rsid w:val="00F21545"/>
    <w:rsid w:val="00F2190D"/>
    <w:rsid w:val="00F22060"/>
    <w:rsid w:val="00F22200"/>
    <w:rsid w:val="00F23A7E"/>
    <w:rsid w:val="00F2491D"/>
    <w:rsid w:val="00F25301"/>
    <w:rsid w:val="00F25480"/>
    <w:rsid w:val="00F26691"/>
    <w:rsid w:val="00F27430"/>
    <w:rsid w:val="00F30A19"/>
    <w:rsid w:val="00F30BB1"/>
    <w:rsid w:val="00F323A9"/>
    <w:rsid w:val="00F32453"/>
    <w:rsid w:val="00F34D23"/>
    <w:rsid w:val="00F34FD0"/>
    <w:rsid w:val="00F359B9"/>
    <w:rsid w:val="00F35CCB"/>
    <w:rsid w:val="00F35CD9"/>
    <w:rsid w:val="00F37B75"/>
    <w:rsid w:val="00F405B9"/>
    <w:rsid w:val="00F40605"/>
    <w:rsid w:val="00F40765"/>
    <w:rsid w:val="00F41169"/>
    <w:rsid w:val="00F419E3"/>
    <w:rsid w:val="00F41AD9"/>
    <w:rsid w:val="00F41B9E"/>
    <w:rsid w:val="00F426D5"/>
    <w:rsid w:val="00F430C7"/>
    <w:rsid w:val="00F440E1"/>
    <w:rsid w:val="00F44B4E"/>
    <w:rsid w:val="00F457B3"/>
    <w:rsid w:val="00F45B8B"/>
    <w:rsid w:val="00F45C66"/>
    <w:rsid w:val="00F4620C"/>
    <w:rsid w:val="00F51C4C"/>
    <w:rsid w:val="00F53E6C"/>
    <w:rsid w:val="00F5446A"/>
    <w:rsid w:val="00F54B69"/>
    <w:rsid w:val="00F54C45"/>
    <w:rsid w:val="00F55248"/>
    <w:rsid w:val="00F552C7"/>
    <w:rsid w:val="00F55396"/>
    <w:rsid w:val="00F55587"/>
    <w:rsid w:val="00F55B70"/>
    <w:rsid w:val="00F578DE"/>
    <w:rsid w:val="00F605F5"/>
    <w:rsid w:val="00F60D73"/>
    <w:rsid w:val="00F61ECE"/>
    <w:rsid w:val="00F62C41"/>
    <w:rsid w:val="00F64389"/>
    <w:rsid w:val="00F64891"/>
    <w:rsid w:val="00F64B64"/>
    <w:rsid w:val="00F64FDE"/>
    <w:rsid w:val="00F65221"/>
    <w:rsid w:val="00F654EA"/>
    <w:rsid w:val="00F654FA"/>
    <w:rsid w:val="00F65BB8"/>
    <w:rsid w:val="00F65E49"/>
    <w:rsid w:val="00F65FFA"/>
    <w:rsid w:val="00F66B02"/>
    <w:rsid w:val="00F66C21"/>
    <w:rsid w:val="00F67102"/>
    <w:rsid w:val="00F67EDB"/>
    <w:rsid w:val="00F70758"/>
    <w:rsid w:val="00F7152E"/>
    <w:rsid w:val="00F74B24"/>
    <w:rsid w:val="00F752B3"/>
    <w:rsid w:val="00F75E9C"/>
    <w:rsid w:val="00F7607D"/>
    <w:rsid w:val="00F76393"/>
    <w:rsid w:val="00F76DA4"/>
    <w:rsid w:val="00F76F8A"/>
    <w:rsid w:val="00F8019B"/>
    <w:rsid w:val="00F80488"/>
    <w:rsid w:val="00F80843"/>
    <w:rsid w:val="00F80AD3"/>
    <w:rsid w:val="00F8144C"/>
    <w:rsid w:val="00F81F51"/>
    <w:rsid w:val="00F8267D"/>
    <w:rsid w:val="00F84851"/>
    <w:rsid w:val="00F84D46"/>
    <w:rsid w:val="00F85A80"/>
    <w:rsid w:val="00F86697"/>
    <w:rsid w:val="00F86801"/>
    <w:rsid w:val="00F869F0"/>
    <w:rsid w:val="00F86AED"/>
    <w:rsid w:val="00F90224"/>
    <w:rsid w:val="00F9113D"/>
    <w:rsid w:val="00F912CC"/>
    <w:rsid w:val="00F91FA5"/>
    <w:rsid w:val="00F92AD7"/>
    <w:rsid w:val="00F92CF0"/>
    <w:rsid w:val="00F94D61"/>
    <w:rsid w:val="00F95556"/>
    <w:rsid w:val="00F95C26"/>
    <w:rsid w:val="00F96D2A"/>
    <w:rsid w:val="00F96F23"/>
    <w:rsid w:val="00F97198"/>
    <w:rsid w:val="00F977B9"/>
    <w:rsid w:val="00F97DEF"/>
    <w:rsid w:val="00F97F1C"/>
    <w:rsid w:val="00FA0350"/>
    <w:rsid w:val="00FA3F4F"/>
    <w:rsid w:val="00FA40B1"/>
    <w:rsid w:val="00FA46F8"/>
    <w:rsid w:val="00FA693F"/>
    <w:rsid w:val="00FA69EB"/>
    <w:rsid w:val="00FA7600"/>
    <w:rsid w:val="00FA7745"/>
    <w:rsid w:val="00FA7DEA"/>
    <w:rsid w:val="00FB0862"/>
    <w:rsid w:val="00FB0896"/>
    <w:rsid w:val="00FB09F0"/>
    <w:rsid w:val="00FB0AC1"/>
    <w:rsid w:val="00FB19BB"/>
    <w:rsid w:val="00FB41C7"/>
    <w:rsid w:val="00FB50BC"/>
    <w:rsid w:val="00FB5274"/>
    <w:rsid w:val="00FB587C"/>
    <w:rsid w:val="00FB58A9"/>
    <w:rsid w:val="00FB681C"/>
    <w:rsid w:val="00FB71D2"/>
    <w:rsid w:val="00FB72BB"/>
    <w:rsid w:val="00FB7C04"/>
    <w:rsid w:val="00FC11FC"/>
    <w:rsid w:val="00FC1E2D"/>
    <w:rsid w:val="00FC2B66"/>
    <w:rsid w:val="00FC352A"/>
    <w:rsid w:val="00FC359D"/>
    <w:rsid w:val="00FC40D8"/>
    <w:rsid w:val="00FC41BD"/>
    <w:rsid w:val="00FC487C"/>
    <w:rsid w:val="00FC4D2D"/>
    <w:rsid w:val="00FC4E69"/>
    <w:rsid w:val="00FC5C2A"/>
    <w:rsid w:val="00FC5F08"/>
    <w:rsid w:val="00FC5F5D"/>
    <w:rsid w:val="00FC61F9"/>
    <w:rsid w:val="00FC622E"/>
    <w:rsid w:val="00FC66E0"/>
    <w:rsid w:val="00FD0437"/>
    <w:rsid w:val="00FD051E"/>
    <w:rsid w:val="00FD0688"/>
    <w:rsid w:val="00FD0BD6"/>
    <w:rsid w:val="00FD12CD"/>
    <w:rsid w:val="00FD1309"/>
    <w:rsid w:val="00FD14DE"/>
    <w:rsid w:val="00FD28F1"/>
    <w:rsid w:val="00FD44C2"/>
    <w:rsid w:val="00FD452A"/>
    <w:rsid w:val="00FD4FFA"/>
    <w:rsid w:val="00FD705E"/>
    <w:rsid w:val="00FD76AA"/>
    <w:rsid w:val="00FE0A16"/>
    <w:rsid w:val="00FE0C04"/>
    <w:rsid w:val="00FE1386"/>
    <w:rsid w:val="00FE1437"/>
    <w:rsid w:val="00FE1529"/>
    <w:rsid w:val="00FE1A12"/>
    <w:rsid w:val="00FE2D54"/>
    <w:rsid w:val="00FE2F3C"/>
    <w:rsid w:val="00FE43BE"/>
    <w:rsid w:val="00FE4710"/>
    <w:rsid w:val="00FE4736"/>
    <w:rsid w:val="00FE4898"/>
    <w:rsid w:val="00FE5304"/>
    <w:rsid w:val="00FE740A"/>
    <w:rsid w:val="00FE7866"/>
    <w:rsid w:val="00FE7C19"/>
    <w:rsid w:val="00FF06D9"/>
    <w:rsid w:val="00FF0849"/>
    <w:rsid w:val="00FF0A08"/>
    <w:rsid w:val="00FF1533"/>
    <w:rsid w:val="00FF1647"/>
    <w:rsid w:val="00FF22B8"/>
    <w:rsid w:val="00FF2F76"/>
    <w:rsid w:val="00FF3F2D"/>
    <w:rsid w:val="00FF4025"/>
    <w:rsid w:val="00FF4A63"/>
    <w:rsid w:val="00FF4F57"/>
    <w:rsid w:val="00FF54B8"/>
    <w:rsid w:val="00FF7497"/>
    <w:rsid w:val="00FF7835"/>
    <w:rsid w:val="00FF784D"/>
    <w:rsid w:val="0104458B"/>
    <w:rsid w:val="0133758F"/>
    <w:rsid w:val="014D28C9"/>
    <w:rsid w:val="01640518"/>
    <w:rsid w:val="016D57FA"/>
    <w:rsid w:val="01771D5B"/>
    <w:rsid w:val="017A6055"/>
    <w:rsid w:val="018B2F4E"/>
    <w:rsid w:val="01956F93"/>
    <w:rsid w:val="019B53E2"/>
    <w:rsid w:val="01BB5854"/>
    <w:rsid w:val="01C41113"/>
    <w:rsid w:val="01DF1D31"/>
    <w:rsid w:val="01F92D80"/>
    <w:rsid w:val="01F954D4"/>
    <w:rsid w:val="01FD4042"/>
    <w:rsid w:val="01FE50E6"/>
    <w:rsid w:val="020458F6"/>
    <w:rsid w:val="023804F6"/>
    <w:rsid w:val="02673CEB"/>
    <w:rsid w:val="026D0521"/>
    <w:rsid w:val="0272173C"/>
    <w:rsid w:val="027D02FE"/>
    <w:rsid w:val="028326FA"/>
    <w:rsid w:val="028B5747"/>
    <w:rsid w:val="02A80AB3"/>
    <w:rsid w:val="02B83F1D"/>
    <w:rsid w:val="03026A0B"/>
    <w:rsid w:val="03186D24"/>
    <w:rsid w:val="032B3844"/>
    <w:rsid w:val="03395FEA"/>
    <w:rsid w:val="03537505"/>
    <w:rsid w:val="036F2FCB"/>
    <w:rsid w:val="0388410D"/>
    <w:rsid w:val="03A43FBF"/>
    <w:rsid w:val="03E70DB3"/>
    <w:rsid w:val="04006A2B"/>
    <w:rsid w:val="0409276C"/>
    <w:rsid w:val="041F3D98"/>
    <w:rsid w:val="045836F1"/>
    <w:rsid w:val="045B1464"/>
    <w:rsid w:val="04731B5B"/>
    <w:rsid w:val="047904F9"/>
    <w:rsid w:val="04CD636E"/>
    <w:rsid w:val="04F47C8A"/>
    <w:rsid w:val="04F902ED"/>
    <w:rsid w:val="054B3988"/>
    <w:rsid w:val="057A1FA9"/>
    <w:rsid w:val="057D4BD1"/>
    <w:rsid w:val="05886E77"/>
    <w:rsid w:val="058A3C4A"/>
    <w:rsid w:val="05BB6864"/>
    <w:rsid w:val="05C518F2"/>
    <w:rsid w:val="05C555C6"/>
    <w:rsid w:val="05CE6C7E"/>
    <w:rsid w:val="05E80E12"/>
    <w:rsid w:val="06080586"/>
    <w:rsid w:val="060F2843"/>
    <w:rsid w:val="0620408A"/>
    <w:rsid w:val="062E4A77"/>
    <w:rsid w:val="063D0ACC"/>
    <w:rsid w:val="06667525"/>
    <w:rsid w:val="067D1B0C"/>
    <w:rsid w:val="06B22DB6"/>
    <w:rsid w:val="06B405F7"/>
    <w:rsid w:val="06B84C89"/>
    <w:rsid w:val="06B85605"/>
    <w:rsid w:val="06BA4742"/>
    <w:rsid w:val="06C5167C"/>
    <w:rsid w:val="06F05214"/>
    <w:rsid w:val="073432EC"/>
    <w:rsid w:val="075637EA"/>
    <w:rsid w:val="075C60BF"/>
    <w:rsid w:val="076520D3"/>
    <w:rsid w:val="076E75D8"/>
    <w:rsid w:val="079C1AFA"/>
    <w:rsid w:val="07B95F51"/>
    <w:rsid w:val="07C04B38"/>
    <w:rsid w:val="07D72EA9"/>
    <w:rsid w:val="07E472F9"/>
    <w:rsid w:val="07F5128E"/>
    <w:rsid w:val="07FA5809"/>
    <w:rsid w:val="080839BA"/>
    <w:rsid w:val="080D3087"/>
    <w:rsid w:val="08187E7F"/>
    <w:rsid w:val="08721009"/>
    <w:rsid w:val="087A0447"/>
    <w:rsid w:val="088F5575"/>
    <w:rsid w:val="089B4E12"/>
    <w:rsid w:val="089F7BB5"/>
    <w:rsid w:val="08D03634"/>
    <w:rsid w:val="08E77122"/>
    <w:rsid w:val="08F86759"/>
    <w:rsid w:val="08FC0E5C"/>
    <w:rsid w:val="09220E03"/>
    <w:rsid w:val="09235FAE"/>
    <w:rsid w:val="09336CCD"/>
    <w:rsid w:val="09440A55"/>
    <w:rsid w:val="094E5E8B"/>
    <w:rsid w:val="09570B83"/>
    <w:rsid w:val="097D6385"/>
    <w:rsid w:val="0980144C"/>
    <w:rsid w:val="098B2F1A"/>
    <w:rsid w:val="09C736B1"/>
    <w:rsid w:val="09D12691"/>
    <w:rsid w:val="09DA7976"/>
    <w:rsid w:val="09DE7D03"/>
    <w:rsid w:val="09E667D0"/>
    <w:rsid w:val="09F345F9"/>
    <w:rsid w:val="0A2A52A4"/>
    <w:rsid w:val="0A3E3A92"/>
    <w:rsid w:val="0A425AE5"/>
    <w:rsid w:val="0A7F444C"/>
    <w:rsid w:val="0A8B48B0"/>
    <w:rsid w:val="0AAF72EA"/>
    <w:rsid w:val="0AE825D4"/>
    <w:rsid w:val="0AE918B4"/>
    <w:rsid w:val="0AF41A11"/>
    <w:rsid w:val="0AF41AB4"/>
    <w:rsid w:val="0AF75C1D"/>
    <w:rsid w:val="0B0405DA"/>
    <w:rsid w:val="0B3138BD"/>
    <w:rsid w:val="0B3E5F5B"/>
    <w:rsid w:val="0B4827D7"/>
    <w:rsid w:val="0B4C466E"/>
    <w:rsid w:val="0B54287F"/>
    <w:rsid w:val="0B5C10FD"/>
    <w:rsid w:val="0B7B0677"/>
    <w:rsid w:val="0B840580"/>
    <w:rsid w:val="0B8F4F60"/>
    <w:rsid w:val="0B9A3212"/>
    <w:rsid w:val="0BC1473B"/>
    <w:rsid w:val="0BC15C42"/>
    <w:rsid w:val="0BCE4DC7"/>
    <w:rsid w:val="0BF476EA"/>
    <w:rsid w:val="0C0C5967"/>
    <w:rsid w:val="0C2E67E4"/>
    <w:rsid w:val="0C4D631C"/>
    <w:rsid w:val="0C5D60B6"/>
    <w:rsid w:val="0C623C90"/>
    <w:rsid w:val="0C6939A6"/>
    <w:rsid w:val="0CAE6E4A"/>
    <w:rsid w:val="0CB40839"/>
    <w:rsid w:val="0CB87790"/>
    <w:rsid w:val="0CDF41BF"/>
    <w:rsid w:val="0CFA74C1"/>
    <w:rsid w:val="0D0316DE"/>
    <w:rsid w:val="0D0B0DAD"/>
    <w:rsid w:val="0D1A404E"/>
    <w:rsid w:val="0D1A7B4B"/>
    <w:rsid w:val="0D254B47"/>
    <w:rsid w:val="0D755681"/>
    <w:rsid w:val="0D8D57D9"/>
    <w:rsid w:val="0DAE15DF"/>
    <w:rsid w:val="0DAE3773"/>
    <w:rsid w:val="0DE011D7"/>
    <w:rsid w:val="0DED6C3C"/>
    <w:rsid w:val="0DF26BF3"/>
    <w:rsid w:val="0DF77E44"/>
    <w:rsid w:val="0E19403D"/>
    <w:rsid w:val="0E461E6E"/>
    <w:rsid w:val="0E951E2D"/>
    <w:rsid w:val="0EB04C1D"/>
    <w:rsid w:val="0ED32755"/>
    <w:rsid w:val="0ED60439"/>
    <w:rsid w:val="0F0F7EFA"/>
    <w:rsid w:val="0F2036E7"/>
    <w:rsid w:val="0F3406A8"/>
    <w:rsid w:val="0F565086"/>
    <w:rsid w:val="0F572DAE"/>
    <w:rsid w:val="0F5825A4"/>
    <w:rsid w:val="0F840E19"/>
    <w:rsid w:val="0F890D17"/>
    <w:rsid w:val="0F9C6460"/>
    <w:rsid w:val="0FA27879"/>
    <w:rsid w:val="0FBD5EF4"/>
    <w:rsid w:val="0FCC044D"/>
    <w:rsid w:val="0FD854CE"/>
    <w:rsid w:val="0FED709C"/>
    <w:rsid w:val="0FFC53D4"/>
    <w:rsid w:val="100162AE"/>
    <w:rsid w:val="10216377"/>
    <w:rsid w:val="1030066E"/>
    <w:rsid w:val="104A131B"/>
    <w:rsid w:val="10A93DC5"/>
    <w:rsid w:val="10D61953"/>
    <w:rsid w:val="10DA157D"/>
    <w:rsid w:val="114809B7"/>
    <w:rsid w:val="117B74D9"/>
    <w:rsid w:val="119A160D"/>
    <w:rsid w:val="11AD0C25"/>
    <w:rsid w:val="11B52C6A"/>
    <w:rsid w:val="11CD49CA"/>
    <w:rsid w:val="11F373CA"/>
    <w:rsid w:val="11FD01D6"/>
    <w:rsid w:val="12110C5C"/>
    <w:rsid w:val="121744B9"/>
    <w:rsid w:val="12620082"/>
    <w:rsid w:val="12772755"/>
    <w:rsid w:val="1292438F"/>
    <w:rsid w:val="12AE28D4"/>
    <w:rsid w:val="12B46F37"/>
    <w:rsid w:val="12BD132F"/>
    <w:rsid w:val="12C34799"/>
    <w:rsid w:val="12CE0564"/>
    <w:rsid w:val="12E615C9"/>
    <w:rsid w:val="12F059D1"/>
    <w:rsid w:val="130A0F96"/>
    <w:rsid w:val="1323167F"/>
    <w:rsid w:val="133348AD"/>
    <w:rsid w:val="13495C7E"/>
    <w:rsid w:val="13525B1D"/>
    <w:rsid w:val="13696028"/>
    <w:rsid w:val="13973120"/>
    <w:rsid w:val="139934F3"/>
    <w:rsid w:val="13BD3A71"/>
    <w:rsid w:val="13F673E8"/>
    <w:rsid w:val="14053F9F"/>
    <w:rsid w:val="140D2A59"/>
    <w:rsid w:val="141E3874"/>
    <w:rsid w:val="143E00CE"/>
    <w:rsid w:val="14674179"/>
    <w:rsid w:val="146A6E8E"/>
    <w:rsid w:val="147B791F"/>
    <w:rsid w:val="147D6C30"/>
    <w:rsid w:val="14AD3953"/>
    <w:rsid w:val="14BE1DE8"/>
    <w:rsid w:val="14D26371"/>
    <w:rsid w:val="14DE367D"/>
    <w:rsid w:val="14E279DF"/>
    <w:rsid w:val="150342CB"/>
    <w:rsid w:val="150F7544"/>
    <w:rsid w:val="15141771"/>
    <w:rsid w:val="151E6F20"/>
    <w:rsid w:val="15263142"/>
    <w:rsid w:val="153214E5"/>
    <w:rsid w:val="15341106"/>
    <w:rsid w:val="15477660"/>
    <w:rsid w:val="154D7DE4"/>
    <w:rsid w:val="15643B91"/>
    <w:rsid w:val="15662480"/>
    <w:rsid w:val="156E3F86"/>
    <w:rsid w:val="15882F8B"/>
    <w:rsid w:val="15953F29"/>
    <w:rsid w:val="1599192D"/>
    <w:rsid w:val="15D7107C"/>
    <w:rsid w:val="15F15AC1"/>
    <w:rsid w:val="1606497D"/>
    <w:rsid w:val="161D0E12"/>
    <w:rsid w:val="1628310B"/>
    <w:rsid w:val="162C099A"/>
    <w:rsid w:val="16313CF8"/>
    <w:rsid w:val="165F21A3"/>
    <w:rsid w:val="16647696"/>
    <w:rsid w:val="16A4068F"/>
    <w:rsid w:val="170D0C8A"/>
    <w:rsid w:val="1726591C"/>
    <w:rsid w:val="172972A9"/>
    <w:rsid w:val="174A1D7F"/>
    <w:rsid w:val="178C5750"/>
    <w:rsid w:val="17AF4176"/>
    <w:rsid w:val="17EA65A4"/>
    <w:rsid w:val="17FD5C86"/>
    <w:rsid w:val="180247C3"/>
    <w:rsid w:val="182F6168"/>
    <w:rsid w:val="18343FFF"/>
    <w:rsid w:val="183744C0"/>
    <w:rsid w:val="184B0F97"/>
    <w:rsid w:val="1851683E"/>
    <w:rsid w:val="1876171F"/>
    <w:rsid w:val="18891FE1"/>
    <w:rsid w:val="18975489"/>
    <w:rsid w:val="189F1DA0"/>
    <w:rsid w:val="18B53599"/>
    <w:rsid w:val="18D2018E"/>
    <w:rsid w:val="190F4E12"/>
    <w:rsid w:val="191666DD"/>
    <w:rsid w:val="19172ABC"/>
    <w:rsid w:val="19230F50"/>
    <w:rsid w:val="192B42F2"/>
    <w:rsid w:val="19304014"/>
    <w:rsid w:val="19375EE1"/>
    <w:rsid w:val="194B1FF3"/>
    <w:rsid w:val="198E78BB"/>
    <w:rsid w:val="199D0935"/>
    <w:rsid w:val="1A253F8B"/>
    <w:rsid w:val="1A2854FC"/>
    <w:rsid w:val="1A2866D0"/>
    <w:rsid w:val="1A2B1DC2"/>
    <w:rsid w:val="1A3A0084"/>
    <w:rsid w:val="1A407EEA"/>
    <w:rsid w:val="1A827FFE"/>
    <w:rsid w:val="1A8C7994"/>
    <w:rsid w:val="1A8F413B"/>
    <w:rsid w:val="1A9A3794"/>
    <w:rsid w:val="1AB6217A"/>
    <w:rsid w:val="1AC75372"/>
    <w:rsid w:val="1ACA0F29"/>
    <w:rsid w:val="1AEC4333"/>
    <w:rsid w:val="1AEF58C2"/>
    <w:rsid w:val="1B0F3D40"/>
    <w:rsid w:val="1B1C6848"/>
    <w:rsid w:val="1B2D23AB"/>
    <w:rsid w:val="1B3D4258"/>
    <w:rsid w:val="1B434E49"/>
    <w:rsid w:val="1B466A2A"/>
    <w:rsid w:val="1B8265A5"/>
    <w:rsid w:val="1B8913EB"/>
    <w:rsid w:val="1BCE681B"/>
    <w:rsid w:val="1BD14CC5"/>
    <w:rsid w:val="1BDA0C95"/>
    <w:rsid w:val="1BDC1877"/>
    <w:rsid w:val="1BE22134"/>
    <w:rsid w:val="1BE258E0"/>
    <w:rsid w:val="1BF43FD9"/>
    <w:rsid w:val="1BFD6229"/>
    <w:rsid w:val="1C12322B"/>
    <w:rsid w:val="1C124AEB"/>
    <w:rsid w:val="1C1450E3"/>
    <w:rsid w:val="1C2C4884"/>
    <w:rsid w:val="1C2E4DFD"/>
    <w:rsid w:val="1C36422E"/>
    <w:rsid w:val="1C480375"/>
    <w:rsid w:val="1C62492D"/>
    <w:rsid w:val="1C6C6C7A"/>
    <w:rsid w:val="1C8C6544"/>
    <w:rsid w:val="1C9556BF"/>
    <w:rsid w:val="1CDB1FF0"/>
    <w:rsid w:val="1CF054C3"/>
    <w:rsid w:val="1CFD3529"/>
    <w:rsid w:val="1D047631"/>
    <w:rsid w:val="1D144DA1"/>
    <w:rsid w:val="1D187D1E"/>
    <w:rsid w:val="1D1E5006"/>
    <w:rsid w:val="1D230C56"/>
    <w:rsid w:val="1D324016"/>
    <w:rsid w:val="1D3D6479"/>
    <w:rsid w:val="1DAC4008"/>
    <w:rsid w:val="1DBF58EB"/>
    <w:rsid w:val="1DC3043A"/>
    <w:rsid w:val="1DCE2183"/>
    <w:rsid w:val="1DE52654"/>
    <w:rsid w:val="1DFA0BE3"/>
    <w:rsid w:val="1E157496"/>
    <w:rsid w:val="1E1B1837"/>
    <w:rsid w:val="1E3A5066"/>
    <w:rsid w:val="1E3F7864"/>
    <w:rsid w:val="1E687F47"/>
    <w:rsid w:val="1E6E4862"/>
    <w:rsid w:val="1EB32B16"/>
    <w:rsid w:val="1ECD1BD7"/>
    <w:rsid w:val="1EDE362D"/>
    <w:rsid w:val="1EDE3910"/>
    <w:rsid w:val="1EEA58FB"/>
    <w:rsid w:val="1EF81C6E"/>
    <w:rsid w:val="1F28081B"/>
    <w:rsid w:val="1F390DB9"/>
    <w:rsid w:val="1F3A7674"/>
    <w:rsid w:val="1F683205"/>
    <w:rsid w:val="1FC17042"/>
    <w:rsid w:val="1FEA3F52"/>
    <w:rsid w:val="200417AB"/>
    <w:rsid w:val="20073030"/>
    <w:rsid w:val="202C46B2"/>
    <w:rsid w:val="20AB4C76"/>
    <w:rsid w:val="20C60FD6"/>
    <w:rsid w:val="20F550D3"/>
    <w:rsid w:val="21285A05"/>
    <w:rsid w:val="216F7B6E"/>
    <w:rsid w:val="21864FA7"/>
    <w:rsid w:val="219016C0"/>
    <w:rsid w:val="21932BE4"/>
    <w:rsid w:val="21D17CB7"/>
    <w:rsid w:val="21D932F2"/>
    <w:rsid w:val="21D94230"/>
    <w:rsid w:val="21DA7488"/>
    <w:rsid w:val="21E1137E"/>
    <w:rsid w:val="21E704CA"/>
    <w:rsid w:val="221E4C1D"/>
    <w:rsid w:val="22224AD9"/>
    <w:rsid w:val="222C10C5"/>
    <w:rsid w:val="225070D8"/>
    <w:rsid w:val="22836B71"/>
    <w:rsid w:val="228C104B"/>
    <w:rsid w:val="2294503F"/>
    <w:rsid w:val="22A76527"/>
    <w:rsid w:val="22DC2DB3"/>
    <w:rsid w:val="22FE2E0C"/>
    <w:rsid w:val="232D1C8D"/>
    <w:rsid w:val="23671921"/>
    <w:rsid w:val="23841BD9"/>
    <w:rsid w:val="239F04F3"/>
    <w:rsid w:val="23A010F0"/>
    <w:rsid w:val="23A77BBD"/>
    <w:rsid w:val="23CE47E7"/>
    <w:rsid w:val="23D5432C"/>
    <w:rsid w:val="23DD3661"/>
    <w:rsid w:val="23F61D9C"/>
    <w:rsid w:val="23F738D7"/>
    <w:rsid w:val="23FA76B8"/>
    <w:rsid w:val="2426052F"/>
    <w:rsid w:val="2446410F"/>
    <w:rsid w:val="246E6895"/>
    <w:rsid w:val="24963554"/>
    <w:rsid w:val="249656F3"/>
    <w:rsid w:val="24B403E6"/>
    <w:rsid w:val="24F829C8"/>
    <w:rsid w:val="25007177"/>
    <w:rsid w:val="252A6147"/>
    <w:rsid w:val="252C1A2E"/>
    <w:rsid w:val="2553444B"/>
    <w:rsid w:val="25541A9D"/>
    <w:rsid w:val="25886BE3"/>
    <w:rsid w:val="25B07A26"/>
    <w:rsid w:val="25C16051"/>
    <w:rsid w:val="25ED2172"/>
    <w:rsid w:val="25EF4888"/>
    <w:rsid w:val="25FF65CF"/>
    <w:rsid w:val="26034647"/>
    <w:rsid w:val="260D4FB5"/>
    <w:rsid w:val="261E5379"/>
    <w:rsid w:val="264048FF"/>
    <w:rsid w:val="26A96E8E"/>
    <w:rsid w:val="26D7660D"/>
    <w:rsid w:val="26DB059F"/>
    <w:rsid w:val="27012EBF"/>
    <w:rsid w:val="270E6D97"/>
    <w:rsid w:val="27105E71"/>
    <w:rsid w:val="271105A4"/>
    <w:rsid w:val="271C092F"/>
    <w:rsid w:val="27247AA4"/>
    <w:rsid w:val="274B54E9"/>
    <w:rsid w:val="2768006F"/>
    <w:rsid w:val="276B4B51"/>
    <w:rsid w:val="277D1DB1"/>
    <w:rsid w:val="27AA4769"/>
    <w:rsid w:val="27B90EDF"/>
    <w:rsid w:val="27ED64B9"/>
    <w:rsid w:val="27F31232"/>
    <w:rsid w:val="284D4DD9"/>
    <w:rsid w:val="285E50E5"/>
    <w:rsid w:val="287A5D4B"/>
    <w:rsid w:val="28813BE0"/>
    <w:rsid w:val="288C230F"/>
    <w:rsid w:val="2891170D"/>
    <w:rsid w:val="2894064A"/>
    <w:rsid w:val="28AA6DA0"/>
    <w:rsid w:val="28BC3F14"/>
    <w:rsid w:val="28CB5BE0"/>
    <w:rsid w:val="28EA0C9D"/>
    <w:rsid w:val="28F03F58"/>
    <w:rsid w:val="28FF2BF1"/>
    <w:rsid w:val="29135029"/>
    <w:rsid w:val="291746DE"/>
    <w:rsid w:val="291E64FD"/>
    <w:rsid w:val="29677EAC"/>
    <w:rsid w:val="296E1BA6"/>
    <w:rsid w:val="2972448D"/>
    <w:rsid w:val="29777B12"/>
    <w:rsid w:val="297A5E0A"/>
    <w:rsid w:val="29A42A73"/>
    <w:rsid w:val="29B41ABF"/>
    <w:rsid w:val="29CA2C4E"/>
    <w:rsid w:val="29EC0622"/>
    <w:rsid w:val="29F51284"/>
    <w:rsid w:val="2A0277FE"/>
    <w:rsid w:val="2A1B7E77"/>
    <w:rsid w:val="2A4027BC"/>
    <w:rsid w:val="2A5F1D01"/>
    <w:rsid w:val="2A602652"/>
    <w:rsid w:val="2A7C7FDC"/>
    <w:rsid w:val="2AB0092A"/>
    <w:rsid w:val="2AD06D94"/>
    <w:rsid w:val="2ADB5AB8"/>
    <w:rsid w:val="2ADB7683"/>
    <w:rsid w:val="2AE02C51"/>
    <w:rsid w:val="2AE64466"/>
    <w:rsid w:val="2AF44039"/>
    <w:rsid w:val="2B0E16D2"/>
    <w:rsid w:val="2B1716CE"/>
    <w:rsid w:val="2B38542D"/>
    <w:rsid w:val="2B39012F"/>
    <w:rsid w:val="2B43781E"/>
    <w:rsid w:val="2B6C52CA"/>
    <w:rsid w:val="2B75215F"/>
    <w:rsid w:val="2B782CC2"/>
    <w:rsid w:val="2B8072EA"/>
    <w:rsid w:val="2BA17DF7"/>
    <w:rsid w:val="2BA4331E"/>
    <w:rsid w:val="2BA72EB6"/>
    <w:rsid w:val="2BB843AB"/>
    <w:rsid w:val="2BBD5701"/>
    <w:rsid w:val="2BC773D1"/>
    <w:rsid w:val="2BD73F9C"/>
    <w:rsid w:val="2BFD2DC5"/>
    <w:rsid w:val="2C19523E"/>
    <w:rsid w:val="2C20287C"/>
    <w:rsid w:val="2C536297"/>
    <w:rsid w:val="2C77792C"/>
    <w:rsid w:val="2C7F3BA9"/>
    <w:rsid w:val="2C943D1B"/>
    <w:rsid w:val="2C986641"/>
    <w:rsid w:val="2CA85A95"/>
    <w:rsid w:val="2CB91342"/>
    <w:rsid w:val="2CBB2CB0"/>
    <w:rsid w:val="2CD1673D"/>
    <w:rsid w:val="2CFA5C0F"/>
    <w:rsid w:val="2D0B5524"/>
    <w:rsid w:val="2D154990"/>
    <w:rsid w:val="2D167E67"/>
    <w:rsid w:val="2D2B73E4"/>
    <w:rsid w:val="2D3F3BA4"/>
    <w:rsid w:val="2D886C00"/>
    <w:rsid w:val="2D8A3D5B"/>
    <w:rsid w:val="2DAF5059"/>
    <w:rsid w:val="2DBF2B4A"/>
    <w:rsid w:val="2DEA3EBB"/>
    <w:rsid w:val="2E397741"/>
    <w:rsid w:val="2E3D2F06"/>
    <w:rsid w:val="2E422F06"/>
    <w:rsid w:val="2E53220A"/>
    <w:rsid w:val="2E552C39"/>
    <w:rsid w:val="2E695DB6"/>
    <w:rsid w:val="2E72456E"/>
    <w:rsid w:val="2EB43687"/>
    <w:rsid w:val="2ECC1D1F"/>
    <w:rsid w:val="2ED95C04"/>
    <w:rsid w:val="2EE04163"/>
    <w:rsid w:val="2EED01CB"/>
    <w:rsid w:val="2F1B4169"/>
    <w:rsid w:val="2F2627FA"/>
    <w:rsid w:val="2F5B74C2"/>
    <w:rsid w:val="2F9C0964"/>
    <w:rsid w:val="2F9E043D"/>
    <w:rsid w:val="2FB85027"/>
    <w:rsid w:val="2FDF61DC"/>
    <w:rsid w:val="2FEB0BD7"/>
    <w:rsid w:val="2FF03353"/>
    <w:rsid w:val="30263F63"/>
    <w:rsid w:val="30313B07"/>
    <w:rsid w:val="303B20C5"/>
    <w:rsid w:val="30645C10"/>
    <w:rsid w:val="30702C3E"/>
    <w:rsid w:val="307B6128"/>
    <w:rsid w:val="30803872"/>
    <w:rsid w:val="308D1AEC"/>
    <w:rsid w:val="308E1D3F"/>
    <w:rsid w:val="30AF03DB"/>
    <w:rsid w:val="30D757EB"/>
    <w:rsid w:val="30DA7865"/>
    <w:rsid w:val="30E166B5"/>
    <w:rsid w:val="30ED7376"/>
    <w:rsid w:val="30FC0D09"/>
    <w:rsid w:val="30FF2E4E"/>
    <w:rsid w:val="311724AB"/>
    <w:rsid w:val="311F214E"/>
    <w:rsid w:val="31216F79"/>
    <w:rsid w:val="3152478A"/>
    <w:rsid w:val="319513A0"/>
    <w:rsid w:val="31AB45BC"/>
    <w:rsid w:val="31C4537C"/>
    <w:rsid w:val="31CC3BDF"/>
    <w:rsid w:val="31D745CF"/>
    <w:rsid w:val="31DE4F38"/>
    <w:rsid w:val="31E225FF"/>
    <w:rsid w:val="31E56E8B"/>
    <w:rsid w:val="31FE2D9B"/>
    <w:rsid w:val="3200110E"/>
    <w:rsid w:val="32284277"/>
    <w:rsid w:val="32295B32"/>
    <w:rsid w:val="32317519"/>
    <w:rsid w:val="3233692D"/>
    <w:rsid w:val="32516607"/>
    <w:rsid w:val="326453B1"/>
    <w:rsid w:val="329267C1"/>
    <w:rsid w:val="32934090"/>
    <w:rsid w:val="329C2479"/>
    <w:rsid w:val="329D1E96"/>
    <w:rsid w:val="32A04C05"/>
    <w:rsid w:val="32B62DBE"/>
    <w:rsid w:val="32D103B5"/>
    <w:rsid w:val="32EB7DAF"/>
    <w:rsid w:val="32F16EDE"/>
    <w:rsid w:val="32F52B21"/>
    <w:rsid w:val="330D6822"/>
    <w:rsid w:val="333B5642"/>
    <w:rsid w:val="3368435D"/>
    <w:rsid w:val="336C25AC"/>
    <w:rsid w:val="33807805"/>
    <w:rsid w:val="339414D9"/>
    <w:rsid w:val="339E3C85"/>
    <w:rsid w:val="33B813EE"/>
    <w:rsid w:val="33C235E5"/>
    <w:rsid w:val="33D50207"/>
    <w:rsid w:val="33D765B5"/>
    <w:rsid w:val="33EC7DBB"/>
    <w:rsid w:val="33F211B7"/>
    <w:rsid w:val="33FC19A7"/>
    <w:rsid w:val="34007F6D"/>
    <w:rsid w:val="34013537"/>
    <w:rsid w:val="34062ABA"/>
    <w:rsid w:val="341E39AA"/>
    <w:rsid w:val="341E587B"/>
    <w:rsid w:val="34241386"/>
    <w:rsid w:val="342B30BF"/>
    <w:rsid w:val="343B04AE"/>
    <w:rsid w:val="34514AB9"/>
    <w:rsid w:val="345C4C50"/>
    <w:rsid w:val="34655258"/>
    <w:rsid w:val="346663D7"/>
    <w:rsid w:val="3470421E"/>
    <w:rsid w:val="34991DF7"/>
    <w:rsid w:val="349A66C0"/>
    <w:rsid w:val="34AC65B3"/>
    <w:rsid w:val="34C8321F"/>
    <w:rsid w:val="34CE11CA"/>
    <w:rsid w:val="34E55D94"/>
    <w:rsid w:val="351D19E9"/>
    <w:rsid w:val="353448B6"/>
    <w:rsid w:val="353F287E"/>
    <w:rsid w:val="35971ECB"/>
    <w:rsid w:val="35B4470F"/>
    <w:rsid w:val="35B960E0"/>
    <w:rsid w:val="35EC7188"/>
    <w:rsid w:val="35F42522"/>
    <w:rsid w:val="35F445EB"/>
    <w:rsid w:val="35F74D73"/>
    <w:rsid w:val="3633380E"/>
    <w:rsid w:val="36427319"/>
    <w:rsid w:val="36546526"/>
    <w:rsid w:val="365550E2"/>
    <w:rsid w:val="365E7EE1"/>
    <w:rsid w:val="365F6999"/>
    <w:rsid w:val="366413ED"/>
    <w:rsid w:val="366E3BE0"/>
    <w:rsid w:val="36980C13"/>
    <w:rsid w:val="36AF6B17"/>
    <w:rsid w:val="36DA39A0"/>
    <w:rsid w:val="36E14E00"/>
    <w:rsid w:val="36F5703C"/>
    <w:rsid w:val="36FC4E07"/>
    <w:rsid w:val="37170FFE"/>
    <w:rsid w:val="372F5EA4"/>
    <w:rsid w:val="373C412D"/>
    <w:rsid w:val="37736146"/>
    <w:rsid w:val="37920A5A"/>
    <w:rsid w:val="37923071"/>
    <w:rsid w:val="37A10C9D"/>
    <w:rsid w:val="37C02717"/>
    <w:rsid w:val="37E011F8"/>
    <w:rsid w:val="37EF0A4F"/>
    <w:rsid w:val="37EF6DC8"/>
    <w:rsid w:val="37F97FC1"/>
    <w:rsid w:val="38034D02"/>
    <w:rsid w:val="38094CF1"/>
    <w:rsid w:val="38262EF3"/>
    <w:rsid w:val="382830B0"/>
    <w:rsid w:val="3845395B"/>
    <w:rsid w:val="3865335C"/>
    <w:rsid w:val="38691B28"/>
    <w:rsid w:val="387F0A66"/>
    <w:rsid w:val="389C1A37"/>
    <w:rsid w:val="38BD493B"/>
    <w:rsid w:val="38DFDE01"/>
    <w:rsid w:val="38F64937"/>
    <w:rsid w:val="390D4393"/>
    <w:rsid w:val="390F050A"/>
    <w:rsid w:val="392512E2"/>
    <w:rsid w:val="39441387"/>
    <w:rsid w:val="39641BF1"/>
    <w:rsid w:val="397871A5"/>
    <w:rsid w:val="39936F54"/>
    <w:rsid w:val="3A090F25"/>
    <w:rsid w:val="3A205918"/>
    <w:rsid w:val="3A20601D"/>
    <w:rsid w:val="3A2E4461"/>
    <w:rsid w:val="3A3B2469"/>
    <w:rsid w:val="3A4373AE"/>
    <w:rsid w:val="3A5057DD"/>
    <w:rsid w:val="3A523F1C"/>
    <w:rsid w:val="3A7C328C"/>
    <w:rsid w:val="3A933634"/>
    <w:rsid w:val="3A954F9A"/>
    <w:rsid w:val="3AB61331"/>
    <w:rsid w:val="3AB83673"/>
    <w:rsid w:val="3AD0536F"/>
    <w:rsid w:val="3AD43EBF"/>
    <w:rsid w:val="3AE325E1"/>
    <w:rsid w:val="3AEA2D04"/>
    <w:rsid w:val="3B0B173D"/>
    <w:rsid w:val="3B0C4E1B"/>
    <w:rsid w:val="3B245E4C"/>
    <w:rsid w:val="3B314C0D"/>
    <w:rsid w:val="3B352FF6"/>
    <w:rsid w:val="3B4445BF"/>
    <w:rsid w:val="3B4E75A1"/>
    <w:rsid w:val="3B620916"/>
    <w:rsid w:val="3B8D09A8"/>
    <w:rsid w:val="3B943D76"/>
    <w:rsid w:val="3BAC0F6E"/>
    <w:rsid w:val="3BB755D2"/>
    <w:rsid w:val="3BC16DB3"/>
    <w:rsid w:val="3BC7787A"/>
    <w:rsid w:val="3BE478CD"/>
    <w:rsid w:val="3BE50B73"/>
    <w:rsid w:val="3C0B2B4A"/>
    <w:rsid w:val="3C4F7320"/>
    <w:rsid w:val="3C5B4FA4"/>
    <w:rsid w:val="3C675DE9"/>
    <w:rsid w:val="3C9506A5"/>
    <w:rsid w:val="3CA62DA2"/>
    <w:rsid w:val="3CAA681B"/>
    <w:rsid w:val="3CB672C1"/>
    <w:rsid w:val="3CBA041E"/>
    <w:rsid w:val="3CBF6799"/>
    <w:rsid w:val="3CC4148B"/>
    <w:rsid w:val="3CCC1599"/>
    <w:rsid w:val="3CD03E9B"/>
    <w:rsid w:val="3CEC6C0D"/>
    <w:rsid w:val="3CF74F4B"/>
    <w:rsid w:val="3CF80C64"/>
    <w:rsid w:val="3D010B52"/>
    <w:rsid w:val="3D0A244D"/>
    <w:rsid w:val="3D144CDF"/>
    <w:rsid w:val="3D3C7764"/>
    <w:rsid w:val="3D4715A7"/>
    <w:rsid w:val="3D4D5D93"/>
    <w:rsid w:val="3D5E2E2E"/>
    <w:rsid w:val="3D613778"/>
    <w:rsid w:val="3D6913B0"/>
    <w:rsid w:val="3D727210"/>
    <w:rsid w:val="3D8C4073"/>
    <w:rsid w:val="3D8E705B"/>
    <w:rsid w:val="3DB72499"/>
    <w:rsid w:val="3DC90816"/>
    <w:rsid w:val="3DDD2B60"/>
    <w:rsid w:val="3DE3072F"/>
    <w:rsid w:val="3DED2C8D"/>
    <w:rsid w:val="3DF24F78"/>
    <w:rsid w:val="3DFD109C"/>
    <w:rsid w:val="3E12768D"/>
    <w:rsid w:val="3E292A0A"/>
    <w:rsid w:val="3E55686A"/>
    <w:rsid w:val="3E5C3666"/>
    <w:rsid w:val="3E735010"/>
    <w:rsid w:val="3E7847E0"/>
    <w:rsid w:val="3E826293"/>
    <w:rsid w:val="3E9502A0"/>
    <w:rsid w:val="3E9B5E9B"/>
    <w:rsid w:val="3EB22AFE"/>
    <w:rsid w:val="3EB94B24"/>
    <w:rsid w:val="3EC374BC"/>
    <w:rsid w:val="3ED40779"/>
    <w:rsid w:val="3EDA3082"/>
    <w:rsid w:val="3EF400E7"/>
    <w:rsid w:val="3EFA2362"/>
    <w:rsid w:val="3F0B211E"/>
    <w:rsid w:val="3F21410E"/>
    <w:rsid w:val="3F6F05A5"/>
    <w:rsid w:val="3F7807F4"/>
    <w:rsid w:val="3F8247ED"/>
    <w:rsid w:val="3F8E13A9"/>
    <w:rsid w:val="3FA02BC6"/>
    <w:rsid w:val="3FA1306F"/>
    <w:rsid w:val="3FA656C4"/>
    <w:rsid w:val="3FC77876"/>
    <w:rsid w:val="3FDC6F95"/>
    <w:rsid w:val="3FDDF987"/>
    <w:rsid w:val="3FDFCA81"/>
    <w:rsid w:val="3FFE554D"/>
    <w:rsid w:val="3FFF76D2"/>
    <w:rsid w:val="40152228"/>
    <w:rsid w:val="40220EF1"/>
    <w:rsid w:val="405D4D8F"/>
    <w:rsid w:val="40913403"/>
    <w:rsid w:val="409273D5"/>
    <w:rsid w:val="409D542C"/>
    <w:rsid w:val="40A50367"/>
    <w:rsid w:val="40B07D2D"/>
    <w:rsid w:val="40B12ADB"/>
    <w:rsid w:val="40C258A9"/>
    <w:rsid w:val="40D53E95"/>
    <w:rsid w:val="40E154B1"/>
    <w:rsid w:val="40EE51AD"/>
    <w:rsid w:val="40F462E2"/>
    <w:rsid w:val="40F91A2C"/>
    <w:rsid w:val="4111695C"/>
    <w:rsid w:val="412F3401"/>
    <w:rsid w:val="41302765"/>
    <w:rsid w:val="413F24C0"/>
    <w:rsid w:val="41461CA1"/>
    <w:rsid w:val="417954BC"/>
    <w:rsid w:val="41837AB1"/>
    <w:rsid w:val="418A4408"/>
    <w:rsid w:val="41A5318D"/>
    <w:rsid w:val="41AB16C2"/>
    <w:rsid w:val="41BF3DDD"/>
    <w:rsid w:val="41D0160D"/>
    <w:rsid w:val="41F379CF"/>
    <w:rsid w:val="41FF0DDE"/>
    <w:rsid w:val="420324D5"/>
    <w:rsid w:val="421B164C"/>
    <w:rsid w:val="421E4365"/>
    <w:rsid w:val="4223547E"/>
    <w:rsid w:val="42381EA6"/>
    <w:rsid w:val="42551D91"/>
    <w:rsid w:val="426F60F8"/>
    <w:rsid w:val="427C4B65"/>
    <w:rsid w:val="429A65E1"/>
    <w:rsid w:val="429F7624"/>
    <w:rsid w:val="42C61A5C"/>
    <w:rsid w:val="42D46B06"/>
    <w:rsid w:val="42DB107E"/>
    <w:rsid w:val="42DE523E"/>
    <w:rsid w:val="42F223AD"/>
    <w:rsid w:val="43146A2D"/>
    <w:rsid w:val="43184F08"/>
    <w:rsid w:val="435A40A4"/>
    <w:rsid w:val="435D300A"/>
    <w:rsid w:val="435F287C"/>
    <w:rsid w:val="43706CDA"/>
    <w:rsid w:val="437A65CF"/>
    <w:rsid w:val="438976E2"/>
    <w:rsid w:val="439A4563"/>
    <w:rsid w:val="43AD6999"/>
    <w:rsid w:val="43B23EDE"/>
    <w:rsid w:val="43BE3CB6"/>
    <w:rsid w:val="43F21F3A"/>
    <w:rsid w:val="43F43652"/>
    <w:rsid w:val="442B137D"/>
    <w:rsid w:val="444B5EFF"/>
    <w:rsid w:val="449B3345"/>
    <w:rsid w:val="44C24D59"/>
    <w:rsid w:val="44F3065E"/>
    <w:rsid w:val="45094B99"/>
    <w:rsid w:val="45097E04"/>
    <w:rsid w:val="453F4F0D"/>
    <w:rsid w:val="454D6A28"/>
    <w:rsid w:val="45533BC2"/>
    <w:rsid w:val="456D29DF"/>
    <w:rsid w:val="45770F61"/>
    <w:rsid w:val="45961954"/>
    <w:rsid w:val="45A140A4"/>
    <w:rsid w:val="45A34470"/>
    <w:rsid w:val="45A66A4B"/>
    <w:rsid w:val="45AE4F0C"/>
    <w:rsid w:val="45F9568D"/>
    <w:rsid w:val="46123BE6"/>
    <w:rsid w:val="463073E2"/>
    <w:rsid w:val="46455223"/>
    <w:rsid w:val="465029A7"/>
    <w:rsid w:val="46663F20"/>
    <w:rsid w:val="46704EB9"/>
    <w:rsid w:val="46756481"/>
    <w:rsid w:val="469255FF"/>
    <w:rsid w:val="46A71700"/>
    <w:rsid w:val="46D44065"/>
    <w:rsid w:val="46D83FB0"/>
    <w:rsid w:val="46E548C9"/>
    <w:rsid w:val="471D6E2E"/>
    <w:rsid w:val="47227E01"/>
    <w:rsid w:val="472D3E9F"/>
    <w:rsid w:val="47332F94"/>
    <w:rsid w:val="473505D7"/>
    <w:rsid w:val="47393594"/>
    <w:rsid w:val="473A029C"/>
    <w:rsid w:val="478E0A00"/>
    <w:rsid w:val="47BB49AE"/>
    <w:rsid w:val="47C52DB3"/>
    <w:rsid w:val="47D43FC2"/>
    <w:rsid w:val="47F21BE5"/>
    <w:rsid w:val="47FB124E"/>
    <w:rsid w:val="480316EF"/>
    <w:rsid w:val="480677D8"/>
    <w:rsid w:val="48102173"/>
    <w:rsid w:val="481870DA"/>
    <w:rsid w:val="485618D3"/>
    <w:rsid w:val="485F40CF"/>
    <w:rsid w:val="48621A3D"/>
    <w:rsid w:val="486779BC"/>
    <w:rsid w:val="48745C2C"/>
    <w:rsid w:val="487C58DA"/>
    <w:rsid w:val="48803767"/>
    <w:rsid w:val="488A31DA"/>
    <w:rsid w:val="48A10BBA"/>
    <w:rsid w:val="48AF1CF1"/>
    <w:rsid w:val="48AF3822"/>
    <w:rsid w:val="48B84099"/>
    <w:rsid w:val="48D52555"/>
    <w:rsid w:val="48D72771"/>
    <w:rsid w:val="48E75D4F"/>
    <w:rsid w:val="48E76D9A"/>
    <w:rsid w:val="48EC3ED9"/>
    <w:rsid w:val="491210B6"/>
    <w:rsid w:val="491958D5"/>
    <w:rsid w:val="49326680"/>
    <w:rsid w:val="493A3472"/>
    <w:rsid w:val="495D66C7"/>
    <w:rsid w:val="49862ABB"/>
    <w:rsid w:val="498F5A6D"/>
    <w:rsid w:val="49DA40B8"/>
    <w:rsid w:val="49F652BE"/>
    <w:rsid w:val="4A214220"/>
    <w:rsid w:val="4A2D16EF"/>
    <w:rsid w:val="4A31496B"/>
    <w:rsid w:val="4A424BAD"/>
    <w:rsid w:val="4A431329"/>
    <w:rsid w:val="4A4E23DD"/>
    <w:rsid w:val="4A5D3C7D"/>
    <w:rsid w:val="4A696A7F"/>
    <w:rsid w:val="4A952B26"/>
    <w:rsid w:val="4AAA1398"/>
    <w:rsid w:val="4ACB00B3"/>
    <w:rsid w:val="4AFC12FE"/>
    <w:rsid w:val="4B057E38"/>
    <w:rsid w:val="4B1A6343"/>
    <w:rsid w:val="4B284B27"/>
    <w:rsid w:val="4B35462A"/>
    <w:rsid w:val="4B4025BF"/>
    <w:rsid w:val="4B433C2A"/>
    <w:rsid w:val="4B4A03C6"/>
    <w:rsid w:val="4B6D1AB4"/>
    <w:rsid w:val="4B926799"/>
    <w:rsid w:val="4B93411F"/>
    <w:rsid w:val="4B9C1BF1"/>
    <w:rsid w:val="4BB07945"/>
    <w:rsid w:val="4BD64002"/>
    <w:rsid w:val="4BF03B4A"/>
    <w:rsid w:val="4C05738B"/>
    <w:rsid w:val="4C076AAD"/>
    <w:rsid w:val="4C1F37E3"/>
    <w:rsid w:val="4C2D45FB"/>
    <w:rsid w:val="4C511B02"/>
    <w:rsid w:val="4C5F3EA9"/>
    <w:rsid w:val="4C6043F9"/>
    <w:rsid w:val="4C8D5F79"/>
    <w:rsid w:val="4CA126E0"/>
    <w:rsid w:val="4CAE078C"/>
    <w:rsid w:val="4CD63FE8"/>
    <w:rsid w:val="4CE35F38"/>
    <w:rsid w:val="4CE52275"/>
    <w:rsid w:val="4CFF69C7"/>
    <w:rsid w:val="4D0E3CC7"/>
    <w:rsid w:val="4D24054A"/>
    <w:rsid w:val="4D2E0D6F"/>
    <w:rsid w:val="4D4025AD"/>
    <w:rsid w:val="4D476431"/>
    <w:rsid w:val="4D647C72"/>
    <w:rsid w:val="4D751206"/>
    <w:rsid w:val="4D83633C"/>
    <w:rsid w:val="4DA51F6B"/>
    <w:rsid w:val="4DAD3A24"/>
    <w:rsid w:val="4DAE320A"/>
    <w:rsid w:val="4DCC14D7"/>
    <w:rsid w:val="4E1966D8"/>
    <w:rsid w:val="4E383A52"/>
    <w:rsid w:val="4E3E1263"/>
    <w:rsid w:val="4E415D30"/>
    <w:rsid w:val="4E4D7F30"/>
    <w:rsid w:val="4E520C6E"/>
    <w:rsid w:val="4E531BFB"/>
    <w:rsid w:val="4E5C13E7"/>
    <w:rsid w:val="4E807407"/>
    <w:rsid w:val="4E816CDB"/>
    <w:rsid w:val="4E8361C4"/>
    <w:rsid w:val="4E976CD4"/>
    <w:rsid w:val="4E9C5361"/>
    <w:rsid w:val="4EB5B971"/>
    <w:rsid w:val="4EF23735"/>
    <w:rsid w:val="4F342BFF"/>
    <w:rsid w:val="4F7F321A"/>
    <w:rsid w:val="4F855408"/>
    <w:rsid w:val="4F972052"/>
    <w:rsid w:val="4FBF0074"/>
    <w:rsid w:val="4FD00F08"/>
    <w:rsid w:val="50320DEC"/>
    <w:rsid w:val="503329A9"/>
    <w:rsid w:val="50604A09"/>
    <w:rsid w:val="50612488"/>
    <w:rsid w:val="5065585D"/>
    <w:rsid w:val="506C625F"/>
    <w:rsid w:val="507030EE"/>
    <w:rsid w:val="5077175A"/>
    <w:rsid w:val="507E1183"/>
    <w:rsid w:val="509E1DC6"/>
    <w:rsid w:val="50AA4F92"/>
    <w:rsid w:val="50F53763"/>
    <w:rsid w:val="51165F8B"/>
    <w:rsid w:val="512E1C9C"/>
    <w:rsid w:val="51323452"/>
    <w:rsid w:val="513E2CF8"/>
    <w:rsid w:val="514C4A3C"/>
    <w:rsid w:val="51585B51"/>
    <w:rsid w:val="51622426"/>
    <w:rsid w:val="516A0329"/>
    <w:rsid w:val="51815BDB"/>
    <w:rsid w:val="51923051"/>
    <w:rsid w:val="519D7CD0"/>
    <w:rsid w:val="51DE17D6"/>
    <w:rsid w:val="51E73BF5"/>
    <w:rsid w:val="51FE4265"/>
    <w:rsid w:val="520D7203"/>
    <w:rsid w:val="52195BC5"/>
    <w:rsid w:val="522312C4"/>
    <w:rsid w:val="52461A35"/>
    <w:rsid w:val="52563B54"/>
    <w:rsid w:val="52570BFF"/>
    <w:rsid w:val="52715384"/>
    <w:rsid w:val="528B7FD0"/>
    <w:rsid w:val="52B8621F"/>
    <w:rsid w:val="52BB3C0E"/>
    <w:rsid w:val="52E736B3"/>
    <w:rsid w:val="53241C21"/>
    <w:rsid w:val="532B6FE0"/>
    <w:rsid w:val="534E48C4"/>
    <w:rsid w:val="5352666A"/>
    <w:rsid w:val="5358176B"/>
    <w:rsid w:val="537529C3"/>
    <w:rsid w:val="537627F1"/>
    <w:rsid w:val="539D1AC3"/>
    <w:rsid w:val="539F20DD"/>
    <w:rsid w:val="53AE30FB"/>
    <w:rsid w:val="53B678B6"/>
    <w:rsid w:val="53DC3678"/>
    <w:rsid w:val="53E113BC"/>
    <w:rsid w:val="53F1220D"/>
    <w:rsid w:val="54163ED2"/>
    <w:rsid w:val="543D456B"/>
    <w:rsid w:val="54684B80"/>
    <w:rsid w:val="54702962"/>
    <w:rsid w:val="54784D46"/>
    <w:rsid w:val="54801B99"/>
    <w:rsid w:val="549238A7"/>
    <w:rsid w:val="54A82158"/>
    <w:rsid w:val="54BF1B49"/>
    <w:rsid w:val="550C3B72"/>
    <w:rsid w:val="551C543A"/>
    <w:rsid w:val="55417049"/>
    <w:rsid w:val="556348BE"/>
    <w:rsid w:val="556E3899"/>
    <w:rsid w:val="55724938"/>
    <w:rsid w:val="55791CB7"/>
    <w:rsid w:val="55A0038E"/>
    <w:rsid w:val="55B654BC"/>
    <w:rsid w:val="55D5414B"/>
    <w:rsid w:val="55DC7658"/>
    <w:rsid w:val="55F5614A"/>
    <w:rsid w:val="55FF51A1"/>
    <w:rsid w:val="56257F68"/>
    <w:rsid w:val="563F2A4E"/>
    <w:rsid w:val="569A3030"/>
    <w:rsid w:val="56A22764"/>
    <w:rsid w:val="56BF46DA"/>
    <w:rsid w:val="56E7290C"/>
    <w:rsid w:val="570E6F78"/>
    <w:rsid w:val="571037CE"/>
    <w:rsid w:val="57230E10"/>
    <w:rsid w:val="57323E10"/>
    <w:rsid w:val="5753751A"/>
    <w:rsid w:val="575C3988"/>
    <w:rsid w:val="575C50AB"/>
    <w:rsid w:val="576E3B6D"/>
    <w:rsid w:val="5784103C"/>
    <w:rsid w:val="57855CC0"/>
    <w:rsid w:val="57E3171A"/>
    <w:rsid w:val="57E445EB"/>
    <w:rsid w:val="57F458FB"/>
    <w:rsid w:val="580D6A27"/>
    <w:rsid w:val="58160C42"/>
    <w:rsid w:val="58425A16"/>
    <w:rsid w:val="58735A4A"/>
    <w:rsid w:val="5877457A"/>
    <w:rsid w:val="588222BE"/>
    <w:rsid w:val="588640B5"/>
    <w:rsid w:val="58955049"/>
    <w:rsid w:val="58B719A2"/>
    <w:rsid w:val="58C846E4"/>
    <w:rsid w:val="58CE0955"/>
    <w:rsid w:val="58D66C1E"/>
    <w:rsid w:val="58EC1008"/>
    <w:rsid w:val="59142C25"/>
    <w:rsid w:val="59410FB8"/>
    <w:rsid w:val="59582FD5"/>
    <w:rsid w:val="595876CA"/>
    <w:rsid w:val="597F00FA"/>
    <w:rsid w:val="59941F3D"/>
    <w:rsid w:val="59C236A3"/>
    <w:rsid w:val="59E52C79"/>
    <w:rsid w:val="5A0A1AD1"/>
    <w:rsid w:val="5A177BA2"/>
    <w:rsid w:val="5A1D1000"/>
    <w:rsid w:val="5A3A2ED4"/>
    <w:rsid w:val="5A4A2677"/>
    <w:rsid w:val="5A554E5B"/>
    <w:rsid w:val="5A7E01E4"/>
    <w:rsid w:val="5ABD109B"/>
    <w:rsid w:val="5ADC5153"/>
    <w:rsid w:val="5AF173B1"/>
    <w:rsid w:val="5AFE6AD9"/>
    <w:rsid w:val="5B0E68CE"/>
    <w:rsid w:val="5B335BF8"/>
    <w:rsid w:val="5B6247F2"/>
    <w:rsid w:val="5B667E58"/>
    <w:rsid w:val="5B8E7FDE"/>
    <w:rsid w:val="5BD74796"/>
    <w:rsid w:val="5BEA572B"/>
    <w:rsid w:val="5C33727A"/>
    <w:rsid w:val="5C3E758A"/>
    <w:rsid w:val="5C4936E2"/>
    <w:rsid w:val="5C4F36CA"/>
    <w:rsid w:val="5C857A7E"/>
    <w:rsid w:val="5CA97FED"/>
    <w:rsid w:val="5CB93BD4"/>
    <w:rsid w:val="5CEB7286"/>
    <w:rsid w:val="5D1F42BD"/>
    <w:rsid w:val="5D315141"/>
    <w:rsid w:val="5D547D2E"/>
    <w:rsid w:val="5D700646"/>
    <w:rsid w:val="5D8774BB"/>
    <w:rsid w:val="5D923F2C"/>
    <w:rsid w:val="5DC84336"/>
    <w:rsid w:val="5DD54F2A"/>
    <w:rsid w:val="5DD7245D"/>
    <w:rsid w:val="5E14191A"/>
    <w:rsid w:val="5E2D3E9D"/>
    <w:rsid w:val="5E2F64E9"/>
    <w:rsid w:val="5E471E25"/>
    <w:rsid w:val="5E5E3EAC"/>
    <w:rsid w:val="5E635121"/>
    <w:rsid w:val="5E7000C9"/>
    <w:rsid w:val="5E7F4FE5"/>
    <w:rsid w:val="5E816FDD"/>
    <w:rsid w:val="5EC2139F"/>
    <w:rsid w:val="5EC90ECF"/>
    <w:rsid w:val="5EEB60C5"/>
    <w:rsid w:val="5EF23FAE"/>
    <w:rsid w:val="5EF8758E"/>
    <w:rsid w:val="5F1A4D59"/>
    <w:rsid w:val="5F1E1789"/>
    <w:rsid w:val="5F203499"/>
    <w:rsid w:val="5F69359F"/>
    <w:rsid w:val="5F7AD330"/>
    <w:rsid w:val="5F8C21A0"/>
    <w:rsid w:val="5F8F1CC4"/>
    <w:rsid w:val="5FA46905"/>
    <w:rsid w:val="5FBE3344"/>
    <w:rsid w:val="5FCC560E"/>
    <w:rsid w:val="60202B79"/>
    <w:rsid w:val="60256AF3"/>
    <w:rsid w:val="60483C8B"/>
    <w:rsid w:val="605379AE"/>
    <w:rsid w:val="606571BB"/>
    <w:rsid w:val="60791C44"/>
    <w:rsid w:val="6084265C"/>
    <w:rsid w:val="608C62A2"/>
    <w:rsid w:val="609F3F51"/>
    <w:rsid w:val="60E514BE"/>
    <w:rsid w:val="60ED40AE"/>
    <w:rsid w:val="60F4333C"/>
    <w:rsid w:val="60F63F7B"/>
    <w:rsid w:val="60FB12D6"/>
    <w:rsid w:val="61142891"/>
    <w:rsid w:val="612B336B"/>
    <w:rsid w:val="612D17BE"/>
    <w:rsid w:val="61353659"/>
    <w:rsid w:val="61425571"/>
    <w:rsid w:val="617702EE"/>
    <w:rsid w:val="619B1E3A"/>
    <w:rsid w:val="61A134C4"/>
    <w:rsid w:val="61C33B8A"/>
    <w:rsid w:val="61DA5357"/>
    <w:rsid w:val="61EA7D27"/>
    <w:rsid w:val="61EF9C08"/>
    <w:rsid w:val="61F30701"/>
    <w:rsid w:val="61FB7060"/>
    <w:rsid w:val="621A240E"/>
    <w:rsid w:val="621E5A12"/>
    <w:rsid w:val="62844719"/>
    <w:rsid w:val="62A12E77"/>
    <w:rsid w:val="62A55DAB"/>
    <w:rsid w:val="62A911E5"/>
    <w:rsid w:val="62BA7B4B"/>
    <w:rsid w:val="62C40843"/>
    <w:rsid w:val="62C41110"/>
    <w:rsid w:val="62E458D7"/>
    <w:rsid w:val="62E975BF"/>
    <w:rsid w:val="62EA1F17"/>
    <w:rsid w:val="62FE50AD"/>
    <w:rsid w:val="630713BC"/>
    <w:rsid w:val="63201103"/>
    <w:rsid w:val="63255DA8"/>
    <w:rsid w:val="63355288"/>
    <w:rsid w:val="635118DB"/>
    <w:rsid w:val="635A73A3"/>
    <w:rsid w:val="63676048"/>
    <w:rsid w:val="63842425"/>
    <w:rsid w:val="63A722C6"/>
    <w:rsid w:val="63D02A49"/>
    <w:rsid w:val="63DA7C6F"/>
    <w:rsid w:val="63F920C0"/>
    <w:rsid w:val="640577EE"/>
    <w:rsid w:val="64226374"/>
    <w:rsid w:val="643028DD"/>
    <w:rsid w:val="643E022A"/>
    <w:rsid w:val="645B2C5D"/>
    <w:rsid w:val="645C7FB4"/>
    <w:rsid w:val="647C5B23"/>
    <w:rsid w:val="649225A4"/>
    <w:rsid w:val="64941A25"/>
    <w:rsid w:val="64B31F24"/>
    <w:rsid w:val="64BE458F"/>
    <w:rsid w:val="64DD3BD7"/>
    <w:rsid w:val="64E815C8"/>
    <w:rsid w:val="64EE1A20"/>
    <w:rsid w:val="64EF4D1A"/>
    <w:rsid w:val="65016B7F"/>
    <w:rsid w:val="651C30F1"/>
    <w:rsid w:val="65523170"/>
    <w:rsid w:val="6558702A"/>
    <w:rsid w:val="65635A49"/>
    <w:rsid w:val="657E4B86"/>
    <w:rsid w:val="65875D1A"/>
    <w:rsid w:val="65964ABA"/>
    <w:rsid w:val="659A6BA8"/>
    <w:rsid w:val="65C315DD"/>
    <w:rsid w:val="65C778A0"/>
    <w:rsid w:val="65D5738F"/>
    <w:rsid w:val="65DA39E3"/>
    <w:rsid w:val="65EF17FA"/>
    <w:rsid w:val="65FC7799"/>
    <w:rsid w:val="66086618"/>
    <w:rsid w:val="660A20B4"/>
    <w:rsid w:val="660A43EF"/>
    <w:rsid w:val="66237D86"/>
    <w:rsid w:val="66362933"/>
    <w:rsid w:val="66680A54"/>
    <w:rsid w:val="668C7E84"/>
    <w:rsid w:val="6695111E"/>
    <w:rsid w:val="66BF4DB0"/>
    <w:rsid w:val="66EA3294"/>
    <w:rsid w:val="66F057E5"/>
    <w:rsid w:val="66FE5BD7"/>
    <w:rsid w:val="670267B3"/>
    <w:rsid w:val="67060CBC"/>
    <w:rsid w:val="67072561"/>
    <w:rsid w:val="674A0B72"/>
    <w:rsid w:val="67586998"/>
    <w:rsid w:val="676E12F3"/>
    <w:rsid w:val="679B2F67"/>
    <w:rsid w:val="67AC5DE0"/>
    <w:rsid w:val="67C00F56"/>
    <w:rsid w:val="67F17E02"/>
    <w:rsid w:val="68195C76"/>
    <w:rsid w:val="681F0A68"/>
    <w:rsid w:val="685C7C97"/>
    <w:rsid w:val="6879367D"/>
    <w:rsid w:val="68794EC1"/>
    <w:rsid w:val="68CC7889"/>
    <w:rsid w:val="68F81D58"/>
    <w:rsid w:val="69073A8D"/>
    <w:rsid w:val="690F09D7"/>
    <w:rsid w:val="69154FC4"/>
    <w:rsid w:val="693D525A"/>
    <w:rsid w:val="694B23CE"/>
    <w:rsid w:val="69510527"/>
    <w:rsid w:val="69545C1F"/>
    <w:rsid w:val="6967264B"/>
    <w:rsid w:val="698A09A5"/>
    <w:rsid w:val="69904FC4"/>
    <w:rsid w:val="699E47C4"/>
    <w:rsid w:val="69B47BD4"/>
    <w:rsid w:val="69BB1F5B"/>
    <w:rsid w:val="69E25F8C"/>
    <w:rsid w:val="69E75B22"/>
    <w:rsid w:val="69F41E03"/>
    <w:rsid w:val="6A0E4E80"/>
    <w:rsid w:val="6A140B24"/>
    <w:rsid w:val="6A3E3FCD"/>
    <w:rsid w:val="6A53447E"/>
    <w:rsid w:val="6A766A86"/>
    <w:rsid w:val="6A7872EA"/>
    <w:rsid w:val="6A9C6FE9"/>
    <w:rsid w:val="6AA327E9"/>
    <w:rsid w:val="6AA807F1"/>
    <w:rsid w:val="6AAB03F6"/>
    <w:rsid w:val="6AB73049"/>
    <w:rsid w:val="6ABF703F"/>
    <w:rsid w:val="6AC45A36"/>
    <w:rsid w:val="6AE12B6B"/>
    <w:rsid w:val="6AF2613C"/>
    <w:rsid w:val="6AF67A0A"/>
    <w:rsid w:val="6AFD7627"/>
    <w:rsid w:val="6B040891"/>
    <w:rsid w:val="6B17420F"/>
    <w:rsid w:val="6B48686A"/>
    <w:rsid w:val="6B6317EA"/>
    <w:rsid w:val="6B63324D"/>
    <w:rsid w:val="6BAB7CED"/>
    <w:rsid w:val="6BCF6F7E"/>
    <w:rsid w:val="6BF31BB3"/>
    <w:rsid w:val="6BFF1AC2"/>
    <w:rsid w:val="6C154B37"/>
    <w:rsid w:val="6C20148A"/>
    <w:rsid w:val="6C250EBE"/>
    <w:rsid w:val="6C2C0605"/>
    <w:rsid w:val="6C2E3D59"/>
    <w:rsid w:val="6C314987"/>
    <w:rsid w:val="6C337C4D"/>
    <w:rsid w:val="6C49456A"/>
    <w:rsid w:val="6C4F2F8E"/>
    <w:rsid w:val="6C87517B"/>
    <w:rsid w:val="6C937FC5"/>
    <w:rsid w:val="6C9C1724"/>
    <w:rsid w:val="6CBC5B45"/>
    <w:rsid w:val="6CBF3BA0"/>
    <w:rsid w:val="6CBF4421"/>
    <w:rsid w:val="6CD938B8"/>
    <w:rsid w:val="6CEC305A"/>
    <w:rsid w:val="6CF14736"/>
    <w:rsid w:val="6CFC32AA"/>
    <w:rsid w:val="6D20348C"/>
    <w:rsid w:val="6D246EEC"/>
    <w:rsid w:val="6D2620AE"/>
    <w:rsid w:val="6D2C657A"/>
    <w:rsid w:val="6D3418B1"/>
    <w:rsid w:val="6D3A6B13"/>
    <w:rsid w:val="6D75157B"/>
    <w:rsid w:val="6D846E13"/>
    <w:rsid w:val="6D9A1ED1"/>
    <w:rsid w:val="6DAE5588"/>
    <w:rsid w:val="6DBF419D"/>
    <w:rsid w:val="6E05286F"/>
    <w:rsid w:val="6E0C7DCF"/>
    <w:rsid w:val="6E141E60"/>
    <w:rsid w:val="6E18375C"/>
    <w:rsid w:val="6E400330"/>
    <w:rsid w:val="6E471A64"/>
    <w:rsid w:val="6E4B4EE4"/>
    <w:rsid w:val="6E53312C"/>
    <w:rsid w:val="6E57131F"/>
    <w:rsid w:val="6E676007"/>
    <w:rsid w:val="6E695932"/>
    <w:rsid w:val="6E972B57"/>
    <w:rsid w:val="6E994887"/>
    <w:rsid w:val="6EA506C4"/>
    <w:rsid w:val="6ED578C8"/>
    <w:rsid w:val="6F061D3F"/>
    <w:rsid w:val="6F2241CE"/>
    <w:rsid w:val="6F3B2177"/>
    <w:rsid w:val="6F3C27DD"/>
    <w:rsid w:val="6F7264A0"/>
    <w:rsid w:val="6F753DC4"/>
    <w:rsid w:val="6F836956"/>
    <w:rsid w:val="6FBF420D"/>
    <w:rsid w:val="6FC786C2"/>
    <w:rsid w:val="6FCE14E4"/>
    <w:rsid w:val="6FD364B6"/>
    <w:rsid w:val="700E32C7"/>
    <w:rsid w:val="701E5EE5"/>
    <w:rsid w:val="7036521B"/>
    <w:rsid w:val="70405B5C"/>
    <w:rsid w:val="70407FC9"/>
    <w:rsid w:val="705212AF"/>
    <w:rsid w:val="70532E88"/>
    <w:rsid w:val="70B22F51"/>
    <w:rsid w:val="7102591B"/>
    <w:rsid w:val="711C2B69"/>
    <w:rsid w:val="712D4800"/>
    <w:rsid w:val="71300CE2"/>
    <w:rsid w:val="71347DA6"/>
    <w:rsid w:val="713C067B"/>
    <w:rsid w:val="714670E7"/>
    <w:rsid w:val="715259A5"/>
    <w:rsid w:val="71573B9F"/>
    <w:rsid w:val="716F0649"/>
    <w:rsid w:val="717D3A10"/>
    <w:rsid w:val="719B1193"/>
    <w:rsid w:val="71A10A4C"/>
    <w:rsid w:val="71A67EED"/>
    <w:rsid w:val="71A860AD"/>
    <w:rsid w:val="71B07F9A"/>
    <w:rsid w:val="71F62080"/>
    <w:rsid w:val="71FC2A2F"/>
    <w:rsid w:val="721B2713"/>
    <w:rsid w:val="721B697B"/>
    <w:rsid w:val="72230E8C"/>
    <w:rsid w:val="72997E60"/>
    <w:rsid w:val="72B21613"/>
    <w:rsid w:val="72ED0140"/>
    <w:rsid w:val="730D6C0C"/>
    <w:rsid w:val="731D6723"/>
    <w:rsid w:val="733D3045"/>
    <w:rsid w:val="736F2650"/>
    <w:rsid w:val="7372069C"/>
    <w:rsid w:val="73867C84"/>
    <w:rsid w:val="73C30F94"/>
    <w:rsid w:val="73E2194B"/>
    <w:rsid w:val="742171A7"/>
    <w:rsid w:val="7423420D"/>
    <w:rsid w:val="74444DB1"/>
    <w:rsid w:val="74533661"/>
    <w:rsid w:val="747C43B9"/>
    <w:rsid w:val="74A85E8F"/>
    <w:rsid w:val="74C83FC0"/>
    <w:rsid w:val="74CC78E6"/>
    <w:rsid w:val="74D973E1"/>
    <w:rsid w:val="752E3777"/>
    <w:rsid w:val="7578309F"/>
    <w:rsid w:val="75793B81"/>
    <w:rsid w:val="75860FB9"/>
    <w:rsid w:val="759C588F"/>
    <w:rsid w:val="75B643F3"/>
    <w:rsid w:val="75C0718C"/>
    <w:rsid w:val="75C331E2"/>
    <w:rsid w:val="75DB55A5"/>
    <w:rsid w:val="75E103EB"/>
    <w:rsid w:val="75E31DE4"/>
    <w:rsid w:val="75F748A2"/>
    <w:rsid w:val="76002D20"/>
    <w:rsid w:val="761B45EA"/>
    <w:rsid w:val="7639110C"/>
    <w:rsid w:val="76484F6D"/>
    <w:rsid w:val="76515A53"/>
    <w:rsid w:val="767A6C75"/>
    <w:rsid w:val="76B31F3C"/>
    <w:rsid w:val="76CC0432"/>
    <w:rsid w:val="76FF646A"/>
    <w:rsid w:val="771C30BE"/>
    <w:rsid w:val="771D2658"/>
    <w:rsid w:val="774C3F3A"/>
    <w:rsid w:val="77703586"/>
    <w:rsid w:val="77826107"/>
    <w:rsid w:val="779251BE"/>
    <w:rsid w:val="77956050"/>
    <w:rsid w:val="77A40997"/>
    <w:rsid w:val="77C90C27"/>
    <w:rsid w:val="77C93705"/>
    <w:rsid w:val="77D64657"/>
    <w:rsid w:val="77DC05B7"/>
    <w:rsid w:val="77E06906"/>
    <w:rsid w:val="77F20CE2"/>
    <w:rsid w:val="77FB74CB"/>
    <w:rsid w:val="78166745"/>
    <w:rsid w:val="78405DE0"/>
    <w:rsid w:val="78943932"/>
    <w:rsid w:val="78994327"/>
    <w:rsid w:val="789B5593"/>
    <w:rsid w:val="789D3206"/>
    <w:rsid w:val="78A35B52"/>
    <w:rsid w:val="78AF777E"/>
    <w:rsid w:val="78C45314"/>
    <w:rsid w:val="78C545EC"/>
    <w:rsid w:val="78D41F79"/>
    <w:rsid w:val="78DB1471"/>
    <w:rsid w:val="7922503D"/>
    <w:rsid w:val="79256CAC"/>
    <w:rsid w:val="79257675"/>
    <w:rsid w:val="792F0363"/>
    <w:rsid w:val="79515F63"/>
    <w:rsid w:val="795E2CD5"/>
    <w:rsid w:val="79743091"/>
    <w:rsid w:val="7982235E"/>
    <w:rsid w:val="79943C6D"/>
    <w:rsid w:val="79AA0299"/>
    <w:rsid w:val="79AB780C"/>
    <w:rsid w:val="79E753EB"/>
    <w:rsid w:val="7A13262E"/>
    <w:rsid w:val="7A1856FB"/>
    <w:rsid w:val="7A6D7D87"/>
    <w:rsid w:val="7A721A4A"/>
    <w:rsid w:val="7A7C03CF"/>
    <w:rsid w:val="7A8264F7"/>
    <w:rsid w:val="7A910027"/>
    <w:rsid w:val="7A9C35F5"/>
    <w:rsid w:val="7ACA5B43"/>
    <w:rsid w:val="7ADB2D85"/>
    <w:rsid w:val="7AEC35AA"/>
    <w:rsid w:val="7B0A533F"/>
    <w:rsid w:val="7B1E3775"/>
    <w:rsid w:val="7B203E54"/>
    <w:rsid w:val="7B3B6FC0"/>
    <w:rsid w:val="7B4A7843"/>
    <w:rsid w:val="7B4C7983"/>
    <w:rsid w:val="7B6B5A75"/>
    <w:rsid w:val="7B9361A0"/>
    <w:rsid w:val="7BA67BFD"/>
    <w:rsid w:val="7BAB3586"/>
    <w:rsid w:val="7BB5352B"/>
    <w:rsid w:val="7BB77852"/>
    <w:rsid w:val="7BC379C1"/>
    <w:rsid w:val="7BC41AE3"/>
    <w:rsid w:val="7BCA7E8D"/>
    <w:rsid w:val="7BE23358"/>
    <w:rsid w:val="7C0C23C8"/>
    <w:rsid w:val="7C4953F6"/>
    <w:rsid w:val="7C646D0F"/>
    <w:rsid w:val="7C776C28"/>
    <w:rsid w:val="7C941BC3"/>
    <w:rsid w:val="7C9C78BB"/>
    <w:rsid w:val="7CB73EA5"/>
    <w:rsid w:val="7D504529"/>
    <w:rsid w:val="7D743170"/>
    <w:rsid w:val="7D7509AE"/>
    <w:rsid w:val="7D92777B"/>
    <w:rsid w:val="7DAC4A5D"/>
    <w:rsid w:val="7E092BAE"/>
    <w:rsid w:val="7E2514E6"/>
    <w:rsid w:val="7E297C37"/>
    <w:rsid w:val="7E385DD8"/>
    <w:rsid w:val="7E523AE3"/>
    <w:rsid w:val="7E633B84"/>
    <w:rsid w:val="7E6A6551"/>
    <w:rsid w:val="7E9006F1"/>
    <w:rsid w:val="7E9A0244"/>
    <w:rsid w:val="7E9C229B"/>
    <w:rsid w:val="7EAC0F2D"/>
    <w:rsid w:val="7EAF15B4"/>
    <w:rsid w:val="7EEF65DD"/>
    <w:rsid w:val="7F193382"/>
    <w:rsid w:val="7F2971A3"/>
    <w:rsid w:val="7F380285"/>
    <w:rsid w:val="7F7B2EF8"/>
    <w:rsid w:val="7FAD6673"/>
    <w:rsid w:val="7FC137AD"/>
    <w:rsid w:val="7FD06863"/>
    <w:rsid w:val="7FD75309"/>
    <w:rsid w:val="7FDC3DB4"/>
    <w:rsid w:val="7FE13562"/>
    <w:rsid w:val="A31F410D"/>
    <w:rsid w:val="DFB33F2C"/>
    <w:rsid w:val="EB7D9F6E"/>
    <w:rsid w:val="FF6F3EBD"/>
    <w:rsid w:val="FFDF0CC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iPriority="0" w:name="toa heading"/>
    <w:lsdException w:qFormat="1"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qFormat="1" w:unhideWhenUsed="0" w:uiPriority="0" w:semiHidden="0" w:name="HTML Keyboard"/>
    <w:lsdException w:qFormat="1" w:unhideWhenUsed="0" w:uiPriority="0" w:semiHidden="0" w:name="HTML Preformatted"/>
    <w:lsdException w:qFormat="1" w:uiPriority="99"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3"/>
    <w:next w:val="1"/>
    <w:link w:val="60"/>
    <w:qFormat/>
    <w:uiPriority w:val="0"/>
    <w:pPr>
      <w:keepNext/>
      <w:keepLines/>
      <w:tabs>
        <w:tab w:val="left" w:pos="720"/>
      </w:tabs>
      <w:spacing w:before="260" w:afterLines="50" w:line="416" w:lineRule="auto"/>
      <w:ind w:left="720" w:hanging="720"/>
      <w:outlineLvl w:val="2"/>
    </w:pPr>
    <w:rPr>
      <w:rFonts w:ascii="Arial" w:hAnsi="Arial" w:eastAsia="黑体" w:cs="宋体"/>
      <w:color w:val="000000"/>
      <w:spacing w:val="20"/>
      <w:kern w:val="0"/>
      <w:sz w:val="30"/>
      <w:szCs w:val="32"/>
    </w:rPr>
  </w:style>
  <w:style w:type="paragraph" w:styleId="5">
    <w:name w:val="heading 4"/>
    <w:basedOn w:val="1"/>
    <w:next w:val="1"/>
    <w:link w:val="61"/>
    <w:qFormat/>
    <w:uiPriority w:val="0"/>
    <w:pPr>
      <w:keepNext/>
      <w:keepLines/>
      <w:tabs>
        <w:tab w:val="left" w:pos="1079"/>
      </w:tabs>
      <w:spacing w:before="280" w:afterLines="50" w:line="377" w:lineRule="auto"/>
      <w:ind w:left="1077" w:hanging="1077"/>
      <w:outlineLvl w:val="3"/>
    </w:pPr>
    <w:rPr>
      <w:rFonts w:ascii="Arial" w:hAnsi="Arial" w:eastAsia="黑体" w:cs="宋体"/>
      <w:color w:val="000000"/>
      <w:spacing w:val="10"/>
      <w:kern w:val="0"/>
      <w:sz w:val="28"/>
      <w:szCs w:val="28"/>
    </w:rPr>
  </w:style>
  <w:style w:type="paragraph" w:styleId="6">
    <w:name w:val="heading 5"/>
    <w:basedOn w:val="1"/>
    <w:next w:val="1"/>
    <w:link w:val="62"/>
    <w:qFormat/>
    <w:uiPriority w:val="0"/>
    <w:pPr>
      <w:keepNext/>
      <w:keepLines/>
      <w:tabs>
        <w:tab w:val="left" w:pos="1260"/>
      </w:tabs>
      <w:spacing w:before="280" w:afterLines="50" w:line="377" w:lineRule="auto"/>
      <w:ind w:left="1259" w:hanging="1259"/>
      <w:outlineLvl w:val="4"/>
    </w:pPr>
    <w:rPr>
      <w:rFonts w:ascii="Arial" w:hAnsi="Arial" w:eastAsia="黑体" w:cs="宋体"/>
      <w:color w:val="000000"/>
      <w:spacing w:val="10"/>
      <w:kern w:val="0"/>
      <w:sz w:val="28"/>
      <w:szCs w:val="28"/>
    </w:rPr>
  </w:style>
  <w:style w:type="paragraph" w:styleId="7">
    <w:name w:val="heading 6"/>
    <w:basedOn w:val="1"/>
    <w:next w:val="1"/>
    <w:link w:val="63"/>
    <w:qFormat/>
    <w:uiPriority w:val="0"/>
    <w:pPr>
      <w:keepNext/>
      <w:keepLines/>
      <w:tabs>
        <w:tab w:val="left" w:pos="1428"/>
      </w:tabs>
      <w:spacing w:before="240" w:afterLines="50" w:line="319" w:lineRule="auto"/>
      <w:ind w:left="550" w:hanging="550" w:hangingChars="550"/>
      <w:outlineLvl w:val="5"/>
    </w:pPr>
    <w:rPr>
      <w:rFonts w:ascii="Arial" w:hAnsi="Arial" w:eastAsia="黑体" w:cs="宋体"/>
      <w:color w:val="000000"/>
      <w:spacing w:val="10"/>
      <w:kern w:val="0"/>
      <w:sz w:val="24"/>
      <w:szCs w:val="21"/>
    </w:rPr>
  </w:style>
  <w:style w:type="paragraph" w:styleId="8">
    <w:name w:val="heading 7"/>
    <w:basedOn w:val="1"/>
    <w:next w:val="1"/>
    <w:link w:val="64"/>
    <w:qFormat/>
    <w:uiPriority w:val="0"/>
    <w:pPr>
      <w:keepNext/>
      <w:keepLines/>
      <w:tabs>
        <w:tab w:val="left" w:pos="1638"/>
      </w:tabs>
      <w:spacing w:before="240" w:afterLines="50" w:line="319" w:lineRule="auto"/>
      <w:ind w:left="1633" w:hanging="1633"/>
      <w:outlineLvl w:val="6"/>
    </w:pPr>
    <w:rPr>
      <w:rFonts w:ascii="Arial" w:hAnsi="Arial" w:eastAsia="黑体" w:cs="宋体"/>
      <w:color w:val="000000"/>
      <w:kern w:val="0"/>
      <w:sz w:val="24"/>
      <w:szCs w:val="21"/>
    </w:rPr>
  </w:style>
  <w:style w:type="paragraph" w:styleId="9">
    <w:name w:val="heading 8"/>
    <w:basedOn w:val="1"/>
    <w:next w:val="10"/>
    <w:link w:val="65"/>
    <w:qFormat/>
    <w:uiPriority w:val="0"/>
    <w:pPr>
      <w:keepNext/>
      <w:keepLines/>
      <w:tabs>
        <w:tab w:val="left" w:pos="1800"/>
      </w:tabs>
      <w:spacing w:before="240" w:afterLines="50" w:line="319" w:lineRule="auto"/>
      <w:ind w:left="1797" w:hanging="1797"/>
      <w:outlineLvl w:val="7"/>
    </w:pPr>
    <w:rPr>
      <w:rFonts w:ascii="Arial" w:hAnsi="Arial" w:eastAsia="黑体" w:cs="宋体"/>
      <w:b/>
      <w:bCs/>
      <w:color w:val="000000"/>
      <w:kern w:val="0"/>
      <w:sz w:val="24"/>
      <w:szCs w:val="21"/>
    </w:rPr>
  </w:style>
  <w:style w:type="paragraph" w:styleId="11">
    <w:name w:val="heading 9"/>
    <w:basedOn w:val="1"/>
    <w:next w:val="10"/>
    <w:link w:val="66"/>
    <w:qFormat/>
    <w:uiPriority w:val="0"/>
    <w:pPr>
      <w:keepNext/>
      <w:keepLines/>
      <w:tabs>
        <w:tab w:val="left" w:pos="1980"/>
      </w:tabs>
      <w:spacing w:before="240" w:afterLines="50" w:line="319" w:lineRule="auto"/>
      <w:ind w:left="1979" w:hanging="1979"/>
      <w:outlineLvl w:val="8"/>
    </w:pPr>
    <w:rPr>
      <w:rFonts w:ascii="Arial" w:hAnsi="Arial" w:eastAsia="黑体" w:cs="宋体"/>
      <w:b/>
      <w:bCs/>
      <w:color w:val="000000"/>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next w:val="1"/>
    <w:link w:val="59"/>
    <w:qFormat/>
    <w:uiPriority w:val="0"/>
    <w:pPr>
      <w:ind w:firstLine="420" w:firstLineChars="200"/>
    </w:pPr>
    <w:rPr>
      <w:rFonts w:ascii="仿宋_GB2312" w:hAnsi="宋体" w:eastAsia="仿宋_GB2312" w:cs="宋体"/>
      <w:b/>
      <w:bCs/>
      <w:color w:val="000000"/>
      <w:kern w:val="0"/>
      <w:szCs w:val="21"/>
    </w:rPr>
  </w:style>
  <w:style w:type="paragraph" w:styleId="12">
    <w:name w:val="caption"/>
    <w:basedOn w:val="1"/>
    <w:next w:val="1"/>
    <w:qFormat/>
    <w:uiPriority w:val="0"/>
    <w:rPr>
      <w:rFonts w:ascii="Arial" w:hAnsi="Arial" w:eastAsia="黑体" w:cs="Arial"/>
      <w:color w:val="000000"/>
      <w:kern w:val="1"/>
      <w:sz w:val="20"/>
      <w:szCs w:val="20"/>
    </w:rPr>
  </w:style>
  <w:style w:type="paragraph" w:styleId="13">
    <w:name w:val="List Bullet"/>
    <w:basedOn w:val="1"/>
    <w:qFormat/>
    <w:uiPriority w:val="0"/>
    <w:pPr>
      <w:spacing w:line="360" w:lineRule="auto"/>
    </w:pPr>
    <w:rPr>
      <w:rFonts w:ascii="宋体" w:hAnsi="宋体"/>
      <w:sz w:val="20"/>
      <w:szCs w:val="20"/>
    </w:rPr>
  </w:style>
  <w:style w:type="paragraph" w:styleId="14">
    <w:name w:val="Document Map"/>
    <w:basedOn w:val="1"/>
    <w:link w:val="96"/>
    <w:semiHidden/>
    <w:qFormat/>
    <w:uiPriority w:val="0"/>
    <w:pPr>
      <w:shd w:val="clear" w:color="auto" w:fill="000080"/>
    </w:pPr>
  </w:style>
  <w:style w:type="paragraph" w:styleId="15">
    <w:name w:val="annotation text"/>
    <w:basedOn w:val="1"/>
    <w:link w:val="67"/>
    <w:unhideWhenUsed/>
    <w:qFormat/>
    <w:uiPriority w:val="0"/>
    <w:pPr>
      <w:jc w:val="left"/>
    </w:pPr>
  </w:style>
  <w:style w:type="paragraph" w:styleId="16">
    <w:name w:val="Body Text 3"/>
    <w:basedOn w:val="1"/>
    <w:link w:val="176"/>
    <w:unhideWhenUsed/>
    <w:qFormat/>
    <w:uiPriority w:val="0"/>
    <w:pPr>
      <w:spacing w:after="120"/>
    </w:pPr>
    <w:rPr>
      <w:sz w:val="16"/>
      <w:szCs w:val="16"/>
    </w:rPr>
  </w:style>
  <w:style w:type="paragraph" w:styleId="17">
    <w:name w:val="Body Text"/>
    <w:basedOn w:val="1"/>
    <w:next w:val="18"/>
    <w:qFormat/>
    <w:uiPriority w:val="0"/>
  </w:style>
  <w:style w:type="paragraph" w:styleId="18">
    <w:name w:val="Body Text First Indent"/>
    <w:basedOn w:val="17"/>
    <w:next w:val="19"/>
    <w:qFormat/>
    <w:uiPriority w:val="0"/>
    <w:pPr>
      <w:ind w:firstLine="420" w:firstLineChars="100"/>
    </w:pPr>
  </w:style>
  <w:style w:type="paragraph" w:styleId="19">
    <w:name w:val="toc 6"/>
    <w:basedOn w:val="1"/>
    <w:next w:val="1"/>
    <w:qFormat/>
    <w:uiPriority w:val="0"/>
    <w:pPr>
      <w:ind w:left="2100" w:leftChars="1000"/>
    </w:pPr>
    <w:rPr>
      <w:rFonts w:ascii="仿宋_GB2312" w:hAnsi="宋体" w:eastAsia="仿宋_GB2312" w:cs="宋体"/>
      <w:b/>
      <w:bCs/>
      <w:color w:val="000000"/>
      <w:kern w:val="0"/>
      <w:szCs w:val="21"/>
    </w:rPr>
  </w:style>
  <w:style w:type="paragraph" w:styleId="20">
    <w:name w:val="Body Text Indent"/>
    <w:basedOn w:val="1"/>
    <w:qFormat/>
    <w:uiPriority w:val="0"/>
    <w:pPr>
      <w:ind w:left="480" w:hanging="480" w:hangingChars="200"/>
    </w:pPr>
    <w:rPr>
      <w:sz w:val="24"/>
    </w:rPr>
  </w:style>
  <w:style w:type="paragraph" w:styleId="21">
    <w:name w:val="List Number 3"/>
    <w:basedOn w:val="1"/>
    <w:qFormat/>
    <w:uiPriority w:val="0"/>
    <w:pPr>
      <w:widowControl/>
      <w:tabs>
        <w:tab w:val="left" w:pos="2260"/>
      </w:tabs>
      <w:spacing w:afterLines="50"/>
      <w:ind w:left="2260" w:hanging="340"/>
      <w:jc w:val="left"/>
    </w:pPr>
    <w:rPr>
      <w:kern w:val="0"/>
      <w:sz w:val="24"/>
      <w:szCs w:val="20"/>
    </w:rPr>
  </w:style>
  <w:style w:type="paragraph" w:styleId="22">
    <w:name w:val="List Continue"/>
    <w:basedOn w:val="1"/>
    <w:qFormat/>
    <w:uiPriority w:val="0"/>
    <w:pPr>
      <w:spacing w:after="120"/>
      <w:ind w:left="420"/>
    </w:pPr>
    <w:rPr>
      <w:rFonts w:eastAsia="楷体_GB2312"/>
      <w:sz w:val="32"/>
      <w:szCs w:val="20"/>
    </w:rPr>
  </w:style>
  <w:style w:type="paragraph" w:styleId="23">
    <w:name w:val="Block Text"/>
    <w:basedOn w:val="1"/>
    <w:qFormat/>
    <w:uiPriority w:val="0"/>
    <w:pPr>
      <w:spacing w:after="120"/>
      <w:ind w:left="1440" w:leftChars="700" w:right="1440" w:rightChars="700"/>
    </w:pPr>
    <w:rPr>
      <w:szCs w:val="22"/>
    </w:rPr>
  </w:style>
  <w:style w:type="paragraph" w:styleId="24">
    <w:name w:val="toc 3"/>
    <w:basedOn w:val="1"/>
    <w:next w:val="1"/>
    <w:semiHidden/>
    <w:qFormat/>
    <w:uiPriority w:val="0"/>
    <w:pPr>
      <w:tabs>
        <w:tab w:val="right" w:leader="dot" w:pos="8777"/>
      </w:tabs>
      <w:spacing w:line="500" w:lineRule="atLeast"/>
      <w:ind w:left="540" w:leftChars="257"/>
    </w:pPr>
  </w:style>
  <w:style w:type="paragraph" w:styleId="25">
    <w:name w:val="Plain Text"/>
    <w:basedOn w:val="1"/>
    <w:next w:val="10"/>
    <w:link w:val="68"/>
    <w:qFormat/>
    <w:uiPriority w:val="0"/>
    <w:pPr>
      <w:widowControl/>
      <w:overflowPunct w:val="0"/>
      <w:autoSpaceDE w:val="0"/>
      <w:autoSpaceDN w:val="0"/>
      <w:adjustRightInd w:val="0"/>
      <w:jc w:val="left"/>
      <w:textAlignment w:val="baseline"/>
    </w:pPr>
    <w:rPr>
      <w:rFonts w:ascii="宋体" w:hAnsi="Courier New"/>
      <w:kern w:val="0"/>
      <w:szCs w:val="21"/>
    </w:rPr>
  </w:style>
  <w:style w:type="paragraph" w:styleId="26">
    <w:name w:val="Date"/>
    <w:basedOn w:val="1"/>
    <w:next w:val="1"/>
    <w:link w:val="97"/>
    <w:qFormat/>
    <w:uiPriority w:val="0"/>
    <w:pPr>
      <w:ind w:left="100" w:leftChars="2500"/>
    </w:pPr>
    <w:rPr>
      <w:rFonts w:ascii="仿宋_GB2312" w:hAnsi="宋体" w:eastAsia="仿宋_GB2312" w:cs="宋体"/>
      <w:b/>
      <w:bCs/>
      <w:color w:val="000000"/>
      <w:kern w:val="0"/>
      <w:sz w:val="24"/>
      <w:szCs w:val="21"/>
    </w:rPr>
  </w:style>
  <w:style w:type="paragraph" w:styleId="27">
    <w:name w:val="Body Text Indent 2"/>
    <w:basedOn w:val="1"/>
    <w:link w:val="69"/>
    <w:qFormat/>
    <w:uiPriority w:val="0"/>
    <w:pPr>
      <w:widowControl/>
      <w:spacing w:line="480" w:lineRule="atLeast"/>
      <w:ind w:firstLine="480"/>
    </w:pPr>
    <w:rPr>
      <w:rFonts w:ascii="宋体" w:hAnsi="宋体" w:eastAsia="仿宋_GB2312"/>
      <w:b/>
      <w:bCs/>
      <w:color w:val="000000"/>
      <w:kern w:val="0"/>
      <w:sz w:val="24"/>
      <w:szCs w:val="20"/>
    </w:rPr>
  </w:style>
  <w:style w:type="paragraph" w:styleId="28">
    <w:name w:val="Balloon Text"/>
    <w:basedOn w:val="1"/>
    <w:semiHidden/>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77"/>
      </w:tabs>
      <w:spacing w:line="500" w:lineRule="exact"/>
      <w:jc w:val="left"/>
    </w:pPr>
  </w:style>
  <w:style w:type="paragraph" w:styleId="32">
    <w:name w:val="Subtitle"/>
    <w:basedOn w:val="1"/>
    <w:next w:val="1"/>
    <w:link w:val="72"/>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ind w:left="420" w:hanging="420"/>
    </w:pPr>
    <w:rPr>
      <w:rFonts w:eastAsia="楷体_GB2312"/>
      <w:sz w:val="32"/>
      <w:szCs w:val="20"/>
    </w:rPr>
  </w:style>
  <w:style w:type="paragraph" w:styleId="34">
    <w:name w:val="footnote text"/>
    <w:basedOn w:val="1"/>
    <w:link w:val="98"/>
    <w:qFormat/>
    <w:uiPriority w:val="0"/>
    <w:pPr>
      <w:snapToGrid w:val="0"/>
      <w:jc w:val="left"/>
    </w:pPr>
    <w:rPr>
      <w:sz w:val="18"/>
    </w:rPr>
  </w:style>
  <w:style w:type="paragraph" w:styleId="35">
    <w:name w:val="Body Text Indent 3"/>
    <w:basedOn w:val="1"/>
    <w:link w:val="99"/>
    <w:qFormat/>
    <w:uiPriority w:val="0"/>
    <w:pPr>
      <w:spacing w:after="120"/>
      <w:ind w:left="420" w:leftChars="200"/>
    </w:pPr>
    <w:rPr>
      <w:rFonts w:ascii="仿宋_GB2312" w:hAnsi="宋体" w:eastAsia="仿宋_GB2312" w:cs="宋体"/>
      <w:b/>
      <w:bCs/>
      <w:color w:val="000000"/>
      <w:kern w:val="0"/>
      <w:sz w:val="16"/>
      <w:szCs w:val="16"/>
    </w:rPr>
  </w:style>
  <w:style w:type="paragraph" w:styleId="36">
    <w:name w:val="toc 2"/>
    <w:basedOn w:val="1"/>
    <w:next w:val="1"/>
    <w:qFormat/>
    <w:uiPriority w:val="39"/>
    <w:pPr>
      <w:tabs>
        <w:tab w:val="right" w:leader="dot" w:pos="8777"/>
      </w:tabs>
      <w:spacing w:line="500" w:lineRule="atLeast"/>
      <w:ind w:left="420" w:leftChars="200" w:firstLine="120" w:firstLineChars="50"/>
    </w:pPr>
  </w:style>
  <w:style w:type="paragraph" w:styleId="37">
    <w:name w:val="Body Text 2"/>
    <w:basedOn w:val="1"/>
    <w:link w:val="100"/>
    <w:qFormat/>
    <w:uiPriority w:val="0"/>
    <w:pPr>
      <w:spacing w:after="120" w:line="480" w:lineRule="auto"/>
    </w:pPr>
  </w:style>
  <w:style w:type="paragraph" w:styleId="38">
    <w:name w:val="HTML Preformatted"/>
    <w:basedOn w:val="1"/>
    <w:link w:val="1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9">
    <w:name w:val="Normal (Web)"/>
    <w:basedOn w:val="1"/>
    <w:link w:val="73"/>
    <w:unhideWhenUsed/>
    <w:qFormat/>
    <w:uiPriority w:val="99"/>
    <w:pPr>
      <w:widowControl/>
      <w:spacing w:before="100" w:beforeAutospacing="1" w:after="100" w:afterAutospacing="1"/>
      <w:jc w:val="left"/>
    </w:pPr>
    <w:rPr>
      <w:rFonts w:ascii="宋体" w:hAnsi="宋体" w:cs="宋体"/>
      <w:kern w:val="0"/>
      <w:sz w:val="24"/>
    </w:rPr>
  </w:style>
  <w:style w:type="paragraph" w:styleId="40">
    <w:name w:val="Title"/>
    <w:basedOn w:val="1"/>
    <w:next w:val="1"/>
    <w:link w:val="74"/>
    <w:qFormat/>
    <w:uiPriority w:val="0"/>
    <w:pPr>
      <w:spacing w:before="240" w:after="60"/>
      <w:jc w:val="center"/>
      <w:outlineLvl w:val="0"/>
    </w:pPr>
    <w:rPr>
      <w:rFonts w:ascii="Cambria" w:hAnsi="Cambria"/>
      <w:b/>
      <w:bCs/>
      <w:sz w:val="32"/>
      <w:szCs w:val="32"/>
    </w:rPr>
  </w:style>
  <w:style w:type="paragraph" w:styleId="41">
    <w:name w:val="annotation subject"/>
    <w:basedOn w:val="15"/>
    <w:next w:val="15"/>
    <w:link w:val="75"/>
    <w:semiHidden/>
    <w:unhideWhenUsed/>
    <w:qFormat/>
    <w:uiPriority w:val="0"/>
    <w:rPr>
      <w:b/>
      <w:bCs/>
    </w:rPr>
  </w:style>
  <w:style w:type="paragraph" w:styleId="42">
    <w:name w:val="Body Text First Indent 2"/>
    <w:basedOn w:val="20"/>
    <w:next w:val="1"/>
    <w:qFormat/>
    <w:uiPriority w:val="0"/>
    <w:pPr>
      <w:spacing w:after="120"/>
      <w:ind w:firstLine="420" w:firstLineChars="200"/>
    </w:p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22"/>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Emphasis"/>
    <w:basedOn w:val="45"/>
    <w:qFormat/>
    <w:uiPriority w:val="0"/>
    <w:rPr>
      <w:i/>
      <w:iCs/>
    </w:rPr>
  </w:style>
  <w:style w:type="character" w:styleId="50">
    <w:name w:val="Hyperlink"/>
    <w:basedOn w:val="45"/>
    <w:qFormat/>
    <w:uiPriority w:val="99"/>
    <w:rPr>
      <w:color w:val="0000FF"/>
      <w:u w:val="single"/>
    </w:rPr>
  </w:style>
  <w:style w:type="character" w:styleId="51">
    <w:name w:val="annotation reference"/>
    <w:basedOn w:val="45"/>
    <w:semiHidden/>
    <w:unhideWhenUsed/>
    <w:qFormat/>
    <w:uiPriority w:val="0"/>
    <w:rPr>
      <w:sz w:val="21"/>
      <w:szCs w:val="21"/>
    </w:rPr>
  </w:style>
  <w:style w:type="character" w:styleId="52">
    <w:name w:val="HTML Keyboard"/>
    <w:qFormat/>
    <w:uiPriority w:val="0"/>
    <w:rPr>
      <w:rFonts w:ascii="monospace" w:hAnsi="monospace" w:eastAsia="monospace" w:cs="monospace"/>
      <w:sz w:val="21"/>
      <w:szCs w:val="21"/>
    </w:rPr>
  </w:style>
  <w:style w:type="character" w:styleId="53">
    <w:name w:val="HTML Sample"/>
    <w:basedOn w:val="45"/>
    <w:semiHidden/>
    <w:unhideWhenUsed/>
    <w:qFormat/>
    <w:uiPriority w:val="99"/>
    <w:rPr>
      <w:rFonts w:ascii="宋体" w:hAnsi="宋体" w:eastAsia="宋体" w:cs="宋体"/>
    </w:rPr>
  </w:style>
  <w:style w:type="paragraph" w:customStyle="1" w:styleId="54">
    <w:name w:val="TOC 标题1"/>
    <w:basedOn w:val="2"/>
    <w:next w:val="1"/>
    <w:qFormat/>
    <w:uiPriority w:val="39"/>
    <w:pPr>
      <w:tabs>
        <w:tab w:val="left" w:pos="1800"/>
      </w:tabs>
      <w:spacing w:before="480" w:line="276" w:lineRule="auto"/>
      <w:outlineLvl w:val="9"/>
    </w:pPr>
    <w:rPr>
      <w:rFonts w:ascii="仿宋" w:hAnsi="仿宋" w:eastAsia="仿宋"/>
      <w:color w:val="000000"/>
      <w:kern w:val="0"/>
      <w:sz w:val="32"/>
      <w:szCs w:val="32"/>
    </w:rPr>
  </w:style>
  <w:style w:type="paragraph" w:customStyle="1" w:styleId="55">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56">
    <w:name w:val="文档正文"/>
    <w:basedOn w:val="1"/>
    <w:qFormat/>
    <w:uiPriority w:val="0"/>
    <w:pPr>
      <w:adjustRightInd w:val="0"/>
      <w:spacing w:line="300" w:lineRule="auto"/>
      <w:ind w:firstLine="567"/>
      <w:textAlignment w:val="baseline"/>
    </w:pPr>
    <w:rPr>
      <w:kern w:val="0"/>
      <w:sz w:val="24"/>
      <w:szCs w:val="20"/>
    </w:rPr>
  </w:style>
  <w:style w:type="character" w:customStyle="1" w:styleId="57">
    <w:name w:val="标题 1 Char"/>
    <w:link w:val="2"/>
    <w:qFormat/>
    <w:uiPriority w:val="0"/>
    <w:rPr>
      <w:b/>
      <w:bCs/>
      <w:kern w:val="44"/>
      <w:sz w:val="44"/>
      <w:szCs w:val="44"/>
    </w:rPr>
  </w:style>
  <w:style w:type="character" w:customStyle="1" w:styleId="58">
    <w:name w:val="标题 2 Char"/>
    <w:basedOn w:val="45"/>
    <w:link w:val="3"/>
    <w:qFormat/>
    <w:uiPriority w:val="0"/>
    <w:rPr>
      <w:rFonts w:ascii="Arial" w:hAnsi="Arial" w:eastAsia="黑体"/>
      <w:b/>
      <w:bCs/>
      <w:kern w:val="2"/>
      <w:sz w:val="32"/>
      <w:szCs w:val="32"/>
    </w:rPr>
  </w:style>
  <w:style w:type="character" w:customStyle="1" w:styleId="59">
    <w:name w:val="正文缩进 Char"/>
    <w:link w:val="10"/>
    <w:qFormat/>
    <w:uiPriority w:val="0"/>
    <w:rPr>
      <w:rFonts w:ascii="仿宋_GB2312" w:hAnsi="宋体" w:eastAsia="仿宋_GB2312" w:cs="宋体"/>
      <w:b/>
      <w:bCs/>
      <w:color w:val="000000"/>
      <w:sz w:val="21"/>
      <w:szCs w:val="21"/>
      <w:lang w:val="en-US" w:eastAsia="zh-CN" w:bidi="ar-SA"/>
    </w:rPr>
  </w:style>
  <w:style w:type="character" w:customStyle="1" w:styleId="60">
    <w:name w:val="标题 3 Char"/>
    <w:basedOn w:val="45"/>
    <w:link w:val="4"/>
    <w:qFormat/>
    <w:uiPriority w:val="0"/>
    <w:rPr>
      <w:rFonts w:ascii="Arial" w:hAnsi="Arial" w:eastAsia="黑体" w:cs="宋体"/>
      <w:color w:val="000000"/>
      <w:spacing w:val="20"/>
      <w:sz w:val="30"/>
      <w:szCs w:val="32"/>
    </w:rPr>
  </w:style>
  <w:style w:type="character" w:customStyle="1" w:styleId="61">
    <w:name w:val="标题 4 Char"/>
    <w:basedOn w:val="45"/>
    <w:link w:val="5"/>
    <w:qFormat/>
    <w:uiPriority w:val="0"/>
    <w:rPr>
      <w:rFonts w:ascii="Arial" w:hAnsi="Arial" w:eastAsia="黑体" w:cs="宋体"/>
      <w:color w:val="000000"/>
      <w:spacing w:val="10"/>
      <w:sz w:val="28"/>
      <w:szCs w:val="28"/>
    </w:rPr>
  </w:style>
  <w:style w:type="character" w:customStyle="1" w:styleId="62">
    <w:name w:val="标题 5 Char"/>
    <w:basedOn w:val="45"/>
    <w:link w:val="6"/>
    <w:qFormat/>
    <w:uiPriority w:val="0"/>
    <w:rPr>
      <w:rFonts w:ascii="Arial" w:hAnsi="Arial" w:eastAsia="黑体" w:cs="宋体"/>
      <w:color w:val="000000"/>
      <w:spacing w:val="10"/>
      <w:sz w:val="28"/>
      <w:szCs w:val="28"/>
    </w:rPr>
  </w:style>
  <w:style w:type="character" w:customStyle="1" w:styleId="63">
    <w:name w:val="标题 6 Char"/>
    <w:basedOn w:val="45"/>
    <w:link w:val="7"/>
    <w:qFormat/>
    <w:uiPriority w:val="0"/>
    <w:rPr>
      <w:rFonts w:ascii="Arial" w:hAnsi="Arial" w:eastAsia="黑体" w:cs="宋体"/>
      <w:color w:val="000000"/>
      <w:spacing w:val="10"/>
      <w:sz w:val="24"/>
      <w:szCs w:val="21"/>
    </w:rPr>
  </w:style>
  <w:style w:type="character" w:customStyle="1" w:styleId="64">
    <w:name w:val="标题 7 Char"/>
    <w:basedOn w:val="45"/>
    <w:link w:val="8"/>
    <w:qFormat/>
    <w:uiPriority w:val="0"/>
    <w:rPr>
      <w:rFonts w:ascii="Arial" w:hAnsi="Arial" w:eastAsia="黑体" w:cs="宋体"/>
      <w:color w:val="000000"/>
      <w:sz w:val="24"/>
      <w:szCs w:val="21"/>
    </w:rPr>
  </w:style>
  <w:style w:type="character" w:customStyle="1" w:styleId="65">
    <w:name w:val="标题 8 Char"/>
    <w:basedOn w:val="45"/>
    <w:link w:val="9"/>
    <w:qFormat/>
    <w:uiPriority w:val="0"/>
    <w:rPr>
      <w:rFonts w:ascii="Arial" w:hAnsi="Arial" w:eastAsia="黑体" w:cs="宋体"/>
      <w:b/>
      <w:bCs/>
      <w:color w:val="000000"/>
      <w:sz w:val="24"/>
      <w:szCs w:val="21"/>
    </w:rPr>
  </w:style>
  <w:style w:type="character" w:customStyle="1" w:styleId="66">
    <w:name w:val="标题 9 Char"/>
    <w:basedOn w:val="45"/>
    <w:link w:val="11"/>
    <w:qFormat/>
    <w:uiPriority w:val="0"/>
    <w:rPr>
      <w:rFonts w:ascii="Arial" w:hAnsi="Arial" w:eastAsia="黑体" w:cs="宋体"/>
      <w:b/>
      <w:bCs/>
      <w:color w:val="000000"/>
      <w:sz w:val="21"/>
      <w:szCs w:val="21"/>
    </w:rPr>
  </w:style>
  <w:style w:type="character" w:customStyle="1" w:styleId="67">
    <w:name w:val="批注文字 Char"/>
    <w:basedOn w:val="45"/>
    <w:link w:val="15"/>
    <w:qFormat/>
    <w:uiPriority w:val="0"/>
    <w:rPr>
      <w:kern w:val="2"/>
      <w:sz w:val="21"/>
      <w:szCs w:val="24"/>
    </w:rPr>
  </w:style>
  <w:style w:type="character" w:customStyle="1" w:styleId="68">
    <w:name w:val="纯文本 Char"/>
    <w:link w:val="25"/>
    <w:qFormat/>
    <w:uiPriority w:val="0"/>
    <w:rPr>
      <w:rFonts w:ascii="宋体" w:hAnsi="Courier New" w:eastAsia="宋体"/>
      <w:sz w:val="21"/>
      <w:szCs w:val="21"/>
      <w:lang w:val="en-US" w:eastAsia="zh-CN" w:bidi="ar-SA"/>
    </w:rPr>
  </w:style>
  <w:style w:type="character" w:customStyle="1" w:styleId="69">
    <w:name w:val="正文文本缩进 2 Char"/>
    <w:link w:val="27"/>
    <w:qFormat/>
    <w:uiPriority w:val="0"/>
    <w:rPr>
      <w:rFonts w:ascii="宋体" w:hAnsi="宋体" w:eastAsia="仿宋_GB2312"/>
      <w:b/>
      <w:bCs/>
      <w:color w:val="000000"/>
      <w:sz w:val="24"/>
      <w:lang w:bidi="ar-SA"/>
    </w:rPr>
  </w:style>
  <w:style w:type="character" w:customStyle="1" w:styleId="70">
    <w:name w:val="页脚 Char"/>
    <w:link w:val="29"/>
    <w:qFormat/>
    <w:uiPriority w:val="0"/>
    <w:rPr>
      <w:kern w:val="2"/>
      <w:sz w:val="18"/>
      <w:szCs w:val="18"/>
    </w:rPr>
  </w:style>
  <w:style w:type="character" w:customStyle="1" w:styleId="71">
    <w:name w:val="页眉 Char"/>
    <w:link w:val="30"/>
    <w:qFormat/>
    <w:uiPriority w:val="0"/>
    <w:rPr>
      <w:kern w:val="2"/>
      <w:sz w:val="18"/>
      <w:szCs w:val="18"/>
    </w:rPr>
  </w:style>
  <w:style w:type="character" w:customStyle="1" w:styleId="72">
    <w:name w:val="副标题 Char"/>
    <w:basedOn w:val="45"/>
    <w:link w:val="32"/>
    <w:qFormat/>
    <w:uiPriority w:val="0"/>
    <w:rPr>
      <w:rFonts w:ascii="Cambria" w:hAnsi="Cambria" w:cs="Times New Roman"/>
      <w:b/>
      <w:bCs/>
      <w:kern w:val="28"/>
      <w:sz w:val="32"/>
      <w:szCs w:val="32"/>
    </w:rPr>
  </w:style>
  <w:style w:type="character" w:customStyle="1" w:styleId="73">
    <w:name w:val="普通(网站) Char"/>
    <w:link w:val="39"/>
    <w:qFormat/>
    <w:uiPriority w:val="0"/>
    <w:rPr>
      <w:rFonts w:ascii="宋体" w:hAnsi="宋体" w:cs="宋体"/>
      <w:sz w:val="24"/>
      <w:szCs w:val="24"/>
    </w:rPr>
  </w:style>
  <w:style w:type="character" w:customStyle="1" w:styleId="74">
    <w:name w:val="标题 Char"/>
    <w:basedOn w:val="45"/>
    <w:link w:val="40"/>
    <w:qFormat/>
    <w:uiPriority w:val="0"/>
    <w:rPr>
      <w:rFonts w:ascii="Cambria" w:hAnsi="Cambria" w:cs="Times New Roman"/>
      <w:b/>
      <w:bCs/>
      <w:kern w:val="2"/>
      <w:sz w:val="32"/>
      <w:szCs w:val="32"/>
    </w:rPr>
  </w:style>
  <w:style w:type="character" w:customStyle="1" w:styleId="75">
    <w:name w:val="批注主题 Char"/>
    <w:basedOn w:val="67"/>
    <w:link w:val="41"/>
    <w:semiHidden/>
    <w:qFormat/>
    <w:uiPriority w:val="0"/>
    <w:rPr>
      <w:b/>
      <w:bCs/>
      <w:kern w:val="2"/>
      <w:sz w:val="21"/>
      <w:szCs w:val="24"/>
    </w:rPr>
  </w:style>
  <w:style w:type="character" w:customStyle="1" w:styleId="76">
    <w:name w:val="Char Char5"/>
    <w:qFormat/>
    <w:uiPriority w:val="0"/>
    <w:rPr>
      <w:rFonts w:ascii="Arial" w:hAnsi="Arial" w:eastAsia="宋体" w:cs="Arial"/>
      <w:b/>
      <w:bCs/>
      <w:color w:val="000000"/>
      <w:sz w:val="32"/>
      <w:szCs w:val="32"/>
      <w:lang w:val="en-US" w:eastAsia="zh-CN" w:bidi="ar-SA"/>
    </w:rPr>
  </w:style>
  <w:style w:type="paragraph" w:customStyle="1" w:styleId="77">
    <w:name w:val="p16"/>
    <w:basedOn w:val="1"/>
    <w:qFormat/>
    <w:uiPriority w:val="0"/>
    <w:pPr>
      <w:widowControl/>
    </w:pPr>
    <w:rPr>
      <w:rFonts w:ascii="Calibri" w:hAnsi="Calibri" w:cs="宋体"/>
      <w:kern w:val="0"/>
      <w:szCs w:val="21"/>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Char Char Char Char Char Char Char"/>
    <w:basedOn w:val="1"/>
    <w:qFormat/>
    <w:uiPriority w:val="0"/>
    <w:rPr>
      <w:rFonts w:ascii="仿宋_GB2312" w:eastAsia="仿宋_GB2312"/>
      <w:b/>
      <w:sz w:val="32"/>
      <w:szCs w:val="32"/>
    </w:rPr>
  </w:style>
  <w:style w:type="paragraph" w:customStyle="1" w:styleId="80">
    <w:name w:val="p15"/>
    <w:basedOn w:val="1"/>
    <w:qFormat/>
    <w:uiPriority w:val="0"/>
    <w:pPr>
      <w:widowControl/>
      <w:ind w:firstLine="420"/>
    </w:pPr>
    <w:rPr>
      <w:rFonts w:ascii="Calibri" w:hAnsi="Calibri" w:cs="宋体"/>
      <w:kern w:val="0"/>
      <w:szCs w:val="21"/>
    </w:rPr>
  </w:style>
  <w:style w:type="paragraph" w:customStyle="1" w:styleId="81">
    <w:name w:val="Char Char"/>
    <w:basedOn w:val="1"/>
    <w:qFormat/>
    <w:uiPriority w:val="0"/>
    <w:pPr>
      <w:spacing w:line="360" w:lineRule="auto"/>
    </w:pPr>
    <w:rPr>
      <w:rFonts w:ascii="Tahoma" w:hAnsi="Tahoma"/>
      <w:sz w:val="24"/>
      <w:szCs w:val="20"/>
    </w:rPr>
  </w:style>
  <w:style w:type="paragraph" w:customStyle="1" w:styleId="8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83">
    <w:name w:val="[Normal]"/>
    <w:qFormat/>
    <w:uiPriority w:val="0"/>
    <w:rPr>
      <w:rFonts w:ascii="宋体" w:hAnsi="宋体" w:eastAsia="宋体" w:cs="Times New Roman"/>
      <w:sz w:val="24"/>
      <w:szCs w:val="22"/>
      <w:lang w:val="zh-CN" w:eastAsia="zh-CN" w:bidi="ar-SA"/>
    </w:rPr>
  </w:style>
  <w:style w:type="paragraph" w:styleId="84">
    <w:name w:val="List Paragraph"/>
    <w:basedOn w:val="1"/>
    <w:qFormat/>
    <w:uiPriority w:val="34"/>
    <w:pPr>
      <w:ind w:firstLine="420" w:firstLineChars="200"/>
    </w:pPr>
  </w:style>
  <w:style w:type="paragraph" w:customStyle="1" w:styleId="85">
    <w:name w:val="纯文本2"/>
    <w:basedOn w:val="1"/>
    <w:qFormat/>
    <w:uiPriority w:val="0"/>
    <w:pPr>
      <w:adjustRightInd w:val="0"/>
      <w:snapToGrid w:val="0"/>
      <w:spacing w:line="288" w:lineRule="auto"/>
      <w:ind w:firstLine="200" w:firstLineChars="200"/>
    </w:pPr>
    <w:rPr>
      <w:rFonts w:ascii="宋体" w:hAnsi="Courier New"/>
    </w:rPr>
  </w:style>
  <w:style w:type="paragraph" w:customStyle="1" w:styleId="86">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
    <w:name w:val="Table Paragraph"/>
    <w:basedOn w:val="1"/>
    <w:qFormat/>
    <w:uiPriority w:val="1"/>
    <w:pPr>
      <w:widowControl/>
      <w:autoSpaceDE w:val="0"/>
      <w:autoSpaceDN w:val="0"/>
      <w:spacing w:line="360" w:lineRule="auto"/>
      <w:jc w:val="left"/>
    </w:pPr>
    <w:rPr>
      <w:rFonts w:ascii="宋体" w:hAnsi="宋体" w:cs="宋体"/>
      <w:kern w:val="0"/>
      <w:sz w:val="22"/>
      <w:szCs w:val="22"/>
      <w:lang w:val="zh-CN" w:bidi="zh-CN"/>
    </w:rPr>
  </w:style>
  <w:style w:type="character" w:customStyle="1" w:styleId="88">
    <w:name w:val="纯文本 Char2"/>
    <w:qFormat/>
    <w:uiPriority w:val="0"/>
    <w:rPr>
      <w:rFonts w:ascii="宋体" w:hAnsi="Courier New" w:eastAsia="仿宋_GB2312" w:cs="宋体"/>
      <w:b/>
      <w:bCs/>
      <w:color w:val="000000"/>
      <w:sz w:val="21"/>
      <w:lang w:val="en-US" w:eastAsia="zh-CN" w:bidi="ar-SA"/>
    </w:rPr>
  </w:style>
  <w:style w:type="character" w:customStyle="1" w:styleId="89">
    <w:name w:val="NormalCharacter"/>
    <w:qFormat/>
    <w:uiPriority w:val="0"/>
  </w:style>
  <w:style w:type="paragraph" w:customStyle="1" w:styleId="90">
    <w:name w:val="列出段落3"/>
    <w:basedOn w:val="1"/>
    <w:qFormat/>
    <w:uiPriority w:val="0"/>
    <w:pPr>
      <w:spacing w:line="360" w:lineRule="auto"/>
      <w:ind w:firstLine="420" w:firstLineChars="200"/>
    </w:pPr>
    <w:rPr>
      <w:rFonts w:ascii="Calibri" w:hAnsi="Calibri"/>
      <w:sz w:val="24"/>
      <w:szCs w:val="22"/>
    </w:rPr>
  </w:style>
  <w:style w:type="character" w:customStyle="1" w:styleId="91">
    <w:name w:val="纯文本 Char1"/>
    <w:qFormat/>
    <w:uiPriority w:val="0"/>
    <w:rPr>
      <w:rFonts w:ascii="宋体" w:hAnsi="Courier New" w:eastAsia="仿宋_GB2312" w:cs="宋体"/>
      <w:b/>
      <w:bCs/>
      <w:color w:val="000000"/>
    </w:rPr>
  </w:style>
  <w:style w:type="character" w:customStyle="1" w:styleId="92">
    <w:name w:val="skancount"/>
    <w:basedOn w:val="45"/>
    <w:qFormat/>
    <w:uiPriority w:val="0"/>
  </w:style>
  <w:style w:type="character" w:customStyle="1" w:styleId="93">
    <w:name w:val="bookmark-item"/>
    <w:basedOn w:val="45"/>
    <w:qFormat/>
    <w:uiPriority w:val="0"/>
  </w:style>
  <w:style w:type="paragraph" w:customStyle="1" w:styleId="94">
    <w:name w:val="正文文本首行缩进1"/>
    <w:basedOn w:val="17"/>
    <w:qFormat/>
    <w:uiPriority w:val="0"/>
    <w:pPr>
      <w:spacing w:line="360" w:lineRule="auto"/>
      <w:ind w:firstLine="200" w:firstLineChars="200"/>
    </w:pPr>
    <w:rPr>
      <w:rFonts w:ascii="宋体" w:hAnsi="宋体"/>
      <w:bCs/>
      <w:sz w:val="24"/>
      <w:szCs w:val="21"/>
    </w:rPr>
  </w:style>
  <w:style w:type="paragraph" w:customStyle="1" w:styleId="95">
    <w:name w:val="列表段落1"/>
    <w:basedOn w:val="1"/>
    <w:qFormat/>
    <w:uiPriority w:val="0"/>
    <w:pPr>
      <w:ind w:firstLine="420" w:firstLineChars="200"/>
    </w:pPr>
    <w:rPr>
      <w:rFonts w:asciiTheme="minorHAnsi" w:hAnsiTheme="minorHAnsi" w:eastAsiaTheme="minorEastAsia" w:cstheme="minorBidi"/>
      <w:sz w:val="24"/>
    </w:rPr>
  </w:style>
  <w:style w:type="character" w:customStyle="1" w:styleId="96">
    <w:name w:val="文档结构图 Char"/>
    <w:basedOn w:val="45"/>
    <w:link w:val="14"/>
    <w:semiHidden/>
    <w:qFormat/>
    <w:uiPriority w:val="0"/>
    <w:rPr>
      <w:kern w:val="2"/>
      <w:sz w:val="21"/>
      <w:szCs w:val="24"/>
      <w:shd w:val="clear" w:color="auto" w:fill="000080"/>
    </w:rPr>
  </w:style>
  <w:style w:type="character" w:customStyle="1" w:styleId="97">
    <w:name w:val="日期 Char"/>
    <w:basedOn w:val="45"/>
    <w:link w:val="26"/>
    <w:qFormat/>
    <w:uiPriority w:val="0"/>
    <w:rPr>
      <w:rFonts w:ascii="仿宋_GB2312" w:hAnsi="宋体" w:eastAsia="仿宋_GB2312" w:cs="宋体"/>
      <w:b/>
      <w:bCs/>
      <w:color w:val="000000"/>
      <w:sz w:val="24"/>
      <w:szCs w:val="21"/>
    </w:rPr>
  </w:style>
  <w:style w:type="character" w:customStyle="1" w:styleId="98">
    <w:name w:val="脚注文本 Char"/>
    <w:basedOn w:val="45"/>
    <w:link w:val="34"/>
    <w:qFormat/>
    <w:uiPriority w:val="0"/>
    <w:rPr>
      <w:kern w:val="2"/>
      <w:sz w:val="18"/>
      <w:szCs w:val="24"/>
    </w:rPr>
  </w:style>
  <w:style w:type="character" w:customStyle="1" w:styleId="99">
    <w:name w:val="正文文本缩进 3 Char"/>
    <w:basedOn w:val="45"/>
    <w:link w:val="35"/>
    <w:qFormat/>
    <w:uiPriority w:val="0"/>
    <w:rPr>
      <w:rFonts w:ascii="仿宋_GB2312" w:hAnsi="宋体" w:eastAsia="仿宋_GB2312" w:cs="宋体"/>
      <w:b/>
      <w:bCs/>
      <w:color w:val="000000"/>
      <w:sz w:val="16"/>
      <w:szCs w:val="16"/>
    </w:rPr>
  </w:style>
  <w:style w:type="character" w:customStyle="1" w:styleId="100">
    <w:name w:val="正文文本 2 Char"/>
    <w:basedOn w:val="45"/>
    <w:link w:val="37"/>
    <w:qFormat/>
    <w:uiPriority w:val="0"/>
    <w:rPr>
      <w:kern w:val="2"/>
      <w:sz w:val="21"/>
      <w:szCs w:val="24"/>
    </w:rPr>
  </w:style>
  <w:style w:type="character" w:customStyle="1" w:styleId="101">
    <w:name w:val="HTML 预设格式 Char"/>
    <w:basedOn w:val="45"/>
    <w:link w:val="38"/>
    <w:qFormat/>
    <w:uiPriority w:val="0"/>
    <w:rPr>
      <w:rFonts w:ascii="黑体" w:hAnsi="Courier New" w:eastAsia="黑体"/>
    </w:rPr>
  </w:style>
  <w:style w:type="character" w:customStyle="1" w:styleId="102">
    <w:name w:val="style11"/>
    <w:qFormat/>
    <w:uiPriority w:val="0"/>
    <w:rPr>
      <w:sz w:val="18"/>
      <w:szCs w:val="18"/>
    </w:rPr>
  </w:style>
  <w:style w:type="character" w:customStyle="1" w:styleId="103">
    <w:name w:val="Char Char2"/>
    <w:qFormat/>
    <w:uiPriority w:val="0"/>
    <w:rPr>
      <w:rFonts w:eastAsia="宋体"/>
      <w:kern w:val="2"/>
      <w:sz w:val="18"/>
      <w:szCs w:val="18"/>
      <w:lang w:val="en-US" w:eastAsia="zh-CN" w:bidi="ar-SA"/>
    </w:rPr>
  </w:style>
  <w:style w:type="character" w:customStyle="1" w:styleId="104">
    <w:name w:val="ca-6"/>
    <w:basedOn w:val="45"/>
    <w:qFormat/>
    <w:uiPriority w:val="0"/>
  </w:style>
  <w:style w:type="character" w:customStyle="1" w:styleId="105">
    <w:name w:val="unnamed11"/>
    <w:qFormat/>
    <w:uiPriority w:val="0"/>
    <w:rPr>
      <w:color w:val="000000"/>
      <w:sz w:val="20"/>
      <w:szCs w:val="20"/>
    </w:rPr>
  </w:style>
  <w:style w:type="character" w:customStyle="1" w:styleId="106">
    <w:name w:val="Texte Char Char"/>
    <w:qFormat/>
    <w:uiPriority w:val="0"/>
    <w:rPr>
      <w:rFonts w:ascii="宋体" w:hAnsi="Courier New" w:eastAsia="仿宋_GB2312" w:cs="宋体"/>
      <w:b/>
      <w:bCs/>
      <w:color w:val="000000"/>
      <w:sz w:val="21"/>
      <w:lang w:val="en-US" w:eastAsia="zh-CN" w:bidi="ar-SA"/>
    </w:rPr>
  </w:style>
  <w:style w:type="character" w:customStyle="1" w:styleId="107">
    <w:name w:val="f10"/>
    <w:basedOn w:val="45"/>
    <w:qFormat/>
    <w:uiPriority w:val="0"/>
  </w:style>
  <w:style w:type="character" w:customStyle="1" w:styleId="108">
    <w:name w:val="ca-2"/>
    <w:basedOn w:val="45"/>
    <w:qFormat/>
    <w:uiPriority w:val="0"/>
  </w:style>
  <w:style w:type="character" w:customStyle="1" w:styleId="109">
    <w:name w:val="缩进2字符 Char"/>
    <w:link w:val="110"/>
    <w:qFormat/>
    <w:locked/>
    <w:uiPriority w:val="0"/>
    <w:rPr>
      <w:rFonts w:ascii="仿宋_GB2312" w:hAnsi="仿宋_GB2312" w:eastAsia="仿宋_GB2312" w:cs="Arial"/>
      <w:snapToGrid w:val="0"/>
      <w:color w:val="000000"/>
      <w:sz w:val="28"/>
      <w:szCs w:val="28"/>
    </w:rPr>
  </w:style>
  <w:style w:type="paragraph" w:customStyle="1" w:styleId="110">
    <w:name w:val="缩进2字符"/>
    <w:basedOn w:val="1"/>
    <w:link w:val="109"/>
    <w:qFormat/>
    <w:uiPriority w:val="0"/>
    <w:pPr>
      <w:widowControl/>
      <w:ind w:firstLine="200" w:firstLineChars="200"/>
      <w:jc w:val="left"/>
    </w:pPr>
    <w:rPr>
      <w:rFonts w:ascii="仿宋_GB2312" w:hAnsi="仿宋_GB2312" w:eastAsia="仿宋_GB2312" w:cs="Arial"/>
      <w:snapToGrid w:val="0"/>
      <w:color w:val="000000"/>
      <w:kern w:val="0"/>
      <w:sz w:val="28"/>
      <w:szCs w:val="28"/>
    </w:rPr>
  </w:style>
  <w:style w:type="character" w:customStyle="1" w:styleId="111">
    <w:name w:val="ca-11"/>
    <w:qFormat/>
    <w:uiPriority w:val="0"/>
    <w:rPr>
      <w:rFonts w:hint="eastAsia" w:ascii="宋体" w:hAnsi="宋体" w:eastAsia="宋体"/>
      <w:sz w:val="18"/>
      <w:szCs w:val="18"/>
    </w:rPr>
  </w:style>
  <w:style w:type="character" w:customStyle="1" w:styleId="112">
    <w:name w:val="标题 Char1"/>
    <w:qFormat/>
    <w:locked/>
    <w:uiPriority w:val="0"/>
    <w:rPr>
      <w:rFonts w:ascii="Arial" w:hAnsi="Arial" w:cs="Arial"/>
      <w:b/>
      <w:bCs/>
      <w:color w:val="000000"/>
      <w:sz w:val="32"/>
      <w:szCs w:val="32"/>
    </w:rPr>
  </w:style>
  <w:style w:type="character" w:customStyle="1" w:styleId="113">
    <w:name w:val="ca-3"/>
    <w:basedOn w:val="45"/>
    <w:qFormat/>
    <w:uiPriority w:val="0"/>
  </w:style>
  <w:style w:type="character" w:customStyle="1" w:styleId="114">
    <w:name w:val="para"/>
    <w:basedOn w:val="45"/>
    <w:qFormat/>
    <w:uiPriority w:val="0"/>
  </w:style>
  <w:style w:type="character" w:customStyle="1" w:styleId="115">
    <w:name w:val="表格文本 Char"/>
    <w:link w:val="116"/>
    <w:qFormat/>
    <w:locked/>
    <w:uiPriority w:val="0"/>
    <w:rPr>
      <w:rFonts w:ascii="宋体" w:hAnsi="宋体" w:cs="Arial"/>
      <w:snapToGrid w:val="0"/>
      <w:szCs w:val="21"/>
    </w:rPr>
  </w:style>
  <w:style w:type="paragraph" w:customStyle="1" w:styleId="116">
    <w:name w:val="表格文本"/>
    <w:basedOn w:val="1"/>
    <w:link w:val="115"/>
    <w:qFormat/>
    <w:uiPriority w:val="0"/>
    <w:pPr>
      <w:snapToGrid w:val="0"/>
      <w:jc w:val="left"/>
    </w:pPr>
    <w:rPr>
      <w:rFonts w:ascii="宋体" w:hAnsi="宋体" w:cs="Arial"/>
      <w:snapToGrid w:val="0"/>
      <w:kern w:val="0"/>
      <w:sz w:val="20"/>
      <w:szCs w:val="21"/>
    </w:rPr>
  </w:style>
  <w:style w:type="character" w:customStyle="1" w:styleId="117">
    <w:name w:val="ca-8"/>
    <w:basedOn w:val="45"/>
    <w:qFormat/>
    <w:uiPriority w:val="0"/>
  </w:style>
  <w:style w:type="character" w:customStyle="1" w:styleId="118">
    <w:name w:val="smalltxt1"/>
    <w:qFormat/>
    <w:uiPriority w:val="0"/>
    <w:rPr>
      <w:rFonts w:hint="default" w:ascii="ˎ̥" w:hAnsi="ˎ̥" w:eastAsia="仿宋_GB2312"/>
      <w:b/>
      <w:sz w:val="24"/>
      <w:szCs w:val="24"/>
    </w:rPr>
  </w:style>
  <w:style w:type="character" w:customStyle="1" w:styleId="119">
    <w:name w:val="Char Char1"/>
    <w:qFormat/>
    <w:uiPriority w:val="0"/>
    <w:rPr>
      <w:rFonts w:ascii="宋体" w:hAnsi="Courier New" w:eastAsia="仿宋_GB2312" w:cs="宋体"/>
      <w:b/>
      <w:bCs/>
      <w:color w:val="000000"/>
      <w:sz w:val="21"/>
      <w:lang w:val="en-US" w:eastAsia="zh-CN" w:bidi="ar-SA"/>
    </w:rPr>
  </w:style>
  <w:style w:type="character" w:customStyle="1" w:styleId="120">
    <w:name w:val="apple-converted-space"/>
    <w:basedOn w:val="45"/>
    <w:qFormat/>
    <w:uiPriority w:val="0"/>
  </w:style>
  <w:style w:type="character" w:customStyle="1" w:styleId="121">
    <w:name w:val="bigtitle1"/>
    <w:qFormat/>
    <w:uiPriority w:val="0"/>
    <w:rPr>
      <w:sz w:val="28"/>
      <w:szCs w:val="28"/>
    </w:rPr>
  </w:style>
  <w:style w:type="character" w:customStyle="1" w:styleId="122">
    <w:name w:val="Char Char4"/>
    <w:qFormat/>
    <w:uiPriority w:val="0"/>
    <w:rPr>
      <w:rFonts w:eastAsia="宋体"/>
      <w:sz w:val="18"/>
      <w:szCs w:val="18"/>
      <w:lang w:val="en-US" w:eastAsia="zh-CN" w:bidi="ar-SA"/>
    </w:rPr>
  </w:style>
  <w:style w:type="character" w:customStyle="1" w:styleId="123">
    <w:name w:val="样式3 Char"/>
    <w:link w:val="124"/>
    <w:qFormat/>
    <w:uiPriority w:val="0"/>
    <w:rPr>
      <w:rFonts w:eastAsia="黑体"/>
      <w:kern w:val="2"/>
      <w:sz w:val="28"/>
      <w:szCs w:val="21"/>
    </w:rPr>
  </w:style>
  <w:style w:type="paragraph" w:customStyle="1" w:styleId="124">
    <w:name w:val="样式3"/>
    <w:basedOn w:val="1"/>
    <w:link w:val="123"/>
    <w:qFormat/>
    <w:uiPriority w:val="0"/>
    <w:pPr>
      <w:snapToGrid w:val="0"/>
      <w:outlineLvl w:val="2"/>
    </w:pPr>
    <w:rPr>
      <w:rFonts w:eastAsia="黑体"/>
      <w:sz w:val="28"/>
      <w:szCs w:val="21"/>
    </w:rPr>
  </w:style>
  <w:style w:type="character" w:customStyle="1" w:styleId="125">
    <w:name w:val="unnamed51"/>
    <w:qFormat/>
    <w:uiPriority w:val="0"/>
    <w:rPr>
      <w:sz w:val="22"/>
      <w:szCs w:val="22"/>
    </w:rPr>
  </w:style>
  <w:style w:type="paragraph" w:customStyle="1" w:styleId="126">
    <w:name w:val="默认段落字体 Para Char"/>
    <w:basedOn w:val="1"/>
    <w:qFormat/>
    <w:uiPriority w:val="0"/>
    <w:pPr>
      <w:adjustRightInd w:val="0"/>
      <w:spacing w:line="360" w:lineRule="auto"/>
    </w:pPr>
    <w:rPr>
      <w:kern w:val="0"/>
      <w:sz w:val="24"/>
      <w:szCs w:val="20"/>
    </w:rPr>
  </w:style>
  <w:style w:type="paragraph" w:customStyle="1" w:styleId="127">
    <w:name w:val="Char Char Char Char Char Char Char Char Char Char Char Char"/>
    <w:basedOn w:val="1"/>
    <w:qFormat/>
    <w:uiPriority w:val="0"/>
    <w:pPr>
      <w:spacing w:line="300" w:lineRule="auto"/>
    </w:pPr>
    <w:rPr>
      <w:rFonts w:ascii="宋体" w:hAnsi="宋体"/>
      <w:b/>
      <w:bCs/>
      <w:color w:val="000000"/>
      <w:spacing w:val="8"/>
      <w:kern w:val="0"/>
      <w:sz w:val="24"/>
    </w:rPr>
  </w:style>
  <w:style w:type="paragraph" w:customStyle="1" w:styleId="128">
    <w:name w:val="Char Char Char Char"/>
    <w:basedOn w:val="14"/>
    <w:qFormat/>
    <w:uiPriority w:val="0"/>
    <w:rPr>
      <w:rFonts w:ascii="Tahoma" w:hAnsi="Tahoma"/>
      <w:sz w:val="24"/>
    </w:rPr>
  </w:style>
  <w:style w:type="paragraph" w:customStyle="1" w:styleId="129">
    <w:name w:val="Char"/>
    <w:basedOn w:val="1"/>
    <w:qFormat/>
    <w:uiPriority w:val="0"/>
    <w:rPr>
      <w:rFonts w:ascii="仿宋_GB2312" w:eastAsia="仿宋_GB2312"/>
      <w:b/>
      <w:sz w:val="32"/>
      <w:szCs w:val="32"/>
    </w:rPr>
  </w:style>
  <w:style w:type="paragraph" w:customStyle="1" w:styleId="130">
    <w:name w:val="Char2"/>
    <w:basedOn w:val="1"/>
    <w:qFormat/>
    <w:uiPriority w:val="0"/>
    <w:rPr>
      <w:rFonts w:ascii="仿宋_GB2312" w:hAnsi="宋体" w:eastAsia="仿宋_GB2312" w:cs="宋体"/>
      <w:bCs/>
      <w:color w:val="000000"/>
      <w:kern w:val="0"/>
      <w:sz w:val="32"/>
      <w:szCs w:val="32"/>
    </w:rPr>
  </w:style>
  <w:style w:type="paragraph" w:customStyle="1" w:styleId="131">
    <w:name w:val="默认段落字体 Para Char Char Char Char"/>
    <w:basedOn w:val="1"/>
    <w:qFormat/>
    <w:uiPriority w:val="0"/>
  </w:style>
  <w:style w:type="paragraph" w:customStyle="1" w:styleId="132">
    <w:name w:val="样式1"/>
    <w:basedOn w:val="3"/>
    <w:qFormat/>
    <w:uiPriority w:val="0"/>
    <w:pPr>
      <w:tabs>
        <w:tab w:val="left" w:pos="432"/>
        <w:tab w:val="left" w:pos="576"/>
        <w:tab w:val="left" w:pos="2340"/>
        <w:tab w:val="left" w:pos="2700"/>
        <w:tab w:val="left" w:pos="2880"/>
        <w:tab w:val="left" w:pos="3060"/>
        <w:tab w:val="left" w:pos="3240"/>
        <w:tab w:val="left" w:pos="3420"/>
        <w:tab w:val="left" w:pos="3780"/>
      </w:tabs>
      <w:spacing w:before="120" w:after="0" w:line="360" w:lineRule="auto"/>
    </w:pPr>
    <w:rPr>
      <w:rFonts w:eastAsia="Arial"/>
      <w:color w:val="000000"/>
    </w:rPr>
  </w:style>
  <w:style w:type="paragraph" w:customStyle="1" w:styleId="133">
    <w:name w:val="pa-2"/>
    <w:basedOn w:val="1"/>
    <w:qFormat/>
    <w:uiPriority w:val="0"/>
    <w:pPr>
      <w:widowControl/>
      <w:spacing w:line="240" w:lineRule="atLeast"/>
      <w:ind w:firstLine="440"/>
    </w:pPr>
    <w:rPr>
      <w:rFonts w:ascii="宋体" w:hAnsi="宋体" w:cs="宋体"/>
      <w:kern w:val="0"/>
      <w:sz w:val="24"/>
    </w:rPr>
  </w:style>
  <w:style w:type="paragraph" w:customStyle="1" w:styleId="134">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5">
    <w:name w:val="Char1 Char Char Char"/>
    <w:basedOn w:val="1"/>
    <w:qFormat/>
    <w:uiPriority w:val="0"/>
    <w:rPr>
      <w:rFonts w:ascii="仿宋_GB2312" w:eastAsia="仿宋_GB2312"/>
      <w:b/>
      <w:sz w:val="32"/>
      <w:szCs w:val="32"/>
    </w:rPr>
  </w:style>
  <w:style w:type="paragraph" w:customStyle="1" w:styleId="136">
    <w:name w:val="Body Text(ch)"/>
    <w:basedOn w:val="1"/>
    <w:next w:val="17"/>
    <w:qFormat/>
    <w:uiPriority w:val="0"/>
    <w:pPr>
      <w:spacing w:line="500" w:lineRule="exact"/>
      <w:jc w:val="center"/>
    </w:pPr>
  </w:style>
  <w:style w:type="paragraph" w:customStyle="1" w:styleId="137">
    <w:name w:val="VIT-Text"/>
    <w:basedOn w:val="1"/>
    <w:qFormat/>
    <w:uiPriority w:val="0"/>
    <w:pPr>
      <w:widowControl/>
      <w:tabs>
        <w:tab w:val="left" w:pos="709"/>
        <w:tab w:val="left" w:pos="3402"/>
        <w:tab w:val="left" w:pos="4536"/>
        <w:tab w:val="left" w:pos="5670"/>
        <w:tab w:val="decimal" w:pos="6804"/>
        <w:tab w:val="right" w:pos="9072"/>
      </w:tabs>
      <w:jc w:val="left"/>
    </w:pPr>
    <w:rPr>
      <w:rFonts w:ascii="Arial" w:hAnsi="Arial" w:eastAsia="PMingLiU"/>
      <w:kern w:val="0"/>
      <w:sz w:val="22"/>
      <w:szCs w:val="20"/>
      <w:lang w:val="de-DE" w:eastAsia="zh-TW"/>
    </w:rPr>
  </w:style>
  <w:style w:type="paragraph" w:customStyle="1" w:styleId="138">
    <w:name w:val="Char Char1 Char Char Char Char Char Char Char Char Char Char"/>
    <w:basedOn w:val="1"/>
    <w:qFormat/>
    <w:uiPriority w:val="0"/>
    <w:rPr>
      <w:rFonts w:ascii="Tahoma" w:hAnsi="Tahoma" w:eastAsia="仿宋_GB2312" w:cs="宋体"/>
      <w:b/>
      <w:bCs/>
      <w:color w:val="000000"/>
      <w:kern w:val="0"/>
      <w:sz w:val="24"/>
      <w:szCs w:val="20"/>
    </w:rPr>
  </w:style>
  <w:style w:type="paragraph" w:customStyle="1" w:styleId="139">
    <w:name w:val="小点说明"/>
    <w:basedOn w:val="1"/>
    <w:qFormat/>
    <w:uiPriority w:val="0"/>
    <w:pPr>
      <w:tabs>
        <w:tab w:val="left" w:pos="0"/>
      </w:tabs>
      <w:adjustRightInd w:val="0"/>
      <w:snapToGrid w:val="0"/>
      <w:spacing w:line="340" w:lineRule="atLeast"/>
    </w:pPr>
    <w:rPr>
      <w:rFonts w:ascii="宋体" w:hAnsi="宋体"/>
      <w:bCs/>
      <w:kern w:val="0"/>
      <w:lang w:val="eu-ES"/>
    </w:rPr>
  </w:style>
  <w:style w:type="paragraph" w:customStyle="1" w:styleId="140">
    <w:name w:val="Char Char7 Char"/>
    <w:basedOn w:val="1"/>
    <w:qFormat/>
    <w:uiPriority w:val="0"/>
    <w:pPr>
      <w:tabs>
        <w:tab w:val="left" w:pos="425"/>
      </w:tabs>
      <w:ind w:left="420" w:leftChars="200" w:firstLine="270" w:firstLineChars="150"/>
    </w:pPr>
    <w:rPr>
      <w:rFonts w:ascii="宋体" w:hAnsi="宋体" w:cs="Arial"/>
      <w:color w:val="5E5E5E"/>
      <w:kern w:val="0"/>
      <w:szCs w:val="21"/>
    </w:rPr>
  </w:style>
  <w:style w:type="paragraph" w:customStyle="1" w:styleId="141">
    <w:name w:val="Char Char Char"/>
    <w:basedOn w:val="1"/>
    <w:qFormat/>
    <w:uiPriority w:val="0"/>
    <w:rPr>
      <w:rFonts w:ascii="Tahoma" w:hAnsi="Tahoma"/>
      <w:sz w:val="24"/>
      <w:szCs w:val="20"/>
    </w:rPr>
  </w:style>
  <w:style w:type="paragraph" w:customStyle="1" w:styleId="142">
    <w:name w:val="List Paragraph1"/>
    <w:basedOn w:val="1"/>
    <w:qFormat/>
    <w:uiPriority w:val="0"/>
    <w:pPr>
      <w:ind w:firstLine="420" w:firstLineChars="200"/>
    </w:pPr>
    <w:rPr>
      <w:rFonts w:ascii="仿宋_GB2312" w:hAnsi="宋体" w:eastAsia="仿宋_GB2312" w:cs="仿宋_GB2312"/>
      <w:b/>
      <w:bCs/>
      <w:color w:val="000000"/>
      <w:kern w:val="0"/>
      <w:szCs w:val="21"/>
    </w:rPr>
  </w:style>
  <w:style w:type="paragraph" w:customStyle="1" w:styleId="143">
    <w:name w:val="默认段落字体 Para Char Char Char Char Char Char Char Char Char1 Char Char Char Char Char Char Char"/>
    <w:basedOn w:val="14"/>
    <w:qFormat/>
    <w:uiPriority w:val="0"/>
    <w:rPr>
      <w:rFonts w:ascii="Tahoma" w:hAnsi="Tahoma"/>
      <w:sz w:val="24"/>
    </w:rPr>
  </w:style>
  <w:style w:type="paragraph" w:customStyle="1" w:styleId="144">
    <w:name w:val="标题5"/>
    <w:basedOn w:val="1"/>
    <w:qFormat/>
    <w:uiPriority w:val="0"/>
    <w:pPr>
      <w:adjustRightInd w:val="0"/>
      <w:snapToGrid w:val="0"/>
      <w:spacing w:line="310" w:lineRule="atLeast"/>
      <w:ind w:firstLine="425"/>
    </w:pPr>
    <w:rPr>
      <w:rFonts w:ascii="Arial" w:hAnsi="Arial" w:eastAsia="黑体"/>
      <w:szCs w:val="20"/>
    </w:rPr>
  </w:style>
  <w:style w:type="paragraph" w:customStyle="1" w:styleId="145">
    <w:name w:val="Numbered list 2.3"/>
    <w:basedOn w:val="4"/>
    <w:next w:val="1"/>
    <w:qFormat/>
    <w:uiPriority w:val="0"/>
    <w:pPr>
      <w:keepLines w:val="0"/>
      <w:widowControl/>
      <w:tabs>
        <w:tab w:val="left" w:pos="360"/>
        <w:tab w:val="left" w:pos="705"/>
        <w:tab w:val="left" w:pos="1080"/>
        <w:tab w:val="clear" w:pos="720"/>
      </w:tabs>
      <w:spacing w:before="240" w:afterLines="0" w:line="240" w:lineRule="auto"/>
      <w:jc w:val="left"/>
    </w:pPr>
    <w:rPr>
      <w:rFonts w:eastAsia="宋体" w:cs="Times New Roman"/>
      <w:iCs/>
      <w:color w:val="auto"/>
      <w:spacing w:val="0"/>
      <w:sz w:val="28"/>
      <w:szCs w:val="24"/>
    </w:rPr>
  </w:style>
  <w:style w:type="paragraph" w:customStyle="1" w:styleId="146">
    <w:name w:val="表格正文"/>
    <w:basedOn w:val="1"/>
    <w:qFormat/>
    <w:uiPriority w:val="0"/>
    <w:pPr>
      <w:adjustRightInd w:val="0"/>
      <w:snapToGrid w:val="0"/>
      <w:spacing w:before="60" w:after="60"/>
      <w:jc w:val="center"/>
      <w:textAlignment w:val="baseline"/>
    </w:pPr>
    <w:rPr>
      <w:kern w:val="0"/>
      <w:sz w:val="24"/>
      <w:szCs w:val="20"/>
    </w:rPr>
  </w:style>
  <w:style w:type="paragraph" w:customStyle="1" w:styleId="147">
    <w:name w:val="样式 宋体 小四 首行缩进:  0.93 厘米 段前: 11.15 磅 段后: 11.15 磅1"/>
    <w:basedOn w:val="1"/>
    <w:qFormat/>
    <w:uiPriority w:val="0"/>
    <w:pPr>
      <w:adjustRightInd w:val="0"/>
      <w:snapToGrid w:val="0"/>
      <w:ind w:left="200" w:leftChars="200"/>
    </w:pPr>
    <w:rPr>
      <w:rFonts w:ascii="宋体"/>
      <w:sz w:val="24"/>
      <w:szCs w:val="20"/>
    </w:rPr>
  </w:style>
  <w:style w:type="paragraph" w:customStyle="1" w:styleId="148">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3"/>
    <w:basedOn w:val="1"/>
    <w:qFormat/>
    <w:uiPriority w:val="0"/>
    <w:rPr>
      <w:szCs w:val="20"/>
    </w:rPr>
  </w:style>
  <w:style w:type="paragraph" w:customStyle="1" w:styleId="150">
    <w:name w:val="style31"/>
    <w:basedOn w:val="1"/>
    <w:qFormat/>
    <w:uiPriority w:val="0"/>
    <w:pPr>
      <w:widowControl/>
      <w:spacing w:before="100" w:beforeAutospacing="1" w:after="100" w:afterAutospacing="1"/>
      <w:jc w:val="left"/>
    </w:pPr>
    <w:rPr>
      <w:rFonts w:ascii="宋体" w:hAnsi="宋体" w:cs="宋体"/>
      <w:kern w:val="0"/>
      <w:sz w:val="24"/>
    </w:rPr>
  </w:style>
  <w:style w:type="paragraph" w:customStyle="1" w:styleId="151">
    <w:name w:val="正文段"/>
    <w:basedOn w:val="1"/>
    <w:qFormat/>
    <w:uiPriority w:val="0"/>
    <w:pPr>
      <w:widowControl/>
      <w:snapToGrid w:val="0"/>
      <w:spacing w:afterLines="50"/>
      <w:ind w:firstLine="200" w:firstLineChars="200"/>
    </w:pPr>
    <w:rPr>
      <w:kern w:val="0"/>
      <w:sz w:val="24"/>
      <w:szCs w:val="20"/>
    </w:rPr>
  </w:style>
  <w:style w:type="paragraph" w:customStyle="1" w:styleId="152">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 w:val="24"/>
    </w:rPr>
  </w:style>
  <w:style w:type="paragraph" w:customStyle="1" w:styleId="153">
    <w:name w:val="正文－恩普"/>
    <w:basedOn w:val="10"/>
    <w:qFormat/>
    <w:uiPriority w:val="0"/>
    <w:pPr>
      <w:widowControl/>
      <w:spacing w:before="100" w:beforeAutospacing="1" w:afterLines="50" w:afterAutospacing="1" w:line="360" w:lineRule="auto"/>
      <w:ind w:firstLine="480"/>
      <w:jc w:val="left"/>
    </w:pPr>
    <w:rPr>
      <w:sz w:val="24"/>
      <w:szCs w:val="20"/>
    </w:rPr>
  </w:style>
  <w:style w:type="paragraph" w:customStyle="1" w:styleId="154">
    <w:name w:val="Char1 Char Char Char Char Char"/>
    <w:basedOn w:val="1"/>
    <w:qFormat/>
    <w:uiPriority w:val="0"/>
  </w:style>
  <w:style w:type="paragraph" w:customStyle="1" w:styleId="155">
    <w:name w:val="Char Char Char1"/>
    <w:basedOn w:val="14"/>
    <w:qFormat/>
    <w:uiPriority w:val="0"/>
    <w:rPr>
      <w:rFonts w:ascii="Tahoma" w:hAnsi="Tahoma"/>
      <w:sz w:val="24"/>
    </w:rPr>
  </w:style>
  <w:style w:type="paragraph" w:customStyle="1" w:styleId="156">
    <w:name w:val="Char1 Char Char Char Char Char Char"/>
    <w:basedOn w:val="1"/>
    <w:qFormat/>
    <w:uiPriority w:val="0"/>
    <w:rPr>
      <w:rFonts w:ascii="Tahoma" w:hAnsi="Tahoma"/>
      <w:sz w:val="24"/>
      <w:szCs w:val="20"/>
    </w:rPr>
  </w:style>
  <w:style w:type="paragraph" w:customStyle="1" w:styleId="157">
    <w:name w:val="正文－5"/>
    <w:qFormat/>
    <w:uiPriority w:val="0"/>
    <w:pPr>
      <w:widowControl w:val="0"/>
      <w:jc w:val="both"/>
    </w:pPr>
    <w:rPr>
      <w:rFonts w:ascii="宋体" w:hAnsi="宋体" w:eastAsia="宋体" w:cs="Times New Roman"/>
      <w:kern w:val="2"/>
      <w:sz w:val="24"/>
      <w:szCs w:val="24"/>
      <w:lang w:val="en-US" w:eastAsia="zh-CN" w:bidi="ar-SA"/>
    </w:rPr>
  </w:style>
  <w:style w:type="paragraph" w:customStyle="1" w:styleId="158">
    <w:name w:val="表内文字"/>
    <w:basedOn w:val="1"/>
    <w:qFormat/>
    <w:uiPriority w:val="0"/>
    <w:pPr>
      <w:spacing w:line="500" w:lineRule="atLeast"/>
      <w:jc w:val="center"/>
    </w:pPr>
    <w:rPr>
      <w:rFonts w:ascii="Arial" w:hAnsi="Arial" w:eastAsia="楷体_GB2312" w:cs="Arial"/>
      <w:sz w:val="28"/>
    </w:rPr>
  </w:style>
  <w:style w:type="character" w:customStyle="1" w:styleId="159">
    <w:name w:val="标题 4 Char1"/>
    <w:qFormat/>
    <w:uiPriority w:val="0"/>
    <w:rPr>
      <w:rFonts w:ascii="Arial" w:hAnsi="Arial" w:eastAsia="黑体"/>
      <w:b/>
      <w:bCs/>
      <w:kern w:val="2"/>
      <w:sz w:val="28"/>
      <w:szCs w:val="28"/>
      <w:lang w:val="en-US" w:eastAsia="zh-CN" w:bidi="ar-SA"/>
    </w:rPr>
  </w:style>
  <w:style w:type="paragraph" w:customStyle="1" w:styleId="160">
    <w:name w:val="正文缩进1"/>
    <w:basedOn w:val="1"/>
    <w:qFormat/>
    <w:uiPriority w:val="0"/>
    <w:pPr>
      <w:spacing w:line="360" w:lineRule="auto"/>
      <w:ind w:firstLine="454"/>
      <w:jc w:val="left"/>
    </w:pPr>
    <w:rPr>
      <w:sz w:val="24"/>
    </w:rPr>
  </w:style>
  <w:style w:type="paragraph" w:customStyle="1" w:styleId="161">
    <w:name w:val="列出段落1"/>
    <w:basedOn w:val="1"/>
    <w:qFormat/>
    <w:uiPriority w:val="0"/>
    <w:pPr>
      <w:ind w:firstLine="420" w:firstLineChars="200"/>
    </w:pPr>
    <w:rPr>
      <w:sz w:val="36"/>
      <w:szCs w:val="20"/>
    </w:rPr>
  </w:style>
  <w:style w:type="character" w:customStyle="1" w:styleId="162">
    <w:name w:val="无"/>
    <w:qFormat/>
    <w:uiPriority w:val="0"/>
  </w:style>
  <w:style w:type="paragraph" w:customStyle="1" w:styleId="163">
    <w:name w:val="Other|1"/>
    <w:basedOn w:val="1"/>
    <w:qFormat/>
    <w:uiPriority w:val="0"/>
    <w:pPr>
      <w:spacing w:line="311" w:lineRule="exact"/>
    </w:pPr>
    <w:rPr>
      <w:rFonts w:ascii="宋体" w:hAnsi="宋体" w:cs="宋体"/>
      <w:sz w:val="20"/>
      <w:szCs w:val="20"/>
      <w:lang w:val="zh-TW" w:eastAsia="zh-TW" w:bidi="zh-TW"/>
    </w:rPr>
  </w:style>
  <w:style w:type="character" w:customStyle="1" w:styleId="164">
    <w:name w:val="font21"/>
    <w:basedOn w:val="45"/>
    <w:qFormat/>
    <w:uiPriority w:val="0"/>
    <w:rPr>
      <w:rFonts w:hint="eastAsia" w:ascii="宋体" w:hAnsi="宋体" w:eastAsia="宋体"/>
      <w:color w:val="000000"/>
      <w:sz w:val="21"/>
      <w:szCs w:val="21"/>
      <w:u w:val="none"/>
    </w:rPr>
  </w:style>
  <w:style w:type="paragraph" w:customStyle="1" w:styleId="165">
    <w:name w:val="章正文"/>
    <w:basedOn w:val="1"/>
    <w:qFormat/>
    <w:uiPriority w:val="99"/>
    <w:pPr>
      <w:spacing w:beforeLines="50" w:after="120" w:line="300" w:lineRule="auto"/>
      <w:ind w:firstLine="480"/>
    </w:pPr>
    <w:rPr>
      <w:rFonts w:ascii="Helvetica" w:hAnsi="Helvetica"/>
      <w:kern w:val="0"/>
      <w:sz w:val="24"/>
    </w:rPr>
  </w:style>
  <w:style w:type="paragraph" w:customStyle="1" w:styleId="166">
    <w:name w:val="表格文字"/>
    <w:basedOn w:val="25"/>
    <w:qFormat/>
    <w:uiPriority w:val="0"/>
    <w:pPr>
      <w:spacing w:line="420" w:lineRule="atLeast"/>
    </w:pPr>
  </w:style>
  <w:style w:type="paragraph" w:customStyle="1" w:styleId="167">
    <w:name w:val="引用1"/>
    <w:basedOn w:val="1"/>
    <w:next w:val="1"/>
    <w:qFormat/>
    <w:uiPriority w:val="29"/>
    <w:rPr>
      <w:i/>
      <w:iCs/>
      <w:color w:val="000000"/>
    </w:rPr>
  </w:style>
  <w:style w:type="paragraph" w:customStyle="1" w:styleId="168">
    <w:name w:val="正文首行缩进2字符"/>
    <w:basedOn w:val="1"/>
    <w:qFormat/>
    <w:uiPriority w:val="0"/>
    <w:pPr>
      <w:widowControl/>
    </w:pPr>
  </w:style>
  <w:style w:type="paragraph" w:customStyle="1" w:styleId="16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70">
    <w:name w:val="_Style 167"/>
    <w:basedOn w:val="17"/>
    <w:next w:val="19"/>
    <w:qFormat/>
    <w:uiPriority w:val="0"/>
    <w:pPr>
      <w:adjustRightInd w:val="0"/>
      <w:snapToGrid w:val="0"/>
      <w:spacing w:after="120" w:line="288" w:lineRule="auto"/>
      <w:ind w:firstLine="420" w:firstLineChars="100"/>
    </w:pPr>
    <w:rPr>
      <w:rFonts w:hAnsi="Calibri"/>
      <w:szCs w:val="20"/>
    </w:rPr>
  </w:style>
  <w:style w:type="paragraph" w:customStyle="1" w:styleId="171">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72">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3">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174">
    <w:name w:val="标题 Char2"/>
    <w:qFormat/>
    <w:uiPriority w:val="0"/>
    <w:rPr>
      <w:rFonts w:ascii="Arial" w:hAnsi="Arial" w:cs="Arial"/>
      <w:b/>
      <w:bCs/>
      <w:color w:val="000000"/>
      <w:sz w:val="32"/>
      <w:szCs w:val="32"/>
    </w:rPr>
  </w:style>
  <w:style w:type="character" w:customStyle="1" w:styleId="175">
    <w:name w:val="纯文本 Char3"/>
    <w:qFormat/>
    <w:uiPriority w:val="0"/>
    <w:rPr>
      <w:rFonts w:ascii="宋体" w:hAnsi="Courier New" w:eastAsia="仿宋_GB2312" w:cs="宋体"/>
      <w:b/>
      <w:bCs/>
      <w:color w:val="000000"/>
      <w:sz w:val="21"/>
      <w:lang w:val="en-US" w:eastAsia="zh-CN" w:bidi="ar-SA"/>
    </w:rPr>
  </w:style>
  <w:style w:type="character" w:customStyle="1" w:styleId="176">
    <w:name w:val="正文文本 3 Char"/>
    <w:basedOn w:val="45"/>
    <w:link w:val="16"/>
    <w:qFormat/>
    <w:uiPriority w:val="0"/>
    <w:rPr>
      <w:kern w:val="2"/>
      <w:sz w:val="16"/>
      <w:szCs w:val="16"/>
    </w:rPr>
  </w:style>
  <w:style w:type="paragraph" w:customStyle="1" w:styleId="177">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78">
    <w:name w:val="font11"/>
    <w:basedOn w:val="45"/>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6.pn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169</Pages>
  <Words>51484</Words>
  <Characters>55295</Characters>
  <Lines>332</Lines>
  <Paragraphs>93</Paragraphs>
  <TotalTime>16</TotalTime>
  <ScaleCrop>false</ScaleCrop>
  <LinksUpToDate>false</LinksUpToDate>
  <CharactersWithSpaces>55878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2024-04-28T07:50:00Z</dcterms:created>
  <dc:creator>admin</dc:creator>
  <cp:lastModifiedBy>可可</cp:lastModifiedBy>
  <cp:lastPrinted>2024-05-11T00:20:00Z</cp:lastPrinted>
  <dcterms:modified xsi:type="dcterms:W3CDTF">2024-10-28T03:55:01Z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28B258403EF142A69DDD9D1E5E62D9D9_13</vt:lpwstr>
  </property>
</Properties>
</file>