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95D453">
      <w:pPr>
        <w:autoSpaceDE w:val="0"/>
        <w:autoSpaceDN w:val="0"/>
        <w:spacing w:line="500" w:lineRule="atLeast"/>
        <w:jc w:val="distribute"/>
        <w:textAlignment w:val="bottom"/>
        <w:rPr>
          <w:rFonts w:ascii="宋体" w:hAnsi="宋体"/>
          <w:b/>
          <w:bCs/>
          <w:color w:val="auto"/>
          <w:sz w:val="72"/>
          <w:szCs w:val="72"/>
          <w:highlight w:val="none"/>
        </w:rPr>
      </w:pPr>
      <w:bookmarkStart w:id="245" w:name="_GoBack"/>
      <w:bookmarkEnd w:id="245"/>
    </w:p>
    <w:p w14:paraId="28B77D3C">
      <w:pPr>
        <w:autoSpaceDE w:val="0"/>
        <w:autoSpaceDN w:val="0"/>
        <w:spacing w:line="500" w:lineRule="atLeast"/>
        <w:jc w:val="distribute"/>
        <w:textAlignment w:val="bottom"/>
        <w:rPr>
          <w:rFonts w:ascii="宋体" w:hAnsi="宋体"/>
          <w:bCs/>
          <w:color w:val="auto"/>
          <w:sz w:val="72"/>
          <w:szCs w:val="72"/>
          <w:highlight w:val="none"/>
        </w:rPr>
      </w:pPr>
      <w:r>
        <w:rPr>
          <w:rFonts w:hint="eastAsia" w:ascii="宋体" w:hAnsi="宋体"/>
          <w:b/>
          <w:bCs/>
          <w:color w:val="auto"/>
          <w:sz w:val="72"/>
          <w:szCs w:val="72"/>
          <w:highlight w:val="none"/>
        </w:rPr>
        <w:t>温州市政府采购</w:t>
      </w:r>
    </w:p>
    <w:p w14:paraId="7195D4C4">
      <w:pPr>
        <w:spacing w:line="400" w:lineRule="atLeast"/>
        <w:jc w:val="center"/>
        <w:rPr>
          <w:rFonts w:ascii="宋体" w:hAnsi="宋体"/>
          <w:b/>
          <w:color w:val="auto"/>
          <w:sz w:val="52"/>
          <w:highlight w:val="none"/>
        </w:rPr>
      </w:pPr>
    </w:p>
    <w:p w14:paraId="39108CBC">
      <w:pPr>
        <w:spacing w:line="400" w:lineRule="atLeast"/>
        <w:jc w:val="center"/>
        <w:rPr>
          <w:rFonts w:ascii="宋体" w:hAnsi="宋体"/>
          <w:b/>
          <w:color w:val="auto"/>
          <w:sz w:val="52"/>
          <w:highlight w:val="none"/>
        </w:rPr>
      </w:pPr>
    </w:p>
    <w:p w14:paraId="69DD081E">
      <w:pPr>
        <w:spacing w:line="400" w:lineRule="atLeast"/>
        <w:jc w:val="center"/>
        <w:rPr>
          <w:rFonts w:ascii="宋体" w:hAnsi="宋体"/>
          <w:b/>
          <w:color w:val="auto"/>
          <w:sz w:val="52"/>
          <w:highlight w:val="none"/>
        </w:rPr>
      </w:pPr>
    </w:p>
    <w:p w14:paraId="3D8708F5">
      <w:pPr>
        <w:autoSpaceDE w:val="0"/>
        <w:autoSpaceDN w:val="0"/>
        <w:spacing w:line="500" w:lineRule="atLeast"/>
        <w:jc w:val="center"/>
        <w:textAlignment w:val="bottom"/>
        <w:rPr>
          <w:rFonts w:ascii="宋体" w:hAnsi="宋体"/>
          <w:b/>
          <w:color w:val="auto"/>
          <w:sz w:val="72"/>
          <w:szCs w:val="72"/>
          <w:highlight w:val="none"/>
        </w:rPr>
      </w:pPr>
      <w:r>
        <w:rPr>
          <w:rFonts w:hint="eastAsia" w:ascii="宋体" w:hAnsi="宋体"/>
          <w:b/>
          <w:bCs/>
          <w:color w:val="auto"/>
          <w:sz w:val="72"/>
          <w:szCs w:val="72"/>
          <w:highlight w:val="none"/>
        </w:rPr>
        <w:t>招 标 文 件</w:t>
      </w:r>
    </w:p>
    <w:p w14:paraId="32841480">
      <w:pPr>
        <w:spacing w:line="400" w:lineRule="atLeast"/>
        <w:jc w:val="center"/>
        <w:rPr>
          <w:rFonts w:ascii="宋体" w:hAnsi="宋体"/>
          <w:b/>
          <w:color w:val="auto"/>
          <w:sz w:val="32"/>
          <w:highlight w:val="none"/>
        </w:rPr>
      </w:pPr>
    </w:p>
    <w:p w14:paraId="4998FAC0">
      <w:pPr>
        <w:jc w:val="center"/>
        <w:rPr>
          <w:rFonts w:ascii="宋体" w:hAnsi="宋体"/>
          <w:b/>
          <w:bCs/>
          <w:color w:val="auto"/>
          <w:sz w:val="24"/>
          <w:highlight w:val="none"/>
        </w:rPr>
      </w:pPr>
    </w:p>
    <w:p w14:paraId="20E32268">
      <w:pPr>
        <w:jc w:val="center"/>
        <w:rPr>
          <w:rFonts w:ascii="宋体" w:hAnsi="宋体"/>
          <w:b/>
          <w:bCs/>
          <w:color w:val="auto"/>
          <w:sz w:val="24"/>
          <w:highlight w:val="none"/>
        </w:rPr>
      </w:pPr>
    </w:p>
    <w:p w14:paraId="34FCFBA7">
      <w:pPr>
        <w:tabs>
          <w:tab w:val="left" w:pos="4860"/>
        </w:tabs>
        <w:spacing w:line="600" w:lineRule="exact"/>
        <w:ind w:right="1143" w:firstLine="1483" w:firstLineChars="389"/>
        <w:jc w:val="left"/>
        <w:rPr>
          <w:rFonts w:ascii="宋体" w:hAnsi="宋体"/>
          <w:b/>
          <w:color w:val="auto"/>
          <w:sz w:val="30"/>
          <w:szCs w:val="30"/>
          <w:highlight w:val="none"/>
        </w:rPr>
      </w:pPr>
      <w:r>
        <w:rPr>
          <w:rFonts w:hint="eastAsia" w:ascii="宋体" w:hAnsi="宋体"/>
          <w:b/>
          <w:color w:val="auto"/>
          <w:spacing w:val="40"/>
          <w:sz w:val="30"/>
          <w:szCs w:val="30"/>
          <w:highlight w:val="none"/>
        </w:rPr>
        <w:t xml:space="preserve">招 标 编 </w:t>
      </w:r>
      <w:r>
        <w:rPr>
          <w:rFonts w:hint="eastAsia" w:ascii="宋体" w:hAnsi="宋体" w:cs="Arial"/>
          <w:b/>
          <w:color w:val="auto"/>
          <w:spacing w:val="40"/>
          <w:sz w:val="30"/>
          <w:szCs w:val="30"/>
          <w:highlight w:val="none"/>
        </w:rPr>
        <w:t>号</w:t>
      </w:r>
      <w:r>
        <w:rPr>
          <w:rFonts w:hint="eastAsia" w:ascii="宋体" w:hAnsi="宋体"/>
          <w:b/>
          <w:color w:val="auto"/>
          <w:sz w:val="30"/>
          <w:szCs w:val="30"/>
          <w:highlight w:val="none"/>
        </w:rPr>
        <w:t>：XLCG2025002</w:t>
      </w:r>
    </w:p>
    <w:p w14:paraId="332E072E">
      <w:pPr>
        <w:tabs>
          <w:tab w:val="left" w:pos="5245"/>
          <w:tab w:val="left" w:pos="9660"/>
        </w:tabs>
        <w:spacing w:line="600" w:lineRule="exact"/>
        <w:ind w:right="-22" w:firstLine="1483" w:firstLineChars="389"/>
        <w:jc w:val="left"/>
        <w:rPr>
          <w:rFonts w:ascii="宋体" w:hAnsi="宋体"/>
          <w:b/>
          <w:color w:val="auto"/>
          <w:sz w:val="30"/>
          <w:szCs w:val="30"/>
          <w:highlight w:val="none"/>
        </w:rPr>
      </w:pPr>
      <w:r>
        <w:rPr>
          <w:rFonts w:hint="eastAsia" w:ascii="宋体" w:hAnsi="宋体"/>
          <w:b/>
          <w:color w:val="auto"/>
          <w:spacing w:val="40"/>
          <w:sz w:val="30"/>
          <w:szCs w:val="30"/>
          <w:highlight w:val="none"/>
        </w:rPr>
        <w:t>招 标 项 目</w:t>
      </w:r>
      <w:r>
        <w:rPr>
          <w:rFonts w:hint="eastAsia" w:ascii="宋体" w:hAnsi="宋体"/>
          <w:b/>
          <w:color w:val="auto"/>
          <w:sz w:val="30"/>
          <w:szCs w:val="30"/>
          <w:highlight w:val="none"/>
        </w:rPr>
        <w:t>：交通技术服务运维项目</w:t>
      </w:r>
    </w:p>
    <w:p w14:paraId="39443186">
      <w:pPr>
        <w:tabs>
          <w:tab w:val="left" w:pos="4860"/>
        </w:tabs>
        <w:spacing w:line="600" w:lineRule="exact"/>
        <w:ind w:right="1143" w:firstLine="1483" w:firstLineChars="389"/>
        <w:jc w:val="left"/>
        <w:rPr>
          <w:rFonts w:ascii="宋体" w:hAnsi="宋体"/>
          <w:b/>
          <w:color w:val="auto"/>
          <w:spacing w:val="40"/>
          <w:sz w:val="30"/>
          <w:szCs w:val="30"/>
          <w:highlight w:val="none"/>
        </w:rPr>
      </w:pPr>
      <w:r>
        <w:rPr>
          <w:rFonts w:hint="eastAsia" w:ascii="宋体" w:hAnsi="宋体"/>
          <w:b/>
          <w:color w:val="auto"/>
          <w:spacing w:val="40"/>
          <w:sz w:val="30"/>
          <w:szCs w:val="30"/>
          <w:highlight w:val="none"/>
        </w:rPr>
        <w:t>招 标 方 式</w:t>
      </w:r>
      <w:r>
        <w:rPr>
          <w:rFonts w:hint="eastAsia" w:ascii="宋体" w:hAnsi="宋体"/>
          <w:b/>
          <w:color w:val="auto"/>
          <w:sz w:val="30"/>
          <w:szCs w:val="30"/>
          <w:highlight w:val="none"/>
        </w:rPr>
        <w:t>：公开招标</w:t>
      </w:r>
    </w:p>
    <w:p w14:paraId="59C6C60B">
      <w:pPr>
        <w:jc w:val="center"/>
        <w:rPr>
          <w:rFonts w:ascii="宋体" w:hAnsi="宋体"/>
          <w:b/>
          <w:bCs/>
          <w:color w:val="auto"/>
          <w:sz w:val="24"/>
          <w:highlight w:val="none"/>
        </w:rPr>
      </w:pPr>
    </w:p>
    <w:p w14:paraId="22CBAE19">
      <w:pPr>
        <w:jc w:val="center"/>
        <w:rPr>
          <w:rFonts w:ascii="宋体" w:hAnsi="宋体"/>
          <w:b/>
          <w:bCs/>
          <w:color w:val="auto"/>
          <w:sz w:val="24"/>
          <w:highlight w:val="none"/>
        </w:rPr>
      </w:pPr>
    </w:p>
    <w:p w14:paraId="018FC9D9">
      <w:pPr>
        <w:jc w:val="center"/>
        <w:rPr>
          <w:rFonts w:ascii="宋体" w:hAnsi="宋体"/>
          <w:b/>
          <w:bCs/>
          <w:color w:val="auto"/>
          <w:sz w:val="24"/>
          <w:highlight w:val="none"/>
        </w:rPr>
      </w:pPr>
    </w:p>
    <w:p w14:paraId="39EB9AE2">
      <w:pPr>
        <w:jc w:val="center"/>
        <w:rPr>
          <w:rFonts w:ascii="宋体" w:hAnsi="宋体"/>
          <w:b/>
          <w:bCs/>
          <w:color w:val="auto"/>
          <w:sz w:val="24"/>
          <w:highlight w:val="none"/>
        </w:rPr>
      </w:pPr>
    </w:p>
    <w:p w14:paraId="7AA53406">
      <w:pPr>
        <w:jc w:val="center"/>
        <w:rPr>
          <w:rFonts w:ascii="宋体" w:hAnsi="宋体"/>
          <w:b/>
          <w:bCs/>
          <w:color w:val="auto"/>
          <w:sz w:val="24"/>
          <w:highlight w:val="none"/>
        </w:rPr>
      </w:pPr>
    </w:p>
    <w:p w14:paraId="45D68761">
      <w:pPr>
        <w:jc w:val="center"/>
        <w:rPr>
          <w:rFonts w:ascii="宋体" w:hAnsi="宋体"/>
          <w:b/>
          <w:bCs/>
          <w:color w:val="auto"/>
          <w:sz w:val="24"/>
          <w:highlight w:val="none"/>
        </w:rPr>
      </w:pPr>
    </w:p>
    <w:p w14:paraId="5AF21C07">
      <w:pPr>
        <w:jc w:val="center"/>
        <w:rPr>
          <w:rFonts w:ascii="宋体" w:hAnsi="宋体"/>
          <w:b/>
          <w:bCs/>
          <w:color w:val="auto"/>
          <w:sz w:val="24"/>
          <w:highlight w:val="none"/>
        </w:rPr>
      </w:pPr>
    </w:p>
    <w:p w14:paraId="205395F6">
      <w:pPr>
        <w:jc w:val="center"/>
        <w:rPr>
          <w:rFonts w:ascii="宋体" w:hAnsi="宋体"/>
          <w:b/>
          <w:bCs/>
          <w:color w:val="auto"/>
          <w:sz w:val="24"/>
          <w:highlight w:val="none"/>
        </w:rPr>
      </w:pPr>
    </w:p>
    <w:p w14:paraId="2C2792D4">
      <w:pPr>
        <w:jc w:val="center"/>
        <w:rPr>
          <w:rFonts w:ascii="宋体" w:hAnsi="宋体"/>
          <w:b/>
          <w:bCs/>
          <w:color w:val="auto"/>
          <w:sz w:val="24"/>
          <w:highlight w:val="none"/>
        </w:rPr>
      </w:pPr>
    </w:p>
    <w:p w14:paraId="268FB67B">
      <w:pPr>
        <w:jc w:val="center"/>
        <w:rPr>
          <w:rFonts w:ascii="宋体" w:hAnsi="宋体"/>
          <w:b/>
          <w:bCs/>
          <w:color w:val="auto"/>
          <w:sz w:val="24"/>
          <w:highlight w:val="none"/>
        </w:rPr>
      </w:pPr>
    </w:p>
    <w:p w14:paraId="04865A4F">
      <w:pPr>
        <w:jc w:val="center"/>
        <w:rPr>
          <w:rFonts w:ascii="宋体" w:hAnsi="宋体"/>
          <w:b/>
          <w:bCs/>
          <w:color w:val="auto"/>
          <w:sz w:val="24"/>
          <w:highlight w:val="none"/>
        </w:rPr>
      </w:pPr>
    </w:p>
    <w:p w14:paraId="29AA7F0E">
      <w:pPr>
        <w:spacing w:line="600" w:lineRule="exact"/>
        <w:ind w:left="1476" w:leftChars="693" w:hanging="21" w:hangingChars="7"/>
        <w:rPr>
          <w:rFonts w:ascii="宋体" w:hAnsi="宋体"/>
          <w:b/>
          <w:color w:val="auto"/>
          <w:sz w:val="30"/>
          <w:szCs w:val="30"/>
          <w:highlight w:val="none"/>
        </w:rPr>
      </w:pPr>
      <w:r>
        <w:rPr>
          <w:rFonts w:hint="eastAsia" w:ascii="宋体" w:hAnsi="宋体"/>
          <w:b/>
          <w:color w:val="auto"/>
          <w:sz w:val="30"/>
          <w:szCs w:val="30"/>
          <w:highlight w:val="none"/>
        </w:rPr>
        <w:t>招  标  人：</w:t>
      </w:r>
      <w:r>
        <w:rPr>
          <w:rFonts w:hint="eastAsia" w:ascii="宋体" w:hAnsi="宋体"/>
          <w:b/>
          <w:bCs/>
          <w:color w:val="auto"/>
          <w:sz w:val="30"/>
          <w:szCs w:val="30"/>
          <w:highlight w:val="none"/>
        </w:rPr>
        <w:t>温州市交通运输局</w:t>
      </w:r>
    </w:p>
    <w:p w14:paraId="752376BA">
      <w:pPr>
        <w:spacing w:line="600" w:lineRule="exact"/>
        <w:ind w:left="1482" w:leftChars="693" w:hanging="27" w:hangingChars="7"/>
        <w:rPr>
          <w:rFonts w:hint="eastAsia" w:ascii="宋体" w:hAnsi="宋体" w:eastAsia="宋体"/>
          <w:b/>
          <w:color w:val="auto"/>
          <w:spacing w:val="12"/>
          <w:sz w:val="30"/>
          <w:szCs w:val="30"/>
          <w:highlight w:val="none"/>
          <w:lang w:eastAsia="zh-CN"/>
        </w:rPr>
      </w:pPr>
      <w:r>
        <w:rPr>
          <w:rFonts w:hint="eastAsia" w:ascii="宋体" w:hAnsi="宋体"/>
          <w:b/>
          <w:color w:val="auto"/>
          <w:spacing w:val="40"/>
          <w:sz w:val="30"/>
          <w:szCs w:val="30"/>
          <w:highlight w:val="none"/>
        </w:rPr>
        <w:t>招标代理</w:t>
      </w:r>
      <w:r>
        <w:rPr>
          <w:rFonts w:hint="eastAsia" w:ascii="宋体" w:hAnsi="宋体"/>
          <w:b/>
          <w:color w:val="auto"/>
          <w:sz w:val="30"/>
          <w:szCs w:val="30"/>
          <w:highlight w:val="none"/>
        </w:rPr>
        <w:t>：</w:t>
      </w:r>
      <w:r>
        <w:rPr>
          <w:rFonts w:hint="eastAsia" w:ascii="宋体" w:hAnsi="宋体"/>
          <w:b/>
          <w:color w:val="auto"/>
          <w:spacing w:val="12"/>
          <w:sz w:val="30"/>
          <w:szCs w:val="30"/>
          <w:highlight w:val="none"/>
          <w:lang w:eastAsia="zh-CN"/>
        </w:rPr>
        <w:t>浙江欣力工程管理有限公司</w:t>
      </w:r>
    </w:p>
    <w:p w14:paraId="0582D343">
      <w:pPr>
        <w:spacing w:line="600" w:lineRule="exact"/>
        <w:ind w:left="1482" w:leftChars="693" w:hanging="27" w:hangingChars="7"/>
        <w:rPr>
          <w:rFonts w:ascii="宋体" w:hAnsi="宋体"/>
          <w:b/>
          <w:color w:val="auto"/>
          <w:spacing w:val="40"/>
          <w:sz w:val="30"/>
          <w:szCs w:val="30"/>
          <w:highlight w:val="none"/>
        </w:rPr>
      </w:pPr>
    </w:p>
    <w:p w14:paraId="6B0D565A">
      <w:pPr>
        <w:spacing w:line="600" w:lineRule="exact"/>
        <w:jc w:val="center"/>
        <w:rPr>
          <w:rFonts w:ascii="宋体" w:hAnsi="宋体"/>
          <w:b/>
          <w:color w:val="auto"/>
          <w:spacing w:val="40"/>
          <w:sz w:val="30"/>
          <w:szCs w:val="30"/>
          <w:highlight w:val="none"/>
        </w:rPr>
      </w:pPr>
      <w:r>
        <w:rPr>
          <w:rFonts w:hint="eastAsia" w:ascii="宋体" w:hAnsi="宋体"/>
          <w:b/>
          <w:color w:val="auto"/>
          <w:spacing w:val="40"/>
          <w:sz w:val="30"/>
          <w:szCs w:val="30"/>
          <w:highlight w:val="none"/>
        </w:rPr>
        <w:t>二</w:t>
      </w:r>
      <w:r>
        <w:rPr>
          <w:rFonts w:hint="eastAsia" w:ascii="宋体" w:hAnsi="宋体" w:cs="宋体"/>
          <w:b/>
          <w:color w:val="auto"/>
          <w:spacing w:val="40"/>
          <w:sz w:val="30"/>
          <w:szCs w:val="30"/>
          <w:highlight w:val="none"/>
        </w:rPr>
        <w:t>〇</w:t>
      </w:r>
      <w:r>
        <w:rPr>
          <w:rFonts w:hint="eastAsia" w:ascii="宋体" w:hAnsi="宋体"/>
          <w:b/>
          <w:color w:val="auto"/>
          <w:spacing w:val="40"/>
          <w:sz w:val="30"/>
          <w:szCs w:val="30"/>
          <w:highlight w:val="none"/>
        </w:rPr>
        <w:t>二</w:t>
      </w:r>
      <w:r>
        <w:rPr>
          <w:rFonts w:hint="eastAsia" w:ascii="宋体" w:hAnsi="宋体" w:cs="宋体"/>
          <w:b/>
          <w:color w:val="auto"/>
          <w:spacing w:val="40"/>
          <w:sz w:val="30"/>
          <w:szCs w:val="30"/>
          <w:highlight w:val="none"/>
        </w:rPr>
        <w:t>五</w:t>
      </w:r>
      <w:r>
        <w:rPr>
          <w:rFonts w:hint="eastAsia" w:ascii="宋体" w:hAnsi="宋体" w:cs="仿宋_GB2312"/>
          <w:b/>
          <w:color w:val="auto"/>
          <w:spacing w:val="40"/>
          <w:sz w:val="30"/>
          <w:szCs w:val="30"/>
          <w:highlight w:val="none"/>
        </w:rPr>
        <w:t>年</w:t>
      </w:r>
      <w:r>
        <w:rPr>
          <w:rFonts w:hint="eastAsia" w:ascii="宋体" w:hAnsi="宋体" w:cs="仿宋_GB2312"/>
          <w:b/>
          <w:color w:val="auto"/>
          <w:spacing w:val="40"/>
          <w:sz w:val="30"/>
          <w:szCs w:val="30"/>
          <w:highlight w:val="none"/>
          <w:lang w:val="en-US" w:eastAsia="zh-CN"/>
        </w:rPr>
        <w:t>四</w:t>
      </w:r>
      <w:r>
        <w:rPr>
          <w:rFonts w:hint="eastAsia" w:ascii="宋体" w:hAnsi="宋体" w:cs="仿宋_GB2312"/>
          <w:b/>
          <w:color w:val="auto"/>
          <w:spacing w:val="40"/>
          <w:sz w:val="30"/>
          <w:szCs w:val="30"/>
          <w:highlight w:val="none"/>
        </w:rPr>
        <w:t>月</w:t>
      </w:r>
    </w:p>
    <w:p w14:paraId="49AC82D4">
      <w:pPr>
        <w:spacing w:line="600" w:lineRule="exact"/>
        <w:jc w:val="center"/>
        <w:rPr>
          <w:rFonts w:ascii="宋体" w:hAnsi="宋体"/>
          <w:b/>
          <w:bCs/>
          <w:color w:val="auto"/>
          <w:sz w:val="32"/>
          <w:szCs w:val="32"/>
          <w:highlight w:val="none"/>
        </w:rPr>
      </w:pPr>
      <w:r>
        <w:rPr>
          <w:rFonts w:hint="eastAsia" w:ascii="宋体" w:hAnsi="宋体"/>
          <w:color w:val="auto"/>
          <w:spacing w:val="40"/>
          <w:sz w:val="30"/>
          <w:szCs w:val="30"/>
          <w:highlight w:val="none"/>
        </w:rPr>
        <w:br w:type="page"/>
      </w:r>
      <w:r>
        <w:rPr>
          <w:rFonts w:hint="eastAsia" w:ascii="宋体" w:hAnsi="宋体"/>
          <w:b/>
          <w:bCs/>
          <w:color w:val="auto"/>
          <w:sz w:val="32"/>
          <w:szCs w:val="32"/>
          <w:highlight w:val="none"/>
        </w:rPr>
        <w:t>目    录</w:t>
      </w:r>
    </w:p>
    <w:p w14:paraId="6725B0BE">
      <w:pPr>
        <w:spacing w:line="600" w:lineRule="exact"/>
        <w:jc w:val="center"/>
        <w:rPr>
          <w:rFonts w:ascii="宋体" w:hAnsi="宋体"/>
          <w:b/>
          <w:bCs/>
          <w:color w:val="auto"/>
          <w:sz w:val="24"/>
          <w:highlight w:val="none"/>
        </w:rPr>
      </w:pPr>
    </w:p>
    <w:p w14:paraId="252BE5C2">
      <w:pPr>
        <w:pStyle w:val="46"/>
        <w:tabs>
          <w:tab w:val="right" w:leader="dot" w:pos="9638"/>
          <w:tab w:val="clear" w:pos="9628"/>
        </w:tabs>
        <w:jc w:val="left"/>
        <w:rPr>
          <w:color w:val="auto"/>
          <w:highlight w:val="none"/>
        </w:rPr>
      </w:pPr>
      <w:r>
        <w:rPr>
          <w:rFonts w:hint="eastAsia" w:ascii="宋体" w:hAnsi="宋体" w:eastAsia="宋体"/>
          <w:b/>
          <w:bCs w:val="0"/>
          <w:color w:val="auto"/>
          <w:highlight w:val="none"/>
        </w:rPr>
        <w:fldChar w:fldCharType="begin"/>
      </w:r>
      <w:r>
        <w:rPr>
          <w:rFonts w:hint="eastAsia" w:ascii="宋体" w:hAnsi="宋体" w:eastAsia="宋体"/>
          <w:b/>
          <w:bCs w:val="0"/>
          <w:color w:val="auto"/>
          <w:highlight w:val="none"/>
        </w:rPr>
        <w:instrText xml:space="preserve"> TOC \o "1-3" \h \z \u </w:instrText>
      </w:r>
      <w:r>
        <w:rPr>
          <w:rFonts w:hint="eastAsia" w:ascii="宋体" w:hAnsi="宋体" w:eastAsia="宋体"/>
          <w:b/>
          <w:bCs w:val="0"/>
          <w:color w:val="auto"/>
          <w:highlight w:val="none"/>
        </w:rPr>
        <w:fldChar w:fldCharType="separate"/>
      </w:r>
      <w:r>
        <w:rPr>
          <w:color w:val="auto"/>
          <w:highlight w:val="none"/>
        </w:rPr>
        <w:fldChar w:fldCharType="begin"/>
      </w:r>
      <w:r>
        <w:rPr>
          <w:color w:val="auto"/>
          <w:highlight w:val="none"/>
        </w:rPr>
        <w:instrText xml:space="preserve"> HYPERLINK \l "_Toc6342" </w:instrText>
      </w:r>
      <w:r>
        <w:rPr>
          <w:color w:val="auto"/>
          <w:highlight w:val="none"/>
        </w:rPr>
        <w:fldChar w:fldCharType="separate"/>
      </w:r>
      <w:r>
        <w:rPr>
          <w:rFonts w:hint="eastAsia" w:ascii="宋体" w:hAnsi="宋体" w:eastAsia="宋体"/>
          <w:color w:val="auto"/>
          <w:szCs w:val="30"/>
          <w:highlight w:val="none"/>
          <w:lang w:eastAsia="zh-CN"/>
        </w:rPr>
        <w:t>浙江欣力工程管理有限公司</w:t>
      </w:r>
      <w:r>
        <w:rPr>
          <w:rFonts w:hint="eastAsia" w:ascii="宋体" w:hAnsi="宋体" w:eastAsia="宋体"/>
          <w:color w:val="auto"/>
          <w:szCs w:val="30"/>
          <w:highlight w:val="none"/>
        </w:rPr>
        <w:t>关于交通技术服务运维项目的公开招标公告</w:t>
      </w:r>
      <w:r>
        <w:rPr>
          <w:color w:val="auto"/>
          <w:highlight w:val="none"/>
        </w:rPr>
        <w:tab/>
      </w:r>
      <w:r>
        <w:rPr>
          <w:color w:val="auto"/>
          <w:highlight w:val="none"/>
        </w:rPr>
        <w:fldChar w:fldCharType="begin"/>
      </w:r>
      <w:r>
        <w:rPr>
          <w:color w:val="auto"/>
          <w:highlight w:val="none"/>
        </w:rPr>
        <w:instrText xml:space="preserve"> PAGEREF _Toc6342 \h </w:instrText>
      </w:r>
      <w:r>
        <w:rPr>
          <w:color w:val="auto"/>
          <w:highlight w:val="none"/>
        </w:rPr>
        <w:fldChar w:fldCharType="separate"/>
      </w:r>
      <w:r>
        <w:rPr>
          <w:color w:val="auto"/>
          <w:highlight w:val="none"/>
        </w:rPr>
        <w:t>3</w:t>
      </w:r>
      <w:r>
        <w:rPr>
          <w:color w:val="auto"/>
          <w:highlight w:val="none"/>
        </w:rPr>
        <w:fldChar w:fldCharType="end"/>
      </w:r>
      <w:r>
        <w:rPr>
          <w:color w:val="auto"/>
          <w:highlight w:val="none"/>
        </w:rPr>
        <w:fldChar w:fldCharType="end"/>
      </w:r>
    </w:p>
    <w:p w14:paraId="3E606119">
      <w:pPr>
        <w:pStyle w:val="46"/>
        <w:tabs>
          <w:tab w:val="right" w:leader="dot" w:pos="9638"/>
          <w:tab w:val="clear" w:pos="9628"/>
        </w:tabs>
        <w:jc w:val="left"/>
        <w:rPr>
          <w:color w:val="auto"/>
          <w:highlight w:val="none"/>
        </w:rPr>
      </w:pPr>
      <w:r>
        <w:rPr>
          <w:color w:val="auto"/>
          <w:highlight w:val="none"/>
        </w:rPr>
        <w:fldChar w:fldCharType="begin"/>
      </w:r>
      <w:r>
        <w:rPr>
          <w:color w:val="auto"/>
          <w:highlight w:val="none"/>
        </w:rPr>
        <w:instrText xml:space="preserve"> HYPERLINK \l "_Toc27654" </w:instrText>
      </w:r>
      <w:r>
        <w:rPr>
          <w:color w:val="auto"/>
          <w:highlight w:val="none"/>
        </w:rPr>
        <w:fldChar w:fldCharType="separate"/>
      </w:r>
      <w:r>
        <w:rPr>
          <w:rFonts w:hint="eastAsia" w:ascii="宋体" w:hAnsi="宋体" w:eastAsia="宋体"/>
          <w:color w:val="auto"/>
          <w:szCs w:val="36"/>
          <w:highlight w:val="none"/>
        </w:rPr>
        <w:t>第一部分    投标人须知</w:t>
      </w:r>
      <w:r>
        <w:rPr>
          <w:color w:val="auto"/>
          <w:highlight w:val="none"/>
        </w:rPr>
        <w:tab/>
      </w:r>
      <w:r>
        <w:rPr>
          <w:color w:val="auto"/>
          <w:highlight w:val="none"/>
        </w:rPr>
        <w:fldChar w:fldCharType="begin"/>
      </w:r>
      <w:r>
        <w:rPr>
          <w:color w:val="auto"/>
          <w:highlight w:val="none"/>
        </w:rPr>
        <w:instrText xml:space="preserve"> PAGEREF _Toc27654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14:paraId="3AF3CDDD">
      <w:pPr>
        <w:pStyle w:val="46"/>
        <w:tabs>
          <w:tab w:val="right" w:leader="dot" w:pos="9638"/>
          <w:tab w:val="clear" w:pos="9628"/>
        </w:tabs>
        <w:ind w:left="420" w:leftChars="200"/>
        <w:jc w:val="left"/>
        <w:rPr>
          <w:rFonts w:ascii="宋体" w:hAnsi="宋体" w:eastAsia="宋体"/>
          <w:color w:val="auto"/>
          <w:szCs w:val="26"/>
          <w:highlight w:val="none"/>
        </w:rPr>
      </w:pPr>
      <w:r>
        <w:rPr>
          <w:color w:val="auto"/>
          <w:highlight w:val="none"/>
        </w:rPr>
        <w:fldChar w:fldCharType="begin"/>
      </w:r>
      <w:r>
        <w:rPr>
          <w:color w:val="auto"/>
          <w:highlight w:val="none"/>
        </w:rPr>
        <w:instrText xml:space="preserve"> HYPERLINK \l "_Toc8675" </w:instrText>
      </w:r>
      <w:r>
        <w:rPr>
          <w:color w:val="auto"/>
          <w:highlight w:val="none"/>
        </w:rPr>
        <w:fldChar w:fldCharType="separate"/>
      </w:r>
      <w:r>
        <w:rPr>
          <w:rFonts w:hint="eastAsia" w:ascii="宋体" w:hAnsi="宋体" w:eastAsia="宋体"/>
          <w:color w:val="auto"/>
          <w:szCs w:val="26"/>
          <w:highlight w:val="none"/>
        </w:rPr>
        <w:t>一、</w:t>
      </w:r>
      <w:r>
        <w:rPr>
          <w:rFonts w:hint="eastAsia" w:ascii="宋体" w:hAnsi="宋体" w:eastAsia="宋体"/>
          <w:color w:val="auto"/>
          <w:szCs w:val="26"/>
          <w:highlight w:val="none"/>
          <w:lang w:val="en-US" w:eastAsia="zh-CN"/>
        </w:rPr>
        <w:t xml:space="preserve"> </w:t>
      </w:r>
      <w:r>
        <w:rPr>
          <w:rFonts w:hint="eastAsia" w:ascii="宋体" w:hAnsi="宋体" w:eastAsia="宋体"/>
          <w:color w:val="auto"/>
          <w:szCs w:val="26"/>
          <w:highlight w:val="none"/>
        </w:rPr>
        <w:t>须知前附表</w:t>
      </w:r>
      <w:r>
        <w:rPr>
          <w:rFonts w:hint="eastAsia" w:ascii="宋体" w:hAnsi="宋体" w:eastAsia="宋体"/>
          <w:color w:val="auto"/>
          <w:szCs w:val="26"/>
          <w:highlight w:val="none"/>
        </w:rPr>
        <w:tab/>
      </w:r>
      <w:r>
        <w:rPr>
          <w:rFonts w:hint="eastAsia" w:ascii="宋体" w:hAnsi="宋体" w:eastAsia="宋体"/>
          <w:color w:val="auto"/>
          <w:szCs w:val="26"/>
          <w:highlight w:val="none"/>
        </w:rPr>
        <w:fldChar w:fldCharType="begin"/>
      </w:r>
      <w:r>
        <w:rPr>
          <w:rFonts w:hint="eastAsia" w:ascii="宋体" w:hAnsi="宋体" w:eastAsia="宋体"/>
          <w:color w:val="auto"/>
          <w:szCs w:val="26"/>
          <w:highlight w:val="none"/>
        </w:rPr>
        <w:instrText xml:space="preserve"> PAGEREF _Toc8675 \h </w:instrText>
      </w:r>
      <w:r>
        <w:rPr>
          <w:rFonts w:hint="eastAsia" w:ascii="宋体" w:hAnsi="宋体" w:eastAsia="宋体"/>
          <w:color w:val="auto"/>
          <w:szCs w:val="26"/>
          <w:highlight w:val="none"/>
        </w:rPr>
        <w:fldChar w:fldCharType="separate"/>
      </w:r>
      <w:r>
        <w:rPr>
          <w:rFonts w:hint="eastAsia" w:ascii="宋体" w:hAnsi="宋体" w:eastAsia="宋体"/>
          <w:color w:val="auto"/>
          <w:szCs w:val="26"/>
          <w:highlight w:val="none"/>
        </w:rPr>
        <w:t>6</w:t>
      </w:r>
      <w:r>
        <w:rPr>
          <w:rFonts w:hint="eastAsia" w:ascii="宋体" w:hAnsi="宋体" w:eastAsia="宋体"/>
          <w:color w:val="auto"/>
          <w:szCs w:val="26"/>
          <w:highlight w:val="none"/>
        </w:rPr>
        <w:fldChar w:fldCharType="end"/>
      </w:r>
      <w:r>
        <w:rPr>
          <w:rFonts w:hint="eastAsia" w:ascii="宋体" w:hAnsi="宋体" w:eastAsia="宋体"/>
          <w:color w:val="auto"/>
          <w:szCs w:val="26"/>
          <w:highlight w:val="none"/>
        </w:rPr>
        <w:fldChar w:fldCharType="end"/>
      </w:r>
    </w:p>
    <w:p w14:paraId="12A11971">
      <w:pPr>
        <w:pStyle w:val="46"/>
        <w:tabs>
          <w:tab w:val="right" w:leader="dot" w:pos="9638"/>
          <w:tab w:val="clear" w:pos="9628"/>
        </w:tabs>
        <w:ind w:left="420" w:leftChars="200"/>
        <w:jc w:val="left"/>
        <w:rPr>
          <w:rFonts w:ascii="宋体" w:hAnsi="宋体" w:eastAsia="宋体"/>
          <w:color w:val="auto"/>
          <w:szCs w:val="26"/>
          <w:highlight w:val="none"/>
        </w:rPr>
      </w:pPr>
      <w:r>
        <w:rPr>
          <w:color w:val="auto"/>
          <w:highlight w:val="none"/>
        </w:rPr>
        <w:fldChar w:fldCharType="begin"/>
      </w:r>
      <w:r>
        <w:rPr>
          <w:color w:val="auto"/>
          <w:highlight w:val="none"/>
        </w:rPr>
        <w:instrText xml:space="preserve"> HYPERLINK \l "_Toc29666" </w:instrText>
      </w:r>
      <w:r>
        <w:rPr>
          <w:color w:val="auto"/>
          <w:highlight w:val="none"/>
        </w:rPr>
        <w:fldChar w:fldCharType="separate"/>
      </w:r>
      <w:r>
        <w:rPr>
          <w:rFonts w:hint="eastAsia" w:ascii="宋体" w:hAnsi="宋体" w:eastAsia="宋体"/>
          <w:color w:val="auto"/>
          <w:szCs w:val="26"/>
          <w:highlight w:val="none"/>
        </w:rPr>
        <w:t>二、 说明</w:t>
      </w:r>
      <w:r>
        <w:rPr>
          <w:rFonts w:hint="eastAsia" w:ascii="宋体" w:hAnsi="宋体" w:eastAsia="宋体"/>
          <w:color w:val="auto"/>
          <w:szCs w:val="26"/>
          <w:highlight w:val="none"/>
        </w:rPr>
        <w:tab/>
      </w:r>
      <w:r>
        <w:rPr>
          <w:rFonts w:hint="eastAsia" w:ascii="宋体" w:hAnsi="宋体" w:eastAsia="宋体"/>
          <w:color w:val="auto"/>
          <w:szCs w:val="26"/>
          <w:highlight w:val="none"/>
        </w:rPr>
        <w:fldChar w:fldCharType="begin"/>
      </w:r>
      <w:r>
        <w:rPr>
          <w:rFonts w:hint="eastAsia" w:ascii="宋体" w:hAnsi="宋体" w:eastAsia="宋体"/>
          <w:color w:val="auto"/>
          <w:szCs w:val="26"/>
          <w:highlight w:val="none"/>
        </w:rPr>
        <w:instrText xml:space="preserve"> PAGEREF _Toc29666 \h </w:instrText>
      </w:r>
      <w:r>
        <w:rPr>
          <w:rFonts w:hint="eastAsia" w:ascii="宋体" w:hAnsi="宋体" w:eastAsia="宋体"/>
          <w:color w:val="auto"/>
          <w:szCs w:val="26"/>
          <w:highlight w:val="none"/>
        </w:rPr>
        <w:fldChar w:fldCharType="separate"/>
      </w:r>
      <w:r>
        <w:rPr>
          <w:rFonts w:hint="eastAsia" w:ascii="宋体" w:hAnsi="宋体" w:eastAsia="宋体"/>
          <w:color w:val="auto"/>
          <w:szCs w:val="26"/>
          <w:highlight w:val="none"/>
        </w:rPr>
        <w:t>10</w:t>
      </w:r>
      <w:r>
        <w:rPr>
          <w:rFonts w:hint="eastAsia" w:ascii="宋体" w:hAnsi="宋体" w:eastAsia="宋体"/>
          <w:color w:val="auto"/>
          <w:szCs w:val="26"/>
          <w:highlight w:val="none"/>
        </w:rPr>
        <w:fldChar w:fldCharType="end"/>
      </w:r>
      <w:r>
        <w:rPr>
          <w:rFonts w:hint="eastAsia" w:ascii="宋体" w:hAnsi="宋体" w:eastAsia="宋体"/>
          <w:color w:val="auto"/>
          <w:szCs w:val="26"/>
          <w:highlight w:val="none"/>
        </w:rPr>
        <w:fldChar w:fldCharType="end"/>
      </w:r>
    </w:p>
    <w:p w14:paraId="796BB247">
      <w:pPr>
        <w:pStyle w:val="46"/>
        <w:tabs>
          <w:tab w:val="right" w:leader="dot" w:pos="9638"/>
          <w:tab w:val="clear" w:pos="9628"/>
        </w:tabs>
        <w:ind w:left="420" w:leftChars="200"/>
        <w:jc w:val="left"/>
        <w:rPr>
          <w:rFonts w:ascii="宋体" w:hAnsi="宋体" w:eastAsia="宋体"/>
          <w:color w:val="auto"/>
          <w:szCs w:val="26"/>
          <w:highlight w:val="none"/>
        </w:rPr>
      </w:pPr>
      <w:r>
        <w:rPr>
          <w:color w:val="auto"/>
          <w:highlight w:val="none"/>
        </w:rPr>
        <w:fldChar w:fldCharType="begin"/>
      </w:r>
      <w:r>
        <w:rPr>
          <w:color w:val="auto"/>
          <w:highlight w:val="none"/>
        </w:rPr>
        <w:instrText xml:space="preserve"> HYPERLINK \l "_Toc23506" </w:instrText>
      </w:r>
      <w:r>
        <w:rPr>
          <w:color w:val="auto"/>
          <w:highlight w:val="none"/>
        </w:rPr>
        <w:fldChar w:fldCharType="separate"/>
      </w:r>
      <w:r>
        <w:rPr>
          <w:rFonts w:hint="eastAsia" w:ascii="宋体" w:hAnsi="宋体" w:eastAsia="宋体"/>
          <w:color w:val="auto"/>
          <w:szCs w:val="26"/>
          <w:highlight w:val="none"/>
        </w:rPr>
        <w:t>三、 招标文件</w:t>
      </w:r>
      <w:r>
        <w:rPr>
          <w:rFonts w:hint="eastAsia" w:ascii="宋体" w:hAnsi="宋体" w:eastAsia="宋体"/>
          <w:color w:val="auto"/>
          <w:szCs w:val="26"/>
          <w:highlight w:val="none"/>
        </w:rPr>
        <w:tab/>
      </w:r>
      <w:r>
        <w:rPr>
          <w:rFonts w:hint="eastAsia" w:ascii="宋体" w:hAnsi="宋体" w:eastAsia="宋体"/>
          <w:color w:val="auto"/>
          <w:szCs w:val="26"/>
          <w:highlight w:val="none"/>
        </w:rPr>
        <w:fldChar w:fldCharType="begin"/>
      </w:r>
      <w:r>
        <w:rPr>
          <w:rFonts w:hint="eastAsia" w:ascii="宋体" w:hAnsi="宋体" w:eastAsia="宋体"/>
          <w:color w:val="auto"/>
          <w:szCs w:val="26"/>
          <w:highlight w:val="none"/>
        </w:rPr>
        <w:instrText xml:space="preserve"> PAGEREF _Toc23506 \h </w:instrText>
      </w:r>
      <w:r>
        <w:rPr>
          <w:rFonts w:hint="eastAsia" w:ascii="宋体" w:hAnsi="宋体" w:eastAsia="宋体"/>
          <w:color w:val="auto"/>
          <w:szCs w:val="26"/>
          <w:highlight w:val="none"/>
        </w:rPr>
        <w:fldChar w:fldCharType="separate"/>
      </w:r>
      <w:r>
        <w:rPr>
          <w:rFonts w:hint="eastAsia" w:ascii="宋体" w:hAnsi="宋体" w:eastAsia="宋体"/>
          <w:color w:val="auto"/>
          <w:szCs w:val="26"/>
          <w:highlight w:val="none"/>
        </w:rPr>
        <w:t>11</w:t>
      </w:r>
      <w:r>
        <w:rPr>
          <w:rFonts w:hint="eastAsia" w:ascii="宋体" w:hAnsi="宋体" w:eastAsia="宋体"/>
          <w:color w:val="auto"/>
          <w:szCs w:val="26"/>
          <w:highlight w:val="none"/>
        </w:rPr>
        <w:fldChar w:fldCharType="end"/>
      </w:r>
      <w:r>
        <w:rPr>
          <w:rFonts w:hint="eastAsia" w:ascii="宋体" w:hAnsi="宋体" w:eastAsia="宋体"/>
          <w:color w:val="auto"/>
          <w:szCs w:val="26"/>
          <w:highlight w:val="none"/>
        </w:rPr>
        <w:fldChar w:fldCharType="end"/>
      </w:r>
    </w:p>
    <w:p w14:paraId="176E8761">
      <w:pPr>
        <w:pStyle w:val="46"/>
        <w:tabs>
          <w:tab w:val="right" w:leader="dot" w:pos="9638"/>
          <w:tab w:val="clear" w:pos="9628"/>
        </w:tabs>
        <w:ind w:left="420" w:leftChars="200"/>
        <w:jc w:val="left"/>
        <w:rPr>
          <w:rFonts w:ascii="宋体" w:hAnsi="宋体" w:eastAsia="宋体"/>
          <w:color w:val="auto"/>
          <w:szCs w:val="26"/>
          <w:highlight w:val="none"/>
        </w:rPr>
      </w:pPr>
      <w:r>
        <w:rPr>
          <w:color w:val="auto"/>
          <w:highlight w:val="none"/>
        </w:rPr>
        <w:fldChar w:fldCharType="begin"/>
      </w:r>
      <w:r>
        <w:rPr>
          <w:color w:val="auto"/>
          <w:highlight w:val="none"/>
        </w:rPr>
        <w:instrText xml:space="preserve"> HYPERLINK \l "_Toc8234" </w:instrText>
      </w:r>
      <w:r>
        <w:rPr>
          <w:color w:val="auto"/>
          <w:highlight w:val="none"/>
        </w:rPr>
        <w:fldChar w:fldCharType="separate"/>
      </w:r>
      <w:r>
        <w:rPr>
          <w:rFonts w:hint="eastAsia" w:ascii="宋体" w:hAnsi="宋体" w:eastAsia="宋体"/>
          <w:color w:val="auto"/>
          <w:szCs w:val="26"/>
          <w:highlight w:val="none"/>
        </w:rPr>
        <w:t>四、 投标文件的编制</w:t>
      </w:r>
      <w:r>
        <w:rPr>
          <w:rFonts w:hint="eastAsia" w:ascii="宋体" w:hAnsi="宋体" w:eastAsia="宋体"/>
          <w:color w:val="auto"/>
          <w:szCs w:val="26"/>
          <w:highlight w:val="none"/>
        </w:rPr>
        <w:tab/>
      </w:r>
      <w:r>
        <w:rPr>
          <w:rFonts w:hint="eastAsia" w:ascii="宋体" w:hAnsi="宋体" w:eastAsia="宋体"/>
          <w:color w:val="auto"/>
          <w:szCs w:val="26"/>
          <w:highlight w:val="none"/>
        </w:rPr>
        <w:fldChar w:fldCharType="begin"/>
      </w:r>
      <w:r>
        <w:rPr>
          <w:rFonts w:hint="eastAsia" w:ascii="宋体" w:hAnsi="宋体" w:eastAsia="宋体"/>
          <w:color w:val="auto"/>
          <w:szCs w:val="26"/>
          <w:highlight w:val="none"/>
        </w:rPr>
        <w:instrText xml:space="preserve"> PAGEREF _Toc8234 \h </w:instrText>
      </w:r>
      <w:r>
        <w:rPr>
          <w:rFonts w:hint="eastAsia" w:ascii="宋体" w:hAnsi="宋体" w:eastAsia="宋体"/>
          <w:color w:val="auto"/>
          <w:szCs w:val="26"/>
          <w:highlight w:val="none"/>
        </w:rPr>
        <w:fldChar w:fldCharType="separate"/>
      </w:r>
      <w:r>
        <w:rPr>
          <w:rFonts w:hint="eastAsia" w:ascii="宋体" w:hAnsi="宋体" w:eastAsia="宋体"/>
          <w:color w:val="auto"/>
          <w:szCs w:val="26"/>
          <w:highlight w:val="none"/>
        </w:rPr>
        <w:t>12</w:t>
      </w:r>
      <w:r>
        <w:rPr>
          <w:rFonts w:hint="eastAsia" w:ascii="宋体" w:hAnsi="宋体" w:eastAsia="宋体"/>
          <w:color w:val="auto"/>
          <w:szCs w:val="26"/>
          <w:highlight w:val="none"/>
        </w:rPr>
        <w:fldChar w:fldCharType="end"/>
      </w:r>
      <w:r>
        <w:rPr>
          <w:rFonts w:hint="eastAsia" w:ascii="宋体" w:hAnsi="宋体" w:eastAsia="宋体"/>
          <w:color w:val="auto"/>
          <w:szCs w:val="26"/>
          <w:highlight w:val="none"/>
        </w:rPr>
        <w:fldChar w:fldCharType="end"/>
      </w:r>
    </w:p>
    <w:p w14:paraId="583DBE2C">
      <w:pPr>
        <w:pStyle w:val="46"/>
        <w:tabs>
          <w:tab w:val="right" w:leader="dot" w:pos="9638"/>
          <w:tab w:val="clear" w:pos="9628"/>
        </w:tabs>
        <w:ind w:left="420" w:leftChars="200"/>
        <w:jc w:val="left"/>
        <w:rPr>
          <w:rFonts w:ascii="宋体" w:hAnsi="宋体" w:eastAsia="宋体"/>
          <w:color w:val="auto"/>
          <w:szCs w:val="26"/>
          <w:highlight w:val="none"/>
        </w:rPr>
      </w:pPr>
      <w:r>
        <w:rPr>
          <w:color w:val="auto"/>
          <w:highlight w:val="none"/>
        </w:rPr>
        <w:fldChar w:fldCharType="begin"/>
      </w:r>
      <w:r>
        <w:rPr>
          <w:color w:val="auto"/>
          <w:highlight w:val="none"/>
        </w:rPr>
        <w:instrText xml:space="preserve"> HYPERLINK \l "_Toc23764" </w:instrText>
      </w:r>
      <w:r>
        <w:rPr>
          <w:color w:val="auto"/>
          <w:highlight w:val="none"/>
        </w:rPr>
        <w:fldChar w:fldCharType="separate"/>
      </w:r>
      <w:r>
        <w:rPr>
          <w:rFonts w:hint="eastAsia" w:ascii="宋体" w:hAnsi="宋体" w:eastAsia="宋体"/>
          <w:color w:val="auto"/>
          <w:szCs w:val="26"/>
          <w:highlight w:val="none"/>
        </w:rPr>
        <w:t>五、 投标文件的递交</w:t>
      </w:r>
      <w:r>
        <w:rPr>
          <w:rFonts w:hint="eastAsia" w:ascii="宋体" w:hAnsi="宋体" w:eastAsia="宋体"/>
          <w:color w:val="auto"/>
          <w:szCs w:val="26"/>
          <w:highlight w:val="none"/>
        </w:rPr>
        <w:tab/>
      </w:r>
      <w:r>
        <w:rPr>
          <w:rFonts w:hint="eastAsia" w:ascii="宋体" w:hAnsi="宋体" w:eastAsia="宋体"/>
          <w:color w:val="auto"/>
          <w:szCs w:val="26"/>
          <w:highlight w:val="none"/>
        </w:rPr>
        <w:fldChar w:fldCharType="begin"/>
      </w:r>
      <w:r>
        <w:rPr>
          <w:rFonts w:hint="eastAsia" w:ascii="宋体" w:hAnsi="宋体" w:eastAsia="宋体"/>
          <w:color w:val="auto"/>
          <w:szCs w:val="26"/>
          <w:highlight w:val="none"/>
        </w:rPr>
        <w:instrText xml:space="preserve"> PAGEREF _Toc23764 \h </w:instrText>
      </w:r>
      <w:r>
        <w:rPr>
          <w:rFonts w:hint="eastAsia" w:ascii="宋体" w:hAnsi="宋体" w:eastAsia="宋体"/>
          <w:color w:val="auto"/>
          <w:szCs w:val="26"/>
          <w:highlight w:val="none"/>
        </w:rPr>
        <w:fldChar w:fldCharType="separate"/>
      </w:r>
      <w:r>
        <w:rPr>
          <w:rFonts w:hint="eastAsia" w:ascii="宋体" w:hAnsi="宋体" w:eastAsia="宋体"/>
          <w:color w:val="auto"/>
          <w:szCs w:val="26"/>
          <w:highlight w:val="none"/>
        </w:rPr>
        <w:t>15</w:t>
      </w:r>
      <w:r>
        <w:rPr>
          <w:rFonts w:hint="eastAsia" w:ascii="宋体" w:hAnsi="宋体" w:eastAsia="宋体"/>
          <w:color w:val="auto"/>
          <w:szCs w:val="26"/>
          <w:highlight w:val="none"/>
        </w:rPr>
        <w:fldChar w:fldCharType="end"/>
      </w:r>
      <w:r>
        <w:rPr>
          <w:rFonts w:hint="eastAsia" w:ascii="宋体" w:hAnsi="宋体" w:eastAsia="宋体"/>
          <w:color w:val="auto"/>
          <w:szCs w:val="26"/>
          <w:highlight w:val="none"/>
        </w:rPr>
        <w:fldChar w:fldCharType="end"/>
      </w:r>
    </w:p>
    <w:p w14:paraId="114F7EC5">
      <w:pPr>
        <w:pStyle w:val="46"/>
        <w:tabs>
          <w:tab w:val="right" w:leader="dot" w:pos="9638"/>
          <w:tab w:val="clear" w:pos="9628"/>
        </w:tabs>
        <w:ind w:left="420" w:leftChars="200"/>
        <w:jc w:val="left"/>
        <w:rPr>
          <w:rFonts w:ascii="宋体" w:hAnsi="宋体" w:eastAsia="宋体"/>
          <w:color w:val="auto"/>
          <w:szCs w:val="26"/>
          <w:highlight w:val="none"/>
        </w:rPr>
      </w:pPr>
      <w:r>
        <w:rPr>
          <w:color w:val="auto"/>
          <w:highlight w:val="none"/>
        </w:rPr>
        <w:fldChar w:fldCharType="begin"/>
      </w:r>
      <w:r>
        <w:rPr>
          <w:color w:val="auto"/>
          <w:highlight w:val="none"/>
        </w:rPr>
        <w:instrText xml:space="preserve"> HYPERLINK \l "_Toc20271" </w:instrText>
      </w:r>
      <w:r>
        <w:rPr>
          <w:color w:val="auto"/>
          <w:highlight w:val="none"/>
        </w:rPr>
        <w:fldChar w:fldCharType="separate"/>
      </w:r>
      <w:r>
        <w:rPr>
          <w:rFonts w:hint="eastAsia" w:ascii="宋体" w:hAnsi="宋体" w:eastAsia="宋体"/>
          <w:color w:val="auto"/>
          <w:szCs w:val="26"/>
          <w:highlight w:val="none"/>
        </w:rPr>
        <w:t>六、 开标</w:t>
      </w:r>
      <w:r>
        <w:rPr>
          <w:rFonts w:hint="eastAsia" w:ascii="宋体" w:hAnsi="宋体" w:eastAsia="宋体"/>
          <w:color w:val="auto"/>
          <w:szCs w:val="26"/>
          <w:highlight w:val="none"/>
        </w:rPr>
        <w:tab/>
      </w:r>
      <w:r>
        <w:rPr>
          <w:rFonts w:hint="eastAsia" w:ascii="宋体" w:hAnsi="宋体" w:eastAsia="宋体"/>
          <w:color w:val="auto"/>
          <w:szCs w:val="26"/>
          <w:highlight w:val="none"/>
        </w:rPr>
        <w:fldChar w:fldCharType="begin"/>
      </w:r>
      <w:r>
        <w:rPr>
          <w:rFonts w:hint="eastAsia" w:ascii="宋体" w:hAnsi="宋体" w:eastAsia="宋体"/>
          <w:color w:val="auto"/>
          <w:szCs w:val="26"/>
          <w:highlight w:val="none"/>
        </w:rPr>
        <w:instrText xml:space="preserve"> PAGEREF _Toc20271 \h </w:instrText>
      </w:r>
      <w:r>
        <w:rPr>
          <w:rFonts w:hint="eastAsia" w:ascii="宋体" w:hAnsi="宋体" w:eastAsia="宋体"/>
          <w:color w:val="auto"/>
          <w:szCs w:val="26"/>
          <w:highlight w:val="none"/>
        </w:rPr>
        <w:fldChar w:fldCharType="separate"/>
      </w:r>
      <w:r>
        <w:rPr>
          <w:rFonts w:hint="eastAsia" w:ascii="宋体" w:hAnsi="宋体" w:eastAsia="宋体"/>
          <w:color w:val="auto"/>
          <w:szCs w:val="26"/>
          <w:highlight w:val="none"/>
        </w:rPr>
        <w:t>16</w:t>
      </w:r>
      <w:r>
        <w:rPr>
          <w:rFonts w:hint="eastAsia" w:ascii="宋体" w:hAnsi="宋体" w:eastAsia="宋体"/>
          <w:color w:val="auto"/>
          <w:szCs w:val="26"/>
          <w:highlight w:val="none"/>
        </w:rPr>
        <w:fldChar w:fldCharType="end"/>
      </w:r>
      <w:r>
        <w:rPr>
          <w:rFonts w:hint="eastAsia" w:ascii="宋体" w:hAnsi="宋体" w:eastAsia="宋体"/>
          <w:color w:val="auto"/>
          <w:szCs w:val="26"/>
          <w:highlight w:val="none"/>
        </w:rPr>
        <w:fldChar w:fldCharType="end"/>
      </w:r>
    </w:p>
    <w:p w14:paraId="14B7EA6D">
      <w:pPr>
        <w:pStyle w:val="46"/>
        <w:tabs>
          <w:tab w:val="right" w:leader="dot" w:pos="9638"/>
          <w:tab w:val="clear" w:pos="9628"/>
        </w:tabs>
        <w:ind w:left="420" w:leftChars="200"/>
        <w:jc w:val="left"/>
        <w:rPr>
          <w:rFonts w:ascii="宋体" w:hAnsi="宋体" w:eastAsia="宋体"/>
          <w:color w:val="auto"/>
          <w:szCs w:val="26"/>
          <w:highlight w:val="none"/>
        </w:rPr>
      </w:pPr>
      <w:r>
        <w:rPr>
          <w:color w:val="auto"/>
          <w:highlight w:val="none"/>
        </w:rPr>
        <w:fldChar w:fldCharType="begin"/>
      </w:r>
      <w:r>
        <w:rPr>
          <w:color w:val="auto"/>
          <w:highlight w:val="none"/>
        </w:rPr>
        <w:instrText xml:space="preserve"> HYPERLINK \l "_Toc28360" </w:instrText>
      </w:r>
      <w:r>
        <w:rPr>
          <w:color w:val="auto"/>
          <w:highlight w:val="none"/>
        </w:rPr>
        <w:fldChar w:fldCharType="separate"/>
      </w:r>
      <w:r>
        <w:rPr>
          <w:rFonts w:hint="eastAsia" w:ascii="宋体" w:hAnsi="宋体" w:eastAsia="宋体"/>
          <w:color w:val="auto"/>
          <w:szCs w:val="26"/>
          <w:highlight w:val="none"/>
        </w:rPr>
        <w:t>七、 评标</w:t>
      </w:r>
      <w:r>
        <w:rPr>
          <w:rFonts w:hint="eastAsia" w:ascii="宋体" w:hAnsi="宋体" w:eastAsia="宋体"/>
          <w:color w:val="auto"/>
          <w:szCs w:val="26"/>
          <w:highlight w:val="none"/>
        </w:rPr>
        <w:tab/>
      </w:r>
      <w:r>
        <w:rPr>
          <w:rFonts w:hint="eastAsia" w:ascii="宋体" w:hAnsi="宋体" w:eastAsia="宋体"/>
          <w:color w:val="auto"/>
          <w:szCs w:val="26"/>
          <w:highlight w:val="none"/>
        </w:rPr>
        <w:fldChar w:fldCharType="begin"/>
      </w:r>
      <w:r>
        <w:rPr>
          <w:rFonts w:hint="eastAsia" w:ascii="宋体" w:hAnsi="宋体" w:eastAsia="宋体"/>
          <w:color w:val="auto"/>
          <w:szCs w:val="26"/>
          <w:highlight w:val="none"/>
        </w:rPr>
        <w:instrText xml:space="preserve"> PAGEREF _Toc28360 \h </w:instrText>
      </w:r>
      <w:r>
        <w:rPr>
          <w:rFonts w:hint="eastAsia" w:ascii="宋体" w:hAnsi="宋体" w:eastAsia="宋体"/>
          <w:color w:val="auto"/>
          <w:szCs w:val="26"/>
          <w:highlight w:val="none"/>
        </w:rPr>
        <w:fldChar w:fldCharType="separate"/>
      </w:r>
      <w:r>
        <w:rPr>
          <w:rFonts w:hint="eastAsia" w:ascii="宋体" w:hAnsi="宋体" w:eastAsia="宋体"/>
          <w:color w:val="auto"/>
          <w:szCs w:val="26"/>
          <w:highlight w:val="none"/>
        </w:rPr>
        <w:t>17</w:t>
      </w:r>
      <w:r>
        <w:rPr>
          <w:rFonts w:hint="eastAsia" w:ascii="宋体" w:hAnsi="宋体" w:eastAsia="宋体"/>
          <w:color w:val="auto"/>
          <w:szCs w:val="26"/>
          <w:highlight w:val="none"/>
        </w:rPr>
        <w:fldChar w:fldCharType="end"/>
      </w:r>
      <w:r>
        <w:rPr>
          <w:rFonts w:hint="eastAsia" w:ascii="宋体" w:hAnsi="宋体" w:eastAsia="宋体"/>
          <w:color w:val="auto"/>
          <w:szCs w:val="26"/>
          <w:highlight w:val="none"/>
        </w:rPr>
        <w:fldChar w:fldCharType="end"/>
      </w:r>
    </w:p>
    <w:p w14:paraId="3D0A5322">
      <w:pPr>
        <w:pStyle w:val="46"/>
        <w:tabs>
          <w:tab w:val="right" w:leader="dot" w:pos="9638"/>
          <w:tab w:val="clear" w:pos="9628"/>
        </w:tabs>
        <w:ind w:left="420" w:leftChars="200"/>
        <w:jc w:val="left"/>
        <w:rPr>
          <w:rFonts w:ascii="宋体" w:hAnsi="宋体" w:eastAsia="宋体"/>
          <w:color w:val="auto"/>
          <w:szCs w:val="26"/>
          <w:highlight w:val="none"/>
        </w:rPr>
      </w:pPr>
      <w:r>
        <w:rPr>
          <w:color w:val="auto"/>
          <w:highlight w:val="none"/>
        </w:rPr>
        <w:fldChar w:fldCharType="begin"/>
      </w:r>
      <w:r>
        <w:rPr>
          <w:color w:val="auto"/>
          <w:highlight w:val="none"/>
        </w:rPr>
        <w:instrText xml:space="preserve"> HYPERLINK \l "_Toc7414" </w:instrText>
      </w:r>
      <w:r>
        <w:rPr>
          <w:color w:val="auto"/>
          <w:highlight w:val="none"/>
        </w:rPr>
        <w:fldChar w:fldCharType="separate"/>
      </w:r>
      <w:r>
        <w:rPr>
          <w:rFonts w:hint="eastAsia" w:ascii="宋体" w:hAnsi="宋体" w:eastAsia="宋体"/>
          <w:color w:val="auto"/>
          <w:szCs w:val="26"/>
          <w:highlight w:val="none"/>
        </w:rPr>
        <w:t>八、 授予合同</w:t>
      </w:r>
      <w:r>
        <w:rPr>
          <w:rFonts w:hint="eastAsia" w:ascii="宋体" w:hAnsi="宋体" w:eastAsia="宋体"/>
          <w:color w:val="auto"/>
          <w:szCs w:val="26"/>
          <w:highlight w:val="none"/>
        </w:rPr>
        <w:tab/>
      </w:r>
      <w:r>
        <w:rPr>
          <w:rFonts w:hint="eastAsia" w:ascii="宋体" w:hAnsi="宋体" w:eastAsia="宋体"/>
          <w:color w:val="auto"/>
          <w:szCs w:val="26"/>
          <w:highlight w:val="none"/>
        </w:rPr>
        <w:fldChar w:fldCharType="begin"/>
      </w:r>
      <w:r>
        <w:rPr>
          <w:rFonts w:hint="eastAsia" w:ascii="宋体" w:hAnsi="宋体" w:eastAsia="宋体"/>
          <w:color w:val="auto"/>
          <w:szCs w:val="26"/>
          <w:highlight w:val="none"/>
        </w:rPr>
        <w:instrText xml:space="preserve"> PAGEREF _Toc7414 \h </w:instrText>
      </w:r>
      <w:r>
        <w:rPr>
          <w:rFonts w:hint="eastAsia" w:ascii="宋体" w:hAnsi="宋体" w:eastAsia="宋体"/>
          <w:color w:val="auto"/>
          <w:szCs w:val="26"/>
          <w:highlight w:val="none"/>
        </w:rPr>
        <w:fldChar w:fldCharType="separate"/>
      </w:r>
      <w:r>
        <w:rPr>
          <w:rFonts w:hint="eastAsia" w:ascii="宋体" w:hAnsi="宋体" w:eastAsia="宋体"/>
          <w:color w:val="auto"/>
          <w:szCs w:val="26"/>
          <w:highlight w:val="none"/>
        </w:rPr>
        <w:t>21</w:t>
      </w:r>
      <w:r>
        <w:rPr>
          <w:rFonts w:hint="eastAsia" w:ascii="宋体" w:hAnsi="宋体" w:eastAsia="宋体"/>
          <w:color w:val="auto"/>
          <w:szCs w:val="26"/>
          <w:highlight w:val="none"/>
        </w:rPr>
        <w:fldChar w:fldCharType="end"/>
      </w:r>
      <w:r>
        <w:rPr>
          <w:rFonts w:hint="eastAsia" w:ascii="宋体" w:hAnsi="宋体" w:eastAsia="宋体"/>
          <w:color w:val="auto"/>
          <w:szCs w:val="26"/>
          <w:highlight w:val="none"/>
        </w:rPr>
        <w:fldChar w:fldCharType="end"/>
      </w:r>
    </w:p>
    <w:p w14:paraId="4F2E2FB4">
      <w:pPr>
        <w:pStyle w:val="46"/>
        <w:tabs>
          <w:tab w:val="right" w:leader="dot" w:pos="9638"/>
          <w:tab w:val="clear" w:pos="9628"/>
        </w:tabs>
        <w:ind w:left="420" w:leftChars="200"/>
        <w:jc w:val="left"/>
        <w:rPr>
          <w:color w:val="auto"/>
          <w:highlight w:val="none"/>
        </w:rPr>
      </w:pPr>
      <w:r>
        <w:rPr>
          <w:color w:val="auto"/>
          <w:highlight w:val="none"/>
        </w:rPr>
        <w:fldChar w:fldCharType="begin"/>
      </w:r>
      <w:r>
        <w:rPr>
          <w:color w:val="auto"/>
          <w:highlight w:val="none"/>
        </w:rPr>
        <w:instrText xml:space="preserve"> HYPERLINK \l "_Toc22702" </w:instrText>
      </w:r>
      <w:r>
        <w:rPr>
          <w:color w:val="auto"/>
          <w:highlight w:val="none"/>
        </w:rPr>
        <w:fldChar w:fldCharType="separate"/>
      </w:r>
      <w:r>
        <w:rPr>
          <w:rFonts w:hint="eastAsia" w:ascii="宋体" w:hAnsi="宋体" w:eastAsia="宋体"/>
          <w:color w:val="auto"/>
          <w:szCs w:val="26"/>
          <w:highlight w:val="none"/>
        </w:rPr>
        <w:t>九、</w:t>
      </w:r>
      <w:r>
        <w:rPr>
          <w:rFonts w:hint="eastAsia" w:ascii="宋体" w:hAnsi="宋体" w:eastAsia="宋体"/>
          <w:color w:val="auto"/>
          <w:szCs w:val="26"/>
          <w:highlight w:val="none"/>
          <w:lang w:val="en-US" w:eastAsia="zh-CN"/>
        </w:rPr>
        <w:t xml:space="preserve"> </w:t>
      </w:r>
      <w:r>
        <w:rPr>
          <w:rFonts w:hint="eastAsia" w:ascii="宋体" w:hAnsi="宋体" w:eastAsia="宋体"/>
          <w:color w:val="auto"/>
          <w:szCs w:val="26"/>
          <w:highlight w:val="none"/>
        </w:rPr>
        <w:t>验收</w:t>
      </w:r>
      <w:r>
        <w:rPr>
          <w:rFonts w:hint="eastAsia" w:ascii="宋体" w:hAnsi="宋体" w:eastAsia="宋体"/>
          <w:color w:val="auto"/>
          <w:szCs w:val="26"/>
          <w:highlight w:val="none"/>
        </w:rPr>
        <w:tab/>
      </w:r>
      <w:r>
        <w:rPr>
          <w:rFonts w:hint="eastAsia" w:ascii="宋体" w:hAnsi="宋体" w:eastAsia="宋体"/>
          <w:color w:val="auto"/>
          <w:szCs w:val="26"/>
          <w:highlight w:val="none"/>
        </w:rPr>
        <w:fldChar w:fldCharType="begin"/>
      </w:r>
      <w:r>
        <w:rPr>
          <w:rFonts w:hint="eastAsia" w:ascii="宋体" w:hAnsi="宋体" w:eastAsia="宋体"/>
          <w:color w:val="auto"/>
          <w:szCs w:val="26"/>
          <w:highlight w:val="none"/>
        </w:rPr>
        <w:instrText xml:space="preserve"> PAGEREF _Toc22702 \h </w:instrText>
      </w:r>
      <w:r>
        <w:rPr>
          <w:rFonts w:hint="eastAsia" w:ascii="宋体" w:hAnsi="宋体" w:eastAsia="宋体"/>
          <w:color w:val="auto"/>
          <w:szCs w:val="26"/>
          <w:highlight w:val="none"/>
        </w:rPr>
        <w:fldChar w:fldCharType="separate"/>
      </w:r>
      <w:r>
        <w:rPr>
          <w:rFonts w:hint="eastAsia" w:ascii="宋体" w:hAnsi="宋体" w:eastAsia="宋体"/>
          <w:color w:val="auto"/>
          <w:szCs w:val="26"/>
          <w:highlight w:val="none"/>
        </w:rPr>
        <w:t>22</w:t>
      </w:r>
      <w:r>
        <w:rPr>
          <w:rFonts w:hint="eastAsia" w:ascii="宋体" w:hAnsi="宋体" w:eastAsia="宋体"/>
          <w:color w:val="auto"/>
          <w:szCs w:val="26"/>
          <w:highlight w:val="none"/>
        </w:rPr>
        <w:fldChar w:fldCharType="end"/>
      </w:r>
      <w:r>
        <w:rPr>
          <w:rFonts w:hint="eastAsia" w:ascii="宋体" w:hAnsi="宋体" w:eastAsia="宋体"/>
          <w:color w:val="auto"/>
          <w:szCs w:val="26"/>
          <w:highlight w:val="none"/>
        </w:rPr>
        <w:fldChar w:fldCharType="end"/>
      </w:r>
    </w:p>
    <w:p w14:paraId="682665AF">
      <w:pPr>
        <w:pStyle w:val="46"/>
        <w:tabs>
          <w:tab w:val="right" w:leader="dot" w:pos="9638"/>
          <w:tab w:val="clear" w:pos="9628"/>
        </w:tabs>
        <w:jc w:val="left"/>
        <w:rPr>
          <w:color w:val="auto"/>
          <w:highlight w:val="none"/>
        </w:rPr>
      </w:pPr>
      <w:r>
        <w:rPr>
          <w:color w:val="auto"/>
          <w:highlight w:val="none"/>
        </w:rPr>
        <w:fldChar w:fldCharType="begin"/>
      </w:r>
      <w:r>
        <w:rPr>
          <w:color w:val="auto"/>
          <w:highlight w:val="none"/>
        </w:rPr>
        <w:instrText xml:space="preserve"> HYPERLINK \l "_Toc19245" </w:instrText>
      </w:r>
      <w:r>
        <w:rPr>
          <w:color w:val="auto"/>
          <w:highlight w:val="none"/>
        </w:rPr>
        <w:fldChar w:fldCharType="separate"/>
      </w:r>
      <w:r>
        <w:rPr>
          <w:rFonts w:hint="eastAsia" w:ascii="宋体" w:hAnsi="宋体" w:eastAsia="宋体" w:cs="宋体"/>
          <w:color w:val="auto"/>
          <w:szCs w:val="36"/>
          <w:highlight w:val="none"/>
        </w:rPr>
        <w:t>第二部分   招标内容及要求</w:t>
      </w:r>
      <w:r>
        <w:rPr>
          <w:color w:val="auto"/>
          <w:highlight w:val="none"/>
        </w:rPr>
        <w:tab/>
      </w:r>
      <w:r>
        <w:rPr>
          <w:color w:val="auto"/>
          <w:highlight w:val="none"/>
        </w:rPr>
        <w:fldChar w:fldCharType="begin"/>
      </w:r>
      <w:r>
        <w:rPr>
          <w:color w:val="auto"/>
          <w:highlight w:val="none"/>
        </w:rPr>
        <w:instrText xml:space="preserve"> PAGEREF _Toc19245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14:paraId="7429514B">
      <w:pPr>
        <w:pStyle w:val="46"/>
        <w:tabs>
          <w:tab w:val="right" w:leader="dot" w:pos="9638"/>
          <w:tab w:val="clear" w:pos="9628"/>
        </w:tabs>
        <w:jc w:val="left"/>
        <w:rPr>
          <w:color w:val="auto"/>
          <w:highlight w:val="none"/>
        </w:rPr>
      </w:pPr>
      <w:r>
        <w:rPr>
          <w:color w:val="auto"/>
          <w:highlight w:val="none"/>
        </w:rPr>
        <w:fldChar w:fldCharType="begin"/>
      </w:r>
      <w:r>
        <w:rPr>
          <w:color w:val="auto"/>
          <w:highlight w:val="none"/>
        </w:rPr>
        <w:instrText xml:space="preserve"> HYPERLINK \l "_Toc10956" </w:instrText>
      </w:r>
      <w:r>
        <w:rPr>
          <w:color w:val="auto"/>
          <w:highlight w:val="none"/>
        </w:rPr>
        <w:fldChar w:fldCharType="separate"/>
      </w:r>
      <w:r>
        <w:rPr>
          <w:rFonts w:hint="eastAsia" w:ascii="宋体" w:hAnsi="宋体" w:eastAsia="宋体"/>
          <w:color w:val="auto"/>
          <w:szCs w:val="36"/>
          <w:highlight w:val="none"/>
        </w:rPr>
        <w:t>第三部分   评标原则及方法</w:t>
      </w:r>
      <w:r>
        <w:rPr>
          <w:color w:val="auto"/>
          <w:highlight w:val="none"/>
        </w:rPr>
        <w:tab/>
      </w:r>
      <w:r>
        <w:rPr>
          <w:color w:val="auto"/>
          <w:highlight w:val="none"/>
        </w:rPr>
        <w:fldChar w:fldCharType="begin"/>
      </w:r>
      <w:r>
        <w:rPr>
          <w:color w:val="auto"/>
          <w:highlight w:val="none"/>
        </w:rPr>
        <w:instrText xml:space="preserve"> PAGEREF _Toc10956 \h </w:instrText>
      </w:r>
      <w:r>
        <w:rPr>
          <w:color w:val="auto"/>
          <w:highlight w:val="none"/>
        </w:rPr>
        <w:fldChar w:fldCharType="separate"/>
      </w:r>
      <w:r>
        <w:rPr>
          <w:color w:val="auto"/>
          <w:highlight w:val="none"/>
        </w:rPr>
        <w:t>35</w:t>
      </w:r>
      <w:r>
        <w:rPr>
          <w:color w:val="auto"/>
          <w:highlight w:val="none"/>
        </w:rPr>
        <w:fldChar w:fldCharType="end"/>
      </w:r>
      <w:r>
        <w:rPr>
          <w:color w:val="auto"/>
          <w:highlight w:val="none"/>
        </w:rPr>
        <w:fldChar w:fldCharType="end"/>
      </w:r>
    </w:p>
    <w:p w14:paraId="1C7D8F86">
      <w:pPr>
        <w:pStyle w:val="46"/>
        <w:tabs>
          <w:tab w:val="right" w:leader="dot" w:pos="9638"/>
          <w:tab w:val="clear" w:pos="9628"/>
        </w:tabs>
        <w:jc w:val="left"/>
        <w:rPr>
          <w:color w:val="auto"/>
          <w:highlight w:val="none"/>
        </w:rPr>
      </w:pPr>
      <w:r>
        <w:rPr>
          <w:color w:val="auto"/>
          <w:highlight w:val="none"/>
        </w:rPr>
        <w:fldChar w:fldCharType="begin"/>
      </w:r>
      <w:r>
        <w:rPr>
          <w:color w:val="auto"/>
          <w:highlight w:val="none"/>
        </w:rPr>
        <w:instrText xml:space="preserve"> HYPERLINK \l "_Toc10781" </w:instrText>
      </w:r>
      <w:r>
        <w:rPr>
          <w:color w:val="auto"/>
          <w:highlight w:val="none"/>
        </w:rPr>
        <w:fldChar w:fldCharType="separate"/>
      </w:r>
      <w:r>
        <w:rPr>
          <w:rFonts w:hint="eastAsia" w:ascii="宋体" w:hAnsi="宋体" w:eastAsia="宋体"/>
          <w:color w:val="auto"/>
          <w:szCs w:val="36"/>
          <w:highlight w:val="none"/>
        </w:rPr>
        <w:t>第四部分   合同主要条款</w:t>
      </w:r>
      <w:r>
        <w:rPr>
          <w:color w:val="auto"/>
          <w:highlight w:val="none"/>
        </w:rPr>
        <w:tab/>
      </w:r>
      <w:r>
        <w:rPr>
          <w:color w:val="auto"/>
          <w:highlight w:val="none"/>
        </w:rPr>
        <w:fldChar w:fldCharType="begin"/>
      </w:r>
      <w:r>
        <w:rPr>
          <w:color w:val="auto"/>
          <w:highlight w:val="none"/>
        </w:rPr>
        <w:instrText xml:space="preserve"> PAGEREF _Toc10781 \h </w:instrText>
      </w:r>
      <w:r>
        <w:rPr>
          <w:color w:val="auto"/>
          <w:highlight w:val="none"/>
        </w:rPr>
        <w:fldChar w:fldCharType="separate"/>
      </w:r>
      <w:r>
        <w:rPr>
          <w:color w:val="auto"/>
          <w:highlight w:val="none"/>
        </w:rPr>
        <w:t>38</w:t>
      </w:r>
      <w:r>
        <w:rPr>
          <w:color w:val="auto"/>
          <w:highlight w:val="none"/>
        </w:rPr>
        <w:fldChar w:fldCharType="end"/>
      </w:r>
      <w:r>
        <w:rPr>
          <w:color w:val="auto"/>
          <w:highlight w:val="none"/>
        </w:rPr>
        <w:fldChar w:fldCharType="end"/>
      </w:r>
    </w:p>
    <w:p w14:paraId="55A70C93">
      <w:pPr>
        <w:pStyle w:val="46"/>
        <w:tabs>
          <w:tab w:val="right" w:leader="dot" w:pos="9638"/>
          <w:tab w:val="clear" w:pos="9628"/>
        </w:tabs>
        <w:jc w:val="left"/>
        <w:rPr>
          <w:color w:val="auto"/>
          <w:highlight w:val="none"/>
        </w:rPr>
      </w:pPr>
      <w:r>
        <w:rPr>
          <w:color w:val="auto"/>
          <w:highlight w:val="none"/>
        </w:rPr>
        <w:fldChar w:fldCharType="begin"/>
      </w:r>
      <w:r>
        <w:rPr>
          <w:color w:val="auto"/>
          <w:highlight w:val="none"/>
        </w:rPr>
        <w:instrText xml:space="preserve"> HYPERLINK \l "_Toc22293" </w:instrText>
      </w:r>
      <w:r>
        <w:rPr>
          <w:color w:val="auto"/>
          <w:highlight w:val="none"/>
        </w:rPr>
        <w:fldChar w:fldCharType="separate"/>
      </w:r>
      <w:r>
        <w:rPr>
          <w:rFonts w:hint="eastAsia" w:ascii="宋体" w:hAnsi="宋体" w:eastAsia="宋体"/>
          <w:color w:val="auto"/>
          <w:szCs w:val="36"/>
          <w:highlight w:val="none"/>
        </w:rPr>
        <w:t>第五部分   附件</w:t>
      </w:r>
      <w:r>
        <w:rPr>
          <w:color w:val="auto"/>
          <w:highlight w:val="none"/>
        </w:rPr>
        <w:tab/>
      </w:r>
      <w:r>
        <w:rPr>
          <w:color w:val="auto"/>
          <w:highlight w:val="none"/>
        </w:rPr>
        <w:fldChar w:fldCharType="begin"/>
      </w:r>
      <w:r>
        <w:rPr>
          <w:color w:val="auto"/>
          <w:highlight w:val="none"/>
        </w:rPr>
        <w:instrText xml:space="preserve"> PAGEREF _Toc22293 \h </w:instrText>
      </w:r>
      <w:r>
        <w:rPr>
          <w:color w:val="auto"/>
          <w:highlight w:val="none"/>
        </w:rPr>
        <w:fldChar w:fldCharType="separate"/>
      </w:r>
      <w:r>
        <w:rPr>
          <w:color w:val="auto"/>
          <w:highlight w:val="none"/>
        </w:rPr>
        <w:t>42</w:t>
      </w:r>
      <w:r>
        <w:rPr>
          <w:color w:val="auto"/>
          <w:highlight w:val="none"/>
        </w:rPr>
        <w:fldChar w:fldCharType="end"/>
      </w:r>
      <w:r>
        <w:rPr>
          <w:color w:val="auto"/>
          <w:highlight w:val="none"/>
        </w:rPr>
        <w:fldChar w:fldCharType="end"/>
      </w:r>
    </w:p>
    <w:p w14:paraId="6BE5AB71">
      <w:pPr>
        <w:spacing w:line="480" w:lineRule="auto"/>
        <w:jc w:val="left"/>
        <w:rPr>
          <w:rFonts w:ascii="宋体" w:hAnsi="宋体"/>
          <w:b/>
          <w:bCs/>
          <w:color w:val="auto"/>
          <w:sz w:val="22"/>
          <w:szCs w:val="22"/>
          <w:highlight w:val="none"/>
        </w:rPr>
      </w:pPr>
      <w:r>
        <w:rPr>
          <w:rFonts w:hint="eastAsia" w:ascii="宋体" w:hAnsi="宋体"/>
          <w:bCs/>
          <w:color w:val="auto"/>
          <w:highlight w:val="none"/>
        </w:rPr>
        <w:fldChar w:fldCharType="end"/>
      </w:r>
    </w:p>
    <w:p w14:paraId="41A7193B">
      <w:pPr>
        <w:spacing w:line="480" w:lineRule="auto"/>
        <w:jc w:val="left"/>
        <w:rPr>
          <w:rFonts w:ascii="宋体" w:hAnsi="宋体"/>
          <w:b/>
          <w:bCs/>
          <w:color w:val="auto"/>
          <w:sz w:val="22"/>
          <w:szCs w:val="22"/>
          <w:highlight w:val="none"/>
        </w:rPr>
      </w:pPr>
      <w:r>
        <w:rPr>
          <w:rFonts w:hint="eastAsia" w:ascii="宋体" w:hAnsi="宋体"/>
          <w:b/>
          <w:bCs/>
          <w:color w:val="auto"/>
          <w:sz w:val="22"/>
          <w:szCs w:val="22"/>
          <w:highlight w:val="none"/>
        </w:rPr>
        <w:t>注：</w:t>
      </w:r>
      <w:r>
        <w:rPr>
          <w:rFonts w:hint="eastAsia" w:ascii="宋体" w:hAnsi="宋体"/>
          <w:b/>
          <w:bCs/>
          <w:color w:val="auto"/>
          <w:sz w:val="24"/>
          <w:highlight w:val="none"/>
          <w:u w:val="single"/>
        </w:rPr>
        <w:t>招标文件中部分加“▲”且加下划线的条款，为招标的实质性要求和条件，着重提醒各投标人注意，并认真查看招标文件中的每一个条款及要求，因误读招标文件而造成的后果，招标人概不负责。</w:t>
      </w:r>
    </w:p>
    <w:p w14:paraId="3B8B2FFB">
      <w:pPr>
        <w:widowControl/>
        <w:jc w:val="left"/>
        <w:rPr>
          <w:rFonts w:ascii="宋体" w:hAnsi="宋体"/>
          <w:b/>
          <w:bCs/>
          <w:color w:val="auto"/>
          <w:highlight w:val="none"/>
        </w:rPr>
      </w:pPr>
      <w:r>
        <w:rPr>
          <w:rFonts w:ascii="宋体" w:hAnsi="宋体"/>
          <w:color w:val="auto"/>
          <w:highlight w:val="none"/>
        </w:rPr>
        <w:br w:type="page"/>
      </w:r>
    </w:p>
    <w:p w14:paraId="26C71546">
      <w:pPr>
        <w:pStyle w:val="4"/>
        <w:rPr>
          <w:rFonts w:ascii="宋体" w:hAnsi="宋体" w:eastAsia="宋体" w:cs="Arial"/>
          <w:b w:val="0"/>
          <w:bCs w:val="0"/>
          <w:color w:val="auto"/>
          <w:kern w:val="0"/>
          <w:sz w:val="30"/>
          <w:szCs w:val="30"/>
          <w:highlight w:val="none"/>
        </w:rPr>
      </w:pPr>
      <w:bookmarkStart w:id="0" w:name="_Toc6342"/>
      <w:bookmarkStart w:id="1" w:name="_Toc492496682"/>
      <w:bookmarkStart w:id="2" w:name="_Toc398293639"/>
      <w:bookmarkStart w:id="3" w:name="_Toc221356946"/>
      <w:bookmarkStart w:id="4" w:name="_Toc221423613"/>
      <w:bookmarkStart w:id="5" w:name="_Toc262105498"/>
      <w:bookmarkStart w:id="6" w:name="_Toc223715992"/>
      <w:bookmarkStart w:id="7" w:name="_Toc241404197"/>
      <w:bookmarkStart w:id="8" w:name="_Toc249758707"/>
      <w:bookmarkStart w:id="9" w:name="_Toc337660883"/>
      <w:bookmarkStart w:id="10" w:name="_Toc221356945"/>
      <w:bookmarkStart w:id="11" w:name="_Toc221374621"/>
      <w:bookmarkStart w:id="12" w:name="_Toc262049413"/>
      <w:bookmarkStart w:id="13" w:name="_Toc239145349"/>
      <w:bookmarkStart w:id="14" w:name="_Toc222114874"/>
      <w:bookmarkStart w:id="15" w:name="_Toc246261260"/>
      <w:bookmarkStart w:id="16" w:name="_Toc245722276"/>
      <w:bookmarkStart w:id="17" w:name="_Toc249758859"/>
      <w:bookmarkStart w:id="18" w:name="_Toc221374620"/>
      <w:bookmarkStart w:id="19" w:name="_Toc348800908"/>
      <w:bookmarkStart w:id="20" w:name="_Toc245191309"/>
      <w:bookmarkStart w:id="21" w:name="_Toc221423614"/>
      <w:bookmarkStart w:id="22" w:name="_Toc221356880"/>
      <w:bookmarkStart w:id="23" w:name="_Toc223715993"/>
      <w:bookmarkStart w:id="24" w:name="_Toc222114873"/>
      <w:bookmarkStart w:id="25" w:name="_Toc221356881"/>
      <w:r>
        <w:rPr>
          <w:rFonts w:hint="eastAsia" w:ascii="宋体" w:hAnsi="宋体" w:eastAsia="宋体" w:cs="Arial"/>
          <w:color w:val="auto"/>
          <w:sz w:val="30"/>
          <w:szCs w:val="30"/>
          <w:highlight w:val="none"/>
          <w:lang w:eastAsia="zh-CN"/>
        </w:rPr>
        <w:t>浙江欣力工程管理有限公司</w:t>
      </w:r>
      <w:r>
        <w:rPr>
          <w:rFonts w:hint="eastAsia" w:ascii="宋体" w:hAnsi="宋体" w:eastAsia="宋体" w:cs="Arial"/>
          <w:color w:val="auto"/>
          <w:sz w:val="30"/>
          <w:szCs w:val="30"/>
          <w:highlight w:val="none"/>
        </w:rPr>
        <w:t>关于交通技术服务运维项目的公开招标公告</w:t>
      </w:r>
      <w:bookmarkEnd w:id="0"/>
      <w:bookmarkEnd w:id="1"/>
      <w:bookmarkEnd w:id="2"/>
    </w:p>
    <w:p w14:paraId="541C24ED">
      <w:pPr>
        <w:pBdr>
          <w:top w:val="single" w:color="auto" w:sz="4" w:space="1"/>
          <w:left w:val="single" w:color="auto" w:sz="4" w:space="4"/>
          <w:bottom w:val="single" w:color="auto" w:sz="4" w:space="1"/>
          <w:right w:val="single" w:color="auto" w:sz="4" w:space="4"/>
        </w:pBdr>
        <w:ind w:firstLine="440" w:firstLineChars="200"/>
        <w:rPr>
          <w:rFonts w:ascii="宋体"/>
          <w:color w:val="auto"/>
          <w:sz w:val="22"/>
          <w:szCs w:val="22"/>
          <w:highlight w:val="none"/>
        </w:rPr>
      </w:pPr>
      <w:r>
        <w:rPr>
          <w:rFonts w:hint="eastAsia" w:ascii="宋体" w:hAnsi="宋体"/>
          <w:color w:val="auto"/>
          <w:sz w:val="22"/>
          <w:szCs w:val="22"/>
          <w:highlight w:val="none"/>
        </w:rPr>
        <w:t>项目概况</w:t>
      </w:r>
    </w:p>
    <w:p w14:paraId="05CE5225">
      <w:pPr>
        <w:pBdr>
          <w:top w:val="single" w:color="auto" w:sz="4" w:space="1"/>
          <w:left w:val="single" w:color="auto" w:sz="4" w:space="4"/>
          <w:bottom w:val="single" w:color="auto" w:sz="4" w:space="1"/>
          <w:right w:val="single" w:color="auto" w:sz="4" w:space="4"/>
        </w:pBdr>
        <w:ind w:firstLine="440" w:firstLineChars="200"/>
        <w:rPr>
          <w:rFonts w:ascii="宋体" w:hAnsi="宋体"/>
          <w:color w:val="auto"/>
          <w:sz w:val="22"/>
          <w:szCs w:val="22"/>
          <w:highlight w:val="none"/>
        </w:rPr>
      </w:pPr>
      <w:r>
        <w:rPr>
          <w:rFonts w:hint="eastAsia" w:ascii="宋体" w:hAnsi="宋体"/>
          <w:color w:val="auto"/>
          <w:sz w:val="22"/>
          <w:szCs w:val="22"/>
          <w:highlight w:val="none"/>
          <w:u w:val="single"/>
        </w:rPr>
        <w:t>交通技术服务运维项目的潜在投标人应在政采云平台（www.zcygov.cn）获取（下载）采购文件，并于</w:t>
      </w:r>
      <w:r>
        <w:rPr>
          <w:rFonts w:hint="eastAsia" w:ascii="宋体" w:hAnsi="宋体"/>
          <w:color w:val="auto"/>
          <w:sz w:val="22"/>
          <w:szCs w:val="22"/>
          <w:highlight w:val="none"/>
          <w:u w:val="single"/>
          <w:lang w:val="en-US" w:eastAsia="zh-CN"/>
        </w:rPr>
        <w:t>2025</w:t>
      </w:r>
      <w:r>
        <w:rPr>
          <w:rFonts w:hint="eastAsia" w:ascii="宋体" w:hAnsi="宋体"/>
          <w:color w:val="auto"/>
          <w:sz w:val="22"/>
          <w:szCs w:val="22"/>
          <w:highlight w:val="none"/>
          <w:u w:val="single"/>
        </w:rPr>
        <w:t>年</w:t>
      </w:r>
      <w:r>
        <w:rPr>
          <w:rFonts w:hint="eastAsia" w:ascii="宋体" w:hAnsi="宋体"/>
          <w:color w:val="auto"/>
          <w:sz w:val="22"/>
          <w:szCs w:val="22"/>
          <w:highlight w:val="none"/>
          <w:u w:val="single"/>
          <w:lang w:val="en-US" w:eastAsia="zh-CN"/>
        </w:rPr>
        <w:t>04</w:t>
      </w:r>
      <w:r>
        <w:rPr>
          <w:rFonts w:hint="eastAsia" w:ascii="宋体" w:hAnsi="宋体"/>
          <w:color w:val="auto"/>
          <w:sz w:val="22"/>
          <w:szCs w:val="22"/>
          <w:highlight w:val="none"/>
          <w:u w:val="single"/>
        </w:rPr>
        <w:t>月</w:t>
      </w:r>
      <w:r>
        <w:rPr>
          <w:rFonts w:hint="eastAsia" w:ascii="宋体" w:hAnsi="宋体"/>
          <w:color w:val="auto"/>
          <w:sz w:val="22"/>
          <w:szCs w:val="22"/>
          <w:highlight w:val="none"/>
          <w:u w:val="single"/>
          <w:lang w:val="en-US" w:eastAsia="zh-CN"/>
        </w:rPr>
        <w:t>24</w:t>
      </w:r>
      <w:r>
        <w:rPr>
          <w:rFonts w:hint="eastAsia" w:ascii="宋体" w:hAnsi="宋体"/>
          <w:color w:val="auto"/>
          <w:sz w:val="22"/>
          <w:szCs w:val="22"/>
          <w:highlight w:val="none"/>
          <w:u w:val="single"/>
        </w:rPr>
        <w:t>日</w:t>
      </w:r>
      <w:r>
        <w:rPr>
          <w:rFonts w:hint="eastAsia" w:ascii="宋体" w:hAnsi="宋体"/>
          <w:color w:val="auto"/>
          <w:sz w:val="22"/>
          <w:szCs w:val="22"/>
          <w:highlight w:val="none"/>
          <w:u w:val="single"/>
          <w:lang w:val="en-US" w:eastAsia="zh-CN"/>
        </w:rPr>
        <w:t>14时30分</w:t>
      </w:r>
      <w:r>
        <w:rPr>
          <w:rFonts w:hint="eastAsia" w:ascii="宋体" w:hAnsi="宋体"/>
          <w:color w:val="auto"/>
          <w:sz w:val="22"/>
          <w:szCs w:val="22"/>
          <w:highlight w:val="none"/>
          <w:u w:val="single"/>
        </w:rPr>
        <w:t>（北京时间）前提交（上传）响应文件。</w:t>
      </w:r>
    </w:p>
    <w:p w14:paraId="7BC64B0D">
      <w:pPr>
        <w:widowControl/>
        <w:spacing w:before="60" w:after="60" w:line="360" w:lineRule="exact"/>
        <w:ind w:left="60" w:right="60"/>
        <w:jc w:val="left"/>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一、项目基本情况</w:t>
      </w:r>
    </w:p>
    <w:p w14:paraId="2334041C">
      <w:pPr>
        <w:widowControl/>
        <w:spacing w:before="60" w:after="60" w:line="360" w:lineRule="exact"/>
        <w:ind w:right="60" w:firstLine="418" w:firstLineChars="190"/>
        <w:jc w:val="left"/>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项目编号：</w:t>
      </w:r>
      <w:r>
        <w:rPr>
          <w:rFonts w:hint="eastAsia" w:ascii="宋体" w:hAnsi="宋体" w:cs="宋体"/>
          <w:b w:val="0"/>
          <w:bCs/>
          <w:color w:val="auto"/>
          <w:kern w:val="0"/>
          <w:sz w:val="22"/>
          <w:szCs w:val="22"/>
          <w:highlight w:val="none"/>
        </w:rPr>
        <w:t>XLCG2025002</w:t>
      </w:r>
    </w:p>
    <w:p w14:paraId="3C25AC4F">
      <w:pPr>
        <w:widowControl/>
        <w:spacing w:before="60" w:after="60" w:line="360" w:lineRule="exact"/>
        <w:ind w:right="60" w:firstLine="418" w:firstLineChars="190"/>
        <w:jc w:val="left"/>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项目名称：交通技术服务运维项目</w:t>
      </w:r>
    </w:p>
    <w:p w14:paraId="7448E0AC">
      <w:pPr>
        <w:widowControl/>
        <w:spacing w:before="60" w:after="60" w:line="360" w:lineRule="exact"/>
        <w:ind w:right="60" w:firstLine="418" w:firstLineChars="190"/>
        <w:jc w:val="left"/>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 xml:space="preserve">采购方式：公开招标 </w:t>
      </w:r>
    </w:p>
    <w:p w14:paraId="26D420F1">
      <w:pPr>
        <w:widowControl/>
        <w:spacing w:before="60" w:after="60" w:line="360" w:lineRule="exact"/>
        <w:ind w:right="60" w:firstLine="418" w:firstLineChars="190"/>
        <w:jc w:val="left"/>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预算金额（元）：2579500</w:t>
      </w:r>
    </w:p>
    <w:p w14:paraId="2A791BBD">
      <w:pPr>
        <w:widowControl/>
        <w:spacing w:before="60" w:after="60" w:line="360" w:lineRule="exact"/>
        <w:ind w:right="60" w:firstLine="418" w:firstLineChars="190"/>
        <w:jc w:val="left"/>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简要规格描述：</w:t>
      </w:r>
      <w:r>
        <w:rPr>
          <w:rFonts w:hint="eastAsia" w:ascii="宋体" w:hAnsi="宋体" w:cs="宋体"/>
          <w:color w:val="auto"/>
          <w:sz w:val="22"/>
          <w:highlight w:val="none"/>
        </w:rPr>
        <w:t>信息化技术外</w:t>
      </w:r>
      <w:r>
        <w:rPr>
          <w:rFonts w:hint="eastAsia" w:ascii="宋体" w:hAnsi="宋体" w:cs="宋体"/>
          <w:bCs/>
          <w:color w:val="auto"/>
          <w:kern w:val="0"/>
          <w:sz w:val="22"/>
          <w:szCs w:val="22"/>
          <w:highlight w:val="none"/>
        </w:rPr>
        <w:t>包服务、智慧交通专网租用、数据中心容灾服务等，具体采购内容及要求详见招标文件相关部分。</w:t>
      </w:r>
    </w:p>
    <w:p w14:paraId="1A2FC1CB">
      <w:pPr>
        <w:widowControl/>
        <w:spacing w:before="60" w:after="60" w:line="360" w:lineRule="exact"/>
        <w:ind w:right="60" w:firstLine="418" w:firstLineChars="190"/>
        <w:jc w:val="left"/>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合同履约期限：1年。</w:t>
      </w:r>
    </w:p>
    <w:p w14:paraId="40CFD65E">
      <w:pPr>
        <w:widowControl/>
        <w:spacing w:before="60" w:after="60" w:line="360" w:lineRule="exact"/>
        <w:ind w:right="60" w:firstLine="418" w:firstLineChars="190"/>
        <w:jc w:val="left"/>
        <w:rPr>
          <w:rFonts w:ascii="宋体" w:hAnsi="宋体" w:cs="宋体"/>
          <w:bCs/>
          <w:color w:val="auto"/>
          <w:kern w:val="0"/>
          <w:sz w:val="22"/>
          <w:szCs w:val="22"/>
          <w:highlight w:val="none"/>
        </w:rPr>
      </w:pPr>
      <w:r>
        <w:rPr>
          <w:rFonts w:hint="eastAsia" w:ascii="宋体" w:hAnsi="宋体" w:cs="宋体"/>
          <w:color w:val="auto"/>
          <w:kern w:val="0"/>
          <w:sz w:val="22"/>
          <w:szCs w:val="22"/>
          <w:highlight w:val="none"/>
        </w:rPr>
        <w:t>本项目（是）接受联合体投标。</w:t>
      </w:r>
    </w:p>
    <w:p w14:paraId="0C4D12F5">
      <w:pPr>
        <w:widowControl/>
        <w:spacing w:before="60" w:after="60" w:line="360" w:lineRule="exact"/>
        <w:ind w:left="60" w:right="60"/>
        <w:jc w:val="left"/>
        <w:rPr>
          <w:rFonts w:ascii="宋体" w:hAnsi="宋体" w:cs="宋体"/>
          <w:color w:val="auto"/>
          <w:kern w:val="0"/>
          <w:sz w:val="22"/>
          <w:szCs w:val="22"/>
          <w:highlight w:val="none"/>
        </w:rPr>
      </w:pPr>
      <w:r>
        <w:rPr>
          <w:rFonts w:hint="eastAsia" w:ascii="宋体" w:hAnsi="宋体" w:cs="宋体"/>
          <w:b/>
          <w:color w:val="auto"/>
          <w:kern w:val="0"/>
          <w:sz w:val="22"/>
          <w:szCs w:val="22"/>
          <w:highlight w:val="none"/>
        </w:rPr>
        <w:t>二、申请人的资格要求</w:t>
      </w:r>
    </w:p>
    <w:p w14:paraId="56CEF974">
      <w:pPr>
        <w:widowControl/>
        <w:spacing w:before="60" w:after="60" w:line="360" w:lineRule="exact"/>
        <w:ind w:left="708" w:leftChars="285" w:right="60" w:hanging="110" w:hangingChars="50"/>
        <w:jc w:val="left"/>
        <w:rPr>
          <w:rFonts w:ascii="宋体" w:hAnsi="宋体" w:cs="hakuyoxingshu7000"/>
          <w:bCs/>
          <w:color w:val="auto"/>
          <w:kern w:val="0"/>
          <w:sz w:val="22"/>
          <w:szCs w:val="22"/>
          <w:highlight w:val="none"/>
        </w:rPr>
      </w:pPr>
      <w:r>
        <w:rPr>
          <w:rFonts w:hint="eastAsia" w:ascii="宋体" w:hAnsi="宋体" w:cs="hakuyoxingshu7000"/>
          <w:bCs/>
          <w:color w:val="auto"/>
          <w:kern w:val="0"/>
          <w:sz w:val="22"/>
          <w:szCs w:val="22"/>
          <w:highlight w:val="none"/>
        </w:rPr>
        <w:t>1.满足《中华人民共和国政府采购法》第二十二条的规定；未被“信用中国”（www.creditchina.gov.cn)、中国政府采购网（www.ccgp.gov.cn）列入失信被执行人、重大税收违法案件当事人名单、政府采购严重违法失信行为记录名单。</w:t>
      </w:r>
    </w:p>
    <w:p w14:paraId="3BDC26DB">
      <w:pPr>
        <w:widowControl/>
        <w:spacing w:before="60" w:after="60" w:line="360" w:lineRule="exact"/>
        <w:ind w:left="708" w:leftChars="285" w:right="60" w:hanging="110" w:hangingChars="50"/>
        <w:jc w:val="left"/>
        <w:rPr>
          <w:rFonts w:ascii="宋体" w:hAnsi="宋体" w:cs="新宋体"/>
          <w:bCs/>
          <w:color w:val="auto"/>
          <w:sz w:val="22"/>
          <w:highlight w:val="none"/>
        </w:rPr>
      </w:pPr>
      <w:r>
        <w:rPr>
          <w:rFonts w:hint="eastAsia" w:ascii="宋体" w:hAnsi="宋体" w:cs="hakuyoxingshu7000"/>
          <w:bCs/>
          <w:color w:val="auto"/>
          <w:kern w:val="0"/>
          <w:sz w:val="22"/>
          <w:szCs w:val="22"/>
          <w:highlight w:val="none"/>
        </w:rPr>
        <w:t>2.落实政府采购政策需满足的资格要求：无；</w:t>
      </w:r>
    </w:p>
    <w:p w14:paraId="72A1202B">
      <w:pPr>
        <w:widowControl/>
        <w:spacing w:before="60" w:after="60" w:line="360" w:lineRule="exact"/>
        <w:ind w:left="708" w:leftChars="285" w:right="60" w:hanging="110" w:hangingChars="50"/>
        <w:jc w:val="left"/>
        <w:rPr>
          <w:rFonts w:ascii="宋体" w:hAnsi="宋体" w:cs="hakuyoxingshu7000"/>
          <w:bCs/>
          <w:color w:val="auto"/>
          <w:kern w:val="0"/>
          <w:sz w:val="22"/>
          <w:szCs w:val="22"/>
          <w:highlight w:val="none"/>
        </w:rPr>
      </w:pPr>
      <w:r>
        <w:rPr>
          <w:rFonts w:hint="eastAsia" w:ascii="宋体" w:hAnsi="宋体" w:cs="hakuyoxingshu7000"/>
          <w:bCs/>
          <w:color w:val="auto"/>
          <w:kern w:val="0"/>
          <w:sz w:val="22"/>
          <w:szCs w:val="22"/>
          <w:highlight w:val="none"/>
        </w:rPr>
        <w:t>3.本项目的特定资格要求：</w:t>
      </w:r>
      <w:r>
        <w:rPr>
          <w:rFonts w:hint="eastAsia" w:ascii="宋体" w:hAnsi="宋体" w:cs="宋体"/>
          <w:bCs/>
          <w:color w:val="auto"/>
          <w:kern w:val="0"/>
          <w:sz w:val="22"/>
          <w:szCs w:val="22"/>
          <w:highlight w:val="none"/>
        </w:rPr>
        <w:t>无</w:t>
      </w:r>
      <w:r>
        <w:rPr>
          <w:rFonts w:hint="eastAsia" w:ascii="宋体" w:hAnsi="宋体" w:cs="hakuyoxingshu7000"/>
          <w:bCs/>
          <w:color w:val="auto"/>
          <w:kern w:val="0"/>
          <w:sz w:val="22"/>
          <w:szCs w:val="22"/>
          <w:highlight w:val="none"/>
        </w:rPr>
        <w:t>。</w:t>
      </w:r>
    </w:p>
    <w:p w14:paraId="0C5E992A">
      <w:pPr>
        <w:widowControl/>
        <w:spacing w:before="60" w:after="60" w:line="360" w:lineRule="exact"/>
        <w:ind w:left="60" w:right="60"/>
        <w:jc w:val="left"/>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三、获取招标文件</w:t>
      </w:r>
    </w:p>
    <w:p w14:paraId="32FF046B">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1.时间：公告发布之日起至投标截止时间前，每天上午08:30-11:30，下午14:30-17:30（节假日除外）。</w:t>
      </w:r>
    </w:p>
    <w:p w14:paraId="7AF72889">
      <w:pPr>
        <w:widowControl/>
        <w:spacing w:before="60" w:after="60" w:line="360" w:lineRule="exact"/>
        <w:ind w:right="60" w:firstLine="440"/>
        <w:jc w:val="left"/>
        <w:rPr>
          <w:rFonts w:ascii="宋体" w:hAnsi="宋体" w:cs="hakuyoxingshu7000"/>
          <w:color w:val="auto"/>
          <w:kern w:val="0"/>
          <w:sz w:val="22"/>
          <w:szCs w:val="22"/>
          <w:highlight w:val="none"/>
        </w:rPr>
      </w:pPr>
      <w:r>
        <w:rPr>
          <w:rFonts w:hint="eastAsia" w:ascii="宋体" w:hAnsi="宋体" w:cs="宋体"/>
          <w:color w:val="auto"/>
          <w:kern w:val="0"/>
          <w:sz w:val="22"/>
          <w:szCs w:val="22"/>
          <w:highlight w:val="none"/>
        </w:rPr>
        <w:t>2.地点：</w:t>
      </w:r>
      <w:r>
        <w:rPr>
          <w:rFonts w:hint="eastAsia" w:ascii="宋体" w:hAnsi="宋体" w:cs="hakuyoxingshu7000"/>
          <w:color w:val="auto"/>
          <w:kern w:val="0"/>
          <w:sz w:val="22"/>
          <w:szCs w:val="22"/>
          <w:highlight w:val="none"/>
        </w:rPr>
        <w:t>在政采云平台（www.zcygov.cn）</w:t>
      </w:r>
    </w:p>
    <w:p w14:paraId="60E0EC4C">
      <w:pPr>
        <w:widowControl/>
        <w:spacing w:before="60" w:after="60" w:line="360" w:lineRule="exact"/>
        <w:ind w:right="60" w:firstLine="440"/>
        <w:jc w:val="left"/>
        <w:rPr>
          <w:rFonts w:ascii="宋体" w:hAnsi="宋体"/>
          <w:color w:val="auto"/>
          <w:sz w:val="22"/>
          <w:szCs w:val="22"/>
          <w:highlight w:val="none"/>
        </w:rPr>
      </w:pPr>
      <w:r>
        <w:rPr>
          <w:rFonts w:hint="eastAsia" w:ascii="宋体" w:hAnsi="宋体" w:cs="宋体"/>
          <w:color w:val="auto"/>
          <w:kern w:val="0"/>
          <w:sz w:val="22"/>
          <w:szCs w:val="22"/>
          <w:highlight w:val="none"/>
        </w:rPr>
        <w:t>3.方式：</w:t>
      </w:r>
      <w:r>
        <w:rPr>
          <w:rFonts w:ascii="宋体" w:hAnsi="宋体"/>
          <w:color w:val="auto"/>
          <w:sz w:val="22"/>
          <w:szCs w:val="22"/>
          <w:highlight w:val="none"/>
        </w:rPr>
        <w:t>潜在投标人登陆政采云平台</w:t>
      </w:r>
      <w:r>
        <w:rPr>
          <w:rFonts w:hint="eastAsia" w:ascii="宋体" w:hAnsi="宋体" w:cs="hakuyoxingshu7000"/>
          <w:color w:val="auto"/>
          <w:kern w:val="0"/>
          <w:sz w:val="22"/>
          <w:szCs w:val="22"/>
          <w:highlight w:val="none"/>
        </w:rPr>
        <w:t>（www.zcygov.cn）</w:t>
      </w:r>
      <w:r>
        <w:rPr>
          <w:rFonts w:ascii="宋体" w:hAnsi="宋体"/>
          <w:color w:val="auto"/>
          <w:sz w:val="22"/>
          <w:szCs w:val="22"/>
          <w:highlight w:val="none"/>
        </w:rPr>
        <w:t>，在线申请获取</w:t>
      </w:r>
      <w:r>
        <w:rPr>
          <w:rFonts w:hint="eastAsia" w:ascii="宋体" w:hAnsi="宋体"/>
          <w:color w:val="auto"/>
          <w:sz w:val="22"/>
          <w:szCs w:val="22"/>
          <w:highlight w:val="none"/>
        </w:rPr>
        <w:t>采购文件</w:t>
      </w:r>
      <w:r>
        <w:rPr>
          <w:rFonts w:ascii="宋体" w:hAnsi="宋体"/>
          <w:color w:val="auto"/>
          <w:sz w:val="22"/>
          <w:szCs w:val="22"/>
          <w:highlight w:val="none"/>
        </w:rPr>
        <w:t>（</w:t>
      </w:r>
      <w:r>
        <w:rPr>
          <w:rFonts w:hint="eastAsia" w:ascii="宋体" w:hAnsi="宋体"/>
          <w:color w:val="auto"/>
          <w:sz w:val="22"/>
          <w:szCs w:val="22"/>
          <w:highlight w:val="none"/>
        </w:rPr>
        <w:t>进入</w:t>
      </w:r>
      <w:r>
        <w:rPr>
          <w:rFonts w:hint="eastAsia" w:ascii="宋体"/>
          <w:color w:val="auto"/>
          <w:sz w:val="22"/>
          <w:szCs w:val="22"/>
          <w:highlight w:val="none"/>
        </w:rPr>
        <w:t>“</w:t>
      </w:r>
      <w:r>
        <w:rPr>
          <w:rFonts w:hint="eastAsia" w:ascii="宋体" w:hAnsi="宋体"/>
          <w:color w:val="auto"/>
          <w:sz w:val="22"/>
          <w:szCs w:val="22"/>
          <w:highlight w:val="none"/>
        </w:rPr>
        <w:t>项目采购</w:t>
      </w:r>
      <w:r>
        <w:rPr>
          <w:rFonts w:hint="eastAsia" w:ascii="宋体"/>
          <w:color w:val="auto"/>
          <w:sz w:val="22"/>
          <w:szCs w:val="22"/>
          <w:highlight w:val="none"/>
        </w:rPr>
        <w:t>”</w:t>
      </w:r>
      <w:r>
        <w:rPr>
          <w:rFonts w:hint="eastAsia" w:ascii="宋体" w:hAnsi="宋体"/>
          <w:color w:val="auto"/>
          <w:sz w:val="22"/>
          <w:szCs w:val="22"/>
          <w:highlight w:val="none"/>
        </w:rPr>
        <w:t>应用，在获取采购文件菜单中选择项目，申请获取采购文件；仅需浏览采购文件的投标人可点击</w:t>
      </w:r>
      <w:r>
        <w:rPr>
          <w:rFonts w:hint="eastAsia" w:ascii="宋体"/>
          <w:color w:val="auto"/>
          <w:sz w:val="22"/>
          <w:szCs w:val="22"/>
          <w:highlight w:val="none"/>
        </w:rPr>
        <w:t>“</w:t>
      </w:r>
      <w:r>
        <w:rPr>
          <w:rFonts w:hint="eastAsia" w:ascii="宋体" w:hAnsi="宋体"/>
          <w:color w:val="auto"/>
          <w:sz w:val="22"/>
          <w:szCs w:val="22"/>
          <w:highlight w:val="none"/>
        </w:rPr>
        <w:t>游客，浏览采购文件</w:t>
      </w:r>
      <w:r>
        <w:rPr>
          <w:rFonts w:hint="eastAsia" w:ascii="宋体"/>
          <w:color w:val="auto"/>
          <w:sz w:val="22"/>
          <w:szCs w:val="22"/>
          <w:highlight w:val="none"/>
        </w:rPr>
        <w:t>”</w:t>
      </w:r>
      <w:r>
        <w:rPr>
          <w:rFonts w:hint="eastAsia" w:ascii="宋体" w:hAnsi="宋体"/>
          <w:color w:val="auto"/>
          <w:sz w:val="22"/>
          <w:szCs w:val="22"/>
          <w:highlight w:val="none"/>
        </w:rPr>
        <w:t>直接下载采购文件浏览</w:t>
      </w:r>
      <w:r>
        <w:rPr>
          <w:rFonts w:ascii="宋体" w:hAnsi="宋体"/>
          <w:color w:val="auto"/>
          <w:sz w:val="22"/>
          <w:szCs w:val="22"/>
          <w:highlight w:val="none"/>
        </w:rPr>
        <w:t>）。</w:t>
      </w:r>
    </w:p>
    <w:p w14:paraId="4F775D7F">
      <w:pPr>
        <w:widowControl/>
        <w:spacing w:before="60" w:after="60" w:line="360" w:lineRule="exact"/>
        <w:ind w:right="60" w:firstLine="440"/>
        <w:jc w:val="left"/>
        <w:rPr>
          <w:rFonts w:ascii="宋体"/>
          <w:color w:val="auto"/>
          <w:sz w:val="22"/>
          <w:szCs w:val="22"/>
          <w:highlight w:val="none"/>
        </w:rPr>
      </w:pPr>
      <w:r>
        <w:rPr>
          <w:rFonts w:hint="eastAsia" w:ascii="宋体" w:hAnsi="宋体" w:cs="宋体"/>
          <w:b/>
          <w:color w:val="auto"/>
          <w:kern w:val="0"/>
          <w:sz w:val="22"/>
          <w:szCs w:val="22"/>
          <w:highlight w:val="none"/>
        </w:rPr>
        <w:t>投标人只有在“政采云平台”完成获取采购文件申请并下载了采购文件后才视作依法获取采购文件（法律法规所指的投标人获取采购文件时间以投标人完成获取采购文件申请后下载采购文件的时间为准）。未依法获取采购文件的潜在投标人对采购文件提起质疑投诉，不予受理。</w:t>
      </w:r>
    </w:p>
    <w:p w14:paraId="135D88C2">
      <w:pPr>
        <w:widowControl/>
        <w:spacing w:before="60" w:after="60" w:line="360" w:lineRule="exact"/>
        <w:ind w:right="60" w:firstLine="440"/>
        <w:jc w:val="left"/>
        <w:rPr>
          <w:rFonts w:ascii="宋体" w:cs="宋体"/>
          <w:b/>
          <w:color w:val="auto"/>
          <w:kern w:val="0"/>
          <w:sz w:val="22"/>
          <w:szCs w:val="22"/>
          <w:highlight w:val="none"/>
        </w:rPr>
      </w:pPr>
      <w:r>
        <w:rPr>
          <w:rFonts w:ascii="宋体" w:hAnsi="宋体" w:cs="宋体"/>
          <w:color w:val="auto"/>
          <w:kern w:val="0"/>
          <w:sz w:val="22"/>
          <w:szCs w:val="22"/>
          <w:highlight w:val="none"/>
        </w:rPr>
        <w:t>4</w:t>
      </w:r>
      <w:r>
        <w:rPr>
          <w:rFonts w:hint="eastAsia" w:ascii="宋体" w:hAnsi="宋体" w:cs="宋体"/>
          <w:color w:val="auto"/>
          <w:kern w:val="0"/>
          <w:sz w:val="22"/>
          <w:szCs w:val="22"/>
          <w:highlight w:val="none"/>
        </w:rPr>
        <w:t>．售价（元）：0</w:t>
      </w:r>
    </w:p>
    <w:p w14:paraId="16118F56">
      <w:pPr>
        <w:widowControl/>
        <w:spacing w:before="60" w:after="60" w:line="360" w:lineRule="exact"/>
        <w:ind w:left="60" w:right="60"/>
        <w:jc w:val="lef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四、提交投标文件截止时间、开标时间和地点</w:t>
      </w:r>
    </w:p>
    <w:p w14:paraId="168018AD">
      <w:pPr>
        <w:widowControl/>
        <w:spacing w:before="60" w:after="60" w:line="360" w:lineRule="exact"/>
        <w:ind w:left="61" w:leftChars="29" w:right="60" w:firstLine="431" w:firstLineChars="196"/>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投标文件提交截止时间：</w:t>
      </w:r>
      <w:r>
        <w:rPr>
          <w:rFonts w:hint="eastAsia" w:ascii="宋体" w:hAnsi="宋体"/>
          <w:color w:val="auto"/>
          <w:sz w:val="22"/>
          <w:szCs w:val="22"/>
          <w:highlight w:val="none"/>
          <w:u w:val="none"/>
          <w:lang w:val="en-US" w:eastAsia="zh-CN"/>
        </w:rPr>
        <w:t>2025</w:t>
      </w:r>
      <w:r>
        <w:rPr>
          <w:rFonts w:hint="eastAsia" w:ascii="宋体" w:hAnsi="宋体"/>
          <w:color w:val="auto"/>
          <w:sz w:val="22"/>
          <w:szCs w:val="22"/>
          <w:highlight w:val="none"/>
          <w:u w:val="none"/>
        </w:rPr>
        <w:t>年</w:t>
      </w:r>
      <w:r>
        <w:rPr>
          <w:rFonts w:hint="eastAsia" w:ascii="宋体" w:hAnsi="宋体"/>
          <w:color w:val="auto"/>
          <w:sz w:val="22"/>
          <w:szCs w:val="22"/>
          <w:highlight w:val="none"/>
          <w:u w:val="none"/>
          <w:lang w:val="en-US" w:eastAsia="zh-CN"/>
        </w:rPr>
        <w:t>04</w:t>
      </w:r>
      <w:r>
        <w:rPr>
          <w:rFonts w:hint="eastAsia" w:ascii="宋体" w:hAnsi="宋体"/>
          <w:color w:val="auto"/>
          <w:sz w:val="22"/>
          <w:szCs w:val="22"/>
          <w:highlight w:val="none"/>
          <w:u w:val="none"/>
        </w:rPr>
        <w:t>月</w:t>
      </w:r>
      <w:r>
        <w:rPr>
          <w:rFonts w:hint="eastAsia" w:ascii="宋体" w:hAnsi="宋体"/>
          <w:color w:val="auto"/>
          <w:sz w:val="22"/>
          <w:szCs w:val="22"/>
          <w:highlight w:val="none"/>
          <w:u w:val="none"/>
          <w:lang w:val="en-US" w:eastAsia="zh-CN"/>
        </w:rPr>
        <w:t>24</w:t>
      </w:r>
      <w:r>
        <w:rPr>
          <w:rFonts w:hint="eastAsia" w:ascii="宋体" w:hAnsi="宋体"/>
          <w:color w:val="auto"/>
          <w:sz w:val="22"/>
          <w:szCs w:val="22"/>
          <w:highlight w:val="none"/>
          <w:u w:val="none"/>
        </w:rPr>
        <w:t>日</w:t>
      </w:r>
      <w:r>
        <w:rPr>
          <w:rFonts w:hint="eastAsia" w:ascii="宋体" w:hAnsi="宋体"/>
          <w:color w:val="auto"/>
          <w:sz w:val="22"/>
          <w:szCs w:val="22"/>
          <w:highlight w:val="none"/>
          <w:u w:val="none"/>
          <w:lang w:val="en-US" w:eastAsia="zh-CN"/>
        </w:rPr>
        <w:t>14时30分</w:t>
      </w:r>
      <w:r>
        <w:rPr>
          <w:rFonts w:hint="eastAsia" w:ascii="宋体" w:hAnsi="宋体" w:cs="宋体"/>
          <w:color w:val="auto"/>
          <w:kern w:val="0"/>
          <w:sz w:val="22"/>
          <w:szCs w:val="22"/>
          <w:highlight w:val="none"/>
        </w:rPr>
        <w:t>（北京时间）</w:t>
      </w:r>
    </w:p>
    <w:p w14:paraId="3D622964">
      <w:pPr>
        <w:widowControl/>
        <w:spacing w:before="60" w:after="60" w:line="360" w:lineRule="exact"/>
        <w:ind w:left="61" w:leftChars="29" w:right="60" w:firstLine="431" w:firstLineChars="196"/>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投标地点（网址）：政府采购云平台（www.zcygov.cn） </w:t>
      </w:r>
    </w:p>
    <w:p w14:paraId="424380C5">
      <w:pPr>
        <w:widowControl/>
        <w:spacing w:before="60" w:after="60" w:line="360" w:lineRule="exact"/>
        <w:ind w:left="61" w:leftChars="29" w:right="60" w:firstLine="431" w:firstLineChars="196"/>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开标时间：</w:t>
      </w:r>
      <w:r>
        <w:rPr>
          <w:rFonts w:hint="eastAsia" w:ascii="宋体" w:hAnsi="宋体"/>
          <w:color w:val="auto"/>
          <w:sz w:val="22"/>
          <w:szCs w:val="22"/>
          <w:highlight w:val="none"/>
          <w:u w:val="none"/>
          <w:lang w:val="en-US" w:eastAsia="zh-CN"/>
        </w:rPr>
        <w:t>2025</w:t>
      </w:r>
      <w:r>
        <w:rPr>
          <w:rFonts w:hint="eastAsia" w:ascii="宋体" w:hAnsi="宋体"/>
          <w:color w:val="auto"/>
          <w:sz w:val="22"/>
          <w:szCs w:val="22"/>
          <w:highlight w:val="none"/>
          <w:u w:val="none"/>
        </w:rPr>
        <w:t>年</w:t>
      </w:r>
      <w:r>
        <w:rPr>
          <w:rFonts w:hint="eastAsia" w:ascii="宋体" w:hAnsi="宋体"/>
          <w:color w:val="auto"/>
          <w:sz w:val="22"/>
          <w:szCs w:val="22"/>
          <w:highlight w:val="none"/>
          <w:u w:val="none"/>
          <w:lang w:val="en-US" w:eastAsia="zh-CN"/>
        </w:rPr>
        <w:t>04</w:t>
      </w:r>
      <w:r>
        <w:rPr>
          <w:rFonts w:hint="eastAsia" w:ascii="宋体" w:hAnsi="宋体"/>
          <w:color w:val="auto"/>
          <w:sz w:val="22"/>
          <w:szCs w:val="22"/>
          <w:highlight w:val="none"/>
          <w:u w:val="none"/>
        </w:rPr>
        <w:t>月</w:t>
      </w:r>
      <w:r>
        <w:rPr>
          <w:rFonts w:hint="eastAsia" w:ascii="宋体" w:hAnsi="宋体"/>
          <w:color w:val="auto"/>
          <w:sz w:val="22"/>
          <w:szCs w:val="22"/>
          <w:highlight w:val="none"/>
          <w:u w:val="none"/>
          <w:lang w:val="en-US" w:eastAsia="zh-CN"/>
        </w:rPr>
        <w:t>24</w:t>
      </w:r>
      <w:r>
        <w:rPr>
          <w:rFonts w:hint="eastAsia" w:ascii="宋体" w:hAnsi="宋体"/>
          <w:color w:val="auto"/>
          <w:sz w:val="22"/>
          <w:szCs w:val="22"/>
          <w:highlight w:val="none"/>
          <w:u w:val="none"/>
        </w:rPr>
        <w:t>日</w:t>
      </w:r>
      <w:r>
        <w:rPr>
          <w:rFonts w:hint="eastAsia" w:ascii="宋体" w:hAnsi="宋体"/>
          <w:color w:val="auto"/>
          <w:sz w:val="22"/>
          <w:szCs w:val="22"/>
          <w:highlight w:val="none"/>
          <w:u w:val="none"/>
          <w:lang w:val="en-US" w:eastAsia="zh-CN"/>
        </w:rPr>
        <w:t>14时30分</w:t>
      </w:r>
      <w:r>
        <w:rPr>
          <w:rFonts w:hint="eastAsia" w:ascii="宋体" w:hAnsi="宋体" w:cs="宋体"/>
          <w:color w:val="auto"/>
          <w:kern w:val="0"/>
          <w:sz w:val="22"/>
          <w:szCs w:val="22"/>
          <w:highlight w:val="none"/>
        </w:rPr>
        <w:t xml:space="preserve">  </w:t>
      </w:r>
    </w:p>
    <w:p w14:paraId="5AFED49F">
      <w:pPr>
        <w:widowControl/>
        <w:spacing w:before="60" w:after="60" w:line="360" w:lineRule="exact"/>
        <w:ind w:left="61" w:leftChars="29" w:right="60" w:firstLine="431" w:firstLineChars="196"/>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开标地点（网址）：政府采购云平台（</w:t>
      </w:r>
      <w:r>
        <w:rPr>
          <w:rFonts w:ascii="宋体" w:hAnsi="宋体" w:cs="宋体"/>
          <w:color w:val="auto"/>
          <w:kern w:val="0"/>
          <w:sz w:val="22"/>
          <w:szCs w:val="22"/>
          <w:highlight w:val="none"/>
        </w:rPr>
        <w:t>www.zcygov.cn</w:t>
      </w:r>
      <w:r>
        <w:rPr>
          <w:rFonts w:hint="eastAsia" w:ascii="宋体" w:hAnsi="宋体" w:cs="宋体"/>
          <w:color w:val="auto"/>
          <w:kern w:val="0"/>
          <w:sz w:val="22"/>
          <w:szCs w:val="22"/>
          <w:highlight w:val="none"/>
        </w:rPr>
        <w:t>）</w:t>
      </w:r>
    </w:p>
    <w:p w14:paraId="356EFB1E">
      <w:pPr>
        <w:widowControl/>
        <w:spacing w:before="60" w:after="60" w:line="360" w:lineRule="exact"/>
        <w:ind w:left="60" w:right="60"/>
        <w:jc w:val="left"/>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五、公告期限</w:t>
      </w:r>
    </w:p>
    <w:p w14:paraId="7E514732">
      <w:pPr>
        <w:widowControl/>
        <w:spacing w:before="60" w:after="60" w:line="360" w:lineRule="exact"/>
        <w:ind w:left="61" w:leftChars="29" w:right="60" w:firstLine="323" w:firstLineChars="147"/>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自本公告发布之日起5个工作日。</w:t>
      </w:r>
    </w:p>
    <w:p w14:paraId="6B95D969">
      <w:pPr>
        <w:widowControl/>
        <w:spacing w:before="60" w:after="60" w:line="360" w:lineRule="exact"/>
        <w:ind w:left="60" w:right="60"/>
        <w:jc w:val="left"/>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六、其他补充事宜</w:t>
      </w:r>
    </w:p>
    <w:p w14:paraId="39B82A50">
      <w:pPr>
        <w:widowControl/>
        <w:spacing w:line="36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1.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7CB7FF">
      <w:pPr>
        <w:widowControl/>
        <w:spacing w:line="36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2.《浙江省财政厅关于进一步加大政府采购支持中小企业力度助力扎实稳住经济的通知》(浙财采监〔2022〕8号)、《浙江省财政厅关于进一步发挥政府采购政策功能全力推动经济稳进提质的通知》（浙财采监（2022）3号）、《浙江省财政厅关于进一步促进政府采购公平竞争打造最优营商环境的通知》（浙财采监（2021）22号）已分别于2022年7月1日、2022年1月29日和2022年2月1日开始实施，此前有关规定与上述文件内容不一致的，按上述文件要求执行。</w:t>
      </w:r>
    </w:p>
    <w:p w14:paraId="644A2250">
      <w:pPr>
        <w:widowControl/>
        <w:spacing w:line="36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2F2768B1">
      <w:pPr>
        <w:widowControl/>
        <w:spacing w:line="36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4.其他事项：（1）电子招投标：本项目以数据电文形式，依托“政采云平台（www.zcygov.cn）”进行招投标活动，各投标人应按照本项目招标文件和政采云平台的要求编制、加密并递交投标文件，不接受纸质投标文件。</w:t>
      </w:r>
    </w:p>
    <w:p w14:paraId="5DB077FC">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（2）投标准备：</w:t>
      </w:r>
    </w:p>
    <w:p w14:paraId="39B711F9">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1)注册账号--点击“商家入驻”，进行政府采购供应商资料填写，通过审核后可成为正式供应商；</w:t>
      </w:r>
    </w:p>
    <w:p w14:paraId="6175C782">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2)申领CA数字证书---申领流程详见“浙江政府采购网-下载专区-电子交易客户端-CA驱动和申领流程”：投标人应在开标前完成CA数字证书办理，完成CA数字证书办理预计1-2周左右，各投标人应充分考虑办理时间等因素。</w:t>
      </w:r>
    </w:p>
    <w:p w14:paraId="26D40CE3">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办理流程详见:《CA证书办理操作指南》https://service.zcygov.cn/#/knowledges/cm2eqWwBFdiHxlNd_otq/lwV6GXABiyELHE-oVMj3</w:t>
      </w:r>
    </w:p>
    <w:p w14:paraId="1487EFB8">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CA热点问题汇总：https://service.zcygov.cn/#/knowledges/depk120BkjoVoiMyPhAJ/8QejCnEBiyELHE-ohzp-</w:t>
      </w:r>
    </w:p>
    <w:p w14:paraId="63F13759">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3)安装“政采云电子交易客户端”----投标人通过政采云平台电子投标工具制作投标文件，前往“浙江政府采购网-下载专区-电子交易客户端”进行下载并安装。政采云电子交易客户端：http://zfcg.czt.zj.gov.cn/bidClientTemplate/2019-05-27/12946.html</w:t>
      </w:r>
    </w:p>
    <w:p w14:paraId="5A56C672">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（3）投标文件的制作：在“政采云电子交易客户端”中完成“填写基本信息”、“导入投标文件”、“标书关联”、“标书检查”、“电子签名”、“生成电子标书”等操作。</w:t>
      </w:r>
    </w:p>
    <w:p w14:paraId="1AC9306E">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（4）投标文件的传输递交：投标人在投标截止时间前将加密的投标文件上传至政采云平台。</w:t>
      </w:r>
    </w:p>
    <w:p w14:paraId="1A9B4A22">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（5）投标文件的解密：投标人按照平台提示和招标文件的规定在开标时间起30分钟内完成在线解密。</w:t>
      </w:r>
    </w:p>
    <w:p w14:paraId="71C6CF06">
      <w:pPr>
        <w:widowControl/>
        <w:spacing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（6）具体操作指南：详见政采云平台“服务中心-帮助文档-项目采购-操作流程-电子招投标-政府采购项目电子交易管理操作指南-供应商”：浙江省政府采购项目政采云平台学习专题https://edu.zcygov.cn/luban/e-biding。</w:t>
      </w:r>
    </w:p>
    <w:p w14:paraId="61B76764">
      <w:pPr>
        <w:widowControl/>
        <w:spacing w:before="60" w:after="60" w:line="360" w:lineRule="exact"/>
        <w:ind w:left="60" w:right="60"/>
        <w:jc w:val="left"/>
        <w:rPr>
          <w:rFonts w:ascii="宋体" w:hAnsi="宋体" w:cs="宋体"/>
          <w:color w:val="auto"/>
          <w:kern w:val="0"/>
          <w:sz w:val="22"/>
          <w:szCs w:val="22"/>
          <w:highlight w:val="none"/>
        </w:rPr>
      </w:pPr>
      <w:r>
        <w:rPr>
          <w:rFonts w:hint="eastAsia" w:ascii="宋体" w:hAnsi="宋体" w:cs="宋体"/>
          <w:b/>
          <w:color w:val="auto"/>
          <w:kern w:val="0"/>
          <w:sz w:val="22"/>
          <w:szCs w:val="22"/>
          <w:highlight w:val="none"/>
        </w:rPr>
        <w:t>七、</w:t>
      </w:r>
      <w:r>
        <w:rPr>
          <w:rFonts w:ascii="宋体" w:hAnsi="宋体" w:cs="宋体"/>
          <w:b/>
          <w:bCs/>
          <w:color w:val="auto"/>
          <w:kern w:val="0"/>
          <w:sz w:val="22"/>
          <w:szCs w:val="22"/>
          <w:highlight w:val="none"/>
        </w:rPr>
        <w:t>对本次招标提出询问、质疑、投诉，请按以下方式联系</w:t>
      </w:r>
    </w:p>
    <w:p w14:paraId="544010C8">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1.采购人信息</w:t>
      </w:r>
    </w:p>
    <w:p w14:paraId="03109C67">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名   称：温州市交通运输局 </w:t>
      </w:r>
    </w:p>
    <w:p w14:paraId="15FCC1E6">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地   址：浙江省温州市龙湾区新三路16号高新大厦</w:t>
      </w:r>
    </w:p>
    <w:p w14:paraId="14850F34">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传   真：/ </w:t>
      </w:r>
    </w:p>
    <w:p w14:paraId="0D540FFA">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项目联系人（询问）：</w:t>
      </w:r>
      <w:r>
        <w:rPr>
          <w:rFonts w:hint="eastAsia" w:cs="宋体"/>
          <w:color w:val="auto"/>
          <w:sz w:val="22"/>
          <w:szCs w:val="22"/>
          <w:highlight w:val="none"/>
        </w:rPr>
        <w:t>程先生</w:t>
      </w:r>
      <w:r>
        <w:rPr>
          <w:rFonts w:hint="eastAsia" w:ascii="宋体" w:hAnsi="宋体" w:cs="宋体"/>
          <w:color w:val="auto"/>
          <w:kern w:val="0"/>
          <w:sz w:val="22"/>
          <w:szCs w:val="22"/>
          <w:highlight w:val="none"/>
        </w:rPr>
        <w:t xml:space="preserve"> </w:t>
      </w:r>
    </w:p>
    <w:p w14:paraId="24AB18FA">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项目联系方式（询问）：0577-88869967 </w:t>
      </w:r>
    </w:p>
    <w:p w14:paraId="09C3F1A1">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项目质疑联系人：</w:t>
      </w:r>
      <w:r>
        <w:rPr>
          <w:rFonts w:hint="eastAsia" w:ascii="宋体" w:hAnsi="宋体" w:cs="宋体"/>
          <w:color w:val="auto"/>
          <w:kern w:val="0"/>
          <w:sz w:val="22"/>
          <w:szCs w:val="22"/>
          <w:highlight w:val="none"/>
          <w:lang w:val="en-US" w:eastAsia="zh-CN"/>
        </w:rPr>
        <w:t>吴</w:t>
      </w:r>
      <w:r>
        <w:rPr>
          <w:rFonts w:hint="eastAsia" w:ascii="宋体" w:hAnsi="宋体" w:cs="宋体"/>
          <w:color w:val="auto"/>
          <w:kern w:val="0"/>
          <w:sz w:val="22"/>
          <w:szCs w:val="22"/>
          <w:highlight w:val="none"/>
        </w:rPr>
        <w:t xml:space="preserve">先生 </w:t>
      </w:r>
    </w:p>
    <w:p w14:paraId="6C75A0BD">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质疑联系方式：</w:t>
      </w:r>
      <w:r>
        <w:rPr>
          <w:rFonts w:hint="eastAsia" w:ascii="宋体" w:hAnsi="宋体" w:cs="宋体"/>
          <w:color w:val="auto"/>
          <w:kern w:val="0"/>
          <w:sz w:val="22"/>
          <w:szCs w:val="22"/>
          <w:highlight w:val="none"/>
          <w:lang w:val="en-US" w:eastAsia="zh-CN"/>
        </w:rPr>
        <w:t>15868585985</w:t>
      </w:r>
      <w:r>
        <w:rPr>
          <w:rFonts w:hint="eastAsia" w:ascii="宋体" w:hAnsi="宋体" w:cs="宋体"/>
          <w:color w:val="auto"/>
          <w:kern w:val="0"/>
          <w:sz w:val="22"/>
          <w:szCs w:val="22"/>
          <w:highlight w:val="none"/>
        </w:rPr>
        <w:t xml:space="preserve"> </w:t>
      </w:r>
    </w:p>
    <w:p w14:paraId="571D7150">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2.采购代理机构信息</w:t>
      </w:r>
    </w:p>
    <w:p w14:paraId="06B66191">
      <w:pPr>
        <w:widowControl/>
        <w:spacing w:before="60" w:after="60" w:line="360" w:lineRule="exact"/>
        <w:ind w:right="60" w:firstLine="440"/>
        <w:jc w:val="left"/>
        <w:rPr>
          <w:rFonts w:hint="eastAsia" w:ascii="宋体" w:hAnsi="宋体" w:eastAsia="宋体" w:cs="宋体"/>
          <w:color w:val="auto"/>
          <w:kern w:val="0"/>
          <w:sz w:val="22"/>
          <w:szCs w:val="22"/>
          <w:highlight w:val="none"/>
          <w:lang w:eastAsia="zh-CN"/>
        </w:rPr>
      </w:pPr>
      <w:r>
        <w:rPr>
          <w:rFonts w:hint="eastAsia" w:ascii="宋体" w:hAnsi="宋体" w:cs="宋体"/>
          <w:color w:val="auto"/>
          <w:kern w:val="0"/>
          <w:sz w:val="22"/>
          <w:szCs w:val="22"/>
          <w:highlight w:val="none"/>
        </w:rPr>
        <w:t>名   称：</w:t>
      </w:r>
      <w:r>
        <w:rPr>
          <w:rFonts w:hint="eastAsia" w:ascii="宋体" w:hAnsi="宋体" w:cs="宋体"/>
          <w:color w:val="auto"/>
          <w:kern w:val="0"/>
          <w:sz w:val="22"/>
          <w:szCs w:val="22"/>
          <w:highlight w:val="none"/>
          <w:lang w:eastAsia="zh-CN"/>
        </w:rPr>
        <w:t>浙江欣力工程管理有限公司</w:t>
      </w:r>
    </w:p>
    <w:p w14:paraId="2597259C">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地   址：</w:t>
      </w:r>
      <w:r>
        <w:rPr>
          <w:rFonts w:hint="eastAsia" w:ascii="宋体" w:hAnsi="宋体" w:eastAsia="宋体" w:cs="宋体"/>
          <w:color w:val="auto"/>
          <w:kern w:val="0"/>
          <w:sz w:val="22"/>
          <w:szCs w:val="22"/>
          <w:highlight w:val="none"/>
          <w:u w:val="none"/>
          <w:lang w:val="en-US" w:eastAsia="zh-CN"/>
        </w:rPr>
        <w:t>温州市</w:t>
      </w:r>
      <w:r>
        <w:rPr>
          <w:rFonts w:hint="eastAsia" w:ascii="宋体" w:hAnsi="宋体" w:eastAsia="宋体" w:cs="宋体"/>
          <w:color w:val="auto"/>
          <w:kern w:val="0"/>
          <w:sz w:val="22"/>
          <w:szCs w:val="22"/>
          <w:highlight w:val="none"/>
          <w:u w:val="none"/>
          <w:lang w:eastAsia="zh-CN"/>
        </w:rPr>
        <w:t>鹿城区双龙路龙方工业区1号</w:t>
      </w:r>
      <w:r>
        <w:rPr>
          <w:rFonts w:hint="eastAsia" w:ascii="宋体" w:hAnsi="宋体" w:eastAsia="宋体" w:cs="宋体"/>
          <w:color w:val="auto"/>
          <w:kern w:val="0"/>
          <w:sz w:val="22"/>
          <w:szCs w:val="22"/>
          <w:highlight w:val="none"/>
          <w:u w:val="none"/>
          <w:lang w:val="en-US" w:eastAsia="zh-CN"/>
        </w:rPr>
        <w:t>A</w:t>
      </w:r>
      <w:r>
        <w:rPr>
          <w:rFonts w:hint="eastAsia" w:ascii="宋体" w:hAnsi="宋体" w:eastAsia="宋体" w:cs="宋体"/>
          <w:color w:val="auto"/>
          <w:kern w:val="0"/>
          <w:sz w:val="22"/>
          <w:szCs w:val="22"/>
          <w:highlight w:val="none"/>
          <w:u w:val="none"/>
          <w:lang w:eastAsia="zh-CN"/>
        </w:rPr>
        <w:t>栋4楼西</w:t>
      </w:r>
      <w:r>
        <w:rPr>
          <w:rFonts w:hint="eastAsia" w:ascii="宋体" w:hAnsi="宋体" w:eastAsia="宋体" w:cs="宋体"/>
          <w:color w:val="auto"/>
          <w:kern w:val="0"/>
          <w:sz w:val="22"/>
          <w:szCs w:val="22"/>
          <w:highlight w:val="none"/>
          <w:u w:val="none"/>
          <w:lang w:val="en-US" w:eastAsia="zh-CN"/>
        </w:rPr>
        <w:t>边</w:t>
      </w:r>
      <w:r>
        <w:rPr>
          <w:rFonts w:hint="eastAsia" w:ascii="宋体" w:hAnsi="宋体" w:eastAsia="宋体" w:cs="宋体"/>
          <w:color w:val="auto"/>
          <w:kern w:val="0"/>
          <w:sz w:val="22"/>
          <w:szCs w:val="22"/>
          <w:highlight w:val="none"/>
          <w:u w:val="none"/>
          <w:lang w:eastAsia="zh-CN"/>
        </w:rPr>
        <w:t>电梯上</w:t>
      </w:r>
    </w:p>
    <w:p w14:paraId="73A06B18">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传   真：/</w:t>
      </w:r>
    </w:p>
    <w:p w14:paraId="0C4F00F7">
      <w:pPr>
        <w:widowControl/>
        <w:spacing w:before="60" w:after="60" w:line="360" w:lineRule="exact"/>
        <w:ind w:right="60" w:firstLine="44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项目联系人（询问）：</w:t>
      </w:r>
      <w:r>
        <w:rPr>
          <w:rFonts w:hint="eastAsia" w:ascii="宋体" w:hAnsi="宋体" w:cs="宋体"/>
          <w:color w:val="auto"/>
          <w:kern w:val="0"/>
          <w:sz w:val="22"/>
          <w:szCs w:val="22"/>
          <w:highlight w:val="none"/>
          <w:lang w:val="en-US" w:eastAsia="zh-CN"/>
        </w:rPr>
        <w:t>郑先生</w:t>
      </w:r>
      <w:r>
        <w:rPr>
          <w:rFonts w:hint="eastAsia" w:ascii="宋体" w:hAnsi="宋体" w:cs="宋体"/>
          <w:color w:val="auto"/>
          <w:kern w:val="0"/>
          <w:sz w:val="22"/>
          <w:szCs w:val="22"/>
          <w:highlight w:val="none"/>
        </w:rPr>
        <w:t xml:space="preserve"> </w:t>
      </w:r>
    </w:p>
    <w:p w14:paraId="352C38BC">
      <w:pPr>
        <w:widowControl/>
        <w:spacing w:before="60" w:after="60" w:line="360" w:lineRule="exact"/>
        <w:ind w:right="60" w:firstLine="440"/>
        <w:jc w:val="left"/>
        <w:rPr>
          <w:rFonts w:hint="eastAsia"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rPr>
        <w:t>项目联系方式（询问）：</w:t>
      </w:r>
      <w:r>
        <w:rPr>
          <w:rFonts w:hint="eastAsia" w:ascii="宋体" w:hAnsi="宋体" w:cs="宋体"/>
          <w:color w:val="auto"/>
          <w:kern w:val="0"/>
          <w:sz w:val="22"/>
          <w:szCs w:val="22"/>
          <w:highlight w:val="none"/>
          <w:lang w:val="en-US" w:eastAsia="zh-CN"/>
        </w:rPr>
        <w:t>15067802595</w:t>
      </w:r>
    </w:p>
    <w:p w14:paraId="420B971B">
      <w:pPr>
        <w:widowControl/>
        <w:spacing w:before="60" w:after="60" w:line="360" w:lineRule="exact"/>
        <w:ind w:right="60" w:firstLine="44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质疑联系人：</w:t>
      </w:r>
      <w:r>
        <w:rPr>
          <w:rFonts w:hint="eastAsia" w:ascii="宋体" w:hAnsi="宋体" w:cs="宋体"/>
          <w:color w:val="auto"/>
          <w:kern w:val="0"/>
          <w:sz w:val="22"/>
          <w:szCs w:val="22"/>
          <w:highlight w:val="none"/>
          <w:lang w:val="en-US" w:eastAsia="zh-CN"/>
        </w:rPr>
        <w:t>周先生</w:t>
      </w:r>
    </w:p>
    <w:p w14:paraId="238AD879">
      <w:pPr>
        <w:widowControl/>
        <w:spacing w:before="60" w:after="60" w:line="360" w:lineRule="exact"/>
        <w:ind w:right="60" w:firstLine="44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质疑联系方式：</w:t>
      </w:r>
      <w:r>
        <w:rPr>
          <w:rFonts w:hint="eastAsia" w:ascii="宋体" w:hAnsi="宋体" w:eastAsia="宋体" w:cs="宋体"/>
          <w:color w:val="auto"/>
          <w:kern w:val="0"/>
          <w:sz w:val="22"/>
          <w:szCs w:val="22"/>
          <w:highlight w:val="none"/>
          <w:lang w:val="en-US" w:eastAsia="zh-CN"/>
        </w:rPr>
        <w:t>18958937631</w:t>
      </w:r>
      <w:r>
        <w:rPr>
          <w:rFonts w:hint="eastAsia" w:ascii="宋体" w:hAnsi="宋体" w:cs="宋体"/>
          <w:color w:val="auto"/>
          <w:kern w:val="0"/>
          <w:sz w:val="22"/>
          <w:szCs w:val="22"/>
          <w:highlight w:val="none"/>
        </w:rPr>
        <w:t xml:space="preserve"> </w:t>
      </w:r>
    </w:p>
    <w:p w14:paraId="3D7C3662">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3.同级政府采购监督管理部门</w:t>
      </w:r>
    </w:p>
    <w:p w14:paraId="110469A2">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名  称：</w:t>
      </w:r>
      <w:r>
        <w:rPr>
          <w:rFonts w:hint="eastAsia" w:cs="宋体"/>
          <w:color w:val="auto"/>
          <w:sz w:val="22"/>
          <w:szCs w:val="22"/>
          <w:highlight w:val="none"/>
        </w:rPr>
        <w:t>温州市财政局政府采购监管处</w:t>
      </w:r>
    </w:p>
    <w:p w14:paraId="5C00101E">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地  址：</w:t>
      </w:r>
      <w:r>
        <w:rPr>
          <w:rFonts w:hint="eastAsia" w:cs="宋体"/>
          <w:color w:val="auto"/>
          <w:sz w:val="22"/>
          <w:szCs w:val="22"/>
          <w:highlight w:val="none"/>
        </w:rPr>
        <w:t>温州市鹿城区绣山路299号</w:t>
      </w:r>
    </w:p>
    <w:p w14:paraId="6DCA8769">
      <w:pPr>
        <w:widowControl/>
        <w:spacing w:before="60" w:after="60" w:line="360" w:lineRule="exact"/>
        <w:ind w:right="60" w:firstLine="44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联系人：</w:t>
      </w:r>
      <w:r>
        <w:rPr>
          <w:rFonts w:hint="eastAsia" w:cs="宋体"/>
          <w:color w:val="auto"/>
          <w:sz w:val="22"/>
          <w:szCs w:val="22"/>
          <w:highlight w:val="none"/>
        </w:rPr>
        <w:t>项先生、蔡女士</w:t>
      </w:r>
    </w:p>
    <w:p w14:paraId="2D75510E">
      <w:pPr>
        <w:widowControl/>
        <w:spacing w:before="60" w:after="60" w:line="360" w:lineRule="exact"/>
        <w:ind w:right="60" w:firstLine="440"/>
        <w:jc w:val="left"/>
        <w:rPr>
          <w:rFonts w:ascii="宋体" w:hAnsi="宋体" w:cs="Arial"/>
          <w:b/>
          <w:bCs/>
          <w:color w:val="auto"/>
          <w:sz w:val="36"/>
          <w:szCs w:val="36"/>
          <w:highlight w:val="none"/>
        </w:rPr>
      </w:pPr>
      <w:r>
        <w:rPr>
          <w:rFonts w:hint="eastAsia" w:ascii="宋体" w:hAnsi="宋体" w:cs="宋体"/>
          <w:color w:val="auto"/>
          <w:kern w:val="0"/>
          <w:sz w:val="22"/>
          <w:szCs w:val="22"/>
          <w:highlight w:val="none"/>
        </w:rPr>
        <w:t>联系电话：</w:t>
      </w:r>
      <w:r>
        <w:rPr>
          <w:rFonts w:hint="eastAsia" w:cs="宋体"/>
          <w:color w:val="auto"/>
          <w:sz w:val="22"/>
          <w:szCs w:val="22"/>
          <w:highlight w:val="none"/>
        </w:rPr>
        <w:t>0577-88532725、88521948</w:t>
      </w:r>
    </w:p>
    <w:p w14:paraId="331A1D6C">
      <w:pPr>
        <w:pStyle w:val="77"/>
        <w:rPr>
          <w:rFonts w:ascii="宋体" w:hAnsi="宋体" w:cs="Arial"/>
          <w:b/>
          <w:bCs/>
          <w:color w:val="auto"/>
          <w:sz w:val="36"/>
          <w:szCs w:val="36"/>
          <w:highlight w:val="none"/>
        </w:rPr>
      </w:pPr>
    </w:p>
    <w:p w14:paraId="4FACC03E">
      <w:pPr>
        <w:pStyle w:val="77"/>
        <w:rPr>
          <w:rFonts w:ascii="宋体" w:hAnsi="宋体" w:cs="Arial"/>
          <w:b/>
          <w:bCs/>
          <w:color w:val="auto"/>
          <w:sz w:val="36"/>
          <w:szCs w:val="36"/>
          <w:highlight w:val="none"/>
        </w:rPr>
      </w:pPr>
    </w:p>
    <w:p w14:paraId="76299D8C">
      <w:pPr>
        <w:pStyle w:val="4"/>
        <w:rPr>
          <w:rFonts w:ascii="宋体" w:hAnsi="宋体" w:eastAsia="宋体" w:cs="Arial"/>
          <w:color w:val="auto"/>
          <w:sz w:val="36"/>
          <w:szCs w:val="36"/>
          <w:highlight w:val="none"/>
        </w:rPr>
      </w:pPr>
      <w:r>
        <w:rPr>
          <w:rFonts w:ascii="宋体" w:hAnsi="宋体" w:eastAsia="宋体" w:cs="Arial"/>
          <w:b w:val="0"/>
          <w:bCs w:val="0"/>
          <w:color w:val="auto"/>
          <w:sz w:val="36"/>
          <w:szCs w:val="36"/>
          <w:highlight w:val="none"/>
        </w:rPr>
        <w:br w:type="page"/>
      </w:r>
      <w:bookmarkStart w:id="26" w:name="_Toc221356947"/>
      <w:bookmarkStart w:id="27" w:name="_Toc27654"/>
      <w:bookmarkStart w:id="28" w:name="_Toc249758708"/>
      <w:bookmarkStart w:id="29" w:name="_Toc221423615"/>
      <w:bookmarkStart w:id="30" w:name="_Toc245191310"/>
      <w:bookmarkStart w:id="31" w:name="_Toc223715994"/>
      <w:bookmarkStart w:id="32" w:name="_Toc249758860"/>
      <w:bookmarkStart w:id="33" w:name="_Toc262105499"/>
      <w:bookmarkStart w:id="34" w:name="_Toc221374622"/>
      <w:bookmarkStart w:id="35" w:name="_Toc221356882"/>
      <w:bookmarkStart w:id="36" w:name="_Toc246261261"/>
      <w:bookmarkStart w:id="37" w:name="_Toc262049414"/>
      <w:bookmarkStart w:id="38" w:name="_Toc241404198"/>
      <w:bookmarkStart w:id="39" w:name="_Toc222114875"/>
      <w:bookmarkStart w:id="40" w:name="_Toc239145350"/>
      <w:bookmarkStart w:id="41" w:name="_Toc245722277"/>
      <w:bookmarkStart w:id="42" w:name="_Toc27051"/>
      <w:bookmarkStart w:id="43" w:name="_Toc22767"/>
      <w:r>
        <w:rPr>
          <w:rFonts w:hint="eastAsia" w:ascii="宋体" w:hAnsi="宋体" w:eastAsia="宋体" w:cs="Arial"/>
          <w:color w:val="auto"/>
          <w:sz w:val="36"/>
          <w:szCs w:val="36"/>
          <w:highlight w:val="none"/>
        </w:rPr>
        <w:t>第一部分    投标人须知</w:t>
      </w:r>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p>
    <w:p w14:paraId="097F0638">
      <w:pPr>
        <w:pStyle w:val="4"/>
        <w:spacing w:before="120" w:after="120"/>
        <w:rPr>
          <w:rFonts w:ascii="宋体" w:hAnsi="宋体" w:eastAsia="宋体"/>
          <w:color w:val="auto"/>
          <w:sz w:val="26"/>
          <w:szCs w:val="26"/>
          <w:highlight w:val="none"/>
        </w:rPr>
      </w:pPr>
    </w:p>
    <w:p w14:paraId="137548AF">
      <w:pPr>
        <w:pStyle w:val="4"/>
        <w:spacing w:before="120" w:after="120"/>
        <w:rPr>
          <w:rFonts w:ascii="宋体" w:hAnsi="宋体" w:eastAsia="宋体"/>
          <w:color w:val="auto"/>
          <w:sz w:val="26"/>
          <w:szCs w:val="26"/>
          <w:highlight w:val="none"/>
        </w:rPr>
      </w:pPr>
      <w:bookmarkStart w:id="44" w:name="_Toc8675"/>
      <w:r>
        <w:rPr>
          <w:rFonts w:hint="eastAsia" w:ascii="宋体" w:hAnsi="宋体" w:eastAsia="宋体"/>
          <w:color w:val="auto"/>
          <w:sz w:val="26"/>
          <w:szCs w:val="26"/>
          <w:highlight w:val="none"/>
        </w:rPr>
        <w:t>一、须知前附表</w:t>
      </w:r>
      <w:bookmarkEnd w:id="42"/>
      <w:bookmarkEnd w:id="43"/>
      <w:bookmarkEnd w:id="44"/>
    </w:p>
    <w:tbl>
      <w:tblPr>
        <w:tblStyle w:val="63"/>
        <w:tblW w:w="9842" w:type="dxa"/>
        <w:tblInd w:w="0" w:type="dxa"/>
        <w:tblLayout w:type="fixed"/>
        <w:tblCellMar>
          <w:top w:w="0" w:type="dxa"/>
          <w:left w:w="108" w:type="dxa"/>
          <w:bottom w:w="0" w:type="dxa"/>
          <w:right w:w="108" w:type="dxa"/>
        </w:tblCellMar>
      </w:tblPr>
      <w:tblGrid>
        <w:gridCol w:w="1041"/>
        <w:gridCol w:w="1467"/>
        <w:gridCol w:w="7334"/>
      </w:tblGrid>
      <w:tr w14:paraId="258A58D3">
        <w:tblPrEx>
          <w:tblCellMar>
            <w:top w:w="0" w:type="dxa"/>
            <w:left w:w="108" w:type="dxa"/>
            <w:bottom w:w="0" w:type="dxa"/>
            <w:right w:w="108" w:type="dxa"/>
          </w:tblCellMar>
        </w:tblPrEx>
        <w:trPr>
          <w:trHeight w:val="567"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C339E44">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序号</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8114A58">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条款名称</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B639D51">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编列内容</w:t>
            </w:r>
          </w:p>
        </w:tc>
      </w:tr>
      <w:tr w14:paraId="016BF2FB">
        <w:tblPrEx>
          <w:tblCellMar>
            <w:top w:w="0" w:type="dxa"/>
            <w:left w:w="108" w:type="dxa"/>
            <w:bottom w:w="0" w:type="dxa"/>
            <w:right w:w="108" w:type="dxa"/>
          </w:tblCellMar>
        </w:tblPrEx>
        <w:trPr>
          <w:trHeight w:val="967"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3F2B106">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02BFC15">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采购人</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AF681D4">
            <w:pPr>
              <w:spacing w:line="300" w:lineRule="exact"/>
              <w:rPr>
                <w:rFonts w:ascii="宋体" w:hAnsi="宋体" w:cs="新宋体"/>
                <w:bCs/>
                <w:color w:val="auto"/>
                <w:kern w:val="0"/>
                <w:sz w:val="22"/>
                <w:szCs w:val="22"/>
                <w:highlight w:val="none"/>
              </w:rPr>
            </w:pPr>
            <w:r>
              <w:rPr>
                <w:rFonts w:hint="eastAsia" w:ascii="宋体" w:hAnsi="宋体" w:cs="新宋体"/>
                <w:bCs/>
                <w:color w:val="auto"/>
                <w:kern w:val="0"/>
                <w:sz w:val="22"/>
                <w:szCs w:val="22"/>
                <w:highlight w:val="none"/>
              </w:rPr>
              <w:t>采购人名称：温州市交通运输局</w:t>
            </w:r>
          </w:p>
          <w:p w14:paraId="69162BAD">
            <w:pPr>
              <w:spacing w:line="300" w:lineRule="exact"/>
              <w:rPr>
                <w:rFonts w:ascii="宋体" w:hAnsi="宋体" w:cs="新宋体"/>
                <w:bCs/>
                <w:color w:val="auto"/>
                <w:kern w:val="0"/>
                <w:sz w:val="22"/>
                <w:szCs w:val="22"/>
                <w:highlight w:val="none"/>
              </w:rPr>
            </w:pPr>
            <w:r>
              <w:rPr>
                <w:rFonts w:hint="eastAsia" w:ascii="宋体" w:hAnsi="宋体" w:cs="新宋体"/>
                <w:bCs/>
                <w:color w:val="auto"/>
                <w:kern w:val="0"/>
                <w:sz w:val="22"/>
                <w:szCs w:val="22"/>
                <w:highlight w:val="none"/>
              </w:rPr>
              <w:t>联系地址：浙江省温州市龙湾区新三路16号高新大厦</w:t>
            </w:r>
          </w:p>
          <w:p w14:paraId="04CEDC76">
            <w:pPr>
              <w:spacing w:line="300" w:lineRule="exact"/>
              <w:rPr>
                <w:rFonts w:ascii="宋体" w:hAnsi="宋体" w:cs="新宋体"/>
                <w:bCs/>
                <w:color w:val="auto"/>
                <w:kern w:val="0"/>
                <w:sz w:val="22"/>
                <w:szCs w:val="22"/>
                <w:highlight w:val="none"/>
              </w:rPr>
            </w:pPr>
            <w:r>
              <w:rPr>
                <w:rFonts w:hint="eastAsia" w:ascii="宋体" w:hAnsi="宋体" w:cs="新宋体"/>
                <w:bCs/>
                <w:color w:val="auto"/>
                <w:kern w:val="0"/>
                <w:sz w:val="22"/>
                <w:szCs w:val="22"/>
                <w:highlight w:val="none"/>
              </w:rPr>
              <w:t>联系人：</w:t>
            </w:r>
            <w:r>
              <w:rPr>
                <w:rFonts w:hint="eastAsia" w:cs="宋体"/>
                <w:color w:val="auto"/>
                <w:sz w:val="22"/>
                <w:szCs w:val="22"/>
                <w:highlight w:val="none"/>
              </w:rPr>
              <w:t>程先生</w:t>
            </w:r>
          </w:p>
          <w:p w14:paraId="28F8E7AA">
            <w:pPr>
              <w:spacing w:line="300" w:lineRule="exact"/>
              <w:rPr>
                <w:rFonts w:ascii="宋体" w:hAnsi="宋体" w:cs="宋体"/>
                <w:color w:val="auto"/>
                <w:kern w:val="0"/>
                <w:sz w:val="22"/>
                <w:szCs w:val="22"/>
                <w:highlight w:val="none"/>
              </w:rPr>
            </w:pPr>
            <w:r>
              <w:rPr>
                <w:rFonts w:hint="eastAsia" w:ascii="宋体" w:hAnsi="宋体" w:cs="新宋体"/>
                <w:bCs/>
                <w:color w:val="auto"/>
                <w:kern w:val="0"/>
                <w:sz w:val="22"/>
                <w:szCs w:val="22"/>
                <w:highlight w:val="none"/>
              </w:rPr>
              <w:t>联系电话：0577-88869967</w:t>
            </w:r>
          </w:p>
        </w:tc>
      </w:tr>
      <w:tr w14:paraId="3356F6D0">
        <w:tblPrEx>
          <w:tblCellMar>
            <w:top w:w="0" w:type="dxa"/>
            <w:left w:w="108" w:type="dxa"/>
            <w:bottom w:w="0" w:type="dxa"/>
            <w:right w:w="108" w:type="dxa"/>
          </w:tblCellMar>
        </w:tblPrEx>
        <w:trPr>
          <w:trHeight w:val="98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ED507EA">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A7B450A">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采购代理机构</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4366F56">
            <w:pPr>
              <w:spacing w:line="300" w:lineRule="exac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采购代理机构名称：</w:t>
            </w:r>
            <w:r>
              <w:rPr>
                <w:rFonts w:hint="eastAsia" w:ascii="宋体" w:hAnsi="宋体" w:cs="宋体"/>
                <w:color w:val="auto"/>
                <w:sz w:val="22"/>
                <w:szCs w:val="22"/>
                <w:highlight w:val="none"/>
                <w:lang w:eastAsia="zh-CN"/>
              </w:rPr>
              <w:t>浙江欣力工程管理有限公司</w:t>
            </w:r>
          </w:p>
          <w:p w14:paraId="5CEB258E">
            <w:pPr>
              <w:spacing w:line="300" w:lineRule="exact"/>
              <w:rPr>
                <w:rFonts w:ascii="宋体" w:hAnsi="宋体" w:cs="宋体"/>
                <w:color w:val="auto"/>
                <w:sz w:val="22"/>
                <w:szCs w:val="22"/>
                <w:highlight w:val="none"/>
              </w:rPr>
            </w:pPr>
            <w:r>
              <w:rPr>
                <w:rFonts w:hint="eastAsia" w:ascii="宋体" w:hAnsi="宋体" w:cs="宋体"/>
                <w:color w:val="auto"/>
                <w:sz w:val="22"/>
                <w:szCs w:val="22"/>
                <w:highlight w:val="none"/>
              </w:rPr>
              <w:t>地 址：</w:t>
            </w:r>
            <w:r>
              <w:rPr>
                <w:rFonts w:hint="eastAsia" w:ascii="宋体" w:hAnsi="宋体" w:eastAsia="宋体" w:cs="宋体"/>
                <w:color w:val="auto"/>
                <w:kern w:val="0"/>
                <w:sz w:val="22"/>
                <w:szCs w:val="22"/>
                <w:highlight w:val="none"/>
                <w:u w:val="none"/>
                <w:lang w:val="en-US" w:eastAsia="zh-CN"/>
              </w:rPr>
              <w:t>温州市</w:t>
            </w:r>
            <w:r>
              <w:rPr>
                <w:rFonts w:hint="eastAsia" w:ascii="宋体" w:hAnsi="宋体" w:eastAsia="宋体" w:cs="宋体"/>
                <w:color w:val="auto"/>
                <w:kern w:val="0"/>
                <w:sz w:val="22"/>
                <w:szCs w:val="22"/>
                <w:highlight w:val="none"/>
                <w:u w:val="none"/>
                <w:lang w:eastAsia="zh-CN"/>
              </w:rPr>
              <w:t>鹿城区双龙路龙方工业区1号</w:t>
            </w:r>
            <w:r>
              <w:rPr>
                <w:rFonts w:hint="eastAsia" w:ascii="宋体" w:hAnsi="宋体" w:eastAsia="宋体" w:cs="宋体"/>
                <w:color w:val="auto"/>
                <w:kern w:val="0"/>
                <w:sz w:val="22"/>
                <w:szCs w:val="22"/>
                <w:highlight w:val="none"/>
                <w:u w:val="none"/>
                <w:lang w:val="en-US" w:eastAsia="zh-CN"/>
              </w:rPr>
              <w:t>A</w:t>
            </w:r>
            <w:r>
              <w:rPr>
                <w:rFonts w:hint="eastAsia" w:ascii="宋体" w:hAnsi="宋体" w:eastAsia="宋体" w:cs="宋体"/>
                <w:color w:val="auto"/>
                <w:kern w:val="0"/>
                <w:sz w:val="22"/>
                <w:szCs w:val="22"/>
                <w:highlight w:val="none"/>
                <w:u w:val="none"/>
                <w:lang w:eastAsia="zh-CN"/>
              </w:rPr>
              <w:t>栋4楼西</w:t>
            </w:r>
            <w:r>
              <w:rPr>
                <w:rFonts w:hint="eastAsia" w:ascii="宋体" w:hAnsi="宋体" w:eastAsia="宋体" w:cs="宋体"/>
                <w:color w:val="auto"/>
                <w:kern w:val="0"/>
                <w:sz w:val="22"/>
                <w:szCs w:val="22"/>
                <w:highlight w:val="none"/>
                <w:u w:val="none"/>
                <w:lang w:val="en-US" w:eastAsia="zh-CN"/>
              </w:rPr>
              <w:t>边</w:t>
            </w:r>
            <w:r>
              <w:rPr>
                <w:rFonts w:hint="eastAsia" w:ascii="宋体" w:hAnsi="宋体" w:eastAsia="宋体" w:cs="宋体"/>
                <w:color w:val="auto"/>
                <w:kern w:val="0"/>
                <w:sz w:val="22"/>
                <w:szCs w:val="22"/>
                <w:highlight w:val="none"/>
                <w:u w:val="none"/>
                <w:lang w:eastAsia="zh-CN"/>
              </w:rPr>
              <w:t>电梯上</w:t>
            </w:r>
            <w:r>
              <w:rPr>
                <w:rFonts w:hint="eastAsia" w:ascii="宋体" w:hAnsi="宋体" w:cs="宋体"/>
                <w:color w:val="auto"/>
                <w:sz w:val="22"/>
                <w:szCs w:val="22"/>
                <w:highlight w:val="none"/>
              </w:rPr>
              <w:t xml:space="preserve"> </w:t>
            </w:r>
          </w:p>
          <w:p w14:paraId="2F2DB7A1">
            <w:pPr>
              <w:spacing w:line="300" w:lineRule="exact"/>
              <w:rPr>
                <w:rFonts w:ascii="宋体" w:hAnsi="宋体" w:cs="宋体"/>
                <w:color w:val="auto"/>
                <w:sz w:val="22"/>
                <w:szCs w:val="22"/>
                <w:highlight w:val="none"/>
              </w:rPr>
            </w:pPr>
            <w:r>
              <w:rPr>
                <w:rFonts w:hint="eastAsia" w:ascii="宋体" w:hAnsi="宋体" w:cs="宋体"/>
                <w:color w:val="auto"/>
                <w:sz w:val="22"/>
                <w:szCs w:val="22"/>
                <w:highlight w:val="none"/>
              </w:rPr>
              <w:t>联系人：</w:t>
            </w:r>
            <w:r>
              <w:rPr>
                <w:rFonts w:hint="eastAsia" w:ascii="宋体" w:hAnsi="宋体" w:eastAsia="宋体" w:cs="宋体"/>
                <w:color w:val="auto"/>
                <w:kern w:val="0"/>
                <w:sz w:val="22"/>
                <w:szCs w:val="22"/>
                <w:highlight w:val="none"/>
                <w:lang w:val="en-US" w:eastAsia="zh-CN"/>
              </w:rPr>
              <w:t>郑先生</w:t>
            </w:r>
            <w:r>
              <w:rPr>
                <w:rFonts w:hint="eastAsia" w:ascii="宋体" w:hAnsi="宋体" w:cs="宋体"/>
                <w:color w:val="auto"/>
                <w:sz w:val="22"/>
                <w:szCs w:val="22"/>
                <w:highlight w:val="none"/>
              </w:rPr>
              <w:t xml:space="preserve"> </w:t>
            </w:r>
          </w:p>
          <w:p w14:paraId="756D1520">
            <w:pPr>
              <w:spacing w:line="300" w:lineRule="exact"/>
              <w:rPr>
                <w:rFonts w:ascii="宋体" w:hAnsi="宋体" w:cs="宋体"/>
                <w:color w:val="auto"/>
                <w:sz w:val="22"/>
                <w:szCs w:val="22"/>
                <w:highlight w:val="none"/>
              </w:rPr>
            </w:pPr>
            <w:r>
              <w:rPr>
                <w:rFonts w:hint="eastAsia" w:ascii="宋体" w:hAnsi="宋体" w:cs="宋体"/>
                <w:color w:val="auto"/>
                <w:sz w:val="22"/>
                <w:szCs w:val="22"/>
                <w:highlight w:val="none"/>
              </w:rPr>
              <w:t>联系电话：</w:t>
            </w:r>
            <w:r>
              <w:rPr>
                <w:rFonts w:hint="eastAsia" w:ascii="宋体" w:hAnsi="宋体" w:eastAsia="宋体" w:cs="宋体"/>
                <w:color w:val="auto"/>
                <w:kern w:val="0"/>
                <w:sz w:val="22"/>
                <w:szCs w:val="22"/>
                <w:highlight w:val="none"/>
                <w:lang w:val="en-US" w:eastAsia="zh-CN"/>
              </w:rPr>
              <w:t>15067802595</w:t>
            </w:r>
          </w:p>
        </w:tc>
      </w:tr>
      <w:tr w14:paraId="57BBC7AE">
        <w:tblPrEx>
          <w:tblCellMar>
            <w:top w:w="0" w:type="dxa"/>
            <w:left w:w="108" w:type="dxa"/>
            <w:bottom w:w="0" w:type="dxa"/>
            <w:right w:w="108" w:type="dxa"/>
          </w:tblCellMar>
        </w:tblPrEx>
        <w:trPr>
          <w:trHeight w:val="75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07CCC8A">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3</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D354642">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采购名称</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F7407C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项目名称：</w:t>
            </w:r>
            <w:r>
              <w:rPr>
                <w:rFonts w:hint="eastAsia" w:ascii="宋体" w:hAnsi="宋体" w:cs="宋体"/>
                <w:bCs/>
                <w:color w:val="auto"/>
                <w:kern w:val="0"/>
                <w:sz w:val="22"/>
                <w:szCs w:val="22"/>
                <w:highlight w:val="none"/>
              </w:rPr>
              <w:t>交通技术服务运维项目</w:t>
            </w:r>
          </w:p>
          <w:p w14:paraId="5D8003B0">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项目编号：</w:t>
            </w:r>
            <w:r>
              <w:rPr>
                <w:rFonts w:hint="eastAsia" w:ascii="宋体" w:hAnsi="宋体" w:cs="宋体"/>
                <w:b w:val="0"/>
                <w:bCs/>
                <w:color w:val="auto"/>
                <w:kern w:val="0"/>
                <w:sz w:val="22"/>
                <w:szCs w:val="22"/>
                <w:highlight w:val="none"/>
              </w:rPr>
              <w:t>XLCG2025002</w:t>
            </w:r>
          </w:p>
        </w:tc>
      </w:tr>
      <w:tr w14:paraId="0C88DD40">
        <w:tblPrEx>
          <w:tblCellMar>
            <w:top w:w="0" w:type="dxa"/>
            <w:left w:w="108" w:type="dxa"/>
            <w:bottom w:w="0" w:type="dxa"/>
            <w:right w:w="108" w:type="dxa"/>
          </w:tblCellMar>
        </w:tblPrEx>
        <w:trPr>
          <w:trHeight w:val="75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8C9D143">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4</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25578CC">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采购内容</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50B0FA3">
            <w:pPr>
              <w:autoSpaceDE w:val="0"/>
              <w:autoSpaceDN w:val="0"/>
              <w:adjustRightInd w:val="0"/>
              <w:spacing w:line="400" w:lineRule="exact"/>
              <w:ind w:right="-34"/>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具体内容及要求见</w:t>
            </w:r>
            <w:r>
              <w:rPr>
                <w:rFonts w:hint="eastAsia" w:ascii="宋体" w:hAnsi="宋体" w:cs="宋体"/>
                <w:color w:val="auto"/>
                <w:kern w:val="0"/>
                <w:sz w:val="22"/>
                <w:szCs w:val="22"/>
                <w:highlight w:val="none"/>
              </w:rPr>
              <w:t>招标</w:t>
            </w:r>
            <w:r>
              <w:rPr>
                <w:rFonts w:hint="eastAsia" w:ascii="宋体" w:hAnsi="宋体" w:cs="宋体"/>
                <w:color w:val="auto"/>
                <w:kern w:val="0"/>
                <w:sz w:val="22"/>
                <w:szCs w:val="22"/>
                <w:highlight w:val="none"/>
                <w:lang w:val="zh-CN"/>
              </w:rPr>
              <w:t>文件。</w:t>
            </w:r>
          </w:p>
        </w:tc>
      </w:tr>
      <w:tr w14:paraId="7273AD15">
        <w:tblPrEx>
          <w:tblCellMar>
            <w:top w:w="0" w:type="dxa"/>
            <w:left w:w="108" w:type="dxa"/>
            <w:bottom w:w="0" w:type="dxa"/>
            <w:right w:w="108" w:type="dxa"/>
          </w:tblCellMar>
        </w:tblPrEx>
        <w:trPr>
          <w:trHeight w:val="75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C5C6EED">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5</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546F3AB">
            <w:pPr>
              <w:spacing w:line="360" w:lineRule="exact"/>
              <w:rPr>
                <w:rFonts w:ascii="宋体" w:hAnsi="宋体" w:cs="宋体"/>
                <w:color w:val="auto"/>
                <w:kern w:val="0"/>
                <w:sz w:val="22"/>
                <w:szCs w:val="22"/>
                <w:highlight w:val="none"/>
                <w:lang w:val="zh-CN"/>
              </w:rPr>
            </w:pPr>
            <w:r>
              <w:rPr>
                <w:rFonts w:hint="eastAsia" w:ascii="宋体" w:hAnsi="宋体" w:cs="宋体"/>
                <w:b/>
                <w:color w:val="auto"/>
                <w:kern w:val="0"/>
                <w:sz w:val="22"/>
                <w:szCs w:val="22"/>
                <w:highlight w:val="none"/>
              </w:rPr>
              <w:t>核心产品</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6DD7688">
            <w:pPr>
              <w:spacing w:line="360" w:lineRule="exac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本项目为服务类招标项目，无核心产品。</w:t>
            </w:r>
          </w:p>
        </w:tc>
      </w:tr>
      <w:tr w14:paraId="085427C2">
        <w:tblPrEx>
          <w:tblCellMar>
            <w:top w:w="0" w:type="dxa"/>
            <w:left w:w="108" w:type="dxa"/>
            <w:bottom w:w="0" w:type="dxa"/>
            <w:right w:w="108" w:type="dxa"/>
          </w:tblCellMar>
        </w:tblPrEx>
        <w:trPr>
          <w:trHeight w:val="951"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DB2779D">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6</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FF420E1">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u w:val="single"/>
                <w:lang w:val="zh-CN"/>
              </w:rPr>
              <w:t>▲</w:t>
            </w:r>
            <w:r>
              <w:rPr>
                <w:rFonts w:hint="eastAsia" w:ascii="宋体" w:hAnsi="宋体" w:cs="宋体"/>
                <w:b/>
                <w:bCs/>
                <w:color w:val="auto"/>
                <w:kern w:val="0"/>
                <w:sz w:val="22"/>
                <w:szCs w:val="22"/>
                <w:highlight w:val="none"/>
                <w:u w:val="single"/>
              </w:rPr>
              <w:t>投标人</w:t>
            </w:r>
            <w:r>
              <w:rPr>
                <w:rFonts w:hint="eastAsia" w:ascii="宋体" w:hAnsi="宋体" w:cs="宋体"/>
                <w:b/>
                <w:bCs/>
                <w:color w:val="auto"/>
                <w:kern w:val="0"/>
                <w:sz w:val="22"/>
                <w:szCs w:val="22"/>
                <w:highlight w:val="none"/>
                <w:u w:val="single"/>
                <w:lang w:val="zh-CN"/>
              </w:rPr>
              <w:t>资质格要求</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17CC7B6">
            <w:pPr>
              <w:widowControl/>
              <w:spacing w:before="60" w:after="60" w:line="360" w:lineRule="exact"/>
              <w:ind w:right="60"/>
              <w:jc w:val="left"/>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详见招标公告。</w:t>
            </w:r>
          </w:p>
        </w:tc>
      </w:tr>
      <w:tr w14:paraId="61A93514">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5956316">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7</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D8CDE70">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是否接受联合体投标</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64D1763">
            <w:pPr>
              <w:autoSpaceDE w:val="0"/>
              <w:autoSpaceDN w:val="0"/>
              <w:adjustRightInd w:val="0"/>
              <w:spacing w:line="400" w:lineRule="exact"/>
              <w:rPr>
                <w:rFonts w:hint="eastAsia" w:ascii="宋体" w:hAnsi="宋体" w:cs="宋体"/>
                <w:color w:val="auto"/>
                <w:kern w:val="0"/>
                <w:sz w:val="22"/>
                <w:szCs w:val="22"/>
                <w:highlight w:val="none"/>
                <w:lang w:val="zh-CN"/>
              </w:rPr>
            </w:pPr>
            <w:r>
              <w:rPr>
                <w:rFonts w:hint="eastAsia" w:ascii="宋体" w:hAnsi="宋体" w:cs="宋体"/>
                <w:b w:val="0"/>
                <w:bCs w:val="0"/>
                <w:color w:val="auto"/>
                <w:kern w:val="0"/>
                <w:sz w:val="22"/>
                <w:szCs w:val="22"/>
                <w:highlight w:val="none"/>
                <w:lang w:val="zh-CN"/>
              </w:rPr>
              <w:sym w:font="Wingdings 2" w:char="00A3"/>
            </w:r>
            <w:r>
              <w:rPr>
                <w:rFonts w:hint="eastAsia" w:ascii="宋体" w:hAnsi="宋体" w:cs="宋体"/>
                <w:color w:val="auto"/>
                <w:kern w:val="0"/>
                <w:sz w:val="22"/>
                <w:szCs w:val="22"/>
                <w:highlight w:val="none"/>
                <w:lang w:val="zh-CN"/>
              </w:rPr>
              <w:t>不接受</w:t>
            </w:r>
          </w:p>
          <w:p w14:paraId="49D10C6B">
            <w:pPr>
              <w:autoSpaceDE w:val="0"/>
              <w:autoSpaceDN w:val="0"/>
              <w:adjustRightInd w:val="0"/>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sym w:font="Wingdings" w:char="00FE"/>
            </w:r>
            <w:r>
              <w:rPr>
                <w:rFonts w:hint="eastAsia" w:ascii="宋体" w:hAnsi="宋体" w:cs="宋体"/>
                <w:b w:val="0"/>
                <w:bCs w:val="0"/>
                <w:color w:val="auto"/>
                <w:kern w:val="0"/>
                <w:sz w:val="22"/>
                <w:szCs w:val="22"/>
                <w:highlight w:val="none"/>
                <w:lang w:val="zh-CN"/>
              </w:rPr>
              <w:t>接受</w:t>
            </w:r>
            <w:r>
              <w:rPr>
                <w:rFonts w:hint="eastAsia" w:ascii="宋体" w:hAnsi="宋体" w:cs="宋体"/>
                <w:color w:val="auto"/>
                <w:kern w:val="0"/>
                <w:sz w:val="22"/>
                <w:szCs w:val="22"/>
                <w:highlight w:val="none"/>
              </w:rPr>
              <w:t>，应满足下列要求：</w:t>
            </w:r>
          </w:p>
          <w:p w14:paraId="4B83EB54">
            <w:pPr>
              <w:spacing w:line="3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（1）允许大中型企业与小微企业组成联合体参与投标；</w:t>
            </w:r>
          </w:p>
          <w:p w14:paraId="2DEEB129">
            <w:pPr>
              <w:spacing w:line="3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（2）需提供联合体协议书，明确双方各自责任与义务；</w:t>
            </w:r>
          </w:p>
          <w:p w14:paraId="63748ED7">
            <w:pPr>
              <w:pStyle w:val="34"/>
              <w:rPr>
                <w:color w:val="auto"/>
                <w:highlight w:val="none"/>
                <w:lang w:val="zh-CN"/>
              </w:rPr>
            </w:pPr>
            <w:r>
              <w:rPr>
                <w:rFonts w:hint="eastAsia" w:hAnsi="宋体" w:cs="宋体"/>
                <w:color w:val="auto"/>
                <w:sz w:val="22"/>
                <w:szCs w:val="22"/>
                <w:highlight w:val="none"/>
              </w:rPr>
              <w:t>（3）联合体成员不超过两家。</w:t>
            </w:r>
          </w:p>
        </w:tc>
      </w:tr>
      <w:tr w14:paraId="4D5CF305">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1CD2D33">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8</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526E0E2">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踏勘现场</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201D1F6">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□组织</w:t>
            </w:r>
          </w:p>
          <w:p w14:paraId="3DE9D19F">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lang w:val="zh-CN"/>
              </w:rPr>
              <w:t>不组织</w:t>
            </w:r>
          </w:p>
        </w:tc>
      </w:tr>
      <w:tr w14:paraId="2D4BD3E1">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16E3B5E">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9</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4FE9B94">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投标预备会</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3C5D287">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□召开</w:t>
            </w:r>
          </w:p>
          <w:p w14:paraId="58D6E2DA">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lang w:val="zh-CN"/>
              </w:rPr>
              <w:t>不召开</w:t>
            </w:r>
          </w:p>
        </w:tc>
      </w:tr>
      <w:tr w14:paraId="7E39FC57">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F025C06">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10</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C43AD7D">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投标</w:t>
            </w:r>
            <w:r>
              <w:rPr>
                <w:rFonts w:hint="eastAsia" w:ascii="宋体" w:hAnsi="宋体" w:cs="宋体"/>
                <w:color w:val="auto"/>
                <w:kern w:val="0"/>
                <w:sz w:val="22"/>
                <w:szCs w:val="22"/>
                <w:highlight w:val="none"/>
              </w:rPr>
              <w:t>响应</w:t>
            </w:r>
            <w:r>
              <w:rPr>
                <w:rFonts w:hint="eastAsia" w:ascii="宋体" w:hAnsi="宋体" w:cs="宋体"/>
                <w:color w:val="auto"/>
                <w:kern w:val="0"/>
                <w:sz w:val="22"/>
                <w:szCs w:val="22"/>
                <w:highlight w:val="none"/>
                <w:lang w:val="zh-CN"/>
              </w:rPr>
              <w:t>截止时间</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58440CE">
            <w:pPr>
              <w:autoSpaceDE w:val="0"/>
              <w:autoSpaceDN w:val="0"/>
              <w:adjustRightInd w:val="0"/>
              <w:spacing w:line="400" w:lineRule="exact"/>
              <w:rPr>
                <w:rFonts w:ascii="宋体" w:hAnsi="宋体" w:cs="宋体"/>
                <w:color w:val="auto"/>
                <w:kern w:val="0"/>
                <w:sz w:val="22"/>
                <w:szCs w:val="22"/>
                <w:highlight w:val="none"/>
              </w:rPr>
            </w:pPr>
            <w:r>
              <w:rPr>
                <w:rFonts w:hint="eastAsia" w:ascii="宋体" w:hAnsi="宋体" w:cs="宋体"/>
                <w:bCs/>
                <w:color w:val="auto"/>
                <w:kern w:val="0"/>
                <w:sz w:val="22"/>
                <w:szCs w:val="22"/>
                <w:highlight w:val="none"/>
              </w:rPr>
              <w:t>见招标公告</w:t>
            </w:r>
          </w:p>
        </w:tc>
      </w:tr>
      <w:tr w14:paraId="0D07CAC4">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3658ED7">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11</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BA2BFC8">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分包</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5B9541C">
            <w:pPr>
              <w:autoSpaceDE w:val="0"/>
              <w:autoSpaceDN w:val="0"/>
              <w:adjustRightInd w:val="0"/>
              <w:spacing w:line="400" w:lineRule="exact"/>
              <w:rPr>
                <w:color w:val="auto"/>
                <w:highlight w:val="none"/>
                <w:lang w:val="zh-CN"/>
              </w:rPr>
            </w:pPr>
            <w:r>
              <w:rPr>
                <w:rFonts w:hint="eastAsia" w:ascii="宋体" w:hAnsi="宋体" w:cs="宋体"/>
                <w:color w:val="auto"/>
                <w:kern w:val="0"/>
                <w:sz w:val="22"/>
                <w:szCs w:val="22"/>
                <w:highlight w:val="none"/>
                <w:lang w:val="zh-CN"/>
              </w:rPr>
              <w:t>□</w:t>
            </w:r>
            <w:r>
              <w:rPr>
                <w:rFonts w:hint="eastAsia"/>
                <w:color w:val="auto"/>
                <w:highlight w:val="none"/>
                <w:lang w:val="zh-CN"/>
              </w:rPr>
              <w:t>不允许</w:t>
            </w:r>
          </w:p>
          <w:p w14:paraId="58613BA1">
            <w:pPr>
              <w:autoSpaceDE w:val="0"/>
              <w:autoSpaceDN w:val="0"/>
              <w:adjustRightInd w:val="0"/>
              <w:spacing w:line="400" w:lineRule="exact"/>
              <w:rPr>
                <w:color w:val="auto"/>
                <w:highlight w:val="none"/>
                <w:lang w:val="zh-CN"/>
              </w:rPr>
            </w:pPr>
            <w:r>
              <w:rPr>
                <w:rFonts w:hint="eastAsia" w:ascii="宋体" w:hAnsi="宋体" w:cs="宋体"/>
                <w:b/>
                <w:snapToGrid w:val="0"/>
                <w:color w:val="auto"/>
                <w:sz w:val="22"/>
                <w:szCs w:val="22"/>
                <w:highlight w:val="none"/>
              </w:rPr>
              <w:sym w:font="Wingdings" w:char="F0FE"/>
            </w:r>
            <w:r>
              <w:rPr>
                <w:rFonts w:hint="eastAsia"/>
                <w:color w:val="auto"/>
                <w:highlight w:val="none"/>
                <w:lang w:val="zh-CN"/>
              </w:rPr>
              <w:t>允许</w:t>
            </w:r>
            <w:r>
              <w:rPr>
                <w:rFonts w:hint="eastAsia" w:ascii="宋体" w:hAnsi="宋体" w:cs="宋体"/>
                <w:color w:val="auto"/>
                <w:kern w:val="0"/>
                <w:sz w:val="22"/>
                <w:szCs w:val="22"/>
                <w:highlight w:val="none"/>
              </w:rPr>
              <w:t>大中型企业向小微企业合理分包，若分包需在投标文件内提供分包意向书，明确分包内容及金额比例。</w:t>
            </w:r>
          </w:p>
        </w:tc>
      </w:tr>
      <w:tr w14:paraId="308B805A">
        <w:tblPrEx>
          <w:tblCellMar>
            <w:top w:w="0" w:type="dxa"/>
            <w:left w:w="108" w:type="dxa"/>
            <w:bottom w:w="0" w:type="dxa"/>
            <w:right w:w="108" w:type="dxa"/>
          </w:tblCellMar>
        </w:tblPrEx>
        <w:trPr>
          <w:trHeight w:val="108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F361360">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12</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AD6CCBB">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偏离</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6F7376F">
            <w:pPr>
              <w:autoSpaceDE w:val="0"/>
              <w:autoSpaceDN w:val="0"/>
              <w:adjustRightInd w:val="0"/>
              <w:spacing w:line="400" w:lineRule="exact"/>
              <w:rPr>
                <w:rFonts w:ascii="宋体" w:hAnsi="宋体" w:cs="宋体"/>
                <w:strike/>
                <w:color w:val="auto"/>
                <w:kern w:val="0"/>
                <w:sz w:val="22"/>
                <w:szCs w:val="22"/>
                <w:highlight w:val="none"/>
                <w:lang w:val="zh-CN"/>
              </w:rPr>
            </w:pPr>
            <w:r>
              <w:rPr>
                <w:rFonts w:hint="eastAsia" w:ascii="宋体" w:hAnsi="宋体" w:cs="宋体"/>
                <w:color w:val="auto"/>
                <w:kern w:val="0"/>
                <w:sz w:val="22"/>
                <w:szCs w:val="22"/>
                <w:highlight w:val="none"/>
                <w:lang w:val="zh-CN"/>
              </w:rPr>
              <w:t>偏差允许幅度及其处理方法：允许细微偏差，不允许重大偏差。由评标委员会判断，细微偏差要求投标人在评标结束前予以澄清、说明或补正，不接受要求进行的，</w:t>
            </w:r>
            <w:r>
              <w:rPr>
                <w:rFonts w:hint="eastAsia" w:ascii="宋体" w:hAnsi="宋体" w:cs="宋体"/>
                <w:color w:val="auto"/>
                <w:kern w:val="0"/>
                <w:sz w:val="22"/>
                <w:szCs w:val="22"/>
                <w:highlight w:val="none"/>
              </w:rPr>
              <w:t>评标委员会</w:t>
            </w:r>
            <w:r>
              <w:rPr>
                <w:rFonts w:hint="eastAsia" w:ascii="宋体" w:hAnsi="宋体" w:cs="宋体"/>
                <w:color w:val="auto"/>
                <w:kern w:val="0"/>
                <w:sz w:val="22"/>
                <w:szCs w:val="22"/>
                <w:highlight w:val="none"/>
                <w:lang w:val="zh-CN"/>
              </w:rPr>
              <w:t>有权做无效标处理，详见评标办法。</w:t>
            </w:r>
          </w:p>
        </w:tc>
      </w:tr>
      <w:tr w14:paraId="7F5B9D86">
        <w:tblPrEx>
          <w:tblCellMar>
            <w:top w:w="0" w:type="dxa"/>
            <w:left w:w="108" w:type="dxa"/>
            <w:bottom w:w="0" w:type="dxa"/>
            <w:right w:w="108" w:type="dxa"/>
          </w:tblCellMar>
        </w:tblPrEx>
        <w:trPr>
          <w:trHeight w:val="68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52A4A0E">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13</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4BB19BA">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投标有效期</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7254365">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自投标</w:t>
            </w:r>
            <w:r>
              <w:rPr>
                <w:rFonts w:hint="eastAsia" w:ascii="宋体" w:hAnsi="宋体" w:cs="宋体"/>
                <w:color w:val="auto"/>
                <w:kern w:val="0"/>
                <w:sz w:val="22"/>
                <w:szCs w:val="22"/>
                <w:highlight w:val="none"/>
              </w:rPr>
              <w:t>响应</w:t>
            </w:r>
            <w:r>
              <w:rPr>
                <w:rFonts w:hint="eastAsia" w:ascii="宋体" w:hAnsi="宋体" w:cs="宋体"/>
                <w:color w:val="auto"/>
                <w:kern w:val="0"/>
                <w:sz w:val="22"/>
                <w:szCs w:val="22"/>
                <w:highlight w:val="none"/>
                <w:lang w:val="zh-CN"/>
              </w:rPr>
              <w:t>截止时间起生效，有效期90天。</w:t>
            </w:r>
          </w:p>
        </w:tc>
      </w:tr>
      <w:tr w14:paraId="67A5B5E8">
        <w:tblPrEx>
          <w:tblCellMar>
            <w:top w:w="0" w:type="dxa"/>
            <w:left w:w="108" w:type="dxa"/>
            <w:bottom w:w="0" w:type="dxa"/>
            <w:right w:w="108" w:type="dxa"/>
          </w:tblCellMar>
        </w:tblPrEx>
        <w:trPr>
          <w:trHeight w:val="846"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7774147">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14</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9583E3A">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投标保证金</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C973BA6">
            <w:pPr>
              <w:autoSpaceDE w:val="0"/>
              <w:autoSpaceDN w:val="0"/>
              <w:adjustRightInd w:val="0"/>
              <w:spacing w:line="400" w:lineRule="exact"/>
              <w:rPr>
                <w:rFonts w:ascii="宋体" w:hAnsi="宋体" w:cs="宋体"/>
                <w:b/>
                <w:bCs/>
                <w:color w:val="auto"/>
                <w:sz w:val="22"/>
                <w:szCs w:val="22"/>
                <w:highlight w:val="none"/>
              </w:rPr>
            </w:pPr>
            <w:r>
              <w:rPr>
                <w:rFonts w:hint="eastAsia" w:ascii="宋体" w:hAnsi="宋体" w:cs="宋体"/>
                <w:color w:val="auto"/>
                <w:sz w:val="22"/>
                <w:szCs w:val="22"/>
                <w:highlight w:val="none"/>
              </w:rPr>
              <w:t>无需提交</w:t>
            </w:r>
          </w:p>
        </w:tc>
      </w:tr>
      <w:tr w14:paraId="72A6A65E">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F6378D0">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15</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D499B7D">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响应文件</w:t>
            </w:r>
            <w:r>
              <w:rPr>
                <w:rFonts w:hint="eastAsia" w:ascii="宋体" w:hAnsi="宋体" w:cs="宋体"/>
                <w:color w:val="auto"/>
                <w:kern w:val="0"/>
                <w:sz w:val="22"/>
                <w:szCs w:val="22"/>
                <w:highlight w:val="none"/>
                <w:lang w:val="zh-CN"/>
              </w:rPr>
              <w:t>的组成</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69BF2D2">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由“资格响应文件”、“</w:t>
            </w:r>
            <w:r>
              <w:rPr>
                <w:rFonts w:hint="eastAsia" w:ascii="宋体" w:hAnsi="宋体" w:cs="宋体"/>
                <w:color w:val="auto"/>
                <w:kern w:val="0"/>
                <w:sz w:val="22"/>
                <w:szCs w:val="22"/>
                <w:highlight w:val="none"/>
              </w:rPr>
              <w:t>商务技术响应文件</w:t>
            </w:r>
            <w:r>
              <w:rPr>
                <w:rFonts w:hint="eastAsia" w:ascii="宋体" w:hAnsi="宋体" w:cs="宋体"/>
                <w:color w:val="auto"/>
                <w:kern w:val="0"/>
                <w:sz w:val="22"/>
                <w:szCs w:val="22"/>
                <w:highlight w:val="none"/>
                <w:lang w:val="zh-CN"/>
              </w:rPr>
              <w:t>”和“报价响应文件”三个部分组成。</w:t>
            </w:r>
          </w:p>
        </w:tc>
      </w:tr>
      <w:tr w14:paraId="1C2C1D6E">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7FAECBA">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16</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3BC0650">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响应文件</w:t>
            </w:r>
            <w:r>
              <w:rPr>
                <w:rFonts w:hint="eastAsia" w:ascii="宋体" w:hAnsi="宋体" w:cs="宋体"/>
                <w:color w:val="auto"/>
                <w:kern w:val="0"/>
                <w:sz w:val="22"/>
                <w:szCs w:val="22"/>
                <w:highlight w:val="none"/>
                <w:lang w:val="zh-CN"/>
              </w:rPr>
              <w:t>的编制</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45C860D">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投标人应先安装“政采云</w:t>
            </w:r>
            <w:r>
              <w:rPr>
                <w:rFonts w:hint="eastAsia" w:ascii="宋体" w:hAnsi="宋体" w:cs="宋体"/>
                <w:color w:val="auto"/>
                <w:kern w:val="0"/>
                <w:sz w:val="22"/>
                <w:szCs w:val="22"/>
                <w:highlight w:val="none"/>
              </w:rPr>
              <w:t>投标</w:t>
            </w:r>
            <w:r>
              <w:rPr>
                <w:rFonts w:hint="eastAsia" w:ascii="宋体" w:hAnsi="宋体" w:cs="宋体"/>
                <w:color w:val="auto"/>
                <w:kern w:val="0"/>
                <w:sz w:val="22"/>
                <w:szCs w:val="22"/>
                <w:highlight w:val="none"/>
                <w:lang w:val="zh-CN"/>
              </w:rPr>
              <w:t>客户端”，并按照本</w:t>
            </w:r>
            <w:r>
              <w:rPr>
                <w:rFonts w:hint="eastAsia" w:ascii="宋体" w:hAnsi="宋体" w:cs="宋体"/>
                <w:color w:val="auto"/>
                <w:kern w:val="0"/>
                <w:sz w:val="22"/>
                <w:szCs w:val="22"/>
                <w:highlight w:val="none"/>
              </w:rPr>
              <w:t>招标文件</w:t>
            </w:r>
            <w:r>
              <w:rPr>
                <w:rFonts w:hint="eastAsia" w:ascii="宋体" w:hAnsi="宋体" w:cs="宋体"/>
                <w:color w:val="auto"/>
                <w:kern w:val="0"/>
                <w:sz w:val="22"/>
                <w:szCs w:val="22"/>
                <w:highlight w:val="none"/>
                <w:lang w:val="zh-CN"/>
              </w:rPr>
              <w:t>和“《政府采购项目电子交易管理操作指南-投标人》”的要求，编制并加密</w:t>
            </w:r>
            <w:r>
              <w:rPr>
                <w:rFonts w:hint="eastAsia" w:ascii="宋体" w:hAnsi="宋体" w:cs="宋体"/>
                <w:color w:val="auto"/>
                <w:kern w:val="0"/>
                <w:sz w:val="22"/>
                <w:szCs w:val="22"/>
                <w:highlight w:val="none"/>
              </w:rPr>
              <w:t>响应</w:t>
            </w:r>
            <w:r>
              <w:rPr>
                <w:rFonts w:hint="eastAsia" w:ascii="宋体" w:hAnsi="宋体" w:cs="宋体"/>
                <w:color w:val="auto"/>
                <w:kern w:val="0"/>
                <w:sz w:val="22"/>
                <w:szCs w:val="22"/>
                <w:highlight w:val="none"/>
                <w:lang w:val="zh-CN"/>
              </w:rPr>
              <w:t>文件。</w:t>
            </w:r>
          </w:p>
        </w:tc>
      </w:tr>
      <w:tr w14:paraId="27422867">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7984265">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17</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FBFE659">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开标时间</w:t>
            </w:r>
          </w:p>
          <w:p w14:paraId="6B30DAE2">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和地点</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149ED12">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详见招标公告</w:t>
            </w:r>
          </w:p>
          <w:p w14:paraId="0C1B8902">
            <w:pPr>
              <w:pStyle w:val="25"/>
              <w:spacing w:line="400" w:lineRule="exact"/>
              <w:ind w:firstLine="42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注：本项目为电子招投标，相关的招投标流程（</w:t>
            </w:r>
            <w:r>
              <w:rPr>
                <w:rFonts w:hint="eastAsia" w:ascii="宋体" w:hAnsi="宋体" w:cs="宋体"/>
                <w:color w:val="auto"/>
                <w:sz w:val="22"/>
                <w:szCs w:val="22"/>
                <w:highlight w:val="none"/>
              </w:rPr>
              <w:t>招标</w:t>
            </w:r>
            <w:r>
              <w:rPr>
                <w:rFonts w:hint="eastAsia" w:ascii="宋体" w:hAnsi="宋体" w:cs="宋体"/>
                <w:color w:val="auto"/>
                <w:sz w:val="22"/>
                <w:szCs w:val="22"/>
                <w:highlight w:val="none"/>
                <w:lang w:val="zh-CN"/>
              </w:rPr>
              <w:t>文件下载、电子</w:t>
            </w:r>
            <w:r>
              <w:rPr>
                <w:rFonts w:hint="eastAsia" w:ascii="宋体" w:hAnsi="宋体" w:cs="宋体"/>
                <w:color w:val="auto"/>
                <w:sz w:val="22"/>
                <w:szCs w:val="22"/>
                <w:highlight w:val="none"/>
              </w:rPr>
              <w:t>响应</w:t>
            </w:r>
            <w:r>
              <w:rPr>
                <w:rFonts w:hint="eastAsia" w:ascii="宋体" w:hAnsi="宋体" w:cs="宋体"/>
                <w:color w:val="auto"/>
                <w:sz w:val="22"/>
                <w:szCs w:val="22"/>
                <w:highlight w:val="none"/>
                <w:lang w:val="zh-CN"/>
              </w:rPr>
              <w:t>文件上传、</w:t>
            </w:r>
            <w:r>
              <w:rPr>
                <w:rFonts w:hint="eastAsia" w:ascii="宋体" w:hAnsi="宋体" w:cs="宋体"/>
                <w:color w:val="auto"/>
                <w:sz w:val="22"/>
                <w:szCs w:val="22"/>
                <w:highlight w:val="none"/>
              </w:rPr>
              <w:t>评标</w:t>
            </w:r>
            <w:r>
              <w:rPr>
                <w:rFonts w:hint="eastAsia" w:ascii="宋体" w:hAnsi="宋体" w:cs="宋体"/>
                <w:color w:val="auto"/>
                <w:sz w:val="22"/>
                <w:szCs w:val="22"/>
                <w:highlight w:val="none"/>
                <w:lang w:val="zh-CN"/>
              </w:rPr>
              <w:t>等程序）均在浙江政府采购网“政府采购云平台”进行，</w:t>
            </w:r>
            <w:r>
              <w:rPr>
                <w:rFonts w:hint="eastAsia" w:ascii="宋体" w:hAnsi="宋体" w:cs="宋体"/>
                <w:color w:val="auto"/>
                <w:sz w:val="22"/>
                <w:szCs w:val="22"/>
                <w:highlight w:val="none"/>
              </w:rPr>
              <w:t>供应商</w:t>
            </w:r>
            <w:r>
              <w:rPr>
                <w:rFonts w:hint="eastAsia" w:ascii="宋体" w:hAnsi="宋体" w:cs="宋体"/>
                <w:color w:val="auto"/>
                <w:sz w:val="22"/>
                <w:szCs w:val="22"/>
                <w:highlight w:val="none"/>
                <w:lang w:val="zh-CN"/>
              </w:rPr>
              <w:t>不必前往现场进行</w:t>
            </w:r>
            <w:r>
              <w:rPr>
                <w:rFonts w:hint="eastAsia" w:ascii="宋体" w:hAnsi="宋体" w:cs="宋体"/>
                <w:color w:val="auto"/>
                <w:sz w:val="22"/>
                <w:szCs w:val="22"/>
                <w:highlight w:val="none"/>
              </w:rPr>
              <w:t>投标</w:t>
            </w:r>
            <w:r>
              <w:rPr>
                <w:rFonts w:hint="eastAsia" w:ascii="宋体" w:hAnsi="宋体" w:cs="宋体"/>
                <w:color w:val="auto"/>
                <w:sz w:val="22"/>
                <w:szCs w:val="22"/>
                <w:highlight w:val="none"/>
                <w:lang w:val="zh-CN"/>
              </w:rPr>
              <w:t>活动等事宜</w:t>
            </w:r>
          </w:p>
        </w:tc>
      </w:tr>
      <w:tr w14:paraId="315E494B">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2849698">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18</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974BE90">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询标澄清</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3A59E7C">
            <w:pPr>
              <w:pStyle w:val="25"/>
              <w:numPr>
                <w:ilvl w:val="0"/>
                <w:numId w:val="2"/>
              </w:numPr>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在评标过程中，如评审小组对供应商递交的电子响应文件存有疑问要求供应商进行澄清或根据评审需求需要与供应商进行评审的，将采用在政采云系统上向供应商发起询标函的方式进行。供应商须在“规定时间”内登录政采云系统根据标项回复询标函，具体操作流程详见《政府采购项目电子交易管理操作指南-供应商》（供应商自行去政采云系统上进行下载）.</w:t>
            </w:r>
          </w:p>
          <w:p w14:paraId="7EFF6F2F">
            <w:pPr>
              <w:pStyle w:val="25"/>
              <w:numPr>
                <w:ilvl w:val="0"/>
                <w:numId w:val="2"/>
              </w:numPr>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本项目采购过程中，涉及的供应商联系方式（如手机号码、</w:t>
            </w:r>
            <w:r>
              <w:rPr>
                <w:rFonts w:hint="eastAsia" w:ascii="宋体" w:hAnsi="宋体" w:cs="宋体"/>
                <w:color w:val="auto"/>
                <w:sz w:val="22"/>
                <w:szCs w:val="22"/>
                <w:highlight w:val="none"/>
              </w:rPr>
              <w:t>响应</w:t>
            </w:r>
            <w:r>
              <w:rPr>
                <w:rFonts w:hint="eastAsia" w:ascii="宋体" w:hAnsi="宋体" w:cs="宋体"/>
                <w:color w:val="auto"/>
                <w:sz w:val="22"/>
                <w:szCs w:val="22"/>
                <w:highlight w:val="none"/>
                <w:lang w:val="zh-CN"/>
              </w:rPr>
              <w:t>文件中预留的邮箱、供应商地址），均以供应商递交的电子</w:t>
            </w:r>
            <w:r>
              <w:rPr>
                <w:rFonts w:hint="eastAsia" w:ascii="宋体" w:hAnsi="宋体" w:cs="宋体"/>
                <w:color w:val="auto"/>
                <w:sz w:val="22"/>
                <w:szCs w:val="22"/>
                <w:highlight w:val="none"/>
              </w:rPr>
              <w:t>响应</w:t>
            </w:r>
            <w:r>
              <w:rPr>
                <w:rFonts w:hint="eastAsia" w:ascii="宋体" w:hAnsi="宋体" w:cs="宋体"/>
                <w:color w:val="auto"/>
                <w:sz w:val="22"/>
                <w:szCs w:val="22"/>
                <w:highlight w:val="none"/>
                <w:lang w:val="zh-CN"/>
              </w:rPr>
              <w:t>文件中《法定代表人资格声明书》或《法定代表人授权委托书》上注明的联系方式为准。</w:t>
            </w:r>
          </w:p>
        </w:tc>
      </w:tr>
      <w:tr w14:paraId="1758D6C4">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20829A6">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19</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6770217">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评标委员会</w:t>
            </w:r>
          </w:p>
          <w:p w14:paraId="2CB6807D">
            <w:pPr>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的组建</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27AC9AB">
            <w:pPr>
              <w:spacing w:line="400" w:lineRule="exac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采购人按照《中华人民共和国政府采购法》等有关法律、法规的规定组建评标委员会，评标委员会由采购人代表和有关技术、经济等方面的专家组成，成员人数为5人（含）以上单数，除采购人代表外的专家将在评标专家库中随机抽取产生。</w:t>
            </w:r>
          </w:p>
        </w:tc>
      </w:tr>
      <w:tr w14:paraId="51DC9808">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E544978">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20</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FDA0D05">
            <w:pPr>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履约担保</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AE27603">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fldChar w:fldCharType="begin"/>
            </w:r>
            <w:r>
              <w:rPr>
                <w:rFonts w:hint="eastAsia" w:ascii="宋体" w:hAnsi="宋体" w:cs="宋体"/>
                <w:color w:val="auto"/>
                <w:kern w:val="0"/>
                <w:sz w:val="22"/>
                <w:szCs w:val="22"/>
                <w:highlight w:val="none"/>
              </w:rPr>
              <w:instrText xml:space="preserve"> eq \o\ac(</w:instrText>
            </w:r>
            <w:r>
              <w:rPr>
                <w:rFonts w:hint="eastAsia" w:ascii="宋体" w:hAnsi="宋体" w:cs="宋体"/>
                <w:color w:val="auto"/>
                <w:kern w:val="0"/>
                <w:position w:val="-4"/>
                <w:sz w:val="22"/>
                <w:szCs w:val="22"/>
                <w:highlight w:val="none"/>
              </w:rPr>
              <w:instrText xml:space="preserve">□</w:instrText>
            </w:r>
            <w:r>
              <w:rPr>
                <w:rFonts w:hint="eastAsia" w:ascii="宋体" w:hAnsi="宋体" w:cs="宋体"/>
                <w:color w:val="auto"/>
                <w:kern w:val="0"/>
                <w:sz w:val="22"/>
                <w:szCs w:val="22"/>
                <w:highlight w:val="none"/>
              </w:rPr>
              <w:instrText xml:space="preserve">)</w:instrText>
            </w:r>
            <w:r>
              <w:rPr>
                <w:rFonts w:hint="eastAsia" w:ascii="宋体" w:hAnsi="宋体" w:cs="宋体"/>
                <w:color w:val="auto"/>
                <w:kern w:val="0"/>
                <w:sz w:val="22"/>
                <w:szCs w:val="22"/>
                <w:highlight w:val="none"/>
              </w:rPr>
              <w:fldChar w:fldCharType="end"/>
            </w:r>
            <w:r>
              <w:rPr>
                <w:rFonts w:hint="eastAsia" w:ascii="宋体" w:hAnsi="宋体" w:cs="宋体"/>
                <w:color w:val="auto"/>
                <w:kern w:val="0"/>
                <w:sz w:val="22"/>
                <w:szCs w:val="22"/>
                <w:highlight w:val="none"/>
              </w:rPr>
              <w:t>需要</w:t>
            </w:r>
          </w:p>
          <w:p w14:paraId="04AE222A">
            <w:pPr>
              <w:spacing w:line="400" w:lineRule="exact"/>
              <w:rPr>
                <w:rFonts w:ascii="宋体" w:hAnsi="宋体" w:cs="宋体"/>
                <w:color w:val="auto"/>
                <w:kern w:val="0"/>
                <w:sz w:val="22"/>
                <w:szCs w:val="22"/>
                <w:highlight w:val="none"/>
                <w:lang w:val="zh-CN"/>
              </w:rPr>
            </w:pPr>
            <w:r>
              <w:rPr>
                <w:rFonts w:hint="eastAsia" w:ascii="宋体" w:hAnsi="宋体" w:cs="宋体"/>
                <w:b/>
                <w:bCs/>
                <w:color w:val="auto"/>
                <w:kern w:val="0"/>
                <w:sz w:val="22"/>
                <w:szCs w:val="22"/>
                <w:highlight w:val="none"/>
              </w:rPr>
              <w:fldChar w:fldCharType="begin"/>
            </w:r>
            <w:r>
              <w:rPr>
                <w:rFonts w:hint="eastAsia" w:ascii="宋体" w:hAnsi="宋体" w:cs="宋体"/>
                <w:b/>
                <w:bCs/>
                <w:color w:val="auto"/>
                <w:kern w:val="0"/>
                <w:sz w:val="22"/>
                <w:szCs w:val="22"/>
                <w:highlight w:val="none"/>
              </w:rPr>
              <w:instrText xml:space="preserve"> eq \o\ac(</w:instrText>
            </w:r>
            <w:r>
              <w:rPr>
                <w:rFonts w:hint="eastAsia" w:ascii="宋体" w:hAnsi="宋体" w:cs="宋体"/>
                <w:b/>
                <w:bCs/>
                <w:color w:val="auto"/>
                <w:kern w:val="0"/>
                <w:position w:val="-4"/>
                <w:sz w:val="22"/>
                <w:szCs w:val="22"/>
                <w:highlight w:val="none"/>
              </w:rPr>
              <w:instrText xml:space="preserve">□,</w:instrText>
            </w:r>
            <w:r>
              <w:rPr>
                <w:rFonts w:hint="eastAsia" w:ascii="宋体" w:hAnsi="宋体" w:cs="宋体"/>
                <w:b/>
                <w:bCs/>
                <w:color w:val="auto"/>
                <w:kern w:val="0"/>
                <w:position w:val="-1"/>
                <w:sz w:val="15"/>
                <w:szCs w:val="22"/>
                <w:highlight w:val="none"/>
              </w:rPr>
              <w:instrText xml:space="preserve">√</w:instrText>
            </w:r>
            <w:r>
              <w:rPr>
                <w:rFonts w:hint="eastAsia" w:ascii="宋体" w:hAnsi="宋体" w:cs="宋体"/>
                <w:b/>
                <w:bCs/>
                <w:color w:val="auto"/>
                <w:kern w:val="0"/>
                <w:sz w:val="22"/>
                <w:szCs w:val="22"/>
                <w:highlight w:val="none"/>
              </w:rPr>
              <w:instrText xml:space="preserve">)</w:instrText>
            </w:r>
            <w:r>
              <w:rPr>
                <w:rFonts w:hint="eastAsia" w:ascii="宋体" w:hAnsi="宋体" w:cs="宋体"/>
                <w:b/>
                <w:bCs/>
                <w:color w:val="auto"/>
                <w:kern w:val="0"/>
                <w:sz w:val="22"/>
                <w:szCs w:val="22"/>
                <w:highlight w:val="none"/>
              </w:rPr>
              <w:fldChar w:fldCharType="end"/>
            </w:r>
            <w:r>
              <w:rPr>
                <w:rFonts w:hint="eastAsia" w:ascii="宋体" w:hAnsi="宋体" w:cs="宋体"/>
                <w:b/>
                <w:bCs/>
                <w:color w:val="auto"/>
                <w:kern w:val="0"/>
                <w:sz w:val="22"/>
                <w:szCs w:val="22"/>
                <w:highlight w:val="none"/>
              </w:rPr>
              <w:t>不需要</w:t>
            </w:r>
          </w:p>
        </w:tc>
      </w:tr>
      <w:tr w14:paraId="061AFFCE">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51A6FC6">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21</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CB65B26">
            <w:pPr>
              <w:adjustRightInd w:val="0"/>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政府采购</w:t>
            </w:r>
          </w:p>
          <w:p w14:paraId="1A791EC5">
            <w:pPr>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扶持政策</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A00CBEA">
            <w:pPr>
              <w:numPr>
                <w:ilvl w:val="0"/>
                <w:numId w:val="3"/>
              </w:numPr>
              <w:autoSpaceDE w:val="0"/>
              <w:autoSpaceDN w:val="0"/>
              <w:adjustRightInd w:val="0"/>
              <w:spacing w:line="400" w:lineRule="exact"/>
              <w:rPr>
                <w:color w:val="auto"/>
                <w:sz w:val="22"/>
                <w:szCs w:val="22"/>
                <w:highlight w:val="none"/>
              </w:rPr>
            </w:pPr>
            <w:r>
              <w:rPr>
                <w:rFonts w:hint="eastAsia"/>
                <w:color w:val="auto"/>
                <w:sz w:val="22"/>
                <w:szCs w:val="22"/>
                <w:highlight w:val="none"/>
              </w:rPr>
              <w:t>中小微企业扶持政策</w:t>
            </w:r>
          </w:p>
          <w:p w14:paraId="5173489B">
            <w:pPr>
              <w:numPr>
                <w:ilvl w:val="0"/>
                <w:numId w:val="4"/>
              </w:numPr>
              <w:autoSpaceDE w:val="0"/>
              <w:autoSpaceDN w:val="0"/>
              <w:adjustRightInd w:val="0"/>
              <w:spacing w:line="400" w:lineRule="exact"/>
              <w:rPr>
                <w:b/>
                <w:bCs/>
                <w:color w:val="auto"/>
                <w:sz w:val="22"/>
                <w:szCs w:val="22"/>
                <w:highlight w:val="none"/>
                <w:lang w:val="zh-CN"/>
              </w:rPr>
            </w:pPr>
            <w:r>
              <w:rPr>
                <w:rFonts w:hint="eastAsia"/>
                <w:color w:val="auto"/>
                <w:sz w:val="22"/>
                <w:szCs w:val="22"/>
                <w:highlight w:val="none"/>
                <w:lang w:val="zh-CN"/>
              </w:rPr>
              <w:t>本次采购为</w:t>
            </w:r>
            <w:r>
              <w:rPr>
                <w:rFonts w:hint="eastAsia"/>
                <w:b/>
                <w:bCs/>
                <w:color w:val="auto"/>
                <w:sz w:val="22"/>
                <w:szCs w:val="22"/>
                <w:highlight w:val="none"/>
                <w:u w:val="single"/>
                <w:lang w:val="zh-CN"/>
              </w:rPr>
              <w:t xml:space="preserve"> 否 </w:t>
            </w:r>
            <w:r>
              <w:rPr>
                <w:rFonts w:hint="eastAsia"/>
                <w:color w:val="auto"/>
                <w:sz w:val="22"/>
                <w:szCs w:val="22"/>
                <w:highlight w:val="none"/>
                <w:lang w:val="zh-CN"/>
              </w:rPr>
              <w:t>专门面向中小企业预留采购份额的采购项目。</w:t>
            </w:r>
            <w:r>
              <w:rPr>
                <w:rFonts w:ascii="宋体" w:hAnsi="宋体" w:cs="新宋体"/>
                <w:b/>
                <w:bCs/>
                <w:color w:val="auto"/>
                <w:kern w:val="0"/>
                <w:sz w:val="22"/>
                <w:szCs w:val="22"/>
                <w:highlight w:val="none"/>
                <w:lang w:val="zh-CN"/>
              </w:rPr>
              <w:t>参加本次采购活动的</w:t>
            </w:r>
            <w:r>
              <w:rPr>
                <w:rFonts w:hint="eastAsia" w:ascii="宋体" w:hAnsi="宋体" w:cs="新宋体"/>
                <w:b/>
                <w:bCs/>
                <w:color w:val="auto"/>
                <w:kern w:val="0"/>
                <w:sz w:val="22"/>
                <w:szCs w:val="22"/>
                <w:highlight w:val="none"/>
                <w:lang w:val="zh-CN"/>
              </w:rPr>
              <w:t>投标人为</w:t>
            </w:r>
            <w:r>
              <w:rPr>
                <w:rFonts w:ascii="宋体" w:hAnsi="宋体" w:cs="新宋体"/>
                <w:b/>
                <w:bCs/>
                <w:color w:val="auto"/>
                <w:kern w:val="0"/>
                <w:sz w:val="22"/>
                <w:szCs w:val="22"/>
                <w:highlight w:val="none"/>
                <w:lang w:val="zh-CN"/>
              </w:rPr>
              <w:t>小微企业</w:t>
            </w:r>
            <w:r>
              <w:rPr>
                <w:rFonts w:hint="eastAsia" w:ascii="宋体" w:hAnsi="宋体" w:cs="新宋体"/>
                <w:b/>
                <w:bCs/>
                <w:color w:val="auto"/>
                <w:kern w:val="0"/>
                <w:sz w:val="22"/>
                <w:szCs w:val="22"/>
                <w:highlight w:val="none"/>
                <w:lang w:val="zh-CN"/>
              </w:rPr>
              <w:t>（即提供服务的人员为</w:t>
            </w:r>
            <w:r>
              <w:rPr>
                <w:rFonts w:ascii="宋体" w:hAnsi="宋体" w:cs="新宋体"/>
                <w:b/>
                <w:bCs/>
                <w:color w:val="auto"/>
                <w:kern w:val="0"/>
                <w:sz w:val="22"/>
                <w:szCs w:val="22"/>
                <w:highlight w:val="none"/>
                <w:lang w:val="zh-CN"/>
              </w:rPr>
              <w:t>小微企业</w:t>
            </w:r>
            <w:r>
              <w:rPr>
                <w:rFonts w:hint="eastAsia" w:ascii="宋体" w:hAnsi="宋体" w:cs="新宋体"/>
                <w:b/>
                <w:bCs/>
                <w:color w:val="auto"/>
                <w:kern w:val="0"/>
                <w:sz w:val="22"/>
                <w:szCs w:val="22"/>
                <w:highlight w:val="none"/>
                <w:lang w:val="zh-CN"/>
              </w:rPr>
              <w:t>依照《中华人民共和国劳动合同法》订立劳动合同的从业人员。）</w:t>
            </w:r>
            <w:r>
              <w:rPr>
                <w:rFonts w:ascii="宋体" w:hAnsi="宋体" w:cs="新宋体"/>
                <w:b/>
                <w:bCs/>
                <w:color w:val="auto"/>
                <w:kern w:val="0"/>
                <w:sz w:val="22"/>
                <w:szCs w:val="22"/>
                <w:highlight w:val="none"/>
                <w:lang w:val="zh-CN"/>
              </w:rPr>
              <w:t>其报价给予</w:t>
            </w:r>
            <w:r>
              <w:rPr>
                <w:rFonts w:hint="eastAsia" w:ascii="宋体" w:hAnsi="宋体" w:cs="新宋体"/>
                <w:b/>
                <w:bCs/>
                <w:color w:val="auto"/>
                <w:kern w:val="0"/>
                <w:sz w:val="22"/>
                <w:szCs w:val="22"/>
                <w:highlight w:val="none"/>
              </w:rPr>
              <w:t>10</w:t>
            </w:r>
            <w:r>
              <w:rPr>
                <w:rFonts w:hint="eastAsia" w:ascii="宋体" w:hAnsi="宋体" w:cs="新宋体"/>
                <w:b/>
                <w:bCs/>
                <w:color w:val="auto"/>
                <w:kern w:val="0"/>
                <w:sz w:val="22"/>
                <w:szCs w:val="22"/>
                <w:highlight w:val="none"/>
                <w:lang w:val="zh-CN"/>
              </w:rPr>
              <w:t>%</w:t>
            </w:r>
            <w:r>
              <w:rPr>
                <w:rFonts w:ascii="宋体" w:hAnsi="宋体" w:cs="新宋体"/>
                <w:b/>
                <w:bCs/>
                <w:color w:val="auto"/>
                <w:kern w:val="0"/>
                <w:sz w:val="22"/>
                <w:szCs w:val="22"/>
                <w:highlight w:val="none"/>
                <w:lang w:val="zh-CN"/>
              </w:rPr>
              <w:t>的扣除，用扣除后的价格参加评审</w:t>
            </w:r>
            <w:r>
              <w:rPr>
                <w:rFonts w:hint="eastAsia" w:ascii="宋体" w:hAnsi="宋体" w:cs="新宋体"/>
                <w:b/>
                <w:bCs/>
                <w:color w:val="auto"/>
                <w:kern w:val="0"/>
                <w:sz w:val="22"/>
                <w:szCs w:val="22"/>
                <w:highlight w:val="none"/>
                <w:lang w:val="zh-CN"/>
              </w:rPr>
              <w:t>。</w:t>
            </w:r>
          </w:p>
          <w:p w14:paraId="49E52212">
            <w:pPr>
              <w:numPr>
                <w:ilvl w:val="0"/>
                <w:numId w:val="4"/>
              </w:numPr>
              <w:autoSpaceDE w:val="0"/>
              <w:autoSpaceDN w:val="0"/>
              <w:adjustRightInd w:val="0"/>
              <w:spacing w:line="400" w:lineRule="exact"/>
              <w:rPr>
                <w:b/>
                <w:bCs/>
                <w:color w:val="auto"/>
                <w:sz w:val="22"/>
                <w:szCs w:val="22"/>
                <w:highlight w:val="none"/>
                <w:lang w:val="zh-CN"/>
              </w:rPr>
            </w:pPr>
            <w:r>
              <w:rPr>
                <w:rFonts w:hint="eastAsia"/>
                <w:b/>
                <w:bCs/>
                <w:color w:val="auto"/>
                <w:sz w:val="22"/>
                <w:szCs w:val="22"/>
                <w:highlight w:val="none"/>
                <w:lang w:val="zh-CN"/>
              </w:rPr>
              <w:t>对于联合体协议或者分包意向协议约定小微企业合同份额占到合同总金额30%以上的，对其投标报价给予</w:t>
            </w:r>
            <w:r>
              <w:rPr>
                <w:rFonts w:hint="eastAsia"/>
                <w:b/>
                <w:bCs/>
                <w:color w:val="auto"/>
                <w:sz w:val="22"/>
                <w:szCs w:val="22"/>
                <w:highlight w:val="none"/>
              </w:rPr>
              <w:t>6</w:t>
            </w:r>
            <w:r>
              <w:rPr>
                <w:rFonts w:hint="eastAsia"/>
                <w:b/>
                <w:bCs/>
                <w:color w:val="auto"/>
                <w:sz w:val="22"/>
                <w:szCs w:val="22"/>
                <w:highlight w:val="none"/>
                <w:lang w:val="zh-CN"/>
              </w:rPr>
              <w:t>%的扣除，用扣除后的价格参与评审。</w:t>
            </w:r>
          </w:p>
          <w:p w14:paraId="15E2A1F7">
            <w:pPr>
              <w:numPr>
                <w:ilvl w:val="0"/>
                <w:numId w:val="4"/>
              </w:numPr>
              <w:autoSpaceDE w:val="0"/>
              <w:autoSpaceDN w:val="0"/>
              <w:adjustRightInd w:val="0"/>
              <w:spacing w:line="400" w:lineRule="exact"/>
              <w:rPr>
                <w:color w:val="auto"/>
                <w:sz w:val="22"/>
                <w:szCs w:val="22"/>
                <w:highlight w:val="none"/>
                <w:lang w:val="zh-CN"/>
              </w:rPr>
            </w:pPr>
            <w:r>
              <w:rPr>
                <w:rFonts w:hint="eastAsia"/>
                <w:color w:val="auto"/>
                <w:sz w:val="22"/>
                <w:szCs w:val="22"/>
                <w:highlight w:val="none"/>
                <w:lang w:val="zh-CN"/>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88C2FC8">
            <w:pPr>
              <w:numPr>
                <w:ilvl w:val="0"/>
                <w:numId w:val="4"/>
              </w:numPr>
              <w:autoSpaceDE w:val="0"/>
              <w:autoSpaceDN w:val="0"/>
              <w:adjustRightInd w:val="0"/>
              <w:spacing w:line="400" w:lineRule="exact"/>
              <w:rPr>
                <w:color w:val="auto"/>
                <w:sz w:val="22"/>
                <w:szCs w:val="22"/>
                <w:highlight w:val="none"/>
                <w:lang w:val="zh-CN"/>
              </w:rPr>
            </w:pPr>
            <w:r>
              <w:rPr>
                <w:rFonts w:ascii="宋体" w:hAnsi="宋体" w:cs="新宋体"/>
                <w:color w:val="auto"/>
                <w:kern w:val="0"/>
                <w:sz w:val="22"/>
                <w:highlight w:val="none"/>
                <w:lang w:val="zh-CN"/>
              </w:rPr>
              <w:t>本次采购标的为</w:t>
            </w:r>
            <w:r>
              <w:rPr>
                <w:rFonts w:hint="eastAsia" w:ascii="宋体" w:hAnsi="宋体" w:cs="新宋体"/>
                <w:b/>
                <w:bCs/>
                <w:color w:val="auto"/>
                <w:kern w:val="0"/>
                <w:sz w:val="22"/>
                <w:highlight w:val="none"/>
                <w:u w:val="single"/>
                <w:lang w:val="zh-CN"/>
              </w:rPr>
              <w:t>服务</w:t>
            </w:r>
            <w:r>
              <w:rPr>
                <w:rFonts w:ascii="宋体" w:hAnsi="宋体" w:cs="新宋体"/>
                <w:color w:val="auto"/>
                <w:kern w:val="0"/>
                <w:sz w:val="22"/>
                <w:highlight w:val="none"/>
                <w:lang w:val="zh-CN"/>
              </w:rPr>
              <w:t>，对应的中小企业划分标准所属行业是：</w:t>
            </w:r>
            <w:r>
              <w:rPr>
                <w:rFonts w:hint="eastAsia" w:ascii="宋体" w:hAnsi="宋体" w:cs="新宋体"/>
                <w:b/>
                <w:bCs/>
                <w:color w:val="auto"/>
                <w:kern w:val="0"/>
                <w:sz w:val="22"/>
                <w:highlight w:val="none"/>
                <w:u w:val="single"/>
                <w:lang w:val="zh-CN"/>
              </w:rPr>
              <w:t>软件和信息技术服务业</w:t>
            </w:r>
            <w:r>
              <w:rPr>
                <w:rFonts w:ascii="宋体" w:hAnsi="宋体" w:cs="新宋体"/>
                <w:color w:val="auto"/>
                <w:kern w:val="0"/>
                <w:sz w:val="22"/>
                <w:highlight w:val="none"/>
                <w:lang w:val="zh-CN"/>
              </w:rPr>
              <w:t>（</w:t>
            </w:r>
            <w:r>
              <w:rPr>
                <w:rFonts w:hint="eastAsia" w:ascii="宋体" w:hAnsi="宋体" w:cs="新宋体"/>
                <w:color w:val="auto"/>
                <w:kern w:val="0"/>
                <w:sz w:val="22"/>
                <w:highlight w:val="none"/>
                <w:lang w:val="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ascii="宋体" w:hAnsi="宋体" w:cs="新宋体"/>
                <w:color w:val="auto"/>
                <w:kern w:val="0"/>
                <w:sz w:val="22"/>
                <w:highlight w:val="none"/>
                <w:lang w:val="zh-CN"/>
              </w:rPr>
              <w:t>）</w:t>
            </w:r>
          </w:p>
          <w:p w14:paraId="6086A28E">
            <w:pPr>
              <w:numPr>
                <w:ilvl w:val="0"/>
                <w:numId w:val="4"/>
              </w:numPr>
              <w:autoSpaceDE w:val="0"/>
              <w:autoSpaceDN w:val="0"/>
              <w:adjustRightInd w:val="0"/>
              <w:spacing w:line="400" w:lineRule="exact"/>
              <w:rPr>
                <w:color w:val="auto"/>
                <w:sz w:val="22"/>
                <w:szCs w:val="22"/>
                <w:highlight w:val="none"/>
                <w:lang w:val="zh-CN"/>
              </w:rPr>
            </w:pPr>
            <w:r>
              <w:rPr>
                <w:rFonts w:hint="eastAsia"/>
                <w:color w:val="auto"/>
                <w:sz w:val="22"/>
                <w:szCs w:val="22"/>
                <w:highlight w:val="none"/>
                <w:lang w:val="zh-CN"/>
              </w:rPr>
              <w:t>以联合体形式参加政府采购活动，联合体各方均为中小企业的，联合体视同中小企业。其中，联合体各方均为小微企业的，联合体视同小微企业。</w:t>
            </w:r>
          </w:p>
          <w:p w14:paraId="25EC6C7B">
            <w:pPr>
              <w:numPr>
                <w:ilvl w:val="0"/>
                <w:numId w:val="4"/>
              </w:numPr>
              <w:autoSpaceDE w:val="0"/>
              <w:autoSpaceDN w:val="0"/>
              <w:adjustRightInd w:val="0"/>
              <w:spacing w:line="400" w:lineRule="exact"/>
              <w:rPr>
                <w:color w:val="auto"/>
                <w:sz w:val="22"/>
                <w:szCs w:val="22"/>
                <w:highlight w:val="none"/>
                <w:lang w:val="zh-CN"/>
              </w:rPr>
            </w:pPr>
            <w:r>
              <w:rPr>
                <w:rFonts w:hint="eastAsia"/>
                <w:color w:val="auto"/>
                <w:sz w:val="22"/>
                <w:szCs w:val="22"/>
                <w:highlight w:val="none"/>
                <w:lang w:val="zh-CN"/>
              </w:rPr>
              <w:t>投标人应当出具《中小企业声明函》，否则其报价不予扣除。</w:t>
            </w:r>
          </w:p>
          <w:p w14:paraId="121541BA">
            <w:pPr>
              <w:numPr>
                <w:ilvl w:val="0"/>
                <w:numId w:val="4"/>
              </w:numPr>
              <w:autoSpaceDE w:val="0"/>
              <w:autoSpaceDN w:val="0"/>
              <w:adjustRightInd w:val="0"/>
              <w:spacing w:line="400" w:lineRule="exact"/>
              <w:rPr>
                <w:color w:val="auto"/>
                <w:sz w:val="22"/>
                <w:szCs w:val="22"/>
                <w:highlight w:val="none"/>
                <w:lang w:val="zh-CN"/>
              </w:rPr>
            </w:pPr>
            <w:r>
              <w:rPr>
                <w:rFonts w:hint="eastAsia"/>
                <w:color w:val="auto"/>
                <w:sz w:val="22"/>
                <w:szCs w:val="22"/>
                <w:highlight w:val="none"/>
                <w:lang w:val="zh-CN"/>
              </w:rPr>
              <w:t>残疾人福利性单位视同小微企业，享受小微企业同等的价格扣除。残疾人福利性单位参加政府采购活动时，应当提供《残疾人福利性单位声明函》。</w:t>
            </w:r>
          </w:p>
          <w:p w14:paraId="2D7955D5">
            <w:pPr>
              <w:numPr>
                <w:ilvl w:val="0"/>
                <w:numId w:val="4"/>
              </w:numPr>
              <w:autoSpaceDE w:val="0"/>
              <w:autoSpaceDN w:val="0"/>
              <w:adjustRightInd w:val="0"/>
              <w:spacing w:line="400" w:lineRule="exact"/>
              <w:rPr>
                <w:color w:val="auto"/>
                <w:sz w:val="22"/>
                <w:szCs w:val="22"/>
                <w:highlight w:val="none"/>
                <w:lang w:val="zh-CN"/>
              </w:rPr>
            </w:pPr>
            <w:r>
              <w:rPr>
                <w:rFonts w:hint="eastAsia"/>
                <w:color w:val="auto"/>
                <w:sz w:val="22"/>
                <w:szCs w:val="22"/>
                <w:highlight w:val="none"/>
                <w:lang w:val="zh-CN"/>
              </w:rPr>
              <w:t>监狱企业视同小微企业，享受小微企业同等的价格扣除。监狱企业参加政府采购活动时，应当提供监狱企业声明函。</w:t>
            </w:r>
          </w:p>
          <w:p w14:paraId="60A114A9">
            <w:pPr>
              <w:numPr>
                <w:ilvl w:val="0"/>
                <w:numId w:val="4"/>
              </w:numPr>
              <w:autoSpaceDE w:val="0"/>
              <w:autoSpaceDN w:val="0"/>
              <w:adjustRightInd w:val="0"/>
              <w:spacing w:line="400" w:lineRule="exact"/>
              <w:rPr>
                <w:color w:val="auto"/>
                <w:highlight w:val="none"/>
                <w:lang w:val="zh-CN"/>
              </w:rPr>
            </w:pPr>
            <w:r>
              <w:rPr>
                <w:rFonts w:ascii="宋体" w:hAnsi="宋体" w:cs="新宋体"/>
                <w:color w:val="auto"/>
                <w:kern w:val="0"/>
                <w:sz w:val="22"/>
                <w:szCs w:val="22"/>
                <w:highlight w:val="none"/>
                <w:lang w:val="zh-CN"/>
              </w:rPr>
              <w:t>符合小微企业划分标准的个体工商户，视同小微企业。</w:t>
            </w:r>
          </w:p>
          <w:p w14:paraId="0C95F84C">
            <w:pPr>
              <w:numPr>
                <w:ilvl w:val="0"/>
                <w:numId w:val="3"/>
              </w:numPr>
              <w:autoSpaceDE w:val="0"/>
              <w:autoSpaceDN w:val="0"/>
              <w:adjustRightInd w:val="0"/>
              <w:spacing w:line="400" w:lineRule="exact"/>
              <w:rPr>
                <w:color w:val="auto"/>
                <w:sz w:val="22"/>
                <w:szCs w:val="22"/>
                <w:highlight w:val="none"/>
                <w:lang w:val="zh-CN"/>
              </w:rPr>
            </w:pPr>
            <w:r>
              <w:rPr>
                <w:rFonts w:hint="eastAsia"/>
                <w:color w:val="auto"/>
                <w:sz w:val="22"/>
                <w:szCs w:val="22"/>
                <w:highlight w:val="none"/>
                <w:lang w:val="zh-CN"/>
              </w:rPr>
              <w:t>政府采购金融服务相关信息告知函</w:t>
            </w:r>
          </w:p>
          <w:p w14:paraId="2FE1A9FD">
            <w:pPr>
              <w:autoSpaceDE w:val="0"/>
              <w:autoSpaceDN w:val="0"/>
              <w:adjustRightInd w:val="0"/>
              <w:spacing w:line="400" w:lineRule="exact"/>
              <w:ind w:firstLine="440" w:firstLineChars="200"/>
              <w:rPr>
                <w:color w:val="auto"/>
                <w:highlight w:val="none"/>
                <w:lang w:val="zh-CN"/>
              </w:rPr>
            </w:pPr>
            <w:r>
              <w:rPr>
                <w:rFonts w:hint="eastAsia"/>
                <w:color w:val="auto"/>
                <w:sz w:val="22"/>
                <w:szCs w:val="22"/>
                <w:highlight w:val="none"/>
                <w:lang w:val="zh-CN"/>
              </w:rPr>
              <w:t>为支持和促进中小企业发展，进一步发挥政府采购政策功能，温州市财政局出台了《温州市财政局关于温州市政府采购支持中小企业信用融资的通知》（温财采〔2020〕3号），投标人若有融资意向，可直接登录http://jinrong.zcygov.cn，查看信用融资政策文件及各相关银行服务方案，也可直接向各银行咨询相关业务。</w:t>
            </w:r>
          </w:p>
        </w:tc>
      </w:tr>
      <w:tr w14:paraId="7FE561CB">
        <w:tblPrEx>
          <w:tblCellMar>
            <w:top w:w="0" w:type="dxa"/>
            <w:left w:w="108" w:type="dxa"/>
            <w:bottom w:w="0" w:type="dxa"/>
            <w:right w:w="108" w:type="dxa"/>
          </w:tblCellMar>
        </w:tblPrEx>
        <w:trPr>
          <w:trHeight w:val="773"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CAB9894">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22</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302A76D">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供应商信用查询</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4CCD914">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（1）供应商信用信息查询的查询渠道：“信用中国”(</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宋体" w:hAnsi="宋体" w:cs="宋体"/>
                <w:color w:val="auto"/>
                <w:sz w:val="22"/>
                <w:szCs w:val="22"/>
                <w:highlight w:val="none"/>
              </w:rPr>
              <w:t>www.creditchina.gov.cn</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t>)；“中国政府采购网”（http://www.ccgp.gov.cn/）；</w:t>
            </w:r>
          </w:p>
          <w:p w14:paraId="6DF20299">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（2）供应商信用信息查询记录和证据留存的具体方式：网页截图打印；</w:t>
            </w:r>
          </w:p>
          <w:p w14:paraId="79C8CBEB">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（3）信用信息的使用规则：</w:t>
            </w:r>
          </w:p>
          <w:p w14:paraId="185677C9">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①在“信用中国”具有负面记录：列入失信被执行人、重大税收违法案件当事人名单、政府采购严重违法失信行为名单；</w:t>
            </w:r>
          </w:p>
          <w:p w14:paraId="4136037D">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②被“中国政府采购网”(www.ccgp.gov.cn)列入政府采购严重违法失信行为记录名单。</w:t>
            </w:r>
          </w:p>
          <w:p w14:paraId="7FAD715E">
            <w:pPr>
              <w:spacing w:line="400" w:lineRule="exact"/>
              <w:jc w:val="lef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（4）具有以上（3）所述信息记录的供应商，其投标做无效投标处理。</w:t>
            </w:r>
          </w:p>
        </w:tc>
      </w:tr>
      <w:tr w14:paraId="5E457282">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F1DF0BA">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23</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D113220">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合同备案</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F4BD79E">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（1）中标供应商在中标通知书发出之日起30日历天内与采购人签订合同。</w:t>
            </w:r>
          </w:p>
          <w:p w14:paraId="68C9D753">
            <w:pPr>
              <w:spacing w:line="400" w:lineRule="exact"/>
              <w:jc w:val="left"/>
              <w:rPr>
                <w:rFonts w:ascii="宋体" w:hAnsi="宋体" w:cs="宋体"/>
                <w:color w:val="auto"/>
                <w:kern w:val="0"/>
                <w:sz w:val="22"/>
                <w:szCs w:val="22"/>
                <w:highlight w:val="none"/>
              </w:rPr>
            </w:pPr>
            <w:r>
              <w:rPr>
                <w:rFonts w:hint="eastAsia" w:ascii="宋体" w:hAnsi="宋体" w:cs="宋体"/>
                <w:color w:val="auto"/>
                <w:sz w:val="22"/>
                <w:szCs w:val="22"/>
                <w:highlight w:val="none"/>
              </w:rPr>
              <w:t>（2）中标供应商与采购人签订合同后，2日历天内将合同扫描件电子版发给采购代理机构：邮箱：</w:t>
            </w:r>
            <w:r>
              <w:rPr>
                <w:rFonts w:hint="eastAsia" w:ascii="宋体" w:hAnsi="宋体" w:cs="宋体"/>
                <w:b/>
                <w:color w:val="auto"/>
                <w:sz w:val="22"/>
                <w:szCs w:val="22"/>
                <w:highlight w:val="none"/>
                <w:u w:val="single"/>
                <w:lang w:val="en-US" w:eastAsia="zh-CN"/>
              </w:rPr>
              <w:t>214545399@qq.com</w:t>
            </w:r>
            <w:r>
              <w:rPr>
                <w:rFonts w:hint="eastAsia" w:ascii="宋体" w:hAnsi="宋体" w:cs="宋体"/>
                <w:color w:val="auto"/>
                <w:sz w:val="22"/>
                <w:szCs w:val="22"/>
                <w:highlight w:val="none"/>
              </w:rPr>
              <w:t>。</w:t>
            </w:r>
          </w:p>
        </w:tc>
      </w:tr>
      <w:tr w14:paraId="218E8A09">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2C1B743">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24</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1BFB57C">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合同履约管理</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14AFD7">
            <w:pPr>
              <w:spacing w:line="400" w:lineRule="exact"/>
              <w:jc w:val="lef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合同签订后，采购人依法加强对合同履约进行管理，并在中标单位服务、项目验收等重要关节，如实填写《合同验收报告》（或考核资料），并及时向同级财政部门报告验收过程中遇到的问题。</w:t>
            </w:r>
          </w:p>
        </w:tc>
      </w:tr>
      <w:tr w14:paraId="027796B1">
        <w:tblPrEx>
          <w:tblCellMar>
            <w:top w:w="0" w:type="dxa"/>
            <w:left w:w="108" w:type="dxa"/>
            <w:bottom w:w="0" w:type="dxa"/>
            <w:right w:w="108" w:type="dxa"/>
          </w:tblCellMar>
        </w:tblPrEx>
        <w:trPr>
          <w:trHeight w:val="9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B2270AC">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25</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A2BAF5C">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解释权</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8CD811E">
            <w:pPr>
              <w:spacing w:line="400" w:lineRule="exac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构成本招标文件的各个组成文件应互为解释，互为说明；如有不明确或不一致，构成合同文件组成内容的，以合同文件约定内容为准，且以专用合同条款约定的合同文件优先顺序解释；仅适用于采购投标阶段的约定，按招标公告、供应商须知、评标办法、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6B4F62A6">
        <w:tblPrEx>
          <w:tblCellMar>
            <w:top w:w="0" w:type="dxa"/>
            <w:left w:w="108" w:type="dxa"/>
            <w:bottom w:w="0" w:type="dxa"/>
            <w:right w:w="108" w:type="dxa"/>
          </w:tblCellMar>
        </w:tblPrEx>
        <w:trPr>
          <w:trHeight w:val="1063"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E49A3E1">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26</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952D450">
            <w:pPr>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rPr>
              <w:t>联合体投标相关说明</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AF7845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（1）投标人如为联合体，必须提供双方签章的联合体协议书，明确联合体牵头人和各方权利义务，并承诺就成交项目向采购人承担连带责任。</w:t>
            </w:r>
          </w:p>
          <w:p w14:paraId="4821F135">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（2）投标人如为联合体，联合体成员各方资格审查资料、企业证书、人员证书、业绩证明材料等复印件应由联合体成员各自盖章。</w:t>
            </w:r>
          </w:p>
          <w:p w14:paraId="7CE30D0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（3）由同一专业的单位组成的联合体，按照资质等级较低的单位确定资质等级。</w:t>
            </w:r>
          </w:p>
          <w:p w14:paraId="45909EB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（4）其他文件可由联合体牵头方盖章。</w:t>
            </w:r>
          </w:p>
          <w:p w14:paraId="2CCC7694">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（5）投标人若为联合体，电子投标工作由联合体牵头方的账号制作电子投标文件并提交。</w:t>
            </w:r>
          </w:p>
          <w:p w14:paraId="1D35FF41">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（6）联合体各方不得再以自己名义单独或参加其他联合体在本项目中投标，否则各相关投标均无效。</w:t>
            </w:r>
          </w:p>
          <w:p w14:paraId="5C48597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（7）中标后，联合体各方根据联合体协议约定承担的项目采购内容与项目采购人签订政府采购合同。</w:t>
            </w:r>
          </w:p>
        </w:tc>
      </w:tr>
      <w:tr w14:paraId="6C276DF2">
        <w:tblPrEx>
          <w:tblCellMar>
            <w:top w:w="0" w:type="dxa"/>
            <w:left w:w="108" w:type="dxa"/>
            <w:bottom w:w="0" w:type="dxa"/>
            <w:right w:w="108" w:type="dxa"/>
          </w:tblCellMar>
        </w:tblPrEx>
        <w:trPr>
          <w:trHeight w:val="988"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3A5DAB1">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27</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71EAADB">
            <w:pPr>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rPr>
              <w:t>采购代理服务费</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ED86BB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（1）本次采购代理服务费按固定金额</w:t>
            </w:r>
            <w:r>
              <w:rPr>
                <w:rFonts w:hint="eastAsia" w:ascii="宋体" w:hAnsi="宋体" w:cs="宋体"/>
                <w:color w:val="auto"/>
                <w:sz w:val="22"/>
                <w:szCs w:val="22"/>
                <w:highlight w:val="none"/>
                <w:lang w:val="en-US" w:eastAsia="zh-CN"/>
              </w:rPr>
              <w:t>贰万壹仟捌佰</w:t>
            </w:r>
            <w:r>
              <w:rPr>
                <w:rFonts w:hint="eastAsia" w:ascii="宋体" w:hAnsi="宋体" w:cs="宋体"/>
                <w:color w:val="auto"/>
                <w:sz w:val="22"/>
                <w:szCs w:val="22"/>
                <w:highlight w:val="none"/>
              </w:rPr>
              <w:t>元整收取，由中标（成交）单位一次性支付给采购代理机构，投标人在报价时应充分考虑该部分费用；</w:t>
            </w:r>
          </w:p>
          <w:p w14:paraId="0F696210">
            <w:pPr>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rPr>
              <w:t>（2）采购代理服务费可以是现金、支票或汇票。</w:t>
            </w:r>
          </w:p>
        </w:tc>
      </w:t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tbl>
    <w:p w14:paraId="0DD828E3">
      <w:pPr>
        <w:pStyle w:val="2"/>
        <w:rPr>
          <w:color w:val="auto"/>
          <w:highlight w:val="none"/>
        </w:rPr>
      </w:pPr>
      <w:bookmarkStart w:id="45" w:name="_Toc221356883"/>
      <w:bookmarkStart w:id="46" w:name="_Toc262049415"/>
      <w:bookmarkStart w:id="47" w:name="_Toc223715995"/>
      <w:bookmarkStart w:id="48" w:name="_Toc245191311"/>
      <w:bookmarkStart w:id="49" w:name="_Toc249758861"/>
      <w:bookmarkStart w:id="50" w:name="_Toc239145351"/>
      <w:bookmarkStart w:id="51" w:name="_Toc241404199"/>
      <w:bookmarkStart w:id="52" w:name="_Toc221356948"/>
      <w:bookmarkStart w:id="53" w:name="_Toc222114876"/>
      <w:bookmarkStart w:id="54" w:name="_Toc221423616"/>
      <w:bookmarkStart w:id="55" w:name="_Toc245722278"/>
      <w:bookmarkStart w:id="56" w:name="_Toc249758709"/>
      <w:bookmarkStart w:id="57" w:name="_Toc221374623"/>
      <w:bookmarkStart w:id="58" w:name="_Toc262105500"/>
      <w:bookmarkStart w:id="59" w:name="_Toc246261262"/>
    </w:p>
    <w:p w14:paraId="3A8AA4F6">
      <w:pPr>
        <w:rPr>
          <w:color w:val="auto"/>
          <w:highlight w:val="none"/>
        </w:rPr>
      </w:pPr>
    </w:p>
    <w:p w14:paraId="50CAD894">
      <w:pPr>
        <w:spacing w:before="100" w:beforeAutospacing="1" w:after="100" w:afterAutospacing="1" w:line="440" w:lineRule="exact"/>
        <w:jc w:val="center"/>
        <w:outlineLvl w:val="0"/>
        <w:rPr>
          <w:rFonts w:ascii="宋体" w:hAnsi="宋体"/>
          <w:b/>
          <w:bCs/>
          <w:color w:val="auto"/>
          <w:sz w:val="26"/>
          <w:szCs w:val="26"/>
          <w:highlight w:val="none"/>
        </w:rPr>
      </w:pPr>
      <w:bookmarkStart w:id="60" w:name="_Toc29666"/>
      <w:r>
        <w:rPr>
          <w:rFonts w:hint="eastAsia" w:ascii="宋体" w:hAnsi="宋体"/>
          <w:b/>
          <w:bCs/>
          <w:color w:val="auto"/>
          <w:sz w:val="26"/>
          <w:szCs w:val="26"/>
          <w:highlight w:val="none"/>
        </w:rPr>
        <w:t>二、  说明</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p>
    <w:p w14:paraId="672B4A2C">
      <w:pPr>
        <w:numPr>
          <w:ilvl w:val="0"/>
          <w:numId w:val="5"/>
        </w:numPr>
        <w:tabs>
          <w:tab w:val="left" w:pos="540"/>
          <w:tab w:val="left" w:pos="900"/>
          <w:tab w:val="clear" w:pos="420"/>
        </w:tabs>
        <w:spacing w:line="460" w:lineRule="exact"/>
        <w:ind w:left="540" w:hanging="540"/>
        <w:rPr>
          <w:rFonts w:ascii="宋体" w:hAnsi="宋体" w:cs="Arial"/>
          <w:color w:val="auto"/>
          <w:sz w:val="22"/>
          <w:szCs w:val="22"/>
          <w:highlight w:val="none"/>
        </w:rPr>
      </w:pPr>
      <w:bookmarkStart w:id="61" w:name="_Toc241404200"/>
      <w:bookmarkStart w:id="62" w:name="_Toc262105501"/>
      <w:bookmarkStart w:id="63" w:name="_Toc246261263"/>
      <w:bookmarkStart w:id="64" w:name="_Toc221356884"/>
      <w:bookmarkStart w:id="65" w:name="_Toc245722279"/>
      <w:bookmarkStart w:id="66" w:name="_Toc223715996"/>
      <w:bookmarkStart w:id="67" w:name="_Toc221374624"/>
      <w:bookmarkStart w:id="68" w:name="_Toc245191312"/>
      <w:bookmarkStart w:id="69" w:name="_Toc221423617"/>
      <w:bookmarkStart w:id="70" w:name="_Toc239145352"/>
      <w:bookmarkStart w:id="71" w:name="_Toc221356949"/>
      <w:bookmarkStart w:id="72" w:name="_Toc262049416"/>
      <w:bookmarkStart w:id="73" w:name="_Toc222114877"/>
      <w:bookmarkStart w:id="74" w:name="_Toc249758862"/>
      <w:bookmarkStart w:id="75" w:name="_Toc249758710"/>
      <w:r>
        <w:rPr>
          <w:rFonts w:hint="eastAsia" w:ascii="宋体" w:hAnsi="宋体" w:cs="Arial"/>
          <w:color w:val="auto"/>
          <w:sz w:val="22"/>
          <w:szCs w:val="22"/>
          <w:highlight w:val="none"/>
        </w:rPr>
        <w:t>本次招标是按照《中华人民共和国政府采购法》、《中华人民共和国政府采购法实施条例》、《政府采购货物和服务招标投标管理办法》和《关于进一步规范政府采购活动的若干意见》等法律及有关法规组织和实施的。</w:t>
      </w:r>
    </w:p>
    <w:p w14:paraId="2E98FB53">
      <w:pPr>
        <w:numPr>
          <w:ilvl w:val="0"/>
          <w:numId w:val="5"/>
        </w:numPr>
        <w:tabs>
          <w:tab w:val="left" w:pos="540"/>
          <w:tab w:val="left" w:pos="900"/>
          <w:tab w:val="clear" w:pos="420"/>
        </w:tabs>
        <w:spacing w:line="460" w:lineRule="exact"/>
        <w:ind w:left="540" w:hanging="540"/>
        <w:rPr>
          <w:rFonts w:ascii="宋体" w:hAnsi="宋体" w:cs="Arial"/>
          <w:color w:val="auto"/>
          <w:sz w:val="22"/>
          <w:szCs w:val="22"/>
          <w:highlight w:val="none"/>
        </w:rPr>
      </w:pPr>
      <w:r>
        <w:rPr>
          <w:rFonts w:hint="eastAsia" w:ascii="宋体" w:hAnsi="宋体" w:cs="Arial"/>
          <w:color w:val="auto"/>
          <w:sz w:val="22"/>
          <w:szCs w:val="22"/>
          <w:highlight w:val="none"/>
        </w:rPr>
        <w:t>合格投标人要求以招标公告对投标人资格条件要求的表述为准。</w:t>
      </w:r>
    </w:p>
    <w:p w14:paraId="5C8B64DF">
      <w:pPr>
        <w:numPr>
          <w:ilvl w:val="0"/>
          <w:numId w:val="5"/>
        </w:numPr>
        <w:tabs>
          <w:tab w:val="left" w:pos="540"/>
          <w:tab w:val="left" w:pos="900"/>
          <w:tab w:val="clear" w:pos="420"/>
        </w:tabs>
        <w:spacing w:line="460" w:lineRule="exact"/>
        <w:ind w:left="540" w:hanging="540"/>
        <w:rPr>
          <w:rFonts w:ascii="宋体" w:hAnsi="宋体" w:cs="Arial"/>
          <w:color w:val="auto"/>
          <w:sz w:val="22"/>
          <w:szCs w:val="22"/>
          <w:highlight w:val="none"/>
        </w:rPr>
      </w:pPr>
      <w:r>
        <w:rPr>
          <w:rFonts w:hint="eastAsia" w:ascii="宋体" w:hAnsi="宋体" w:cs="Arial"/>
          <w:color w:val="auto"/>
          <w:sz w:val="22"/>
          <w:szCs w:val="22"/>
          <w:highlight w:val="none"/>
        </w:rPr>
        <w:t>投标人代表</w:t>
      </w:r>
    </w:p>
    <w:p w14:paraId="28924757">
      <w:pPr>
        <w:spacing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指全权代表投标人参加投标活动并签署投标文件的人。如果投标人代表不是法定代表人，须持有《法定代表人授权书》。</w:t>
      </w:r>
    </w:p>
    <w:p w14:paraId="3D9DBCE8">
      <w:pPr>
        <w:numPr>
          <w:ilvl w:val="0"/>
          <w:numId w:val="5"/>
        </w:numPr>
        <w:tabs>
          <w:tab w:val="left" w:pos="540"/>
          <w:tab w:val="left" w:pos="900"/>
          <w:tab w:val="clear" w:pos="420"/>
        </w:tabs>
        <w:spacing w:line="460" w:lineRule="exact"/>
        <w:ind w:left="540" w:hanging="540"/>
        <w:rPr>
          <w:rFonts w:ascii="宋体" w:hAnsi="宋体" w:cs="Arial"/>
          <w:color w:val="auto"/>
          <w:sz w:val="22"/>
          <w:szCs w:val="22"/>
          <w:highlight w:val="none"/>
        </w:rPr>
      </w:pPr>
      <w:r>
        <w:rPr>
          <w:rFonts w:hint="eastAsia" w:ascii="宋体" w:hAnsi="宋体" w:cs="Arial"/>
          <w:color w:val="auto"/>
          <w:sz w:val="22"/>
          <w:szCs w:val="22"/>
          <w:highlight w:val="none"/>
        </w:rPr>
        <w:t>投标费用</w:t>
      </w:r>
    </w:p>
    <w:p w14:paraId="0BDE4124">
      <w:pPr>
        <w:spacing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投标人应承担所有与准备和参加投标有关费用，不论投标的结果如何，采购人和招标代理机构均无义务和责任承担这些费用。</w:t>
      </w:r>
    </w:p>
    <w:p w14:paraId="6A01B55D">
      <w:pPr>
        <w:numPr>
          <w:ilvl w:val="0"/>
          <w:numId w:val="5"/>
        </w:numPr>
        <w:tabs>
          <w:tab w:val="left" w:pos="540"/>
          <w:tab w:val="left" w:pos="900"/>
          <w:tab w:val="clear" w:pos="420"/>
        </w:tabs>
        <w:spacing w:line="460" w:lineRule="exact"/>
        <w:ind w:left="540" w:hanging="540"/>
        <w:rPr>
          <w:rFonts w:ascii="宋体" w:hAnsi="宋体" w:cs="Arial"/>
          <w:color w:val="auto"/>
          <w:sz w:val="22"/>
          <w:szCs w:val="22"/>
          <w:highlight w:val="none"/>
        </w:rPr>
      </w:pPr>
      <w:r>
        <w:rPr>
          <w:rFonts w:hint="eastAsia" w:ascii="宋体" w:hAnsi="宋体" w:cs="Arial"/>
          <w:color w:val="auto"/>
          <w:sz w:val="22"/>
          <w:szCs w:val="22"/>
          <w:highlight w:val="none"/>
        </w:rPr>
        <w:t>优化政府采购金融服务</w:t>
      </w:r>
    </w:p>
    <w:p w14:paraId="4D459BFD">
      <w:pPr>
        <w:spacing w:line="400" w:lineRule="exact"/>
        <w:rPr>
          <w:rFonts w:ascii="宋体" w:hAnsi="宋体" w:cs="宋体"/>
          <w:bCs/>
          <w:color w:val="auto"/>
          <w:spacing w:val="6"/>
          <w:sz w:val="22"/>
          <w:highlight w:val="none"/>
        </w:rPr>
      </w:pPr>
      <w:r>
        <w:rPr>
          <w:rFonts w:hint="eastAsia" w:ascii="宋体" w:hAnsi="宋体" w:cs="宋体"/>
          <w:bCs/>
          <w:color w:val="auto"/>
          <w:spacing w:val="6"/>
          <w:sz w:val="22"/>
          <w:szCs w:val="22"/>
          <w:highlight w:val="none"/>
        </w:rPr>
        <w:t xml:space="preserve">  为支持和促进中小企业发展，进一步发挥政府采购政策功能，温州市财政局出台了《温州市财政局关于温州市政府采购支持中小企业信用融资的通知》（温财采〔2020〕3号），投标人若有融资意向，可直接登录http://jinrong.zcygov.cn，查看信用融资政策文件及各相关银行服务方案，也可直接向各银行咨询相关业务。</w:t>
      </w:r>
    </w:p>
    <w:p w14:paraId="3085CD56">
      <w:pPr>
        <w:numPr>
          <w:ilvl w:val="0"/>
          <w:numId w:val="5"/>
        </w:numPr>
        <w:tabs>
          <w:tab w:val="left" w:pos="540"/>
          <w:tab w:val="left" w:pos="900"/>
          <w:tab w:val="clear" w:pos="420"/>
        </w:tabs>
        <w:spacing w:line="460" w:lineRule="exact"/>
        <w:ind w:left="540" w:hanging="540"/>
        <w:rPr>
          <w:rFonts w:ascii="宋体" w:hAnsi="宋体" w:cs="Arial"/>
          <w:color w:val="auto"/>
          <w:sz w:val="22"/>
          <w:szCs w:val="22"/>
          <w:highlight w:val="none"/>
        </w:rPr>
      </w:pPr>
      <w:r>
        <w:rPr>
          <w:rFonts w:hint="eastAsia" w:ascii="宋体" w:hAnsi="宋体" w:cs="Arial"/>
          <w:color w:val="auto"/>
          <w:sz w:val="22"/>
          <w:szCs w:val="22"/>
          <w:highlight w:val="none"/>
        </w:rPr>
        <w:t>特别说明：</w:t>
      </w:r>
    </w:p>
    <w:p w14:paraId="40871D36">
      <w:pPr>
        <w:numPr>
          <w:ilvl w:val="1"/>
          <w:numId w:val="6"/>
        </w:numPr>
        <w:tabs>
          <w:tab w:val="left" w:pos="360"/>
          <w:tab w:val="clear" w:pos="992"/>
        </w:tabs>
        <w:spacing w:line="460" w:lineRule="exact"/>
        <w:ind w:left="418" w:leftChars="-68" w:hanging="561" w:hangingChars="255"/>
        <w:rPr>
          <w:rFonts w:ascii="宋体" w:hAnsi="宋体" w:cs="Arial"/>
          <w:color w:val="auto"/>
          <w:sz w:val="22"/>
          <w:szCs w:val="22"/>
          <w:highlight w:val="none"/>
        </w:rPr>
      </w:pPr>
      <w:r>
        <w:rPr>
          <w:rFonts w:hint="eastAsia" w:ascii="宋体" w:hAnsi="宋体" w:cs="Arial"/>
          <w:color w:val="auto"/>
          <w:sz w:val="22"/>
          <w:szCs w:val="22"/>
          <w:highlight w:val="none"/>
        </w:rPr>
        <w:t>投标人应仔细阅读招标文件的所有内容，按照招标文件的要求提交投标文件，并对所提供的全部资料的真实性承担法律责任。</w:t>
      </w:r>
    </w:p>
    <w:p w14:paraId="014A9477">
      <w:pPr>
        <w:numPr>
          <w:ilvl w:val="1"/>
          <w:numId w:val="6"/>
        </w:numPr>
        <w:tabs>
          <w:tab w:val="left" w:pos="360"/>
          <w:tab w:val="clear" w:pos="992"/>
        </w:tabs>
        <w:spacing w:line="460" w:lineRule="exact"/>
        <w:ind w:left="418" w:leftChars="-68" w:hanging="561" w:hangingChars="255"/>
        <w:rPr>
          <w:rFonts w:ascii="宋体" w:hAnsi="宋体" w:cs="Arial"/>
          <w:color w:val="auto"/>
          <w:sz w:val="22"/>
          <w:szCs w:val="22"/>
          <w:highlight w:val="none"/>
        </w:rPr>
      </w:pPr>
      <w:bookmarkStart w:id="76" w:name="_Hlk37697637"/>
      <w:r>
        <w:rPr>
          <w:rFonts w:hint="eastAsia" w:ascii="宋体" w:hAnsi="宋体" w:cs="Arial"/>
          <w:color w:val="auto"/>
          <w:sz w:val="22"/>
          <w:szCs w:val="22"/>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4E7AD45">
      <w:pPr>
        <w:spacing w:line="400" w:lineRule="exact"/>
        <w:ind w:left="416" w:leftChars="140" w:hanging="122" w:hangingChars="53"/>
        <w:rPr>
          <w:rFonts w:ascii="宋体" w:hAnsi="宋体" w:cs="宋体"/>
          <w:bCs/>
          <w:color w:val="auto"/>
          <w:spacing w:val="6"/>
          <w:sz w:val="22"/>
          <w:highlight w:val="none"/>
        </w:rPr>
      </w:pPr>
      <w:r>
        <w:rPr>
          <w:rFonts w:hint="eastAsia" w:ascii="宋体" w:hAnsi="宋体" w:cs="宋体"/>
          <w:bCs/>
          <w:color w:val="auto"/>
          <w:spacing w:val="6"/>
          <w:sz w:val="22"/>
          <w:szCs w:val="22"/>
          <w:highlight w:val="none"/>
        </w:rPr>
        <w:t>非单一产品采购项目，采购人应当根据采购项目技术构成、产品价格比重等合理确定核心产品，并在招标文件中载明。多家投标人提供的核心产品品牌相同的，按前两款规定处理。</w:t>
      </w:r>
      <w:bookmarkEnd w:id="76"/>
    </w:p>
    <w:p w14:paraId="3C876D8A">
      <w:pPr>
        <w:numPr>
          <w:ilvl w:val="1"/>
          <w:numId w:val="6"/>
        </w:numPr>
        <w:tabs>
          <w:tab w:val="left" w:pos="360"/>
          <w:tab w:val="clear" w:pos="992"/>
        </w:tabs>
        <w:spacing w:line="460" w:lineRule="exact"/>
        <w:ind w:left="418" w:leftChars="-68" w:hanging="561" w:hangingChars="255"/>
        <w:rPr>
          <w:rFonts w:ascii="宋体" w:hAnsi="宋体" w:cs="Arial"/>
          <w:color w:val="auto"/>
          <w:sz w:val="22"/>
          <w:szCs w:val="22"/>
          <w:highlight w:val="none"/>
        </w:rPr>
      </w:pPr>
      <w:r>
        <w:rPr>
          <w:rFonts w:hint="eastAsia" w:ascii="宋体" w:hAnsi="宋体" w:cs="Arial"/>
          <w:color w:val="auto"/>
          <w:sz w:val="22"/>
          <w:szCs w:val="22"/>
          <w:highlight w:val="none"/>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14:paraId="53D4F7A9">
      <w:pPr>
        <w:numPr>
          <w:ilvl w:val="1"/>
          <w:numId w:val="6"/>
        </w:numPr>
        <w:tabs>
          <w:tab w:val="left" w:pos="360"/>
          <w:tab w:val="clear" w:pos="992"/>
        </w:tabs>
        <w:spacing w:line="460" w:lineRule="exact"/>
        <w:ind w:left="418" w:leftChars="-68" w:hanging="561" w:hangingChars="255"/>
        <w:rPr>
          <w:rFonts w:ascii="宋体" w:hAnsi="宋体" w:cs="Arial"/>
          <w:color w:val="auto"/>
          <w:sz w:val="22"/>
          <w:szCs w:val="22"/>
          <w:highlight w:val="none"/>
        </w:rPr>
      </w:pPr>
      <w:r>
        <w:rPr>
          <w:rFonts w:hint="eastAsia" w:ascii="宋体" w:hAnsi="宋体" w:cs="Arial"/>
          <w:color w:val="auto"/>
          <w:sz w:val="22"/>
          <w:szCs w:val="22"/>
          <w:highlight w:val="none"/>
        </w:rPr>
        <w:t>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1418F01E">
      <w:pPr>
        <w:numPr>
          <w:ilvl w:val="1"/>
          <w:numId w:val="6"/>
        </w:numPr>
        <w:tabs>
          <w:tab w:val="left" w:pos="360"/>
          <w:tab w:val="clear" w:pos="992"/>
        </w:tabs>
        <w:spacing w:line="460" w:lineRule="exact"/>
        <w:ind w:left="418" w:leftChars="-68" w:hanging="561" w:hangingChars="255"/>
        <w:rPr>
          <w:rFonts w:ascii="宋体" w:hAnsi="宋体" w:cs="Arial"/>
          <w:color w:val="auto"/>
          <w:sz w:val="22"/>
          <w:szCs w:val="22"/>
          <w:highlight w:val="none"/>
        </w:rPr>
      </w:pPr>
      <w:r>
        <w:rPr>
          <w:rFonts w:hint="eastAsia" w:ascii="宋体" w:hAnsi="宋体" w:cs="Arial"/>
          <w:color w:val="auto"/>
          <w:sz w:val="22"/>
          <w:szCs w:val="22"/>
          <w:highlight w:val="none"/>
          <w:lang w:val="zh-CN"/>
        </w:rPr>
        <w:t>非浙江政府采购网注册的投标人或发生变更且未及时更新的投标人，应当在规定时间内按照《浙江省政府采购投标人注册及诚信管理暂行办法》（浙财采监字［2009］28号）的相关规定及时办理更新或投标人注册事项。一旦被确定为中标人的，在合同签订前按本办法的规定完成注册并成为正式注册投标人。</w:t>
      </w:r>
    </w:p>
    <w:p w14:paraId="5E1F4A46">
      <w:pPr>
        <w:spacing w:before="100" w:beforeAutospacing="1" w:after="100" w:afterAutospacing="1" w:line="440" w:lineRule="exact"/>
        <w:jc w:val="center"/>
        <w:outlineLvl w:val="0"/>
        <w:rPr>
          <w:rFonts w:ascii="宋体" w:hAnsi="宋体"/>
          <w:b/>
          <w:bCs/>
          <w:color w:val="auto"/>
          <w:sz w:val="26"/>
          <w:szCs w:val="26"/>
          <w:highlight w:val="none"/>
        </w:rPr>
      </w:pPr>
      <w:bookmarkStart w:id="77" w:name="_Toc23506"/>
      <w:r>
        <w:rPr>
          <w:rFonts w:hint="eastAsia" w:ascii="宋体" w:hAnsi="宋体"/>
          <w:b/>
          <w:bCs/>
          <w:color w:val="auto"/>
          <w:sz w:val="26"/>
          <w:szCs w:val="26"/>
          <w:highlight w:val="none"/>
        </w:rPr>
        <w:t>三、 招标文件</w:t>
      </w:r>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7"/>
    </w:p>
    <w:p w14:paraId="1142DAED">
      <w:pPr>
        <w:numPr>
          <w:ilvl w:val="0"/>
          <w:numId w:val="7"/>
        </w:numPr>
        <w:tabs>
          <w:tab w:val="left" w:pos="540"/>
          <w:tab w:val="clear" w:pos="420"/>
        </w:tabs>
        <w:spacing w:line="460" w:lineRule="exact"/>
        <w:ind w:left="540" w:hanging="540"/>
        <w:rPr>
          <w:rFonts w:ascii="宋体" w:hAnsi="宋体" w:cs="Arial"/>
          <w:color w:val="auto"/>
          <w:sz w:val="22"/>
          <w:szCs w:val="22"/>
          <w:highlight w:val="none"/>
        </w:rPr>
      </w:pPr>
      <w:r>
        <w:rPr>
          <w:rFonts w:hint="eastAsia" w:ascii="宋体" w:hAnsi="宋体" w:cs="Arial"/>
          <w:color w:val="auto"/>
          <w:sz w:val="22"/>
          <w:szCs w:val="22"/>
          <w:highlight w:val="none"/>
        </w:rPr>
        <w:t>招标文件由招标文件目录所列内容及相关资料组成。</w:t>
      </w:r>
    </w:p>
    <w:p w14:paraId="7631D195">
      <w:pPr>
        <w:numPr>
          <w:ilvl w:val="0"/>
          <w:numId w:val="7"/>
        </w:numPr>
        <w:tabs>
          <w:tab w:val="left" w:pos="540"/>
          <w:tab w:val="clear" w:pos="420"/>
        </w:tabs>
        <w:spacing w:line="460" w:lineRule="exact"/>
        <w:ind w:left="540" w:hanging="540"/>
        <w:rPr>
          <w:rFonts w:ascii="宋体" w:hAnsi="宋体" w:cs="Arial"/>
          <w:color w:val="auto"/>
          <w:sz w:val="22"/>
          <w:szCs w:val="22"/>
          <w:highlight w:val="none"/>
        </w:rPr>
      </w:pPr>
      <w:r>
        <w:rPr>
          <w:rFonts w:hint="eastAsia" w:ascii="宋体" w:hAnsi="宋体" w:cs="Arial"/>
          <w:color w:val="auto"/>
          <w:sz w:val="22"/>
          <w:szCs w:val="22"/>
          <w:highlight w:val="none"/>
        </w:rPr>
        <w:t>质疑</w:t>
      </w:r>
    </w:p>
    <w:p w14:paraId="4223F3F1">
      <w:pPr>
        <w:numPr>
          <w:ilvl w:val="1"/>
          <w:numId w:val="8"/>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投标人认为招标文件、采购过程、中标或者成交结果使自己的权益受到损害的，可以在知道或者应知其权益受到损害之日起7个工作日内，以书面形式向采购人、采购代理机构提出质疑。逾期提出的，采购组织机构将不予受理、答复。</w:t>
      </w:r>
    </w:p>
    <w:p w14:paraId="36D88167">
      <w:pPr>
        <w:numPr>
          <w:ilvl w:val="1"/>
          <w:numId w:val="8"/>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投标人提出质疑应当提交质疑函和必要的证明材料，质疑函范本请到“浙江政府采购网下载专区”下载，质疑函内容及签署等相关要求请参看《政府采购质疑和投诉办法》相关规定。</w:t>
      </w:r>
    </w:p>
    <w:p w14:paraId="76D8EE0F">
      <w:pPr>
        <w:numPr>
          <w:ilvl w:val="1"/>
          <w:numId w:val="8"/>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提出质疑的投标人应当是参与本项目招标活动的投标人。投标人在法定质疑期内一次性提出针对同一采购程序环节的质疑。</w:t>
      </w:r>
    </w:p>
    <w:p w14:paraId="3AA43BBA">
      <w:pPr>
        <w:numPr>
          <w:ilvl w:val="1"/>
          <w:numId w:val="8"/>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根据《政府采购质疑和投诉办法》第三十七条的规定，投诉人在全国范围12个月内三次以上投诉查无实据的，由财政部门列入不良行为记录名单。</w:t>
      </w:r>
    </w:p>
    <w:p w14:paraId="484EB7F7">
      <w:pPr>
        <w:numPr>
          <w:ilvl w:val="0"/>
          <w:numId w:val="7"/>
        </w:numPr>
        <w:tabs>
          <w:tab w:val="left" w:pos="540"/>
          <w:tab w:val="clear" w:pos="420"/>
        </w:tabs>
        <w:spacing w:line="460" w:lineRule="exact"/>
        <w:ind w:left="540" w:hanging="540"/>
        <w:rPr>
          <w:rFonts w:ascii="宋体" w:hAnsi="宋体" w:cs="Arial"/>
          <w:color w:val="auto"/>
          <w:sz w:val="22"/>
          <w:szCs w:val="22"/>
          <w:highlight w:val="none"/>
        </w:rPr>
      </w:pPr>
      <w:r>
        <w:rPr>
          <w:rFonts w:hint="eastAsia" w:ascii="宋体" w:hAnsi="宋体" w:cs="Arial"/>
          <w:color w:val="auto"/>
          <w:sz w:val="22"/>
          <w:szCs w:val="22"/>
          <w:highlight w:val="none"/>
        </w:rPr>
        <w:t>投诉</w:t>
      </w:r>
    </w:p>
    <w:p w14:paraId="2C603102">
      <w:pPr>
        <w:tabs>
          <w:tab w:val="left" w:pos="540"/>
        </w:tabs>
        <w:spacing w:line="400" w:lineRule="exact"/>
        <w:ind w:firstLine="464" w:firstLineChars="200"/>
        <w:rPr>
          <w:rFonts w:ascii="宋体" w:hAnsi="宋体" w:cs="宋体"/>
          <w:color w:val="auto"/>
          <w:sz w:val="22"/>
          <w:szCs w:val="22"/>
          <w:highlight w:val="none"/>
        </w:rPr>
      </w:pPr>
      <w:r>
        <w:rPr>
          <w:rFonts w:hint="eastAsia" w:ascii="宋体" w:hAnsi="宋体" w:cs="宋体"/>
          <w:color w:val="auto"/>
          <w:spacing w:val="6"/>
          <w:sz w:val="22"/>
          <w:highlight w:val="none"/>
        </w:rPr>
        <w:t>质疑投标人对采购人、采购代理机构的答复不满意或者采购人、采购代理机构未在规定的时间内作出答复的，可以在答复期满后十五个工作日内向同级政府采购监督部门投诉。投诉书范本请到“浙江政府采购网下载专区”下载。</w:t>
      </w:r>
    </w:p>
    <w:p w14:paraId="132C2B1A">
      <w:pPr>
        <w:numPr>
          <w:ilvl w:val="0"/>
          <w:numId w:val="7"/>
        </w:numPr>
        <w:tabs>
          <w:tab w:val="left" w:pos="540"/>
          <w:tab w:val="clear" w:pos="420"/>
        </w:tabs>
        <w:spacing w:line="460" w:lineRule="exact"/>
        <w:ind w:left="540" w:hanging="540"/>
        <w:rPr>
          <w:rFonts w:ascii="宋体" w:hAnsi="宋体" w:cs="Arial"/>
          <w:color w:val="auto"/>
          <w:sz w:val="22"/>
          <w:szCs w:val="22"/>
          <w:highlight w:val="none"/>
        </w:rPr>
      </w:pPr>
      <w:r>
        <w:rPr>
          <w:rFonts w:hint="eastAsia" w:ascii="宋体" w:hAnsi="宋体" w:cs="Arial"/>
          <w:color w:val="auto"/>
          <w:sz w:val="22"/>
          <w:szCs w:val="22"/>
          <w:highlight w:val="none"/>
        </w:rPr>
        <w:t>招标文件的澄清或修改</w:t>
      </w:r>
    </w:p>
    <w:p w14:paraId="7E616EAE">
      <w:pPr>
        <w:numPr>
          <w:ilvl w:val="1"/>
          <w:numId w:val="9"/>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采购人或者采购代理机构可以对已发出的招标文件进行必要的澄清或者修改。澄清或者修改在浙江政府采购网上发布公告，同时政采云系统会向所有已按招标文件规定方式获取招标文件的潜在投标人发送更正提醒信息，潜在投标人请自行到浙江省政府采购网上下载公告附件，潜在投标人在收到该公告附件后应于1日内，以书面或传真形式（签署意见并加盖公章）向采购代理机构回函给予确认。过期未回复的，视为默认接受。澄清或者修改的内容为招标文件的组成部分。</w:t>
      </w:r>
    </w:p>
    <w:p w14:paraId="5B52A1F6">
      <w:pPr>
        <w:numPr>
          <w:ilvl w:val="1"/>
          <w:numId w:val="9"/>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澄清或者修改的内容可能影响投标文件编制的，采购人或者采购代理机构应当在投标截止时间至少15日前，以书面形式（在浙江政府采购网上发布公告）通知所有获取招标文件的潜在投标人；不足15日的，采购人或者采购代理机构应当顺延提交投标文件的截止时间。</w:t>
      </w:r>
    </w:p>
    <w:p w14:paraId="3B0941E1">
      <w:pPr>
        <w:numPr>
          <w:ilvl w:val="1"/>
          <w:numId w:val="9"/>
        </w:numPr>
        <w:tabs>
          <w:tab w:val="left" w:pos="360"/>
          <w:tab w:val="clear" w:pos="992"/>
        </w:tabs>
        <w:spacing w:line="460" w:lineRule="exact"/>
        <w:ind w:left="640"/>
        <w:rPr>
          <w:rFonts w:ascii="宋体" w:hAnsi="宋体" w:cs="宋体"/>
          <w:color w:val="auto"/>
          <w:sz w:val="22"/>
          <w:szCs w:val="22"/>
          <w:highlight w:val="none"/>
        </w:rPr>
      </w:pPr>
      <w:r>
        <w:rPr>
          <w:rFonts w:hint="eastAsia" w:ascii="宋体" w:hAnsi="宋体" w:cs="Arial"/>
          <w:color w:val="auto"/>
          <w:sz w:val="22"/>
          <w:szCs w:val="22"/>
          <w:highlight w:val="none"/>
        </w:rPr>
        <w:t>招标文件如有补充更正均见“浙江政府采购”（https://zfcg.czt.zj.gov.cn/）。投标人须在开标</w:t>
      </w:r>
      <w:r>
        <w:rPr>
          <w:rFonts w:hint="eastAsia" w:ascii="宋体" w:hAnsi="宋体" w:cs="宋体"/>
          <w:color w:val="auto"/>
          <w:spacing w:val="6"/>
          <w:sz w:val="22"/>
          <w:highlight w:val="none"/>
        </w:rPr>
        <w:t>前一日自行查看是否有补充更正文件，并按补充更正文件要求投标，否则责任自负。</w:t>
      </w:r>
    </w:p>
    <w:p w14:paraId="4639C21A">
      <w:pPr>
        <w:spacing w:before="100" w:beforeAutospacing="1" w:after="100" w:afterAutospacing="1" w:line="440" w:lineRule="exact"/>
        <w:jc w:val="center"/>
        <w:outlineLvl w:val="0"/>
        <w:rPr>
          <w:rFonts w:ascii="宋体" w:hAnsi="宋体"/>
          <w:b/>
          <w:bCs/>
          <w:color w:val="auto"/>
          <w:sz w:val="26"/>
          <w:szCs w:val="26"/>
          <w:highlight w:val="none"/>
        </w:rPr>
      </w:pPr>
      <w:bookmarkStart w:id="78" w:name="_Toc221423618"/>
      <w:bookmarkStart w:id="79" w:name="_Toc241404201"/>
      <w:bookmarkStart w:id="80" w:name="_Toc262105502"/>
      <w:bookmarkStart w:id="81" w:name="_Toc8234"/>
      <w:bookmarkStart w:id="82" w:name="_Toc221356950"/>
      <w:bookmarkStart w:id="83" w:name="_Toc245722280"/>
      <w:bookmarkStart w:id="84" w:name="_Toc245191313"/>
      <w:bookmarkStart w:id="85" w:name="_Toc249758711"/>
      <w:bookmarkStart w:id="86" w:name="_Toc222114878"/>
      <w:bookmarkStart w:id="87" w:name="_Toc249758863"/>
      <w:bookmarkStart w:id="88" w:name="_Toc239145353"/>
      <w:bookmarkStart w:id="89" w:name="_Toc246261264"/>
      <w:bookmarkStart w:id="90" w:name="_Toc223715997"/>
      <w:bookmarkStart w:id="91" w:name="_Toc221374625"/>
      <w:bookmarkStart w:id="92" w:name="_Toc262049417"/>
      <w:bookmarkStart w:id="93" w:name="_Toc221356885"/>
      <w:r>
        <w:rPr>
          <w:rFonts w:hint="eastAsia" w:ascii="宋体" w:hAnsi="宋体"/>
          <w:b/>
          <w:bCs/>
          <w:color w:val="auto"/>
          <w:sz w:val="26"/>
          <w:szCs w:val="26"/>
          <w:highlight w:val="none"/>
        </w:rPr>
        <w:t>四、 投标文件的编制</w:t>
      </w:r>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p>
    <w:p w14:paraId="21012F4C">
      <w:pPr>
        <w:numPr>
          <w:ilvl w:val="0"/>
          <w:numId w:val="10"/>
        </w:numPr>
        <w:tabs>
          <w:tab w:val="left" w:pos="540"/>
          <w:tab w:val="clear" w:pos="420"/>
        </w:tabs>
        <w:spacing w:line="460" w:lineRule="exact"/>
        <w:ind w:left="540" w:hanging="540"/>
        <w:rPr>
          <w:rFonts w:ascii="宋体" w:hAnsi="宋体"/>
          <w:color w:val="auto"/>
          <w:sz w:val="22"/>
          <w:szCs w:val="22"/>
          <w:highlight w:val="none"/>
        </w:rPr>
      </w:pPr>
      <w:r>
        <w:rPr>
          <w:rFonts w:hint="eastAsia" w:ascii="宋体" w:hAnsi="宋体" w:cs="Arial"/>
          <w:color w:val="auto"/>
          <w:sz w:val="22"/>
          <w:szCs w:val="22"/>
          <w:highlight w:val="none"/>
        </w:rPr>
        <w:t>投标人应认真阅读招标文件中所有事项格式、条款和技术规范等。</w:t>
      </w:r>
      <w:r>
        <w:rPr>
          <w:rFonts w:hint="eastAsia" w:ascii="宋体" w:hAnsi="宋体" w:cs="Arial"/>
          <w:b/>
          <w:color w:val="auto"/>
          <w:sz w:val="22"/>
          <w:szCs w:val="22"/>
          <w:highlight w:val="none"/>
        </w:rPr>
        <w:t>投标人没有按照招标文件要求提交全部资料，或者没有对招标文件各个方面做出实质性响应，导致投标被拒绝的风险由投标人自行承担。</w:t>
      </w:r>
    </w:p>
    <w:p w14:paraId="76B93EA3">
      <w:pPr>
        <w:numPr>
          <w:ilvl w:val="0"/>
          <w:numId w:val="10"/>
        </w:numPr>
        <w:tabs>
          <w:tab w:val="left" w:pos="540"/>
          <w:tab w:val="clear" w:pos="420"/>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投标文件的构成</w:t>
      </w:r>
    </w:p>
    <w:p w14:paraId="545A62AD">
      <w:pPr>
        <w:tabs>
          <w:tab w:val="left" w:pos="540"/>
        </w:tabs>
        <w:spacing w:line="460" w:lineRule="exact"/>
        <w:ind w:firstLine="442" w:firstLineChars="200"/>
        <w:rPr>
          <w:rFonts w:ascii="宋体" w:hAnsi="宋体" w:cs="Arial"/>
          <w:b/>
          <w:color w:val="auto"/>
          <w:sz w:val="22"/>
          <w:szCs w:val="22"/>
          <w:highlight w:val="none"/>
          <w:u w:val="single"/>
        </w:rPr>
      </w:pPr>
      <w:r>
        <w:rPr>
          <w:rFonts w:hint="eastAsia" w:ascii="宋体" w:hAnsi="宋体" w:cs="Arial"/>
          <w:b/>
          <w:color w:val="auto"/>
          <w:sz w:val="22"/>
          <w:szCs w:val="22"/>
          <w:highlight w:val="none"/>
          <w:u w:val="single"/>
        </w:rPr>
        <w:t>投标文件由资格文件、商务技术文件、报价文件三部分构成：</w:t>
      </w:r>
    </w:p>
    <w:p w14:paraId="09003D6C">
      <w:pPr>
        <w:spacing w:line="430" w:lineRule="exact"/>
        <w:ind w:left="187" w:leftChars="85" w:hanging="9" w:hangingChars="4"/>
        <w:rPr>
          <w:rFonts w:ascii="宋体" w:cs="hakuyoxingshu7000"/>
          <w:b/>
          <w:color w:val="auto"/>
          <w:sz w:val="22"/>
          <w:szCs w:val="22"/>
          <w:highlight w:val="none"/>
        </w:rPr>
      </w:pPr>
      <w:r>
        <w:rPr>
          <w:rFonts w:hint="eastAsia" w:ascii="宋体" w:hAnsi="宋体" w:cs="hakuyoxingshu7000"/>
          <w:b/>
          <w:color w:val="auto"/>
          <w:sz w:val="22"/>
          <w:szCs w:val="22"/>
          <w:highlight w:val="none"/>
        </w:rPr>
        <w:t>（</w:t>
      </w:r>
      <w:r>
        <w:rPr>
          <w:rFonts w:ascii="宋体" w:hAnsi="宋体" w:cs="hakuyoxingshu7000"/>
          <w:b/>
          <w:color w:val="auto"/>
          <w:sz w:val="22"/>
          <w:szCs w:val="22"/>
          <w:highlight w:val="none"/>
        </w:rPr>
        <w:t>1</w:t>
      </w:r>
      <w:r>
        <w:rPr>
          <w:rFonts w:hint="eastAsia" w:ascii="宋体" w:hAnsi="宋体" w:cs="hakuyoxingshu7000"/>
          <w:b/>
          <w:color w:val="auto"/>
          <w:sz w:val="22"/>
          <w:szCs w:val="22"/>
          <w:highlight w:val="none"/>
        </w:rPr>
        <w:t>）资格文件</w:t>
      </w:r>
    </w:p>
    <w:tbl>
      <w:tblPr>
        <w:tblStyle w:val="63"/>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4"/>
        <w:gridCol w:w="1523"/>
      </w:tblGrid>
      <w:tr w14:paraId="5457E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14:paraId="15F9C58C">
            <w:pPr>
              <w:overflowPunct w:val="0"/>
              <w:spacing w:line="430" w:lineRule="exact"/>
              <w:jc w:val="center"/>
              <w:rPr>
                <w:rFonts w:ascii="宋体" w:cs="新宋体"/>
                <w:b/>
                <w:color w:val="auto"/>
                <w:sz w:val="22"/>
                <w:szCs w:val="22"/>
                <w:highlight w:val="none"/>
              </w:rPr>
            </w:pPr>
            <w:r>
              <w:rPr>
                <w:rFonts w:hint="eastAsia" w:ascii="宋体" w:hAnsi="宋体" w:cs="新宋体"/>
                <w:b/>
                <w:color w:val="auto"/>
                <w:sz w:val="22"/>
                <w:szCs w:val="22"/>
                <w:highlight w:val="none"/>
              </w:rPr>
              <w:t>序号</w:t>
            </w:r>
          </w:p>
        </w:tc>
        <w:tc>
          <w:tcPr>
            <w:tcW w:w="7514" w:type="dxa"/>
            <w:vAlign w:val="center"/>
          </w:tcPr>
          <w:p w14:paraId="3B1E1F47">
            <w:pPr>
              <w:overflowPunct w:val="0"/>
              <w:spacing w:line="430" w:lineRule="exact"/>
              <w:jc w:val="center"/>
              <w:rPr>
                <w:rFonts w:ascii="宋体" w:cs="新宋体"/>
                <w:b/>
                <w:color w:val="auto"/>
                <w:sz w:val="22"/>
                <w:szCs w:val="22"/>
                <w:highlight w:val="none"/>
              </w:rPr>
            </w:pPr>
            <w:r>
              <w:rPr>
                <w:rFonts w:hint="eastAsia" w:ascii="宋体" w:hAnsi="宋体" w:cs="新宋体"/>
                <w:b/>
                <w:color w:val="auto"/>
                <w:sz w:val="22"/>
                <w:szCs w:val="22"/>
                <w:highlight w:val="none"/>
              </w:rPr>
              <w:t>内容</w:t>
            </w:r>
          </w:p>
        </w:tc>
        <w:tc>
          <w:tcPr>
            <w:tcW w:w="1523" w:type="dxa"/>
            <w:vAlign w:val="center"/>
          </w:tcPr>
          <w:p w14:paraId="2A9A977C">
            <w:pPr>
              <w:overflowPunct w:val="0"/>
              <w:spacing w:line="430" w:lineRule="exact"/>
              <w:jc w:val="center"/>
              <w:rPr>
                <w:rFonts w:ascii="宋体" w:cs="新宋体"/>
                <w:b/>
                <w:color w:val="auto"/>
                <w:sz w:val="22"/>
                <w:szCs w:val="22"/>
                <w:highlight w:val="none"/>
              </w:rPr>
            </w:pPr>
            <w:r>
              <w:rPr>
                <w:rFonts w:hint="eastAsia" w:ascii="宋体" w:hAnsi="宋体" w:cs="新宋体"/>
                <w:b/>
                <w:color w:val="auto"/>
                <w:sz w:val="22"/>
                <w:szCs w:val="22"/>
                <w:highlight w:val="none"/>
              </w:rPr>
              <w:t>备注</w:t>
            </w:r>
          </w:p>
        </w:tc>
      </w:tr>
      <w:tr w14:paraId="0056B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14:paraId="2757D4A8">
            <w:pPr>
              <w:overflowPunct w:val="0"/>
              <w:spacing w:line="430" w:lineRule="exact"/>
              <w:jc w:val="center"/>
              <w:rPr>
                <w:rFonts w:ascii="宋体" w:cs="新宋体"/>
                <w:bCs/>
                <w:color w:val="auto"/>
                <w:sz w:val="22"/>
                <w:szCs w:val="22"/>
                <w:highlight w:val="none"/>
              </w:rPr>
            </w:pPr>
            <w:r>
              <w:rPr>
                <w:rFonts w:ascii="宋体" w:hAnsi="宋体" w:cs="新宋体"/>
                <w:bCs/>
                <w:color w:val="auto"/>
                <w:sz w:val="22"/>
                <w:szCs w:val="22"/>
                <w:highlight w:val="none"/>
              </w:rPr>
              <w:t>1</w:t>
            </w:r>
          </w:p>
        </w:tc>
        <w:tc>
          <w:tcPr>
            <w:tcW w:w="7514" w:type="dxa"/>
            <w:vAlign w:val="center"/>
          </w:tcPr>
          <w:p w14:paraId="0640457B">
            <w:pPr>
              <w:rPr>
                <w:rFonts w:ascii="宋体" w:cs="新宋体"/>
                <w:bCs/>
                <w:color w:val="auto"/>
                <w:sz w:val="22"/>
                <w:szCs w:val="22"/>
                <w:highlight w:val="none"/>
              </w:rPr>
            </w:pPr>
            <w:r>
              <w:rPr>
                <w:rFonts w:hint="eastAsia" w:ascii="宋体" w:hAnsi="宋体"/>
                <w:color w:val="auto"/>
                <w:sz w:val="22"/>
                <w:szCs w:val="22"/>
                <w:highlight w:val="none"/>
              </w:rPr>
              <w:t>营业执照</w:t>
            </w:r>
            <w:r>
              <w:rPr>
                <w:rFonts w:ascii="宋体" w:hAnsi="宋体"/>
                <w:color w:val="auto"/>
                <w:sz w:val="22"/>
                <w:szCs w:val="22"/>
                <w:highlight w:val="none"/>
              </w:rPr>
              <w:t>(</w:t>
            </w:r>
            <w:r>
              <w:rPr>
                <w:rFonts w:hint="eastAsia" w:ascii="宋体" w:hAnsi="宋体"/>
                <w:color w:val="auto"/>
                <w:sz w:val="22"/>
                <w:szCs w:val="22"/>
                <w:highlight w:val="none"/>
              </w:rPr>
              <w:t>或事业法人登记证书或其它工商等登记证明材料；自然人参与政府采购，提供身份证</w:t>
            </w:r>
            <w:r>
              <w:rPr>
                <w:rFonts w:ascii="宋体" w:hAnsi="宋体"/>
                <w:color w:val="auto"/>
                <w:sz w:val="22"/>
                <w:szCs w:val="22"/>
                <w:highlight w:val="none"/>
              </w:rPr>
              <w:t>)</w:t>
            </w:r>
            <w:r>
              <w:rPr>
                <w:rFonts w:hint="eastAsia" w:ascii="宋体" w:hAnsi="宋体"/>
                <w:color w:val="auto"/>
                <w:sz w:val="22"/>
                <w:szCs w:val="22"/>
                <w:highlight w:val="none"/>
              </w:rPr>
              <w:t>复印件、税务登记证</w:t>
            </w:r>
            <w:r>
              <w:rPr>
                <w:rFonts w:ascii="宋体" w:hAnsi="宋体"/>
                <w:color w:val="auto"/>
                <w:sz w:val="22"/>
                <w:szCs w:val="22"/>
                <w:highlight w:val="none"/>
              </w:rPr>
              <w:t>(</w:t>
            </w:r>
            <w:r>
              <w:rPr>
                <w:rFonts w:hint="eastAsia" w:ascii="宋体" w:hAnsi="宋体"/>
                <w:color w:val="auto"/>
                <w:sz w:val="22"/>
                <w:szCs w:val="22"/>
                <w:highlight w:val="none"/>
              </w:rPr>
              <w:t>或其它缴纳证明材料</w:t>
            </w:r>
            <w:r>
              <w:rPr>
                <w:rFonts w:ascii="宋体" w:hAnsi="宋体"/>
                <w:color w:val="auto"/>
                <w:sz w:val="22"/>
                <w:szCs w:val="22"/>
                <w:highlight w:val="none"/>
              </w:rPr>
              <w:t>)</w:t>
            </w:r>
            <w:r>
              <w:rPr>
                <w:rFonts w:hint="eastAsia" w:ascii="宋体" w:hAnsi="宋体"/>
                <w:color w:val="auto"/>
                <w:sz w:val="22"/>
                <w:szCs w:val="22"/>
                <w:highlight w:val="none"/>
              </w:rPr>
              <w:t>复印件、社保登记证（或其它缴纳证明材料）复印件；实施“五证合一、一照一码”登记制度改革的，只需提供改革后取得的营业执照复印件；</w:t>
            </w:r>
          </w:p>
        </w:tc>
        <w:tc>
          <w:tcPr>
            <w:tcW w:w="1523" w:type="dxa"/>
            <w:vAlign w:val="center"/>
          </w:tcPr>
          <w:p w14:paraId="1D77C8ED">
            <w:pPr>
              <w:overflowPunct w:val="0"/>
              <w:spacing w:line="430" w:lineRule="exact"/>
              <w:jc w:val="center"/>
              <w:rPr>
                <w:rFonts w:ascii="宋体" w:cs="新宋体"/>
                <w:b/>
                <w:color w:val="auto"/>
                <w:sz w:val="22"/>
                <w:szCs w:val="22"/>
                <w:highlight w:val="none"/>
              </w:rPr>
            </w:pPr>
          </w:p>
        </w:tc>
      </w:tr>
      <w:tr w14:paraId="11637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14:paraId="558A4874">
            <w:pPr>
              <w:overflowPunct w:val="0"/>
              <w:spacing w:line="430" w:lineRule="exact"/>
              <w:jc w:val="center"/>
              <w:rPr>
                <w:rFonts w:ascii="宋体" w:cs="新宋体"/>
                <w:bCs/>
                <w:color w:val="auto"/>
                <w:sz w:val="22"/>
                <w:szCs w:val="22"/>
                <w:highlight w:val="none"/>
              </w:rPr>
            </w:pPr>
            <w:r>
              <w:rPr>
                <w:rFonts w:hint="eastAsia" w:ascii="宋体" w:hAnsi="宋体" w:cs="新宋体"/>
                <w:bCs/>
                <w:color w:val="auto"/>
                <w:sz w:val="22"/>
                <w:szCs w:val="22"/>
                <w:highlight w:val="none"/>
              </w:rPr>
              <w:t>2</w:t>
            </w:r>
          </w:p>
        </w:tc>
        <w:tc>
          <w:tcPr>
            <w:tcW w:w="7514" w:type="dxa"/>
            <w:vAlign w:val="center"/>
          </w:tcPr>
          <w:p w14:paraId="0D3924C9">
            <w:pPr>
              <w:rPr>
                <w:rFonts w:ascii="宋体" w:cs="新宋体"/>
                <w:bCs/>
                <w:color w:val="auto"/>
                <w:sz w:val="22"/>
                <w:szCs w:val="22"/>
                <w:highlight w:val="none"/>
              </w:rPr>
            </w:pPr>
            <w:r>
              <w:rPr>
                <w:rFonts w:hint="eastAsia" w:ascii="宋体" w:hAnsi="宋体" w:cs="宋体"/>
                <w:color w:val="auto"/>
                <w:kern w:val="0"/>
                <w:sz w:val="22"/>
                <w:szCs w:val="22"/>
                <w:highlight w:val="none"/>
              </w:rPr>
              <w:t>联合体协议书（如有，非联合体无需提供）、分包意向协议（如有）</w:t>
            </w:r>
          </w:p>
        </w:tc>
        <w:tc>
          <w:tcPr>
            <w:tcW w:w="1523" w:type="dxa"/>
            <w:vMerge w:val="restart"/>
            <w:vAlign w:val="center"/>
          </w:tcPr>
          <w:p w14:paraId="41063DFC">
            <w:pPr>
              <w:jc w:val="center"/>
              <w:rPr>
                <w:rFonts w:ascii="宋体" w:cs="新宋体"/>
                <w:bCs/>
                <w:color w:val="auto"/>
                <w:sz w:val="22"/>
                <w:szCs w:val="22"/>
                <w:highlight w:val="none"/>
              </w:rPr>
            </w:pPr>
            <w:r>
              <w:rPr>
                <w:rFonts w:hint="eastAsia" w:ascii="宋体" w:cs="新宋体"/>
                <w:bCs/>
                <w:color w:val="auto"/>
                <w:sz w:val="22"/>
                <w:szCs w:val="22"/>
                <w:highlight w:val="none"/>
              </w:rPr>
              <w:t>附件一</w:t>
            </w:r>
          </w:p>
        </w:tc>
      </w:tr>
      <w:tr w14:paraId="65389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shd w:val="clear" w:color="auto" w:fill="auto"/>
            <w:vAlign w:val="center"/>
          </w:tcPr>
          <w:p w14:paraId="5E6A2E91">
            <w:pPr>
              <w:overflowPunct w:val="0"/>
              <w:spacing w:line="430" w:lineRule="exact"/>
              <w:jc w:val="center"/>
              <w:rPr>
                <w:rFonts w:hint="eastAsia" w:ascii="宋体" w:hAnsi="Times New Roman" w:eastAsia="宋体" w:cs="新宋体"/>
                <w:bCs/>
                <w:color w:val="auto"/>
                <w:kern w:val="2"/>
                <w:sz w:val="22"/>
                <w:szCs w:val="22"/>
                <w:highlight w:val="none"/>
                <w:lang w:val="en-US" w:eastAsia="zh-CN" w:bidi="ar-SA"/>
              </w:rPr>
            </w:pPr>
            <w:r>
              <w:rPr>
                <w:rFonts w:hint="eastAsia" w:ascii="宋体" w:hAnsi="宋体" w:cs="新宋体"/>
                <w:bCs/>
                <w:color w:val="auto"/>
                <w:sz w:val="22"/>
                <w:szCs w:val="22"/>
                <w:highlight w:val="none"/>
              </w:rPr>
              <w:t>3</w:t>
            </w:r>
          </w:p>
        </w:tc>
        <w:tc>
          <w:tcPr>
            <w:tcW w:w="7514" w:type="dxa"/>
            <w:vAlign w:val="center"/>
          </w:tcPr>
          <w:p w14:paraId="6E7300B5">
            <w:pPr>
              <w:rPr>
                <w:rFonts w:hint="eastAsia" w:ascii="宋体" w:cs="新宋体"/>
                <w:bCs/>
                <w:color w:val="auto"/>
                <w:sz w:val="22"/>
                <w:szCs w:val="22"/>
                <w:highlight w:val="none"/>
              </w:rPr>
            </w:pPr>
            <w:r>
              <w:rPr>
                <w:rFonts w:hint="eastAsia" w:ascii="宋体" w:cs="新宋体"/>
                <w:bCs/>
                <w:color w:val="auto"/>
                <w:sz w:val="22"/>
                <w:szCs w:val="22"/>
                <w:highlight w:val="none"/>
              </w:rPr>
              <w:t>法定代表人声明书或法定代表人授权书</w:t>
            </w:r>
          </w:p>
        </w:tc>
        <w:tc>
          <w:tcPr>
            <w:tcW w:w="1523" w:type="dxa"/>
            <w:vMerge w:val="continue"/>
            <w:vAlign w:val="center"/>
          </w:tcPr>
          <w:p w14:paraId="04100CAE">
            <w:pPr>
              <w:jc w:val="center"/>
              <w:rPr>
                <w:rFonts w:hint="eastAsia" w:ascii="宋体" w:cs="新宋体"/>
                <w:bCs/>
                <w:color w:val="auto"/>
                <w:sz w:val="22"/>
                <w:szCs w:val="22"/>
                <w:highlight w:val="none"/>
              </w:rPr>
            </w:pPr>
          </w:p>
        </w:tc>
      </w:tr>
      <w:tr w14:paraId="048C3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shd w:val="clear" w:color="auto" w:fill="auto"/>
            <w:vAlign w:val="center"/>
          </w:tcPr>
          <w:p w14:paraId="3954BBA0">
            <w:pPr>
              <w:overflowPunct w:val="0"/>
              <w:spacing w:line="430" w:lineRule="exact"/>
              <w:jc w:val="center"/>
              <w:rPr>
                <w:rFonts w:ascii="宋体" w:hAnsi="Times New Roman" w:eastAsia="宋体" w:cs="新宋体"/>
                <w:bCs/>
                <w:color w:val="auto"/>
                <w:kern w:val="2"/>
                <w:sz w:val="22"/>
                <w:szCs w:val="22"/>
                <w:highlight w:val="none"/>
                <w:lang w:val="en-US" w:eastAsia="zh-CN" w:bidi="ar-SA"/>
              </w:rPr>
            </w:pPr>
            <w:r>
              <w:rPr>
                <w:rFonts w:hint="eastAsia" w:ascii="宋体" w:cs="新宋体"/>
                <w:bCs/>
                <w:color w:val="auto"/>
                <w:sz w:val="22"/>
                <w:szCs w:val="22"/>
                <w:highlight w:val="none"/>
              </w:rPr>
              <w:t>4</w:t>
            </w:r>
          </w:p>
        </w:tc>
        <w:tc>
          <w:tcPr>
            <w:tcW w:w="7514" w:type="dxa"/>
            <w:vAlign w:val="center"/>
          </w:tcPr>
          <w:p w14:paraId="33E70BAA">
            <w:pPr>
              <w:rPr>
                <w:rFonts w:ascii="宋体" w:cs="新宋体"/>
                <w:bCs/>
                <w:color w:val="auto"/>
                <w:sz w:val="22"/>
                <w:szCs w:val="22"/>
                <w:highlight w:val="none"/>
              </w:rPr>
            </w:pPr>
            <w:r>
              <w:rPr>
                <w:rFonts w:hint="eastAsia" w:ascii="宋体" w:cs="新宋体"/>
                <w:bCs/>
                <w:color w:val="auto"/>
                <w:sz w:val="22"/>
                <w:szCs w:val="22"/>
                <w:highlight w:val="none"/>
              </w:rPr>
              <w:t>投标人参与政府采购活动投标资格声明函</w:t>
            </w:r>
          </w:p>
        </w:tc>
        <w:tc>
          <w:tcPr>
            <w:tcW w:w="1523" w:type="dxa"/>
            <w:vMerge w:val="continue"/>
            <w:vAlign w:val="center"/>
          </w:tcPr>
          <w:p w14:paraId="7D6CD84C">
            <w:pPr>
              <w:spacing w:line="400" w:lineRule="exact"/>
              <w:jc w:val="center"/>
              <w:rPr>
                <w:rFonts w:ascii="宋体"/>
                <w:color w:val="auto"/>
                <w:sz w:val="22"/>
                <w:szCs w:val="22"/>
                <w:highlight w:val="none"/>
              </w:rPr>
            </w:pPr>
          </w:p>
        </w:tc>
      </w:tr>
      <w:tr w14:paraId="0B87C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shd w:val="clear" w:color="auto" w:fill="auto"/>
            <w:vAlign w:val="center"/>
          </w:tcPr>
          <w:p w14:paraId="68228DF7">
            <w:pPr>
              <w:overflowPunct w:val="0"/>
              <w:spacing w:line="430" w:lineRule="exact"/>
              <w:jc w:val="center"/>
              <w:rPr>
                <w:rFonts w:ascii="宋体" w:hAnsi="Times New Roman" w:eastAsia="宋体" w:cs="新宋体"/>
                <w:bCs/>
                <w:color w:val="auto"/>
                <w:kern w:val="2"/>
                <w:sz w:val="22"/>
                <w:szCs w:val="22"/>
                <w:highlight w:val="none"/>
                <w:lang w:val="en-US" w:eastAsia="zh-CN" w:bidi="ar-SA"/>
              </w:rPr>
            </w:pPr>
            <w:r>
              <w:rPr>
                <w:rFonts w:hint="eastAsia" w:ascii="宋体" w:cs="新宋体"/>
                <w:bCs/>
                <w:color w:val="auto"/>
                <w:sz w:val="22"/>
                <w:szCs w:val="22"/>
                <w:highlight w:val="none"/>
              </w:rPr>
              <w:t>5</w:t>
            </w:r>
          </w:p>
        </w:tc>
        <w:tc>
          <w:tcPr>
            <w:tcW w:w="7514" w:type="dxa"/>
            <w:vAlign w:val="center"/>
          </w:tcPr>
          <w:p w14:paraId="18DE9A1E">
            <w:pPr>
              <w:rPr>
                <w:rFonts w:ascii="宋体" w:cs="新宋体"/>
                <w:bCs/>
                <w:color w:val="auto"/>
                <w:sz w:val="22"/>
                <w:szCs w:val="22"/>
                <w:highlight w:val="none"/>
              </w:rPr>
            </w:pPr>
            <w:r>
              <w:rPr>
                <w:rFonts w:hint="eastAsia" w:ascii="宋体" w:cs="新宋体"/>
                <w:bCs/>
                <w:color w:val="auto"/>
                <w:sz w:val="22"/>
                <w:szCs w:val="22"/>
                <w:highlight w:val="none"/>
              </w:rPr>
              <w:t>诚信投标承诺书</w:t>
            </w:r>
          </w:p>
        </w:tc>
        <w:tc>
          <w:tcPr>
            <w:tcW w:w="1523" w:type="dxa"/>
            <w:vMerge w:val="continue"/>
            <w:vAlign w:val="center"/>
          </w:tcPr>
          <w:p w14:paraId="2561E868">
            <w:pPr>
              <w:spacing w:line="400" w:lineRule="exact"/>
              <w:jc w:val="center"/>
              <w:rPr>
                <w:rFonts w:ascii="宋体"/>
                <w:color w:val="auto"/>
                <w:sz w:val="22"/>
                <w:szCs w:val="22"/>
                <w:highlight w:val="none"/>
              </w:rPr>
            </w:pPr>
          </w:p>
        </w:tc>
      </w:tr>
      <w:tr w14:paraId="52D4C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shd w:val="clear" w:color="auto" w:fill="auto"/>
            <w:vAlign w:val="center"/>
          </w:tcPr>
          <w:p w14:paraId="38CE1FE7">
            <w:pPr>
              <w:overflowPunct w:val="0"/>
              <w:spacing w:line="430" w:lineRule="exact"/>
              <w:jc w:val="center"/>
              <w:rPr>
                <w:rFonts w:ascii="宋体" w:hAnsi="Times New Roman" w:eastAsia="宋体" w:cs="新宋体"/>
                <w:bCs/>
                <w:color w:val="auto"/>
                <w:kern w:val="2"/>
                <w:sz w:val="22"/>
                <w:szCs w:val="22"/>
                <w:highlight w:val="none"/>
                <w:lang w:val="en-US" w:eastAsia="zh-CN" w:bidi="ar-SA"/>
              </w:rPr>
            </w:pPr>
            <w:r>
              <w:rPr>
                <w:rFonts w:hint="eastAsia" w:ascii="宋体" w:cs="新宋体"/>
                <w:bCs/>
                <w:color w:val="auto"/>
                <w:sz w:val="22"/>
                <w:szCs w:val="22"/>
                <w:highlight w:val="none"/>
              </w:rPr>
              <w:t>6</w:t>
            </w:r>
          </w:p>
        </w:tc>
        <w:tc>
          <w:tcPr>
            <w:tcW w:w="7514" w:type="dxa"/>
            <w:vAlign w:val="center"/>
          </w:tcPr>
          <w:p w14:paraId="3613019D">
            <w:pPr>
              <w:rPr>
                <w:rFonts w:ascii="宋体" w:cs="新宋体"/>
                <w:bCs/>
                <w:color w:val="auto"/>
                <w:sz w:val="22"/>
                <w:szCs w:val="22"/>
                <w:highlight w:val="none"/>
              </w:rPr>
            </w:pPr>
            <w:r>
              <w:rPr>
                <w:rFonts w:hint="eastAsia" w:ascii="宋体" w:hAnsi="宋体" w:cs="新宋体"/>
                <w:bCs/>
                <w:color w:val="auto"/>
                <w:sz w:val="22"/>
                <w:szCs w:val="22"/>
                <w:highlight w:val="none"/>
              </w:rPr>
              <w:t>投标人“信用中国”</w:t>
            </w:r>
            <w:r>
              <w:rPr>
                <w:rFonts w:ascii="宋体" w:hAnsi="宋体" w:cs="新宋体"/>
                <w:bCs/>
                <w:color w:val="auto"/>
                <w:sz w:val="22"/>
                <w:szCs w:val="22"/>
                <w:highlight w:val="none"/>
              </w:rPr>
              <w:t>(www.creditchina.gov.cn)</w:t>
            </w:r>
            <w:r>
              <w:rPr>
                <w:rFonts w:hint="eastAsia" w:ascii="宋体" w:hAnsi="宋体" w:cs="新宋体"/>
                <w:bCs/>
                <w:color w:val="auto"/>
                <w:sz w:val="22"/>
                <w:szCs w:val="22"/>
                <w:highlight w:val="none"/>
              </w:rPr>
              <w:t>；“中国政府采购网”（</w:t>
            </w:r>
            <w:r>
              <w:rPr>
                <w:rFonts w:ascii="宋体" w:hAnsi="宋体" w:cs="新宋体"/>
                <w:bCs/>
                <w:color w:val="auto"/>
                <w:sz w:val="22"/>
                <w:szCs w:val="22"/>
                <w:highlight w:val="none"/>
              </w:rPr>
              <w:t>http://www.ccgp.gov.cn/</w:t>
            </w:r>
            <w:r>
              <w:rPr>
                <w:rFonts w:hint="eastAsia" w:ascii="宋体" w:hAnsi="宋体" w:cs="新宋体"/>
                <w:bCs/>
                <w:color w:val="auto"/>
                <w:sz w:val="22"/>
                <w:szCs w:val="22"/>
                <w:highlight w:val="none"/>
              </w:rPr>
              <w:t>）信用记录网页截图（采购公告发布之日至投标截止时间前）；</w:t>
            </w:r>
          </w:p>
        </w:tc>
        <w:tc>
          <w:tcPr>
            <w:tcW w:w="1523" w:type="dxa"/>
            <w:vAlign w:val="center"/>
          </w:tcPr>
          <w:p w14:paraId="5B9FAAA3">
            <w:pPr>
              <w:jc w:val="center"/>
              <w:rPr>
                <w:rFonts w:ascii="宋体" w:cs="新宋体"/>
                <w:bCs/>
                <w:color w:val="auto"/>
                <w:sz w:val="22"/>
                <w:szCs w:val="22"/>
                <w:highlight w:val="none"/>
              </w:rPr>
            </w:pPr>
          </w:p>
        </w:tc>
      </w:tr>
      <w:tr w14:paraId="1D72B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14:paraId="08627643">
            <w:pPr>
              <w:overflowPunct w:val="0"/>
              <w:spacing w:line="430" w:lineRule="exact"/>
              <w:jc w:val="center"/>
              <w:rPr>
                <w:rFonts w:ascii="宋体" w:cs="新宋体"/>
                <w:bCs/>
                <w:color w:val="auto"/>
                <w:sz w:val="22"/>
                <w:szCs w:val="22"/>
                <w:highlight w:val="none"/>
              </w:rPr>
            </w:pPr>
            <w:r>
              <w:rPr>
                <w:rFonts w:hint="eastAsia" w:ascii="宋体" w:cs="新宋体"/>
                <w:bCs/>
                <w:color w:val="auto"/>
                <w:sz w:val="22"/>
                <w:szCs w:val="22"/>
                <w:highlight w:val="none"/>
                <w:lang w:val="en-US" w:eastAsia="zh-CN"/>
              </w:rPr>
              <w:t>7</w:t>
            </w:r>
          </w:p>
        </w:tc>
        <w:tc>
          <w:tcPr>
            <w:tcW w:w="7514" w:type="dxa"/>
            <w:vAlign w:val="center"/>
          </w:tcPr>
          <w:p w14:paraId="67AA8826">
            <w:pPr>
              <w:rPr>
                <w:rFonts w:ascii="宋体" w:hAnsi="宋体" w:cs="新宋体"/>
                <w:bCs/>
                <w:color w:val="auto"/>
                <w:sz w:val="22"/>
                <w:szCs w:val="22"/>
                <w:highlight w:val="none"/>
              </w:rPr>
            </w:pPr>
            <w:r>
              <w:rPr>
                <w:rFonts w:hint="eastAsia" w:ascii="宋体" w:hAnsi="宋体" w:cs="新宋体"/>
                <w:bCs/>
                <w:color w:val="auto"/>
                <w:sz w:val="22"/>
                <w:szCs w:val="22"/>
                <w:highlight w:val="none"/>
              </w:rPr>
              <w:t>投标人认为其他需要提交的资料</w:t>
            </w:r>
          </w:p>
        </w:tc>
        <w:tc>
          <w:tcPr>
            <w:tcW w:w="1523" w:type="dxa"/>
            <w:vAlign w:val="center"/>
          </w:tcPr>
          <w:p w14:paraId="00ADE1B2">
            <w:pPr>
              <w:jc w:val="center"/>
              <w:rPr>
                <w:rFonts w:ascii="宋体" w:cs="新宋体"/>
                <w:bCs/>
                <w:color w:val="auto"/>
                <w:sz w:val="22"/>
                <w:szCs w:val="22"/>
                <w:highlight w:val="none"/>
              </w:rPr>
            </w:pPr>
          </w:p>
        </w:tc>
      </w:tr>
    </w:tbl>
    <w:p w14:paraId="390D893D">
      <w:pPr>
        <w:spacing w:line="430" w:lineRule="exact"/>
        <w:ind w:left="187" w:leftChars="85" w:hanging="9" w:hangingChars="4"/>
        <w:rPr>
          <w:rFonts w:ascii="宋体" w:cs="楷体"/>
          <w:b/>
          <w:color w:val="auto"/>
          <w:sz w:val="22"/>
          <w:szCs w:val="22"/>
          <w:highlight w:val="none"/>
        </w:rPr>
      </w:pPr>
      <w:r>
        <w:rPr>
          <w:rFonts w:hint="eastAsia" w:ascii="宋体" w:hAnsi="宋体" w:cs="楷体"/>
          <w:b/>
          <w:color w:val="auto"/>
          <w:sz w:val="22"/>
          <w:szCs w:val="22"/>
          <w:highlight w:val="none"/>
        </w:rPr>
        <w:t>备注：</w:t>
      </w:r>
    </w:p>
    <w:p w14:paraId="3BC68487">
      <w:pPr>
        <w:numPr>
          <w:ilvl w:val="0"/>
          <w:numId w:val="11"/>
        </w:numPr>
        <w:spacing w:line="430" w:lineRule="exact"/>
        <w:rPr>
          <w:rFonts w:ascii="宋体" w:cs="楷体"/>
          <w:b/>
          <w:color w:val="auto"/>
          <w:sz w:val="22"/>
          <w:szCs w:val="22"/>
          <w:highlight w:val="none"/>
        </w:rPr>
      </w:pPr>
      <w:r>
        <w:rPr>
          <w:rFonts w:hint="eastAsia" w:ascii="宋体" w:hAnsi="宋体" w:cs="新宋体"/>
          <w:color w:val="auto"/>
          <w:sz w:val="22"/>
          <w:szCs w:val="22"/>
          <w:highlight w:val="none"/>
        </w:rPr>
        <w:t>金融、保险、通讯等特定行业的全国性企业所设立的区域性分支机构，以及个体工商户、个人独资企业、合伙企业，如果已经依法办理了工商、税务和社保登记手续，并且获得</w:t>
      </w:r>
      <w:r>
        <w:rPr>
          <w:rFonts w:hint="eastAsia" w:ascii="宋体" w:hAnsi="宋体" w:cs="新宋体"/>
          <w:b/>
          <w:bCs/>
          <w:color w:val="auto"/>
          <w:sz w:val="22"/>
          <w:szCs w:val="22"/>
          <w:highlight w:val="none"/>
        </w:rPr>
        <w:t>总公司（总机构）授权或能够提供房产权证或其他有效财产证明材料（在投标文件中提供相关材料）</w:t>
      </w:r>
      <w:r>
        <w:rPr>
          <w:rFonts w:hint="eastAsia" w:ascii="宋体" w:hAnsi="宋体" w:cs="新宋体"/>
          <w:color w:val="auto"/>
          <w:sz w:val="22"/>
          <w:szCs w:val="22"/>
          <w:highlight w:val="none"/>
        </w:rPr>
        <w:t>，证明其具备实际承担责任的能力和法定的缔结合同能力，可以独立参加政府采购活动，由单位负责人签署相关文件材料；</w:t>
      </w:r>
    </w:p>
    <w:p w14:paraId="39E4B3DC">
      <w:pPr>
        <w:numPr>
          <w:ilvl w:val="0"/>
          <w:numId w:val="11"/>
        </w:numPr>
        <w:spacing w:line="430" w:lineRule="exact"/>
        <w:rPr>
          <w:rFonts w:hint="eastAsia" w:ascii="宋体" w:hAnsi="宋体" w:cs="hakuyoxingshu7000"/>
          <w:b/>
          <w:color w:val="auto"/>
          <w:sz w:val="22"/>
          <w:szCs w:val="22"/>
          <w:highlight w:val="none"/>
        </w:rPr>
      </w:pPr>
      <w:r>
        <w:rPr>
          <w:rFonts w:hint="eastAsia" w:ascii="宋体" w:hAnsi="宋体" w:cs="宋体"/>
          <w:b/>
          <w:bCs/>
          <w:color w:val="auto"/>
          <w:sz w:val="22"/>
          <w:szCs w:val="22"/>
          <w:highlight w:val="none"/>
        </w:rPr>
        <w:t>如为联合体，1与3至6项材料联合体双方均需提供。</w:t>
      </w:r>
    </w:p>
    <w:p w14:paraId="77559AB4">
      <w:pPr>
        <w:spacing w:line="430" w:lineRule="exact"/>
        <w:rPr>
          <w:rFonts w:ascii="宋体" w:cs="hakuyoxingshu7000"/>
          <w:b/>
          <w:color w:val="auto"/>
          <w:kern w:val="0"/>
          <w:sz w:val="22"/>
          <w:szCs w:val="22"/>
          <w:highlight w:val="none"/>
        </w:rPr>
      </w:pPr>
      <w:r>
        <w:rPr>
          <w:rFonts w:hint="eastAsia" w:ascii="宋体" w:hAnsi="宋体" w:cs="hakuyoxingshu7000"/>
          <w:b/>
          <w:color w:val="auto"/>
          <w:sz w:val="22"/>
          <w:szCs w:val="22"/>
          <w:highlight w:val="none"/>
        </w:rPr>
        <w:t>（</w:t>
      </w:r>
      <w:r>
        <w:rPr>
          <w:rFonts w:ascii="宋体" w:hAnsi="宋体" w:cs="hakuyoxingshu7000"/>
          <w:b/>
          <w:color w:val="auto"/>
          <w:sz w:val="22"/>
          <w:szCs w:val="22"/>
          <w:highlight w:val="none"/>
        </w:rPr>
        <w:t>2</w:t>
      </w:r>
      <w:r>
        <w:rPr>
          <w:rFonts w:hint="eastAsia" w:ascii="宋体" w:hAnsi="宋体" w:cs="hakuyoxingshu7000"/>
          <w:b/>
          <w:color w:val="auto"/>
          <w:sz w:val="22"/>
          <w:szCs w:val="22"/>
          <w:highlight w:val="none"/>
        </w:rPr>
        <w:t>）</w:t>
      </w:r>
      <w:r>
        <w:rPr>
          <w:rFonts w:hint="eastAsia" w:ascii="宋体" w:hAnsi="宋体" w:cs="hakuyoxingshu7000"/>
          <w:b/>
          <w:color w:val="auto"/>
          <w:kern w:val="0"/>
          <w:sz w:val="22"/>
          <w:szCs w:val="22"/>
          <w:highlight w:val="none"/>
        </w:rPr>
        <w:t>报价文件</w:t>
      </w:r>
    </w:p>
    <w:tbl>
      <w:tblPr>
        <w:tblStyle w:val="63"/>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14:paraId="70DFD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6B40531D">
            <w:pPr>
              <w:spacing w:line="430" w:lineRule="exact"/>
              <w:jc w:val="center"/>
              <w:rPr>
                <w:rFonts w:ascii="宋体" w:cs="hakuyoxingshu7000"/>
                <w:color w:val="auto"/>
                <w:kern w:val="0"/>
                <w:sz w:val="22"/>
                <w:szCs w:val="22"/>
                <w:highlight w:val="none"/>
              </w:rPr>
            </w:pPr>
            <w:r>
              <w:rPr>
                <w:rFonts w:hint="eastAsia" w:ascii="宋体" w:hAnsi="宋体" w:cs="hakuyoxingshu7000"/>
                <w:color w:val="auto"/>
                <w:kern w:val="0"/>
                <w:sz w:val="22"/>
                <w:szCs w:val="22"/>
                <w:highlight w:val="none"/>
              </w:rPr>
              <w:t>序号</w:t>
            </w:r>
          </w:p>
        </w:tc>
        <w:tc>
          <w:tcPr>
            <w:tcW w:w="7513" w:type="dxa"/>
            <w:vAlign w:val="center"/>
          </w:tcPr>
          <w:p w14:paraId="09E2A73D">
            <w:pPr>
              <w:spacing w:line="430" w:lineRule="exact"/>
              <w:rPr>
                <w:rFonts w:ascii="宋体" w:cs="hakuyoxingshu7000"/>
                <w:color w:val="auto"/>
                <w:kern w:val="0"/>
                <w:sz w:val="22"/>
                <w:szCs w:val="22"/>
                <w:highlight w:val="none"/>
              </w:rPr>
            </w:pPr>
            <w:r>
              <w:rPr>
                <w:rFonts w:hint="eastAsia" w:ascii="宋体" w:hAnsi="宋体" w:cs="hakuyoxingshu7000"/>
                <w:color w:val="auto"/>
                <w:kern w:val="0"/>
                <w:sz w:val="22"/>
                <w:szCs w:val="22"/>
                <w:highlight w:val="none"/>
              </w:rPr>
              <w:t>内容</w:t>
            </w:r>
          </w:p>
        </w:tc>
        <w:tc>
          <w:tcPr>
            <w:tcW w:w="1524" w:type="dxa"/>
            <w:vAlign w:val="center"/>
          </w:tcPr>
          <w:p w14:paraId="7C4AD39E">
            <w:pPr>
              <w:spacing w:line="430" w:lineRule="exact"/>
              <w:jc w:val="center"/>
              <w:rPr>
                <w:rFonts w:ascii="宋体" w:cs="hakuyoxingshu7000"/>
                <w:color w:val="auto"/>
                <w:kern w:val="0"/>
                <w:sz w:val="22"/>
                <w:szCs w:val="22"/>
                <w:highlight w:val="none"/>
              </w:rPr>
            </w:pPr>
            <w:r>
              <w:rPr>
                <w:rFonts w:hint="eastAsia" w:ascii="宋体" w:hAnsi="宋体" w:cs="hakuyoxingshu7000"/>
                <w:color w:val="auto"/>
                <w:kern w:val="0"/>
                <w:sz w:val="22"/>
                <w:szCs w:val="22"/>
                <w:highlight w:val="none"/>
              </w:rPr>
              <w:t>备注</w:t>
            </w:r>
          </w:p>
        </w:tc>
      </w:tr>
      <w:tr w14:paraId="3B4A7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0EA54EF8">
            <w:pPr>
              <w:spacing w:line="430" w:lineRule="exact"/>
              <w:jc w:val="center"/>
              <w:rPr>
                <w:rFonts w:ascii="宋体" w:cs="hakuyoxingshu7000"/>
                <w:color w:val="auto"/>
                <w:kern w:val="0"/>
                <w:sz w:val="22"/>
                <w:szCs w:val="22"/>
                <w:highlight w:val="none"/>
              </w:rPr>
            </w:pPr>
            <w:r>
              <w:rPr>
                <w:rFonts w:ascii="宋体" w:hAnsi="宋体" w:cs="hakuyoxingshu7000"/>
                <w:color w:val="auto"/>
                <w:kern w:val="0"/>
                <w:sz w:val="22"/>
                <w:szCs w:val="22"/>
                <w:highlight w:val="none"/>
              </w:rPr>
              <w:t>1)</w:t>
            </w:r>
          </w:p>
        </w:tc>
        <w:tc>
          <w:tcPr>
            <w:tcW w:w="7513" w:type="dxa"/>
            <w:vAlign w:val="center"/>
          </w:tcPr>
          <w:p w14:paraId="69FE3FC6">
            <w:pPr>
              <w:spacing w:line="430" w:lineRule="exact"/>
              <w:rPr>
                <w:rFonts w:ascii="宋体" w:cs="hakuyoxingshu7000"/>
                <w:color w:val="auto"/>
                <w:kern w:val="0"/>
                <w:sz w:val="22"/>
                <w:szCs w:val="22"/>
                <w:highlight w:val="none"/>
              </w:rPr>
            </w:pPr>
            <w:r>
              <w:rPr>
                <w:rFonts w:hint="eastAsia" w:ascii="宋体" w:hAnsi="宋体" w:cs="hakuyoxingshu7000"/>
                <w:color w:val="auto"/>
                <w:kern w:val="0"/>
                <w:sz w:val="22"/>
                <w:szCs w:val="22"/>
                <w:highlight w:val="none"/>
              </w:rPr>
              <w:t>开标一览表</w:t>
            </w:r>
          </w:p>
        </w:tc>
        <w:tc>
          <w:tcPr>
            <w:tcW w:w="1524" w:type="dxa"/>
            <w:vMerge w:val="restart"/>
            <w:vAlign w:val="center"/>
          </w:tcPr>
          <w:p w14:paraId="7D83D4C7">
            <w:pPr>
              <w:spacing w:line="430" w:lineRule="exact"/>
              <w:jc w:val="center"/>
              <w:rPr>
                <w:rFonts w:ascii="宋体" w:cs="hakuyoxingshu7000"/>
                <w:color w:val="auto"/>
                <w:kern w:val="0"/>
                <w:sz w:val="22"/>
                <w:szCs w:val="22"/>
                <w:highlight w:val="none"/>
              </w:rPr>
            </w:pPr>
            <w:r>
              <w:rPr>
                <w:rFonts w:hint="eastAsia" w:ascii="宋体" w:hAnsi="宋体" w:cs="hakuyoxingshu7000"/>
                <w:color w:val="auto"/>
                <w:kern w:val="0"/>
                <w:sz w:val="22"/>
                <w:szCs w:val="22"/>
                <w:highlight w:val="none"/>
              </w:rPr>
              <w:t>附件二</w:t>
            </w:r>
          </w:p>
        </w:tc>
      </w:tr>
      <w:tr w14:paraId="4A178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178390E6">
            <w:pPr>
              <w:spacing w:line="430" w:lineRule="exact"/>
              <w:jc w:val="center"/>
              <w:rPr>
                <w:rFonts w:ascii="宋体" w:cs="hakuyoxingshu7000"/>
                <w:color w:val="auto"/>
                <w:kern w:val="0"/>
                <w:sz w:val="22"/>
                <w:szCs w:val="22"/>
                <w:highlight w:val="none"/>
              </w:rPr>
            </w:pPr>
            <w:r>
              <w:rPr>
                <w:rFonts w:ascii="宋体" w:hAnsi="宋体" w:cs="hakuyoxingshu7000"/>
                <w:color w:val="auto"/>
                <w:kern w:val="0"/>
                <w:sz w:val="22"/>
                <w:szCs w:val="22"/>
                <w:highlight w:val="none"/>
              </w:rPr>
              <w:t>2</w:t>
            </w:r>
            <w:r>
              <w:rPr>
                <w:rFonts w:hint="eastAsia" w:ascii="宋体" w:hAnsi="宋体" w:cs="hakuyoxingshu7000"/>
                <w:color w:val="auto"/>
                <w:kern w:val="0"/>
                <w:sz w:val="22"/>
                <w:szCs w:val="22"/>
                <w:highlight w:val="none"/>
              </w:rPr>
              <w:t>）</w:t>
            </w:r>
          </w:p>
        </w:tc>
        <w:tc>
          <w:tcPr>
            <w:tcW w:w="7513" w:type="dxa"/>
            <w:vAlign w:val="center"/>
          </w:tcPr>
          <w:p w14:paraId="5855E0B0">
            <w:pPr>
              <w:spacing w:line="430" w:lineRule="exact"/>
              <w:jc w:val="left"/>
              <w:rPr>
                <w:rFonts w:ascii="宋体" w:cs="hakuyoxingshu7000"/>
                <w:color w:val="auto"/>
                <w:kern w:val="0"/>
                <w:sz w:val="22"/>
                <w:szCs w:val="22"/>
                <w:highlight w:val="none"/>
              </w:rPr>
            </w:pPr>
            <w:r>
              <w:rPr>
                <w:rFonts w:hint="eastAsia" w:ascii="宋体" w:hAnsi="宋体" w:cs="hakuyoxingshu7000"/>
                <w:color w:val="auto"/>
                <w:kern w:val="0"/>
                <w:sz w:val="22"/>
                <w:szCs w:val="22"/>
                <w:highlight w:val="none"/>
              </w:rPr>
              <w:t>分项报价表</w:t>
            </w:r>
          </w:p>
        </w:tc>
        <w:tc>
          <w:tcPr>
            <w:tcW w:w="1524" w:type="dxa"/>
            <w:vMerge w:val="continue"/>
            <w:vAlign w:val="center"/>
          </w:tcPr>
          <w:p w14:paraId="35D43434">
            <w:pPr>
              <w:spacing w:line="430" w:lineRule="exact"/>
              <w:jc w:val="center"/>
              <w:rPr>
                <w:rFonts w:ascii="宋体" w:cs="hakuyoxingshu7000"/>
                <w:color w:val="auto"/>
                <w:kern w:val="0"/>
                <w:sz w:val="22"/>
                <w:szCs w:val="22"/>
                <w:highlight w:val="none"/>
              </w:rPr>
            </w:pPr>
          </w:p>
        </w:tc>
      </w:tr>
      <w:tr w14:paraId="03AC2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745AD14A">
            <w:pPr>
              <w:spacing w:line="430" w:lineRule="exact"/>
              <w:jc w:val="center"/>
              <w:rPr>
                <w:rFonts w:ascii="宋体" w:hAnsi="宋体" w:cs="hakuyoxingshu7000"/>
                <w:color w:val="auto"/>
                <w:kern w:val="0"/>
                <w:sz w:val="22"/>
                <w:szCs w:val="22"/>
                <w:highlight w:val="none"/>
              </w:rPr>
            </w:pPr>
            <w:r>
              <w:rPr>
                <w:rFonts w:hint="eastAsia" w:ascii="宋体" w:hAnsi="宋体" w:cs="仿宋"/>
                <w:color w:val="auto"/>
                <w:sz w:val="22"/>
                <w:szCs w:val="22"/>
                <w:highlight w:val="none"/>
              </w:rPr>
              <w:t>3）</w:t>
            </w:r>
          </w:p>
        </w:tc>
        <w:tc>
          <w:tcPr>
            <w:tcW w:w="7513" w:type="dxa"/>
            <w:vAlign w:val="center"/>
          </w:tcPr>
          <w:p w14:paraId="3F661CEE">
            <w:pPr>
              <w:rPr>
                <w:rFonts w:ascii="宋体" w:hAnsi="宋体" w:cs="新宋体"/>
                <w:bCs/>
                <w:color w:val="auto"/>
                <w:sz w:val="22"/>
                <w:szCs w:val="22"/>
                <w:highlight w:val="none"/>
              </w:rPr>
            </w:pPr>
            <w:r>
              <w:rPr>
                <w:rFonts w:hint="eastAsia" w:ascii="宋体" w:cs="新宋体"/>
                <w:bCs/>
                <w:color w:val="auto"/>
                <w:sz w:val="22"/>
                <w:szCs w:val="22"/>
                <w:highlight w:val="none"/>
              </w:rPr>
              <w:t>小微企业（或监狱企业、残疾人福利单位）声明函</w:t>
            </w:r>
          </w:p>
        </w:tc>
        <w:tc>
          <w:tcPr>
            <w:tcW w:w="1524" w:type="dxa"/>
            <w:vAlign w:val="center"/>
          </w:tcPr>
          <w:p w14:paraId="3994C619">
            <w:pPr>
              <w:spacing w:line="430" w:lineRule="exact"/>
              <w:jc w:val="center"/>
              <w:rPr>
                <w:rFonts w:ascii="宋体" w:hAnsi="宋体" w:cs="hakuyoxingshu7000"/>
                <w:color w:val="auto"/>
                <w:kern w:val="0"/>
                <w:sz w:val="22"/>
                <w:szCs w:val="22"/>
                <w:highlight w:val="none"/>
              </w:rPr>
            </w:pPr>
            <w:r>
              <w:rPr>
                <w:rFonts w:hint="eastAsia" w:ascii="宋体" w:hAnsi="宋体" w:cs="hakuyoxingshu7000"/>
                <w:color w:val="auto"/>
                <w:kern w:val="0"/>
                <w:sz w:val="22"/>
                <w:szCs w:val="22"/>
                <w:highlight w:val="none"/>
              </w:rPr>
              <w:t>附件五</w:t>
            </w:r>
          </w:p>
        </w:tc>
      </w:tr>
    </w:tbl>
    <w:p w14:paraId="210EECEF">
      <w:pPr>
        <w:spacing w:line="430" w:lineRule="exact"/>
        <w:ind w:left="187" w:leftChars="85" w:hanging="9" w:hangingChars="4"/>
        <w:rPr>
          <w:rFonts w:ascii="宋体" w:cs="hakuyoxingshu7000"/>
          <w:b/>
          <w:color w:val="auto"/>
          <w:sz w:val="22"/>
          <w:szCs w:val="22"/>
          <w:highlight w:val="none"/>
        </w:rPr>
      </w:pPr>
      <w:r>
        <w:rPr>
          <w:rFonts w:hint="eastAsia" w:ascii="宋体" w:hAnsi="宋体" w:cs="hakuyoxingshu7000"/>
          <w:b/>
          <w:color w:val="auto"/>
          <w:kern w:val="0"/>
          <w:sz w:val="22"/>
          <w:szCs w:val="22"/>
          <w:highlight w:val="none"/>
        </w:rPr>
        <w:t>（</w:t>
      </w:r>
      <w:r>
        <w:rPr>
          <w:rFonts w:ascii="宋体" w:hAnsi="宋体" w:cs="hakuyoxingshu7000"/>
          <w:b/>
          <w:color w:val="auto"/>
          <w:kern w:val="0"/>
          <w:sz w:val="22"/>
          <w:szCs w:val="22"/>
          <w:highlight w:val="none"/>
        </w:rPr>
        <w:t>3</w:t>
      </w:r>
      <w:r>
        <w:rPr>
          <w:rFonts w:hint="eastAsia" w:ascii="宋体" w:hAnsi="宋体" w:cs="hakuyoxingshu7000"/>
          <w:b/>
          <w:color w:val="auto"/>
          <w:kern w:val="0"/>
          <w:sz w:val="22"/>
          <w:szCs w:val="22"/>
          <w:highlight w:val="none"/>
        </w:rPr>
        <w:t>）</w:t>
      </w:r>
      <w:r>
        <w:rPr>
          <w:rFonts w:hint="eastAsia" w:ascii="宋体" w:hAnsi="宋体" w:cs="hakuyoxingshu7000"/>
          <w:b/>
          <w:color w:val="auto"/>
          <w:sz w:val="22"/>
          <w:szCs w:val="22"/>
          <w:highlight w:val="none"/>
        </w:rPr>
        <w:t>商务技术文件</w:t>
      </w:r>
    </w:p>
    <w:tbl>
      <w:tblPr>
        <w:tblStyle w:val="63"/>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14:paraId="0889A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1185CF78">
            <w:pPr>
              <w:spacing w:line="430" w:lineRule="exact"/>
              <w:jc w:val="center"/>
              <w:rPr>
                <w:rFonts w:ascii="宋体" w:cs="仿宋"/>
                <w:b/>
                <w:color w:val="auto"/>
                <w:sz w:val="22"/>
                <w:szCs w:val="22"/>
                <w:highlight w:val="none"/>
              </w:rPr>
            </w:pPr>
            <w:r>
              <w:rPr>
                <w:rFonts w:hint="eastAsia" w:ascii="宋体" w:hAnsi="宋体" w:cs="仿宋"/>
                <w:b/>
                <w:color w:val="auto"/>
                <w:sz w:val="22"/>
                <w:szCs w:val="22"/>
                <w:highlight w:val="none"/>
              </w:rPr>
              <w:t>序号</w:t>
            </w:r>
          </w:p>
        </w:tc>
        <w:tc>
          <w:tcPr>
            <w:tcW w:w="7513" w:type="dxa"/>
            <w:vAlign w:val="center"/>
          </w:tcPr>
          <w:p w14:paraId="0778DE0C">
            <w:pPr>
              <w:spacing w:line="430" w:lineRule="exact"/>
              <w:rPr>
                <w:rFonts w:ascii="宋体" w:cs="仿宋"/>
                <w:b/>
                <w:color w:val="auto"/>
                <w:sz w:val="22"/>
                <w:szCs w:val="22"/>
                <w:highlight w:val="none"/>
              </w:rPr>
            </w:pPr>
            <w:r>
              <w:rPr>
                <w:rFonts w:hint="eastAsia" w:ascii="宋体" w:hAnsi="宋体" w:cs="仿宋"/>
                <w:b/>
                <w:color w:val="auto"/>
                <w:sz w:val="22"/>
                <w:szCs w:val="22"/>
                <w:highlight w:val="none"/>
              </w:rPr>
              <w:t>内容</w:t>
            </w:r>
          </w:p>
        </w:tc>
        <w:tc>
          <w:tcPr>
            <w:tcW w:w="1524" w:type="dxa"/>
            <w:vAlign w:val="center"/>
          </w:tcPr>
          <w:p w14:paraId="1A83D82A">
            <w:pPr>
              <w:spacing w:line="430" w:lineRule="exact"/>
              <w:jc w:val="center"/>
              <w:rPr>
                <w:rFonts w:ascii="宋体" w:cs="仿宋"/>
                <w:b/>
                <w:color w:val="auto"/>
                <w:sz w:val="22"/>
                <w:szCs w:val="22"/>
                <w:highlight w:val="none"/>
              </w:rPr>
            </w:pPr>
            <w:r>
              <w:rPr>
                <w:rFonts w:hint="eastAsia" w:ascii="宋体" w:hAnsi="宋体" w:cs="仿宋"/>
                <w:b/>
                <w:color w:val="auto"/>
                <w:sz w:val="22"/>
                <w:szCs w:val="22"/>
                <w:highlight w:val="none"/>
              </w:rPr>
              <w:t>备注</w:t>
            </w:r>
          </w:p>
        </w:tc>
      </w:tr>
      <w:tr w14:paraId="5CE27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710BF909">
            <w:pPr>
              <w:spacing w:line="430" w:lineRule="exact"/>
              <w:jc w:val="center"/>
              <w:rPr>
                <w:rFonts w:ascii="宋体" w:cs="仿宋"/>
                <w:color w:val="auto"/>
                <w:sz w:val="22"/>
                <w:szCs w:val="22"/>
                <w:highlight w:val="none"/>
              </w:rPr>
            </w:pPr>
            <w:r>
              <w:rPr>
                <w:rFonts w:ascii="宋体" w:hAnsi="宋体" w:cs="仿宋"/>
                <w:color w:val="auto"/>
                <w:sz w:val="22"/>
                <w:szCs w:val="22"/>
                <w:highlight w:val="none"/>
              </w:rPr>
              <w:t>1</w:t>
            </w:r>
            <w:r>
              <w:rPr>
                <w:rFonts w:hint="eastAsia" w:ascii="宋体" w:hAnsi="宋体" w:cs="仿宋"/>
                <w:color w:val="auto"/>
                <w:sz w:val="22"/>
                <w:szCs w:val="22"/>
                <w:highlight w:val="none"/>
              </w:rPr>
              <w:t>）</w:t>
            </w:r>
          </w:p>
        </w:tc>
        <w:tc>
          <w:tcPr>
            <w:tcW w:w="7513" w:type="dxa"/>
            <w:vAlign w:val="center"/>
          </w:tcPr>
          <w:p w14:paraId="195F2CEC">
            <w:pPr>
              <w:spacing w:line="430" w:lineRule="exact"/>
              <w:rPr>
                <w:rFonts w:ascii="宋体" w:cs="仿宋"/>
                <w:color w:val="auto"/>
                <w:sz w:val="22"/>
                <w:szCs w:val="22"/>
                <w:highlight w:val="none"/>
              </w:rPr>
            </w:pPr>
            <w:r>
              <w:rPr>
                <w:rFonts w:hint="eastAsia" w:ascii="宋体" w:hAnsi="宋体" w:cs="仿宋"/>
                <w:color w:val="auto"/>
                <w:sz w:val="22"/>
                <w:szCs w:val="22"/>
                <w:highlight w:val="none"/>
              </w:rPr>
              <w:t>投标函</w:t>
            </w:r>
          </w:p>
        </w:tc>
        <w:tc>
          <w:tcPr>
            <w:tcW w:w="1524" w:type="dxa"/>
            <w:vAlign w:val="center"/>
          </w:tcPr>
          <w:p w14:paraId="4641CE28">
            <w:pPr>
              <w:spacing w:line="430" w:lineRule="exact"/>
              <w:jc w:val="center"/>
              <w:rPr>
                <w:rFonts w:ascii="宋体" w:cs="hakuyoxingshu7000"/>
                <w:color w:val="auto"/>
                <w:kern w:val="0"/>
                <w:sz w:val="22"/>
                <w:szCs w:val="22"/>
                <w:highlight w:val="none"/>
              </w:rPr>
            </w:pPr>
            <w:r>
              <w:rPr>
                <w:rFonts w:hint="eastAsia" w:ascii="宋体" w:hAnsi="宋体" w:cs="hakuyoxingshu7000"/>
                <w:color w:val="auto"/>
                <w:kern w:val="0"/>
                <w:sz w:val="22"/>
                <w:szCs w:val="22"/>
                <w:highlight w:val="none"/>
              </w:rPr>
              <w:t>附件三</w:t>
            </w:r>
          </w:p>
        </w:tc>
      </w:tr>
      <w:tr w14:paraId="683F1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2D5B0EBB">
            <w:pPr>
              <w:spacing w:line="430" w:lineRule="exact"/>
              <w:jc w:val="center"/>
              <w:rPr>
                <w:rFonts w:ascii="宋体" w:cs="仿宋"/>
                <w:color w:val="auto"/>
                <w:sz w:val="22"/>
                <w:szCs w:val="22"/>
                <w:highlight w:val="none"/>
              </w:rPr>
            </w:pPr>
            <w:r>
              <w:rPr>
                <w:rFonts w:ascii="宋体" w:hAnsi="宋体" w:cs="仿宋"/>
                <w:color w:val="auto"/>
                <w:sz w:val="22"/>
                <w:szCs w:val="22"/>
                <w:highlight w:val="none"/>
              </w:rPr>
              <w:t>2</w:t>
            </w:r>
            <w:r>
              <w:rPr>
                <w:rFonts w:hint="eastAsia" w:ascii="宋体" w:hAnsi="宋体" w:cs="仿宋"/>
                <w:color w:val="auto"/>
                <w:sz w:val="22"/>
                <w:szCs w:val="22"/>
                <w:highlight w:val="none"/>
              </w:rPr>
              <w:t>）</w:t>
            </w:r>
          </w:p>
        </w:tc>
        <w:tc>
          <w:tcPr>
            <w:tcW w:w="7513" w:type="dxa"/>
            <w:vAlign w:val="center"/>
          </w:tcPr>
          <w:p w14:paraId="00057E46">
            <w:pPr>
              <w:spacing w:line="430" w:lineRule="exact"/>
              <w:rPr>
                <w:rFonts w:ascii="宋体" w:cs="仿宋"/>
                <w:color w:val="auto"/>
                <w:sz w:val="22"/>
                <w:szCs w:val="22"/>
                <w:highlight w:val="none"/>
              </w:rPr>
            </w:pPr>
            <w:r>
              <w:rPr>
                <w:rFonts w:hint="eastAsia" w:ascii="宋体" w:hAnsi="宋体" w:cs="仿宋"/>
                <w:color w:val="auto"/>
                <w:sz w:val="22"/>
                <w:szCs w:val="22"/>
                <w:highlight w:val="none"/>
              </w:rPr>
              <w:t>技术规格、商务条款偏离表</w:t>
            </w:r>
          </w:p>
        </w:tc>
        <w:tc>
          <w:tcPr>
            <w:tcW w:w="1524" w:type="dxa"/>
            <w:vAlign w:val="center"/>
          </w:tcPr>
          <w:p w14:paraId="3A5E1454">
            <w:pPr>
              <w:spacing w:line="430" w:lineRule="exact"/>
              <w:jc w:val="center"/>
              <w:rPr>
                <w:rFonts w:ascii="宋体" w:cs="仿宋"/>
                <w:color w:val="auto"/>
                <w:sz w:val="22"/>
                <w:szCs w:val="22"/>
                <w:highlight w:val="none"/>
              </w:rPr>
            </w:pPr>
            <w:r>
              <w:rPr>
                <w:rFonts w:hint="eastAsia" w:ascii="宋体" w:hAnsi="宋体" w:cs="仿宋"/>
                <w:color w:val="auto"/>
                <w:sz w:val="22"/>
                <w:szCs w:val="22"/>
                <w:highlight w:val="none"/>
              </w:rPr>
              <w:t>附件四</w:t>
            </w:r>
          </w:p>
        </w:tc>
      </w:tr>
      <w:tr w14:paraId="6CD5B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3E0A1F77">
            <w:pPr>
              <w:spacing w:line="430" w:lineRule="exact"/>
              <w:jc w:val="center"/>
              <w:rPr>
                <w:rFonts w:ascii="宋体" w:cs="仿宋"/>
                <w:color w:val="auto"/>
                <w:sz w:val="22"/>
                <w:szCs w:val="22"/>
                <w:highlight w:val="none"/>
              </w:rPr>
            </w:pPr>
            <w:r>
              <w:rPr>
                <w:rFonts w:ascii="宋体" w:hAnsi="宋体" w:cs="仿宋"/>
                <w:color w:val="auto"/>
                <w:sz w:val="22"/>
                <w:szCs w:val="22"/>
                <w:highlight w:val="none"/>
              </w:rPr>
              <w:t>3</w:t>
            </w:r>
            <w:r>
              <w:rPr>
                <w:rFonts w:hint="eastAsia" w:ascii="宋体" w:hAnsi="宋体" w:cs="仿宋"/>
                <w:color w:val="auto"/>
                <w:sz w:val="22"/>
                <w:szCs w:val="22"/>
                <w:highlight w:val="none"/>
              </w:rPr>
              <w:t>）</w:t>
            </w:r>
          </w:p>
        </w:tc>
        <w:tc>
          <w:tcPr>
            <w:tcW w:w="7513" w:type="dxa"/>
            <w:vAlign w:val="center"/>
          </w:tcPr>
          <w:p w14:paraId="4AE0B166">
            <w:pPr>
              <w:spacing w:line="430" w:lineRule="exact"/>
              <w:rPr>
                <w:rFonts w:ascii="宋体" w:hAnsi="宋体" w:cs="仿宋"/>
                <w:color w:val="auto"/>
                <w:sz w:val="22"/>
                <w:szCs w:val="22"/>
                <w:highlight w:val="none"/>
              </w:rPr>
            </w:pPr>
            <w:r>
              <w:rPr>
                <w:rFonts w:hint="eastAsia" w:ascii="宋体" w:hAnsi="宋体" w:cs="新宋体"/>
                <w:b/>
                <w:bCs/>
                <w:color w:val="auto"/>
                <w:sz w:val="22"/>
                <w:szCs w:val="22"/>
                <w:highlight w:val="none"/>
              </w:rPr>
              <w:t>投标技术方案（按“评标细则”相关评分内容逐项编制，格式自拟）</w:t>
            </w:r>
          </w:p>
        </w:tc>
        <w:tc>
          <w:tcPr>
            <w:tcW w:w="1524" w:type="dxa"/>
            <w:vAlign w:val="center"/>
          </w:tcPr>
          <w:p w14:paraId="182A7069">
            <w:pPr>
              <w:spacing w:line="430" w:lineRule="exact"/>
              <w:jc w:val="center"/>
              <w:rPr>
                <w:rFonts w:ascii="宋体" w:cs="仿宋"/>
                <w:color w:val="auto"/>
                <w:sz w:val="22"/>
                <w:szCs w:val="22"/>
                <w:highlight w:val="none"/>
              </w:rPr>
            </w:pPr>
          </w:p>
        </w:tc>
      </w:tr>
      <w:tr w14:paraId="04C48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5B088562">
            <w:pPr>
              <w:spacing w:line="430" w:lineRule="exact"/>
              <w:jc w:val="center"/>
              <w:rPr>
                <w:rFonts w:ascii="宋体" w:cs="宋体"/>
                <w:color w:val="auto"/>
                <w:sz w:val="22"/>
                <w:szCs w:val="22"/>
                <w:highlight w:val="none"/>
              </w:rPr>
            </w:pPr>
            <w:r>
              <w:rPr>
                <w:rFonts w:ascii="宋体" w:hAnsi="宋体" w:cs="宋体"/>
                <w:color w:val="auto"/>
                <w:sz w:val="22"/>
                <w:szCs w:val="22"/>
                <w:highlight w:val="none"/>
              </w:rPr>
              <w:t>4</w:t>
            </w:r>
            <w:r>
              <w:rPr>
                <w:rFonts w:hint="eastAsia" w:ascii="宋体" w:hAnsi="宋体" w:cs="宋体"/>
                <w:color w:val="auto"/>
                <w:sz w:val="22"/>
                <w:szCs w:val="22"/>
                <w:highlight w:val="none"/>
              </w:rPr>
              <w:t>）</w:t>
            </w:r>
          </w:p>
        </w:tc>
        <w:tc>
          <w:tcPr>
            <w:tcW w:w="7513" w:type="dxa"/>
            <w:vAlign w:val="center"/>
          </w:tcPr>
          <w:p w14:paraId="6926DC34">
            <w:pPr>
              <w:spacing w:line="430" w:lineRule="exact"/>
              <w:rPr>
                <w:rFonts w:ascii="宋体" w:hAnsi="宋体" w:cs="仿宋"/>
                <w:color w:val="auto"/>
                <w:sz w:val="22"/>
                <w:szCs w:val="22"/>
                <w:highlight w:val="none"/>
              </w:rPr>
            </w:pPr>
            <w:r>
              <w:rPr>
                <w:rFonts w:hint="eastAsia" w:ascii="宋体" w:hAnsi="宋体" w:cs="新宋体"/>
                <w:b/>
                <w:color w:val="auto"/>
                <w:sz w:val="22"/>
                <w:szCs w:val="22"/>
                <w:highlight w:val="none"/>
              </w:rPr>
              <w:t>资信证明文件（本部分为</w:t>
            </w:r>
            <w:r>
              <w:rPr>
                <w:rFonts w:hint="eastAsia" w:ascii="宋体" w:hAnsi="宋体" w:cs="新宋体"/>
                <w:b/>
                <w:bCs/>
                <w:color w:val="auto"/>
                <w:sz w:val="22"/>
                <w:szCs w:val="22"/>
                <w:highlight w:val="none"/>
              </w:rPr>
              <w:t>商务技术文件</w:t>
            </w:r>
            <w:r>
              <w:rPr>
                <w:rFonts w:hint="eastAsia" w:ascii="宋体" w:hAnsi="宋体" w:cs="新宋体"/>
                <w:b/>
                <w:color w:val="auto"/>
                <w:sz w:val="22"/>
                <w:szCs w:val="22"/>
                <w:highlight w:val="none"/>
              </w:rPr>
              <w:t>评分内容，各投标人参照评分标准根据自身情况提供）</w:t>
            </w:r>
          </w:p>
        </w:tc>
        <w:tc>
          <w:tcPr>
            <w:tcW w:w="1524" w:type="dxa"/>
            <w:vAlign w:val="center"/>
          </w:tcPr>
          <w:p w14:paraId="4140F41E">
            <w:pPr>
              <w:spacing w:line="430" w:lineRule="exact"/>
              <w:jc w:val="center"/>
              <w:rPr>
                <w:rFonts w:ascii="宋体" w:cs="宋体"/>
                <w:color w:val="auto"/>
                <w:sz w:val="22"/>
                <w:szCs w:val="22"/>
                <w:highlight w:val="none"/>
              </w:rPr>
            </w:pPr>
          </w:p>
        </w:tc>
      </w:tr>
      <w:tr w14:paraId="47D05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06D80DBF">
            <w:pPr>
              <w:spacing w:line="430" w:lineRule="exact"/>
              <w:jc w:val="center"/>
              <w:rPr>
                <w:rFonts w:ascii="宋体" w:cs="仿宋"/>
                <w:color w:val="auto"/>
                <w:sz w:val="22"/>
                <w:szCs w:val="22"/>
                <w:highlight w:val="none"/>
              </w:rPr>
            </w:pPr>
            <w:r>
              <w:rPr>
                <w:rFonts w:ascii="宋体" w:hAnsi="宋体" w:cs="仿宋"/>
                <w:color w:val="auto"/>
                <w:sz w:val="22"/>
                <w:szCs w:val="22"/>
                <w:highlight w:val="none"/>
              </w:rPr>
              <w:t>5)</w:t>
            </w:r>
          </w:p>
        </w:tc>
        <w:tc>
          <w:tcPr>
            <w:tcW w:w="7513" w:type="dxa"/>
            <w:vAlign w:val="center"/>
          </w:tcPr>
          <w:p w14:paraId="3AA046EC">
            <w:pPr>
              <w:spacing w:line="430" w:lineRule="exact"/>
              <w:rPr>
                <w:rFonts w:ascii="宋体" w:hAnsi="宋体" w:cs="仿宋"/>
                <w:color w:val="auto"/>
                <w:sz w:val="22"/>
                <w:szCs w:val="22"/>
                <w:highlight w:val="none"/>
              </w:rPr>
            </w:pPr>
            <w:r>
              <w:rPr>
                <w:rFonts w:hint="eastAsia" w:ascii="宋体" w:hAnsi="宋体" w:cs="仿宋"/>
                <w:color w:val="auto"/>
                <w:sz w:val="22"/>
                <w:szCs w:val="22"/>
                <w:highlight w:val="none"/>
              </w:rPr>
              <w:t>结合招标文件评分细则投标人认为需要提供的其他技术资料</w:t>
            </w:r>
          </w:p>
        </w:tc>
        <w:tc>
          <w:tcPr>
            <w:tcW w:w="1524" w:type="dxa"/>
            <w:vAlign w:val="center"/>
          </w:tcPr>
          <w:p w14:paraId="17ACC7CA">
            <w:pPr>
              <w:spacing w:line="430" w:lineRule="exact"/>
              <w:jc w:val="center"/>
              <w:rPr>
                <w:rFonts w:ascii="宋体" w:cs="仿宋"/>
                <w:color w:val="auto"/>
                <w:sz w:val="22"/>
                <w:szCs w:val="22"/>
                <w:highlight w:val="none"/>
              </w:rPr>
            </w:pPr>
          </w:p>
        </w:tc>
      </w:tr>
    </w:tbl>
    <w:p w14:paraId="00688FEC">
      <w:pPr>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备注：</w:t>
      </w:r>
    </w:p>
    <w:p w14:paraId="0DAAF68F">
      <w:pPr>
        <w:numPr>
          <w:ilvl w:val="0"/>
          <w:numId w:val="1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投标人可根据招标文件中的采购内容及需求和商务技术文件评分细则，提供投标人认为需要提供的文件和资料。</w:t>
      </w:r>
    </w:p>
    <w:p w14:paraId="0B35BE72">
      <w:pPr>
        <w:numPr>
          <w:ilvl w:val="0"/>
          <w:numId w:val="1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投标文件中应承诺：投标人所提供的技术资料的所有权归采购人所有。如若发生第三方侵权事件，其侵权责任与采购人及采购代理机构无关，由投标人承担全部责任。侵权造成的所有相关费用，均由投标人支付，保证不伤害采购人的利益。</w:t>
      </w:r>
    </w:p>
    <w:p w14:paraId="16BEC1DA">
      <w:pPr>
        <w:numPr>
          <w:ilvl w:val="0"/>
          <w:numId w:val="1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以上所需的各种证书、证件、证明等若系复印件、扫描件，须加盖投标人有效的公章。</w:t>
      </w:r>
    </w:p>
    <w:p w14:paraId="46520FC9">
      <w:pPr>
        <w:numPr>
          <w:ilvl w:val="0"/>
          <w:numId w:val="1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相关证书、报告等如遇年检或换证等特殊情况须按要求提供相应的证明材料。</w:t>
      </w:r>
    </w:p>
    <w:p w14:paraId="0F1EFD12">
      <w:pPr>
        <w:numPr>
          <w:ilvl w:val="0"/>
          <w:numId w:val="10"/>
        </w:numPr>
        <w:tabs>
          <w:tab w:val="left" w:pos="540"/>
          <w:tab w:val="clear" w:pos="420"/>
        </w:tabs>
        <w:spacing w:line="460" w:lineRule="exact"/>
        <w:ind w:left="540" w:hanging="540"/>
        <w:rPr>
          <w:rFonts w:ascii="宋体" w:hAnsi="宋体"/>
          <w:bCs/>
          <w:color w:val="auto"/>
          <w:sz w:val="22"/>
          <w:szCs w:val="22"/>
          <w:highlight w:val="none"/>
        </w:rPr>
      </w:pPr>
      <w:bookmarkStart w:id="94" w:name="_Toc241404202"/>
      <w:bookmarkStart w:id="95" w:name="_Toc249758864"/>
      <w:bookmarkStart w:id="96" w:name="_Toc221374626"/>
      <w:bookmarkStart w:id="97" w:name="_Toc245722281"/>
      <w:bookmarkStart w:id="98" w:name="_Toc221423619"/>
      <w:bookmarkStart w:id="99" w:name="_Toc222114879"/>
      <w:bookmarkStart w:id="100" w:name="_Toc221356887"/>
      <w:bookmarkStart w:id="101" w:name="_Toc246261265"/>
      <w:bookmarkStart w:id="102" w:name="_Toc262105503"/>
      <w:bookmarkStart w:id="103" w:name="_Toc249758712"/>
      <w:bookmarkStart w:id="104" w:name="_Toc223715998"/>
      <w:bookmarkStart w:id="105" w:name="_Toc262049418"/>
      <w:bookmarkStart w:id="106" w:name="_Toc221356951"/>
      <w:bookmarkStart w:id="107" w:name="_Toc239145354"/>
      <w:bookmarkStart w:id="108" w:name="_Toc245191314"/>
      <w:r>
        <w:rPr>
          <w:rFonts w:hint="eastAsia" w:ascii="宋体" w:hAnsi="宋体"/>
          <w:bCs/>
          <w:color w:val="auto"/>
          <w:sz w:val="22"/>
          <w:szCs w:val="22"/>
          <w:highlight w:val="none"/>
        </w:rPr>
        <w:t>投标文件编制</w:t>
      </w:r>
    </w:p>
    <w:p w14:paraId="56FD8ADA">
      <w:pPr>
        <w:numPr>
          <w:ilvl w:val="1"/>
          <w:numId w:val="13"/>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本项目通过“政采云平台（www.zcygov.cn）”实行在线投标响应（电子投标）。投标人应通过“政采云电子交易客户端”，并按照本招标文件和“政采云平台”的要求编制并加密投标文件。</w:t>
      </w:r>
    </w:p>
    <w:p w14:paraId="6CFC1F81">
      <w:pPr>
        <w:numPr>
          <w:ilvl w:val="1"/>
          <w:numId w:val="13"/>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
          <w:color w:val="auto"/>
          <w:sz w:val="22"/>
          <w:szCs w:val="22"/>
          <w:highlight w:val="none"/>
          <w:u w:val="single"/>
        </w:rPr>
        <w:t>▲投标人提供的联系方式（手机号码、联系邮箱、联系地址），均以法定代表人声明书或法定代表人授权委托书上注明的联系方式为准，投标人必须保障其联系方式保持畅通。否则由此造成的后果均有投标人自行承担。</w:t>
      </w:r>
    </w:p>
    <w:p w14:paraId="106F59E1">
      <w:pPr>
        <w:numPr>
          <w:ilvl w:val="1"/>
          <w:numId w:val="13"/>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本招标文件附件部分中有提供格式的，投标人须参照格式进行编制（格式中要求提供相关证明材料的还需后附相关证明材料），并按格式要求在指定位置根据要求进行签章，否则视为未提供；本文件未提供格式的，请各投标单位自行拟定格式，并加盖单位公章并由法定代表人或其授权代表签署（签字或盖章），否则视为未提供。</w:t>
      </w:r>
    </w:p>
    <w:p w14:paraId="3054BED8">
      <w:pPr>
        <w:numPr>
          <w:ilvl w:val="1"/>
          <w:numId w:val="13"/>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投标文件内容不完整、编排混乱导致投标文件被误读、漏读或者查找不到相关内容的，是投标人的责任。</w:t>
      </w:r>
    </w:p>
    <w:p w14:paraId="3FCCFC89">
      <w:pPr>
        <w:numPr>
          <w:ilvl w:val="1"/>
          <w:numId w:val="13"/>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投标文件因字迹潦草或表达不清所引起的后果由投标人负责。</w:t>
      </w:r>
    </w:p>
    <w:p w14:paraId="5C81CEE1">
      <w:pPr>
        <w:numPr>
          <w:ilvl w:val="1"/>
          <w:numId w:val="13"/>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投标人没有按照本章节 “投标文件组成”要求提供全部资料，或者没有仔细阅读招标文件，或者没有对招标文件在各方面的要求作出实质性响应是投标人的风险，由此造成的一切后果由投标人自行承担。</w:t>
      </w:r>
    </w:p>
    <w:p w14:paraId="1EBA210D">
      <w:pPr>
        <w:numPr>
          <w:ilvl w:val="0"/>
          <w:numId w:val="10"/>
        </w:numPr>
        <w:tabs>
          <w:tab w:val="left" w:pos="540"/>
          <w:tab w:val="clear" w:pos="420"/>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投标文件的签章</w:t>
      </w:r>
    </w:p>
    <w:p w14:paraId="2E37863A">
      <w:pPr>
        <w:numPr>
          <w:ilvl w:val="1"/>
          <w:numId w:val="14"/>
        </w:numPr>
        <w:tabs>
          <w:tab w:val="left" w:pos="360"/>
          <w:tab w:val="clear" w:pos="992"/>
        </w:tabs>
        <w:spacing w:line="460" w:lineRule="exact"/>
        <w:ind w:left="640"/>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单位公章：电子投标响应文件中所须加盖公章部分均采用CA电子签章，</w:t>
      </w:r>
      <w:r>
        <w:rPr>
          <w:rFonts w:hint="eastAsia" w:ascii="宋体" w:hAnsi="宋体" w:cs="宋体"/>
          <w:color w:val="auto"/>
          <w:kern w:val="0"/>
          <w:sz w:val="22"/>
          <w:szCs w:val="22"/>
          <w:highlight w:val="none"/>
        </w:rPr>
        <w:t>如供应商以联合体形式参与投标的，由联合体牵头人进行</w:t>
      </w:r>
      <w:r>
        <w:rPr>
          <w:rFonts w:hint="eastAsia" w:ascii="宋体" w:hAnsi="宋体" w:cs="宋体"/>
          <w:color w:val="auto"/>
          <w:kern w:val="0"/>
          <w:sz w:val="22"/>
          <w:szCs w:val="22"/>
          <w:highlight w:val="none"/>
          <w:lang w:val="zh-CN"/>
        </w:rPr>
        <w:t>CA</w:t>
      </w:r>
      <w:r>
        <w:rPr>
          <w:rFonts w:hint="eastAsia" w:ascii="宋体" w:hAnsi="宋体" w:cs="宋体"/>
          <w:color w:val="auto"/>
          <w:kern w:val="0"/>
          <w:sz w:val="22"/>
          <w:szCs w:val="22"/>
          <w:highlight w:val="none"/>
        </w:rPr>
        <w:t>电子签章</w:t>
      </w:r>
      <w:r>
        <w:rPr>
          <w:rFonts w:hint="eastAsia" w:ascii="宋体" w:hAnsi="宋体" w:cs="宋体"/>
          <w:color w:val="auto"/>
          <w:kern w:val="0"/>
          <w:sz w:val="22"/>
          <w:szCs w:val="22"/>
          <w:highlight w:val="none"/>
          <w:lang w:val="zh-CN"/>
        </w:rPr>
        <w:t>；</w:t>
      </w:r>
    </w:p>
    <w:p w14:paraId="657CE079">
      <w:pPr>
        <w:numPr>
          <w:ilvl w:val="1"/>
          <w:numId w:val="14"/>
        </w:numPr>
        <w:tabs>
          <w:tab w:val="left" w:pos="360"/>
          <w:tab w:val="clear" w:pos="992"/>
        </w:tabs>
        <w:spacing w:line="460" w:lineRule="exact"/>
        <w:ind w:left="640"/>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如供应商已办理法人CA电子签章的，投标文件应由投标人法定代表人或其授权代表签章（电子签章），并同时加盖投标人公章（电子签章）；如供应商未办理法人CA电子签章的</w:t>
      </w:r>
      <w:r>
        <w:rPr>
          <w:rFonts w:hint="eastAsia" w:ascii="宋体" w:hAnsi="宋体" w:cs="宋体"/>
          <w:color w:val="auto"/>
          <w:kern w:val="0"/>
          <w:sz w:val="22"/>
          <w:szCs w:val="22"/>
          <w:highlight w:val="none"/>
          <w:lang w:val="zh-CN"/>
        </w:rPr>
        <w:t>，</w:t>
      </w:r>
      <w:r>
        <w:rPr>
          <w:rFonts w:hint="eastAsia" w:ascii="宋体" w:hAnsi="宋体" w:cs="宋体"/>
          <w:color w:val="auto"/>
          <w:kern w:val="0"/>
          <w:sz w:val="22"/>
          <w:szCs w:val="22"/>
          <w:highlight w:val="none"/>
        </w:rPr>
        <w:t>需</w:t>
      </w:r>
      <w:r>
        <w:rPr>
          <w:rFonts w:hint="eastAsia" w:ascii="宋体" w:hAnsi="宋体" w:cs="宋体"/>
          <w:color w:val="auto"/>
          <w:kern w:val="0"/>
          <w:sz w:val="22"/>
          <w:szCs w:val="22"/>
          <w:highlight w:val="none"/>
          <w:lang w:val="zh-CN"/>
        </w:rPr>
        <w:t>先制作word版打印，相应位置签字或盖章后再扫描上传。</w:t>
      </w:r>
    </w:p>
    <w:p w14:paraId="5DB01D43">
      <w:pPr>
        <w:numPr>
          <w:ilvl w:val="1"/>
          <w:numId w:val="14"/>
        </w:numPr>
        <w:tabs>
          <w:tab w:val="left" w:pos="360"/>
          <w:tab w:val="clear" w:pos="992"/>
        </w:tabs>
        <w:spacing w:line="460" w:lineRule="exact"/>
        <w:ind w:left="640"/>
        <w:rPr>
          <w:rFonts w:ascii="宋体" w:hAnsi="宋体" w:cs="宋体"/>
          <w:color w:val="auto"/>
          <w:kern w:val="0"/>
          <w:sz w:val="22"/>
          <w:szCs w:val="22"/>
          <w:highlight w:val="none"/>
        </w:rPr>
      </w:pPr>
      <w:r>
        <w:rPr>
          <w:rFonts w:hint="eastAsia" w:ascii="宋体" w:hAnsi="宋体" w:cs="宋体"/>
          <w:color w:val="auto"/>
          <w:kern w:val="0"/>
          <w:sz w:val="22"/>
          <w:szCs w:val="22"/>
          <w:highlight w:val="none"/>
          <w:lang w:val="zh-CN"/>
        </w:rPr>
        <w:t>政采云系统平台有新的操作流程的，按其规定。</w:t>
      </w:r>
    </w:p>
    <w:p w14:paraId="1B8CE510">
      <w:pPr>
        <w:numPr>
          <w:ilvl w:val="0"/>
          <w:numId w:val="10"/>
        </w:numPr>
        <w:tabs>
          <w:tab w:val="left" w:pos="540"/>
          <w:tab w:val="clear" w:pos="420"/>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投标文件的形式</w:t>
      </w:r>
    </w:p>
    <w:p w14:paraId="20BEC2B3">
      <w:pPr>
        <w:numPr>
          <w:ilvl w:val="1"/>
          <w:numId w:val="15"/>
        </w:numPr>
        <w:tabs>
          <w:tab w:val="left" w:pos="360"/>
          <w:tab w:val="left" w:pos="640"/>
          <w:tab w:val="clear" w:pos="992"/>
        </w:tabs>
        <w:spacing w:line="460" w:lineRule="exact"/>
        <w:ind w:left="640"/>
        <w:rPr>
          <w:rFonts w:ascii="宋体" w:hAnsi="宋体" w:cs="Arial"/>
          <w:color w:val="auto"/>
          <w:sz w:val="22"/>
          <w:szCs w:val="22"/>
          <w:highlight w:val="none"/>
          <w:lang w:val="zh-CN"/>
        </w:rPr>
      </w:pPr>
      <w:r>
        <w:rPr>
          <w:rFonts w:hint="eastAsia" w:ascii="宋体" w:hAnsi="宋体" w:cs="Arial"/>
          <w:color w:val="auto"/>
          <w:sz w:val="22"/>
          <w:szCs w:val="22"/>
          <w:highlight w:val="none"/>
          <w:lang w:val="zh-CN"/>
        </w:rPr>
        <w:t>“电子响应文件”是指通过“政采云电子交易客户端”完成投标响应文件编制后生成并加密的数据电文形式的</w:t>
      </w:r>
      <w:r>
        <w:rPr>
          <w:rFonts w:hint="eastAsia" w:ascii="宋体" w:hAnsi="宋体" w:cs="Arial"/>
          <w:color w:val="auto"/>
          <w:sz w:val="22"/>
          <w:szCs w:val="22"/>
          <w:highlight w:val="none"/>
        </w:rPr>
        <w:t>加密标书,加密标书文件后缀格式为.jmbs</w:t>
      </w:r>
      <w:r>
        <w:rPr>
          <w:rFonts w:hint="eastAsia" w:ascii="宋体" w:hAnsi="宋体" w:cs="Arial"/>
          <w:color w:val="auto"/>
          <w:sz w:val="22"/>
          <w:szCs w:val="22"/>
          <w:highlight w:val="none"/>
          <w:lang w:val="zh-CN"/>
        </w:rPr>
        <w:t>。</w:t>
      </w:r>
    </w:p>
    <w:p w14:paraId="58B8B134">
      <w:pPr>
        <w:numPr>
          <w:ilvl w:val="1"/>
          <w:numId w:val="15"/>
        </w:numPr>
        <w:tabs>
          <w:tab w:val="left" w:pos="360"/>
          <w:tab w:val="left" w:pos="64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lang w:val="zh-CN"/>
        </w:rPr>
        <w:t>“备份响应文件”是指与“</w:t>
      </w:r>
      <w:r>
        <w:rPr>
          <w:rFonts w:hint="eastAsia" w:ascii="宋体" w:hAnsi="宋体" w:cs="Arial"/>
          <w:color w:val="auto"/>
          <w:sz w:val="22"/>
          <w:szCs w:val="22"/>
          <w:highlight w:val="none"/>
        </w:rPr>
        <w:t>加密标书</w:t>
      </w:r>
      <w:r>
        <w:rPr>
          <w:rFonts w:hint="eastAsia" w:ascii="宋体" w:hAnsi="宋体" w:cs="Arial"/>
          <w:color w:val="auto"/>
          <w:sz w:val="22"/>
          <w:szCs w:val="22"/>
          <w:highlight w:val="none"/>
          <w:lang w:val="zh-CN"/>
        </w:rPr>
        <w:t>”同时生成的数据电文形式的电子文件（备份标书），备份标书文件后缀格式为.bfbs</w:t>
      </w:r>
      <w:r>
        <w:rPr>
          <w:rFonts w:hint="eastAsia" w:ascii="宋体" w:hAnsi="宋体" w:cs="Arial"/>
          <w:color w:val="auto"/>
          <w:sz w:val="22"/>
          <w:szCs w:val="22"/>
          <w:highlight w:val="none"/>
        </w:rPr>
        <w:t>,</w:t>
      </w:r>
      <w:r>
        <w:rPr>
          <w:rFonts w:hint="eastAsia" w:ascii="宋体" w:hAnsi="宋体" w:cs="Arial"/>
          <w:color w:val="auto"/>
          <w:sz w:val="22"/>
          <w:szCs w:val="22"/>
          <w:highlight w:val="none"/>
          <w:lang w:val="zh-CN"/>
        </w:rPr>
        <w:t>其他方式编制的备份响应文件视为无效备份响应文件。</w:t>
      </w:r>
    </w:p>
    <w:p w14:paraId="4F2F4A1C">
      <w:pPr>
        <w:numPr>
          <w:ilvl w:val="0"/>
          <w:numId w:val="10"/>
        </w:numPr>
        <w:tabs>
          <w:tab w:val="left" w:pos="540"/>
          <w:tab w:val="clear" w:pos="420"/>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政采云系统默认投标人自动放弃的情形</w:t>
      </w:r>
    </w:p>
    <w:p w14:paraId="5A54D161">
      <w:pPr>
        <w:numPr>
          <w:ilvl w:val="1"/>
          <w:numId w:val="16"/>
        </w:numPr>
        <w:tabs>
          <w:tab w:val="left" w:pos="360"/>
          <w:tab w:val="left" w:pos="640"/>
          <w:tab w:val="clear" w:pos="992"/>
        </w:tabs>
        <w:spacing w:line="460" w:lineRule="exact"/>
        <w:ind w:left="640"/>
        <w:rPr>
          <w:rFonts w:ascii="宋体" w:hAnsi="宋体" w:cs="Arial"/>
          <w:color w:val="auto"/>
          <w:sz w:val="22"/>
          <w:szCs w:val="22"/>
          <w:highlight w:val="none"/>
          <w:lang w:val="zh-CN"/>
        </w:rPr>
      </w:pPr>
      <w:r>
        <w:rPr>
          <w:rFonts w:hint="eastAsia" w:ascii="宋体" w:hAnsi="宋体" w:cs="Arial"/>
          <w:color w:val="auto"/>
          <w:sz w:val="22"/>
          <w:szCs w:val="22"/>
          <w:highlight w:val="none"/>
          <w:lang w:val="zh-CN"/>
        </w:rPr>
        <w:t>供应商未按规定上传电子响应文件的；</w:t>
      </w:r>
    </w:p>
    <w:p w14:paraId="2210AA29">
      <w:pPr>
        <w:numPr>
          <w:ilvl w:val="1"/>
          <w:numId w:val="16"/>
        </w:numPr>
        <w:tabs>
          <w:tab w:val="left" w:pos="360"/>
          <w:tab w:val="left" w:pos="640"/>
          <w:tab w:val="clear" w:pos="992"/>
        </w:tabs>
        <w:spacing w:line="460" w:lineRule="exact"/>
        <w:ind w:left="640"/>
        <w:rPr>
          <w:rFonts w:ascii="宋体" w:hAnsi="宋体" w:cs="Arial"/>
          <w:color w:val="auto"/>
          <w:sz w:val="22"/>
          <w:szCs w:val="22"/>
          <w:highlight w:val="none"/>
          <w:lang w:val="zh-CN"/>
        </w:rPr>
      </w:pPr>
      <w:r>
        <w:rPr>
          <w:rFonts w:hint="eastAsia" w:ascii="宋体" w:hAnsi="宋体" w:cs="Arial"/>
          <w:color w:val="auto"/>
          <w:sz w:val="22"/>
          <w:szCs w:val="22"/>
          <w:highlight w:val="none"/>
          <w:lang w:val="zh-CN"/>
        </w:rPr>
        <w:t>在解密期限内供应商电子响应文件解密失败，且经异常处理后政采云电子交易系统仍未能解决的。</w:t>
      </w:r>
    </w:p>
    <w:p w14:paraId="77797E11">
      <w:pPr>
        <w:numPr>
          <w:ilvl w:val="0"/>
          <w:numId w:val="10"/>
        </w:numPr>
        <w:tabs>
          <w:tab w:val="left" w:pos="540"/>
          <w:tab w:val="clear" w:pos="420"/>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投标报价</w:t>
      </w:r>
    </w:p>
    <w:p w14:paraId="15819774">
      <w:pPr>
        <w:numPr>
          <w:ilvl w:val="1"/>
          <w:numId w:val="17"/>
        </w:numPr>
        <w:tabs>
          <w:tab w:val="left" w:pos="360"/>
          <w:tab w:val="clear" w:pos="992"/>
        </w:tabs>
        <w:spacing w:line="460" w:lineRule="exact"/>
        <w:ind w:left="640"/>
        <w:rPr>
          <w:rFonts w:ascii="宋体" w:hAnsi="宋体" w:cs="Arial"/>
          <w:b/>
          <w:bCs/>
          <w:color w:val="auto"/>
          <w:sz w:val="22"/>
          <w:szCs w:val="22"/>
          <w:highlight w:val="none"/>
          <w:u w:val="single"/>
        </w:rPr>
      </w:pPr>
      <w:r>
        <w:rPr>
          <w:rFonts w:hint="eastAsia" w:ascii="宋体" w:hAnsi="宋体"/>
          <w:color w:val="auto"/>
          <w:sz w:val="22"/>
          <w:szCs w:val="22"/>
          <w:highlight w:val="none"/>
        </w:rPr>
        <w:t>投标报价是指中标投标人在正确地完全履行合同义务后甲方应支付给乙方的价款。</w:t>
      </w:r>
      <w:r>
        <w:rPr>
          <w:rFonts w:hint="eastAsia" w:ascii="宋体" w:hAnsi="宋体"/>
          <w:b/>
          <w:bCs/>
          <w:color w:val="auto"/>
          <w:sz w:val="22"/>
          <w:szCs w:val="22"/>
          <w:highlight w:val="none"/>
        </w:rPr>
        <w:t>即系统软件平台的设计、开发、调试、运行、维护/升级费用、税金、完成本项目所需的人工费以及招标代理服务费等全部费用，实行固定费用总包干，投标人应根据上述因素自行考虑含入投标总价。</w:t>
      </w:r>
    </w:p>
    <w:p w14:paraId="78BF2F21">
      <w:pPr>
        <w:numPr>
          <w:ilvl w:val="1"/>
          <w:numId w:val="1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投标人须认真阅读、充分理解招标文件，如有疑问可在询疑截止时间前送达（或传真）招标代理机构，招标代理机构将会统一解答。任何因对本项目招标文件理解不清、产生歧义等由此产生的费用，视作以含在投标总价中。</w:t>
      </w:r>
    </w:p>
    <w:p w14:paraId="014E39E2">
      <w:pPr>
        <w:numPr>
          <w:ilvl w:val="1"/>
          <w:numId w:val="1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投标人必须按招标文件规定的开标一览表（统一格式）、投标分项报价表（统一格式）的内容填写单价、合价及其他事项，并由法定代表人或授权代表签署。</w:t>
      </w:r>
    </w:p>
    <w:p w14:paraId="4B0EA2D0">
      <w:pPr>
        <w:numPr>
          <w:ilvl w:val="1"/>
          <w:numId w:val="1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所有投标报价均以人民币报价。</w:t>
      </w:r>
    </w:p>
    <w:p w14:paraId="795EBB02">
      <w:pPr>
        <w:numPr>
          <w:ilvl w:val="1"/>
          <w:numId w:val="1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采购人不接受任何选择报价，对每一项货物/服务只允许一个报价。</w:t>
      </w:r>
    </w:p>
    <w:p w14:paraId="4A37EF4A">
      <w:pPr>
        <w:numPr>
          <w:ilvl w:val="1"/>
          <w:numId w:val="1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采购人要求分类报价是为了方便评标，但在任何情况下不限制采购人以其认为最合适的条款、条件签订合同的权利。</w:t>
      </w:r>
    </w:p>
    <w:p w14:paraId="268AE4BE">
      <w:pPr>
        <w:numPr>
          <w:ilvl w:val="1"/>
          <w:numId w:val="1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报价是成交的一个重要因素，但最低报价不是成交的唯一依据。</w:t>
      </w:r>
    </w:p>
    <w:p w14:paraId="682EEC44">
      <w:pPr>
        <w:numPr>
          <w:ilvl w:val="0"/>
          <w:numId w:val="10"/>
        </w:numPr>
        <w:tabs>
          <w:tab w:val="left" w:pos="540"/>
          <w:tab w:val="clear" w:pos="420"/>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投标人如发生下列情况之一，将上报同级政府采购监督管理部门，追究其责任：</w:t>
      </w:r>
    </w:p>
    <w:p w14:paraId="248416A3">
      <w:pPr>
        <w:numPr>
          <w:ilvl w:val="0"/>
          <w:numId w:val="18"/>
        </w:numPr>
        <w:tabs>
          <w:tab w:val="left" w:pos="360"/>
          <w:tab w:val="clear" w:pos="420"/>
        </w:tabs>
        <w:spacing w:line="44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投标人在招标文件规定的投标有效期内撤回投标；</w:t>
      </w:r>
    </w:p>
    <w:p w14:paraId="10FA76C3">
      <w:pPr>
        <w:numPr>
          <w:ilvl w:val="0"/>
          <w:numId w:val="18"/>
        </w:numPr>
        <w:tabs>
          <w:tab w:val="left" w:pos="360"/>
          <w:tab w:val="clear" w:pos="420"/>
        </w:tabs>
        <w:spacing w:line="44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中标人未按中标通知书中规定的时间与采购人签订合同；</w:t>
      </w:r>
    </w:p>
    <w:p w14:paraId="719ADA48">
      <w:pPr>
        <w:numPr>
          <w:ilvl w:val="0"/>
          <w:numId w:val="18"/>
        </w:numPr>
        <w:tabs>
          <w:tab w:val="left" w:pos="360"/>
          <w:tab w:val="clear" w:pos="420"/>
        </w:tabs>
        <w:spacing w:line="44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投标人在招标文件中提供虚假技术指标及参数，经评标委员会确认属实的。</w:t>
      </w:r>
    </w:p>
    <w:p w14:paraId="4CFFA301">
      <w:pPr>
        <w:numPr>
          <w:ilvl w:val="0"/>
          <w:numId w:val="18"/>
        </w:numPr>
        <w:tabs>
          <w:tab w:val="left" w:pos="360"/>
          <w:tab w:val="clear" w:pos="420"/>
        </w:tabs>
        <w:spacing w:line="44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经同级政府采购监督管理部门审查认定投标人有违反《中华人民共和国政府采购法》等有关法律法规的行为。</w:t>
      </w:r>
    </w:p>
    <w:p w14:paraId="384D80FA">
      <w:pPr>
        <w:numPr>
          <w:ilvl w:val="0"/>
          <w:numId w:val="10"/>
        </w:numPr>
        <w:tabs>
          <w:tab w:val="left" w:pos="540"/>
          <w:tab w:val="clear" w:pos="420"/>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投标有效期</w:t>
      </w:r>
    </w:p>
    <w:p w14:paraId="1A671DA6">
      <w:pPr>
        <w:numPr>
          <w:ilvl w:val="1"/>
          <w:numId w:val="19"/>
        </w:numPr>
        <w:tabs>
          <w:tab w:val="left" w:pos="360"/>
          <w:tab w:val="clear" w:pos="992"/>
        </w:tabs>
        <w:spacing w:line="460" w:lineRule="exact"/>
        <w:ind w:left="420"/>
        <w:rPr>
          <w:rFonts w:ascii="宋体" w:hAnsi="宋体" w:cs="Arial"/>
          <w:color w:val="auto"/>
          <w:sz w:val="22"/>
          <w:szCs w:val="22"/>
          <w:highlight w:val="none"/>
        </w:rPr>
      </w:pPr>
      <w:r>
        <w:rPr>
          <w:rFonts w:hint="eastAsia" w:ascii="宋体" w:hAnsi="宋体" w:cs="Arial"/>
          <w:color w:val="auto"/>
          <w:sz w:val="22"/>
          <w:szCs w:val="22"/>
          <w:highlight w:val="none"/>
        </w:rPr>
        <w:t>自开标之日起 90天内投标应保持有效。投标有效期短于这个规定期限的投标将视为非响应性投标而予以拒绝。</w:t>
      </w:r>
    </w:p>
    <w:p w14:paraId="677F564B">
      <w:pPr>
        <w:numPr>
          <w:ilvl w:val="1"/>
          <w:numId w:val="19"/>
        </w:numPr>
        <w:tabs>
          <w:tab w:val="left" w:pos="360"/>
          <w:tab w:val="clear" w:pos="992"/>
        </w:tabs>
        <w:spacing w:line="460" w:lineRule="exact"/>
        <w:ind w:left="420"/>
        <w:rPr>
          <w:rFonts w:ascii="宋体" w:hAnsi="宋体" w:cs="Arial"/>
          <w:color w:val="auto"/>
          <w:sz w:val="22"/>
          <w:szCs w:val="22"/>
          <w:highlight w:val="none"/>
        </w:rPr>
      </w:pPr>
      <w:r>
        <w:rPr>
          <w:rFonts w:hint="eastAsia" w:ascii="宋体" w:hAnsi="宋体" w:cs="Arial"/>
          <w:color w:val="auto"/>
          <w:sz w:val="22"/>
          <w:szCs w:val="22"/>
          <w:highlight w:val="none"/>
        </w:rPr>
        <w:t>特殊情况下，在原投标有效期截止前，采购人可与投标人协商延长投标有效期，这种要求和答复均以书面形式进行。投标人可拒绝接受延期要求。同意延长投标有效期的投标人不得修改投标文件。</w:t>
      </w:r>
    </w:p>
    <w:p w14:paraId="44901F95">
      <w:pPr>
        <w:spacing w:before="100" w:beforeAutospacing="1" w:after="100" w:afterAutospacing="1" w:line="440" w:lineRule="exact"/>
        <w:ind w:left="783" w:hanging="783" w:hangingChars="300"/>
        <w:jc w:val="center"/>
        <w:outlineLvl w:val="0"/>
        <w:rPr>
          <w:rFonts w:ascii="宋体" w:hAnsi="宋体"/>
          <w:color w:val="auto"/>
          <w:sz w:val="22"/>
          <w:szCs w:val="22"/>
          <w:highlight w:val="none"/>
        </w:rPr>
      </w:pPr>
      <w:bookmarkStart w:id="109" w:name="_Toc23764"/>
      <w:r>
        <w:rPr>
          <w:rFonts w:hint="eastAsia" w:ascii="宋体" w:hAnsi="宋体"/>
          <w:b/>
          <w:bCs/>
          <w:color w:val="auto"/>
          <w:sz w:val="26"/>
          <w:szCs w:val="26"/>
          <w:highlight w:val="none"/>
        </w:rPr>
        <w:t>五、 投标文件的递交</w:t>
      </w:r>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p>
    <w:p w14:paraId="25914916">
      <w:pPr>
        <w:numPr>
          <w:ilvl w:val="0"/>
          <w:numId w:val="20"/>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投标文件的递交</w:t>
      </w:r>
    </w:p>
    <w:p w14:paraId="79BEDAEF">
      <w:pPr>
        <w:numPr>
          <w:ilvl w:val="1"/>
          <w:numId w:val="21"/>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“电子响应文件”的上传、递交，具体详见《政府采购项目电子交易管理操作指南-供应商》（供应商自行去政采云系统上进行下载）：</w:t>
      </w:r>
    </w:p>
    <w:p w14:paraId="6CD09762">
      <w:pPr>
        <w:pStyle w:val="26"/>
        <w:numPr>
          <w:ilvl w:val="0"/>
          <w:numId w:val="22"/>
        </w:numPr>
        <w:autoSpaceDE w:val="0"/>
        <w:autoSpaceDN w:val="0"/>
        <w:adjustRightInd w:val="0"/>
        <w:spacing w:after="0" w:line="400" w:lineRule="exact"/>
        <w:ind w:left="218" w:leftChars="104" w:firstLine="0" w:firstLineChars="0"/>
        <w:jc w:val="left"/>
        <w:rPr>
          <w:rFonts w:ascii="宋体" w:hAnsi="宋体" w:cs="宋体"/>
          <w:color w:val="auto"/>
          <w:sz w:val="22"/>
          <w:szCs w:val="22"/>
          <w:highlight w:val="none"/>
        </w:rPr>
      </w:pPr>
      <w:r>
        <w:rPr>
          <w:rFonts w:hint="eastAsia" w:ascii="宋体" w:hAnsi="宋体" w:cs="宋体"/>
          <w:color w:val="auto"/>
          <w:sz w:val="22"/>
          <w:szCs w:val="22"/>
          <w:highlight w:val="none"/>
        </w:rPr>
        <w:t>电子响应文件制作完成并生成加密标书，在投标响应截止时间前，供应商需将加密的响应文件上传至政采云平台，接到解密通知后，解密投标响应文件。</w:t>
      </w:r>
    </w:p>
    <w:p w14:paraId="2896C0BE">
      <w:pPr>
        <w:pStyle w:val="26"/>
        <w:numPr>
          <w:ilvl w:val="0"/>
          <w:numId w:val="22"/>
        </w:numPr>
        <w:autoSpaceDE w:val="0"/>
        <w:autoSpaceDN w:val="0"/>
        <w:adjustRightInd w:val="0"/>
        <w:spacing w:after="0" w:line="400" w:lineRule="exact"/>
        <w:ind w:left="218" w:leftChars="104" w:firstLine="0" w:firstLineChars="0"/>
        <w:jc w:val="left"/>
        <w:rPr>
          <w:rFonts w:ascii="宋体" w:hAnsi="宋体" w:cs="宋体"/>
          <w:color w:val="auto"/>
          <w:sz w:val="22"/>
          <w:szCs w:val="22"/>
          <w:highlight w:val="none"/>
        </w:rPr>
      </w:pPr>
      <w:r>
        <w:rPr>
          <w:rFonts w:hint="eastAsia" w:ascii="宋体" w:hAnsi="宋体" w:cs="宋体"/>
          <w:color w:val="auto"/>
          <w:sz w:val="22"/>
          <w:szCs w:val="22"/>
          <w:highlight w:val="none"/>
        </w:rPr>
        <w:t>电子响应文件上传成功后，在“投标响应文件上传-进行中”标签页下，显示状态为“已上传”。可在此处下载打印投标回执；在投标响应截止时间前，供应商可撤回投标响应文件，修改内容。</w:t>
      </w:r>
    </w:p>
    <w:p w14:paraId="1020BD67">
      <w:pPr>
        <w:numPr>
          <w:ilvl w:val="1"/>
          <w:numId w:val="21"/>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 xml:space="preserve"> “备份响应文件”的递交：</w:t>
      </w:r>
    </w:p>
    <w:p w14:paraId="3DE74B20">
      <w:pPr>
        <w:pStyle w:val="26"/>
        <w:numPr>
          <w:ilvl w:val="0"/>
          <w:numId w:val="23"/>
        </w:numPr>
        <w:autoSpaceDE w:val="0"/>
        <w:autoSpaceDN w:val="0"/>
        <w:adjustRightInd w:val="0"/>
        <w:spacing w:after="0" w:line="400" w:lineRule="exact"/>
        <w:ind w:left="218" w:leftChars="104" w:firstLine="0" w:firstLineChars="0"/>
        <w:jc w:val="left"/>
        <w:rPr>
          <w:rFonts w:ascii="宋体" w:hAnsi="宋体" w:cs="宋体"/>
          <w:color w:val="auto"/>
          <w:sz w:val="22"/>
          <w:szCs w:val="22"/>
          <w:highlight w:val="none"/>
        </w:rPr>
      </w:pPr>
      <w:r>
        <w:rPr>
          <w:rFonts w:hint="eastAsia" w:ascii="宋体" w:hAnsi="宋体" w:cs="宋体"/>
          <w:color w:val="auto"/>
          <w:sz w:val="22"/>
          <w:szCs w:val="22"/>
          <w:highlight w:val="none"/>
        </w:rPr>
        <w:t>备份响应文件的递交：</w:t>
      </w:r>
      <w:r>
        <w:rPr>
          <w:color w:val="auto"/>
          <w:highlight w:val="none"/>
        </w:rPr>
        <w:fldChar w:fldCharType="begin"/>
      </w:r>
      <w:r>
        <w:rPr>
          <w:color w:val="auto"/>
          <w:highlight w:val="none"/>
        </w:rPr>
        <w:instrText xml:space="preserve"> HYPERLINK "mailto:供应商在制作电子标书时，标书生成后有两份，一份为加密标书（用于供应商投标上传），一份为备份标书，其中加密标书文件后缀格式为.jmbs；备份标书文件后缀格式为.bfbs；供应商在系统里上传好加密标书后，应在投标截止时间前将备份标书发送至代理机构邮箱471870577@qq.com。" </w:instrText>
      </w:r>
      <w:r>
        <w:rPr>
          <w:color w:val="auto"/>
          <w:highlight w:val="none"/>
        </w:rPr>
        <w:fldChar w:fldCharType="separate"/>
      </w:r>
      <w:r>
        <w:rPr>
          <w:rFonts w:hint="eastAsia" w:ascii="宋体" w:hAnsi="宋体" w:cs="宋体"/>
          <w:color w:val="auto"/>
          <w:sz w:val="22"/>
          <w:szCs w:val="22"/>
          <w:highlight w:val="none"/>
        </w:rPr>
        <w:t>供应商在系统里上传好加密标书后，可以（建议）在投标响应截止时间前将系统生成的备份标书（后缀格式为.bfbs）以电子邮件形式传送至采购代理机构邮箱</w:t>
      </w:r>
      <w:r>
        <w:rPr>
          <w:rFonts w:hint="eastAsia" w:ascii="宋体" w:hAnsi="宋体" w:cs="宋体"/>
          <w:b w:val="0"/>
          <w:bCs/>
          <w:color w:val="auto"/>
          <w:sz w:val="22"/>
          <w:szCs w:val="22"/>
          <w:highlight w:val="none"/>
          <w:u w:val="none"/>
          <w:lang w:val="en-US" w:eastAsia="zh-CN"/>
        </w:rPr>
        <w:t>214545399@qq.com</w:t>
      </w:r>
      <w:r>
        <w:rPr>
          <w:rFonts w:hint="eastAsia" w:ascii="宋体" w:hAnsi="宋体" w:cs="宋体"/>
          <w:color w:val="auto"/>
          <w:sz w:val="22"/>
          <w:szCs w:val="22"/>
          <w:highlight w:val="none"/>
        </w:rPr>
        <w:t>，</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t>传送的备份标书需打包压缩并加密，加密密码由供应商自行保管。</w:t>
      </w:r>
    </w:p>
    <w:p w14:paraId="08A2AA83">
      <w:pPr>
        <w:pStyle w:val="26"/>
        <w:numPr>
          <w:ilvl w:val="0"/>
          <w:numId w:val="23"/>
        </w:numPr>
        <w:autoSpaceDE w:val="0"/>
        <w:autoSpaceDN w:val="0"/>
        <w:adjustRightInd w:val="0"/>
        <w:spacing w:after="0" w:line="400" w:lineRule="exact"/>
        <w:ind w:left="218" w:leftChars="104" w:firstLine="0" w:firstLineChars="0"/>
        <w:jc w:val="left"/>
        <w:rPr>
          <w:rFonts w:ascii="宋体" w:hAnsi="宋体" w:cs="宋体"/>
          <w:color w:val="auto"/>
          <w:sz w:val="22"/>
          <w:szCs w:val="22"/>
          <w:highlight w:val="none"/>
        </w:rPr>
      </w:pPr>
      <w:r>
        <w:rPr>
          <w:rFonts w:hint="eastAsia" w:ascii="宋体" w:hAnsi="宋体" w:cs="宋体"/>
          <w:color w:val="auto"/>
          <w:sz w:val="22"/>
          <w:szCs w:val="22"/>
          <w:highlight w:val="none"/>
        </w:rPr>
        <w:t>通过“政府采购云平台”上传递交的“电子响应文件”无法按时解密，供应商递交了备份响应文件的，以备份响应文件为依据，否则视为响应文件撤回。 通过“政府采购云平台”上传递交的“电子响应文件”已按时解密的，“备份响应文件”自动失效。供应商仅递交备份响应文件的，投标无效；</w:t>
      </w:r>
    </w:p>
    <w:p w14:paraId="0B8E12E0">
      <w:pPr>
        <w:numPr>
          <w:ilvl w:val="1"/>
          <w:numId w:val="21"/>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 xml:space="preserve"> 供应商需保证上传的电子响应文件与提交的备份响应文件必须同时生成且内容完全一致；。</w:t>
      </w:r>
    </w:p>
    <w:p w14:paraId="44580FFA">
      <w:pPr>
        <w:numPr>
          <w:ilvl w:val="0"/>
          <w:numId w:val="20"/>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“电子加密投标文件”解密和异常情况处理。</w:t>
      </w:r>
    </w:p>
    <w:p w14:paraId="34CF19A8">
      <w:pPr>
        <w:numPr>
          <w:ilvl w:val="1"/>
          <w:numId w:val="24"/>
        </w:numPr>
        <w:tabs>
          <w:tab w:val="left" w:pos="360"/>
          <w:tab w:val="clear" w:pos="992"/>
        </w:tabs>
        <w:spacing w:line="460" w:lineRule="exact"/>
        <w:ind w:left="640"/>
        <w:rPr>
          <w:rFonts w:ascii="宋体" w:hAnsi="宋体" w:cs="Arial"/>
          <w:color w:val="auto"/>
          <w:sz w:val="22"/>
          <w:szCs w:val="22"/>
          <w:highlight w:val="none"/>
          <w:lang w:val="zh-CN"/>
        </w:rPr>
      </w:pPr>
      <w:r>
        <w:rPr>
          <w:rFonts w:hint="eastAsia" w:ascii="宋体" w:hAnsi="宋体" w:cs="Arial"/>
          <w:color w:val="auto"/>
          <w:sz w:val="22"/>
          <w:szCs w:val="22"/>
          <w:highlight w:val="none"/>
          <w:lang w:val="zh-CN"/>
        </w:rPr>
        <w:t>投标</w:t>
      </w:r>
      <w:r>
        <w:rPr>
          <w:rFonts w:hint="eastAsia" w:ascii="宋体" w:hAnsi="宋体" w:cs="Arial"/>
          <w:color w:val="auto"/>
          <w:sz w:val="22"/>
          <w:szCs w:val="22"/>
          <w:highlight w:val="none"/>
        </w:rPr>
        <w:t>响应</w:t>
      </w:r>
      <w:r>
        <w:rPr>
          <w:rFonts w:hint="eastAsia" w:ascii="宋体" w:hAnsi="宋体" w:cs="Arial"/>
          <w:color w:val="auto"/>
          <w:sz w:val="22"/>
          <w:szCs w:val="22"/>
          <w:highlight w:val="none"/>
          <w:lang w:val="zh-CN"/>
        </w:rPr>
        <w:t>截止时间后，采购组织机构将向各供应商发出解密通知，各供应商代表应当在接到解密通知后登录政采云平台，对电子响应文件进行在线解密（解密</w:t>
      </w:r>
      <w:r>
        <w:rPr>
          <w:rFonts w:hint="eastAsia" w:ascii="宋体" w:hAnsi="宋体" w:cs="Arial"/>
          <w:color w:val="auto"/>
          <w:sz w:val="22"/>
          <w:szCs w:val="22"/>
          <w:highlight w:val="none"/>
        </w:rPr>
        <w:t>电子响应</w:t>
      </w:r>
      <w:r>
        <w:rPr>
          <w:rFonts w:hint="eastAsia" w:ascii="宋体" w:hAnsi="宋体" w:cs="Arial"/>
          <w:color w:val="auto"/>
          <w:sz w:val="22"/>
          <w:szCs w:val="22"/>
          <w:highlight w:val="none"/>
          <w:lang w:val="zh-CN"/>
        </w:rPr>
        <w:t>文件必须插入CA），在线解密电子响应文件时间为接到解密通知后</w:t>
      </w:r>
      <w:r>
        <w:rPr>
          <w:rFonts w:hint="eastAsia" w:ascii="宋体" w:hAnsi="宋体" w:cs="Arial"/>
          <w:color w:val="auto"/>
          <w:sz w:val="22"/>
          <w:szCs w:val="22"/>
          <w:highlight w:val="none"/>
        </w:rPr>
        <w:t>3</w:t>
      </w:r>
      <w:r>
        <w:rPr>
          <w:rFonts w:hint="eastAsia" w:ascii="宋体" w:hAnsi="宋体" w:cs="Arial"/>
          <w:color w:val="auto"/>
          <w:sz w:val="22"/>
          <w:szCs w:val="22"/>
          <w:highlight w:val="none"/>
          <w:lang w:val="zh-CN"/>
        </w:rPr>
        <w:t>0分钟内。</w:t>
      </w:r>
    </w:p>
    <w:p w14:paraId="523325CA">
      <w:pPr>
        <w:numPr>
          <w:ilvl w:val="1"/>
          <w:numId w:val="24"/>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lang w:val="zh-CN"/>
        </w:rPr>
        <w:t>异常处理</w:t>
      </w:r>
      <w:r>
        <w:rPr>
          <w:rFonts w:hint="eastAsia" w:ascii="宋体" w:hAnsi="宋体" w:cs="Arial"/>
          <w:color w:val="auto"/>
          <w:sz w:val="22"/>
          <w:szCs w:val="22"/>
          <w:highlight w:val="none"/>
        </w:rPr>
        <w:t>：</w:t>
      </w:r>
      <w:r>
        <w:rPr>
          <w:rFonts w:hint="eastAsia" w:ascii="宋体" w:hAnsi="宋体" w:cs="Arial"/>
          <w:color w:val="auto"/>
          <w:sz w:val="22"/>
          <w:szCs w:val="22"/>
          <w:highlight w:val="none"/>
          <w:lang w:val="zh-CN"/>
        </w:rPr>
        <w:t>如政采云上电子响应文件出现解密失败情况</w:t>
      </w:r>
      <w:r>
        <w:rPr>
          <w:rFonts w:hint="eastAsia" w:ascii="宋体" w:hAnsi="宋体" w:cs="Arial"/>
          <w:color w:val="auto"/>
          <w:sz w:val="22"/>
          <w:szCs w:val="22"/>
          <w:highlight w:val="none"/>
        </w:rPr>
        <w:t>，</w:t>
      </w:r>
      <w:r>
        <w:rPr>
          <w:rFonts w:hint="eastAsia" w:ascii="宋体" w:hAnsi="宋体" w:cs="Arial"/>
          <w:color w:val="auto"/>
          <w:sz w:val="22"/>
          <w:szCs w:val="22"/>
          <w:highlight w:val="none"/>
          <w:lang w:val="zh-CN"/>
        </w:rPr>
        <w:t>供应商可根据自身意愿确认是否将备份标书压缩包的解密密码传送至采购代理机构邮箱</w:t>
      </w:r>
      <w:r>
        <w:rPr>
          <w:rFonts w:hint="eastAsia" w:ascii="宋体" w:hAnsi="宋体" w:cs="宋体"/>
          <w:b w:val="0"/>
          <w:bCs/>
          <w:color w:val="auto"/>
          <w:sz w:val="22"/>
          <w:szCs w:val="22"/>
          <w:highlight w:val="none"/>
          <w:u w:val="none"/>
          <w:lang w:val="en-US" w:eastAsia="zh-CN"/>
        </w:rPr>
        <w:t>214545399@qq.com</w:t>
      </w:r>
      <w:r>
        <w:rPr>
          <w:rFonts w:hint="eastAsia" w:ascii="宋体" w:hAnsi="宋体" w:cs="Arial"/>
          <w:color w:val="auto"/>
          <w:sz w:val="22"/>
          <w:szCs w:val="22"/>
          <w:highlight w:val="none"/>
        </w:rPr>
        <w:t>,</w:t>
      </w:r>
      <w:r>
        <w:rPr>
          <w:rFonts w:hint="eastAsia" w:ascii="宋体" w:hAnsi="宋体" w:cs="Arial"/>
          <w:color w:val="auto"/>
          <w:sz w:val="22"/>
          <w:szCs w:val="22"/>
          <w:highlight w:val="none"/>
          <w:lang w:val="zh-CN"/>
        </w:rPr>
        <w:t>采购代理机构收到解密密码后通过【异常处理】的端口对供应商的备份响应文件进行上传</w:t>
      </w:r>
      <w:r>
        <w:rPr>
          <w:rFonts w:hint="eastAsia" w:ascii="宋体" w:hAnsi="宋体" w:cs="Arial"/>
          <w:color w:val="auto"/>
          <w:sz w:val="22"/>
          <w:szCs w:val="22"/>
          <w:highlight w:val="none"/>
        </w:rPr>
        <w:t>（</w:t>
      </w:r>
      <w:r>
        <w:rPr>
          <w:rFonts w:hint="eastAsia" w:ascii="宋体" w:hAnsi="宋体" w:cs="Arial"/>
          <w:color w:val="auto"/>
          <w:sz w:val="22"/>
          <w:szCs w:val="22"/>
          <w:highlight w:val="none"/>
          <w:lang w:val="zh-CN"/>
        </w:rPr>
        <w:t>上传成功后</w:t>
      </w:r>
      <w:r>
        <w:rPr>
          <w:rFonts w:hint="eastAsia" w:ascii="宋体" w:hAnsi="宋体" w:cs="Arial"/>
          <w:color w:val="auto"/>
          <w:sz w:val="22"/>
          <w:szCs w:val="22"/>
          <w:highlight w:val="none"/>
        </w:rPr>
        <w:t>，“</w:t>
      </w:r>
      <w:r>
        <w:rPr>
          <w:rFonts w:hint="eastAsia" w:ascii="宋体" w:hAnsi="宋体" w:cs="Arial"/>
          <w:color w:val="auto"/>
          <w:sz w:val="22"/>
          <w:szCs w:val="22"/>
          <w:highlight w:val="none"/>
          <w:lang w:val="zh-CN"/>
        </w:rPr>
        <w:t>电子</w:t>
      </w:r>
      <w:r>
        <w:rPr>
          <w:rFonts w:hint="eastAsia" w:ascii="宋体" w:hAnsi="宋体" w:cs="Arial"/>
          <w:color w:val="auto"/>
          <w:sz w:val="22"/>
          <w:szCs w:val="22"/>
          <w:highlight w:val="none"/>
        </w:rPr>
        <w:t>响应</w:t>
      </w:r>
      <w:r>
        <w:rPr>
          <w:rFonts w:hint="eastAsia" w:ascii="宋体" w:hAnsi="宋体" w:cs="Arial"/>
          <w:color w:val="auto"/>
          <w:sz w:val="22"/>
          <w:szCs w:val="22"/>
          <w:highlight w:val="none"/>
          <w:lang w:val="zh-CN"/>
        </w:rPr>
        <w:t>文件</w:t>
      </w:r>
      <w:r>
        <w:rPr>
          <w:rFonts w:hint="eastAsia" w:ascii="宋体" w:hAnsi="宋体" w:cs="Arial"/>
          <w:color w:val="auto"/>
          <w:sz w:val="22"/>
          <w:szCs w:val="22"/>
          <w:highlight w:val="none"/>
        </w:rPr>
        <w:t>”</w:t>
      </w:r>
      <w:r>
        <w:rPr>
          <w:rFonts w:hint="eastAsia" w:ascii="宋体" w:hAnsi="宋体" w:cs="Arial"/>
          <w:color w:val="auto"/>
          <w:sz w:val="22"/>
          <w:szCs w:val="22"/>
          <w:highlight w:val="none"/>
          <w:lang w:val="zh-CN"/>
        </w:rPr>
        <w:t>自动失效</w:t>
      </w:r>
      <w:r>
        <w:rPr>
          <w:rFonts w:hint="eastAsia" w:ascii="宋体" w:hAnsi="宋体" w:cs="Arial"/>
          <w:color w:val="auto"/>
          <w:sz w:val="22"/>
          <w:szCs w:val="22"/>
          <w:highlight w:val="none"/>
        </w:rPr>
        <w:t>），</w:t>
      </w:r>
      <w:r>
        <w:rPr>
          <w:rFonts w:hint="eastAsia" w:ascii="宋体" w:hAnsi="宋体" w:cs="Arial"/>
          <w:color w:val="auto"/>
          <w:sz w:val="22"/>
          <w:szCs w:val="22"/>
          <w:highlight w:val="none"/>
          <w:lang w:val="zh-CN"/>
        </w:rPr>
        <w:t>不能成功上传的视为</w:t>
      </w:r>
      <w:r>
        <w:rPr>
          <w:rFonts w:hint="eastAsia" w:ascii="宋体" w:hAnsi="宋体" w:cs="Arial"/>
          <w:color w:val="auto"/>
          <w:sz w:val="22"/>
          <w:szCs w:val="22"/>
          <w:highlight w:val="none"/>
        </w:rPr>
        <w:t>响应</w:t>
      </w:r>
      <w:r>
        <w:rPr>
          <w:rFonts w:hint="eastAsia" w:ascii="宋体" w:hAnsi="宋体" w:cs="Arial"/>
          <w:color w:val="auto"/>
          <w:sz w:val="22"/>
          <w:szCs w:val="22"/>
          <w:highlight w:val="none"/>
          <w:lang w:val="zh-CN"/>
        </w:rPr>
        <w:t>文件撤回</w:t>
      </w:r>
      <w:r>
        <w:rPr>
          <w:rFonts w:hint="eastAsia" w:ascii="宋体" w:hAnsi="宋体" w:cs="Arial"/>
          <w:color w:val="auto"/>
          <w:sz w:val="22"/>
          <w:szCs w:val="22"/>
          <w:highlight w:val="none"/>
        </w:rPr>
        <w:t>）</w:t>
      </w:r>
      <w:r>
        <w:rPr>
          <w:rFonts w:hint="eastAsia" w:ascii="宋体" w:hAnsi="宋体" w:cs="Arial"/>
          <w:color w:val="auto"/>
          <w:sz w:val="22"/>
          <w:szCs w:val="22"/>
          <w:highlight w:val="none"/>
          <w:lang w:val="zh-CN"/>
        </w:rPr>
        <w:t>。</w:t>
      </w:r>
    </w:p>
    <w:p w14:paraId="202C2370">
      <w:pPr>
        <w:numPr>
          <w:ilvl w:val="1"/>
          <w:numId w:val="24"/>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 xml:space="preserve">  响应</w:t>
      </w:r>
      <w:r>
        <w:rPr>
          <w:rFonts w:hint="eastAsia" w:ascii="宋体" w:hAnsi="宋体" w:cs="Arial"/>
          <w:color w:val="auto"/>
          <w:sz w:val="22"/>
          <w:szCs w:val="22"/>
          <w:highlight w:val="none"/>
          <w:lang w:val="zh-CN"/>
        </w:rPr>
        <w:t>文件的启用，按先后顺序分别为电子响应文件、以电子邮件形式的备份响应文件，在下一顺位的</w:t>
      </w:r>
      <w:r>
        <w:rPr>
          <w:rFonts w:hint="eastAsia" w:ascii="宋体" w:hAnsi="宋体" w:cs="Arial"/>
          <w:color w:val="auto"/>
          <w:sz w:val="22"/>
          <w:szCs w:val="22"/>
          <w:highlight w:val="none"/>
        </w:rPr>
        <w:t>响应</w:t>
      </w:r>
      <w:r>
        <w:rPr>
          <w:rFonts w:hint="eastAsia" w:ascii="宋体" w:hAnsi="宋体" w:cs="Arial"/>
          <w:color w:val="auto"/>
          <w:sz w:val="22"/>
          <w:szCs w:val="22"/>
          <w:highlight w:val="none"/>
          <w:lang w:val="zh-CN"/>
        </w:rPr>
        <w:t>文件启用之后，前一顺位的</w:t>
      </w:r>
      <w:r>
        <w:rPr>
          <w:rFonts w:hint="eastAsia" w:ascii="宋体" w:hAnsi="宋体" w:cs="Arial"/>
          <w:color w:val="auto"/>
          <w:sz w:val="22"/>
          <w:szCs w:val="22"/>
          <w:highlight w:val="none"/>
        </w:rPr>
        <w:t>响应</w:t>
      </w:r>
      <w:r>
        <w:rPr>
          <w:rFonts w:hint="eastAsia" w:ascii="宋体" w:hAnsi="宋体" w:cs="Arial"/>
          <w:color w:val="auto"/>
          <w:sz w:val="22"/>
          <w:szCs w:val="22"/>
          <w:highlight w:val="none"/>
          <w:lang w:val="zh-CN"/>
        </w:rPr>
        <w:t>文件自动失效。</w:t>
      </w:r>
    </w:p>
    <w:p w14:paraId="72501B15">
      <w:pPr>
        <w:numPr>
          <w:ilvl w:val="0"/>
          <w:numId w:val="20"/>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投标文件的补充、修改或撤回</w:t>
      </w:r>
    </w:p>
    <w:p w14:paraId="4555C51F">
      <w:pPr>
        <w:numPr>
          <w:ilvl w:val="1"/>
          <w:numId w:val="25"/>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人应当在投标文件递交截止时间前完成投标文件的上传、递交，并可以补充、修改或者撤回投标文件。补充或者修改投标文件的，应当先行撤回原文件，补充、修改后重新上传、递交。投标文件递交截止时间前未完成上传、递交的，视为撤回投标文件。投标文件递交截止时间后递交的投标文件，“政采云平台”将予以拒收。</w:t>
      </w:r>
    </w:p>
    <w:p w14:paraId="1D7A505E">
      <w:pPr>
        <w:numPr>
          <w:ilvl w:val="1"/>
          <w:numId w:val="25"/>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投标文件递交截止时间后，投标人不得撤回、修改投标文件。</w:t>
      </w:r>
    </w:p>
    <w:p w14:paraId="5531E511">
      <w:pPr>
        <w:numPr>
          <w:ilvl w:val="0"/>
          <w:numId w:val="20"/>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
          <w:color w:val="auto"/>
          <w:sz w:val="22"/>
          <w:szCs w:val="22"/>
          <w:highlight w:val="none"/>
          <w:u w:val="single"/>
        </w:rPr>
        <w:t>▲发生下列情况之一的投标文件将不予受理：</w:t>
      </w:r>
    </w:p>
    <w:p w14:paraId="72AC08C4">
      <w:pPr>
        <w:numPr>
          <w:ilvl w:val="1"/>
          <w:numId w:val="26"/>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在投标截止时间以后上传的投标文件；</w:t>
      </w:r>
    </w:p>
    <w:p w14:paraId="3A744EC8">
      <w:pPr>
        <w:numPr>
          <w:ilvl w:val="1"/>
          <w:numId w:val="26"/>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仅递交了“备份投标文件”而未将电子加密投标文件上传至“政府采购云平台”的；</w:t>
      </w:r>
    </w:p>
    <w:p w14:paraId="39925FB2">
      <w:pPr>
        <w:numPr>
          <w:ilvl w:val="1"/>
          <w:numId w:val="26"/>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未在规定时间解密，或者，解密失败且经异常处理政采云系统仍未能识别的；</w:t>
      </w:r>
    </w:p>
    <w:p w14:paraId="17C5ECE7">
      <w:pPr>
        <w:numPr>
          <w:ilvl w:val="1"/>
          <w:numId w:val="26"/>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以纸质形式提交的；</w:t>
      </w:r>
    </w:p>
    <w:p w14:paraId="1223E5D5">
      <w:pPr>
        <w:tabs>
          <w:tab w:val="left" w:pos="360"/>
          <w:tab w:val="left" w:pos="540"/>
          <w:tab w:val="left" w:pos="1260"/>
        </w:tabs>
        <w:spacing w:before="100" w:beforeAutospacing="1" w:after="100" w:afterAutospacing="1" w:line="440" w:lineRule="exact"/>
        <w:ind w:left="919" w:hanging="919" w:hangingChars="352"/>
        <w:jc w:val="center"/>
        <w:outlineLvl w:val="0"/>
        <w:rPr>
          <w:rFonts w:ascii="宋体" w:hAnsi="宋体"/>
          <w:color w:val="auto"/>
          <w:sz w:val="22"/>
          <w:szCs w:val="22"/>
          <w:highlight w:val="none"/>
        </w:rPr>
      </w:pPr>
      <w:bookmarkStart w:id="110" w:name="_Toc249758865"/>
      <w:bookmarkStart w:id="111" w:name="_Toc221356952"/>
      <w:bookmarkStart w:id="112" w:name="_Toc241404203"/>
      <w:bookmarkStart w:id="113" w:name="_Toc222114880"/>
      <w:bookmarkStart w:id="114" w:name="_Toc239145355"/>
      <w:bookmarkStart w:id="115" w:name="_Toc245191315"/>
      <w:bookmarkStart w:id="116" w:name="_Toc221374627"/>
      <w:bookmarkStart w:id="117" w:name="_Toc249758713"/>
      <w:bookmarkStart w:id="118" w:name="_Toc221423620"/>
      <w:bookmarkStart w:id="119" w:name="_Toc223715999"/>
      <w:bookmarkStart w:id="120" w:name="_Toc245722282"/>
      <w:bookmarkStart w:id="121" w:name="_Toc262049419"/>
      <w:bookmarkStart w:id="122" w:name="_Toc246261266"/>
      <w:bookmarkStart w:id="123" w:name="_Toc221356888"/>
      <w:bookmarkStart w:id="124" w:name="_Toc20271"/>
      <w:bookmarkStart w:id="125" w:name="_Toc262105504"/>
      <w:r>
        <w:rPr>
          <w:rFonts w:hint="eastAsia" w:ascii="宋体" w:hAnsi="宋体"/>
          <w:b/>
          <w:bCs/>
          <w:color w:val="auto"/>
          <w:sz w:val="26"/>
          <w:szCs w:val="26"/>
          <w:highlight w:val="none"/>
        </w:rPr>
        <w:t>六、 开标</w:t>
      </w:r>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p>
    <w:p w14:paraId="706C554B">
      <w:pPr>
        <w:numPr>
          <w:ilvl w:val="0"/>
          <w:numId w:val="27"/>
        </w:numPr>
        <w:tabs>
          <w:tab w:val="left" w:pos="540"/>
          <w:tab w:val="clear" w:pos="420"/>
        </w:tabs>
        <w:spacing w:line="460" w:lineRule="exact"/>
        <w:rPr>
          <w:rFonts w:ascii="宋体" w:hAnsi="宋体" w:cs="Arial"/>
          <w:bCs/>
          <w:color w:val="auto"/>
          <w:sz w:val="22"/>
          <w:szCs w:val="22"/>
          <w:highlight w:val="none"/>
        </w:rPr>
      </w:pPr>
      <w:bookmarkStart w:id="126" w:name="_Toc221356953"/>
      <w:bookmarkStart w:id="127" w:name="_Toc221374628"/>
      <w:bookmarkStart w:id="128" w:name="_Toc249758714"/>
      <w:bookmarkStart w:id="129" w:name="_Toc222114881"/>
      <w:bookmarkStart w:id="130" w:name="_Toc249758866"/>
      <w:bookmarkStart w:id="131" w:name="_Toc245722283"/>
      <w:bookmarkStart w:id="132" w:name="_Toc246261267"/>
      <w:bookmarkStart w:id="133" w:name="_Toc262049420"/>
      <w:bookmarkStart w:id="134" w:name="_Toc245191316"/>
      <w:bookmarkStart w:id="135" w:name="_Toc221356889"/>
      <w:bookmarkStart w:id="136" w:name="_Toc223716000"/>
      <w:bookmarkStart w:id="137" w:name="_Toc221423621"/>
      <w:bookmarkStart w:id="138" w:name="_Toc241404204"/>
      <w:bookmarkStart w:id="139" w:name="_Toc262105505"/>
      <w:bookmarkStart w:id="140" w:name="_Toc239145356"/>
      <w:r>
        <w:rPr>
          <w:rFonts w:hint="eastAsia" w:ascii="宋体" w:hAnsi="宋体" w:cs="Arial"/>
          <w:bCs/>
          <w:color w:val="auto"/>
          <w:sz w:val="22"/>
          <w:szCs w:val="22"/>
          <w:highlight w:val="none"/>
        </w:rPr>
        <w:t>开标形式</w:t>
      </w:r>
    </w:p>
    <w:p w14:paraId="0C930D90">
      <w:pPr>
        <w:tabs>
          <w:tab w:val="left" w:pos="540"/>
        </w:tabs>
        <w:spacing w:line="460" w:lineRule="exact"/>
        <w:ind w:firstLine="440" w:firstLineChars="200"/>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采购组织机构将按照招标文件规定的时间通过“政采云平台”组织开标、开启投标文件，所有投标人均应当准时在线参加。</w:t>
      </w:r>
    </w:p>
    <w:p w14:paraId="2DA93232">
      <w:pPr>
        <w:numPr>
          <w:ilvl w:val="0"/>
          <w:numId w:val="27"/>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开标准备</w:t>
      </w:r>
    </w:p>
    <w:p w14:paraId="4624CCB9">
      <w:pPr>
        <w:numPr>
          <w:ilvl w:val="1"/>
          <w:numId w:val="28"/>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开标的准备工作由采购组织机构负责落实。</w:t>
      </w:r>
    </w:p>
    <w:p w14:paraId="4153991D">
      <w:pPr>
        <w:numPr>
          <w:ilvl w:val="1"/>
          <w:numId w:val="28"/>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采购组织机构将按照招标文件规定的时间通过“政采云平台”组织开标、开启投标文件，所有投标人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14:paraId="275AFAA2">
      <w:pPr>
        <w:numPr>
          <w:ilvl w:val="0"/>
          <w:numId w:val="27"/>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开标流程</w:t>
      </w:r>
    </w:p>
    <w:p w14:paraId="5A50A5D2">
      <w:pPr>
        <w:numPr>
          <w:ilvl w:val="1"/>
          <w:numId w:val="29"/>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按采购文件规定的时间、地点开启各投标人的投标文件。开标前，首先检查投标文件的密封情况，确认无误后开启投标文件（资格文件、商务技术文件、报价文件）</w:t>
      </w:r>
    </w:p>
    <w:p w14:paraId="3AE25181">
      <w:pPr>
        <w:numPr>
          <w:ilvl w:val="1"/>
          <w:numId w:val="29"/>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电子招投标开标及评审程序</w:t>
      </w:r>
    </w:p>
    <w:p w14:paraId="639F9331">
      <w:pPr>
        <w:numPr>
          <w:ilvl w:val="0"/>
          <w:numId w:val="30"/>
        </w:numPr>
        <w:overflowPunct w:val="0"/>
        <w:spacing w:line="440" w:lineRule="exact"/>
        <w:rPr>
          <w:rFonts w:ascii="宋体" w:hAnsi="宋体" w:cs="宋体"/>
          <w:bCs/>
          <w:color w:val="auto"/>
          <w:sz w:val="22"/>
          <w:szCs w:val="22"/>
          <w:highlight w:val="none"/>
        </w:rPr>
      </w:pPr>
      <w:r>
        <w:rPr>
          <w:rFonts w:hint="eastAsia" w:ascii="宋体" w:hAnsi="宋体" w:cs="宋体"/>
          <w:bCs/>
          <w:color w:val="auto"/>
          <w:sz w:val="22"/>
          <w:szCs w:val="22"/>
          <w:highlight w:val="none"/>
        </w:rPr>
        <w:t>投标截止时间后，投标人登录政采云平台，用“项目采购-开标评标”功能对电子投标文件进行在线解密。在线解密电子投标文件时间为开标时间起30分钟内。</w:t>
      </w:r>
    </w:p>
    <w:p w14:paraId="05DA336D">
      <w:pPr>
        <w:numPr>
          <w:ilvl w:val="0"/>
          <w:numId w:val="30"/>
        </w:numPr>
        <w:overflowPunct w:val="0"/>
        <w:spacing w:line="440" w:lineRule="exact"/>
        <w:rPr>
          <w:rFonts w:ascii="宋体" w:hAnsi="宋体" w:cs="宋体"/>
          <w:bCs/>
          <w:color w:val="auto"/>
          <w:sz w:val="22"/>
          <w:szCs w:val="22"/>
          <w:highlight w:val="none"/>
        </w:rPr>
      </w:pPr>
      <w:r>
        <w:rPr>
          <w:rFonts w:hint="eastAsia" w:ascii="宋体" w:hAnsi="宋体" w:cs="宋体"/>
          <w:bCs/>
          <w:color w:val="auto"/>
          <w:sz w:val="22"/>
          <w:szCs w:val="22"/>
          <w:highlight w:val="none"/>
        </w:rPr>
        <w:t>在系统上公布各投标人名称、投标报价及招标文件规定的需要宣布的其他内容。</w:t>
      </w:r>
    </w:p>
    <w:p w14:paraId="659B1C38">
      <w:pPr>
        <w:numPr>
          <w:ilvl w:val="0"/>
          <w:numId w:val="30"/>
        </w:numPr>
        <w:overflowPunct w:val="0"/>
        <w:spacing w:line="440" w:lineRule="exact"/>
        <w:rPr>
          <w:rFonts w:ascii="宋体" w:hAnsi="宋体" w:cs="宋体"/>
          <w:bCs/>
          <w:color w:val="auto"/>
          <w:sz w:val="22"/>
          <w:szCs w:val="22"/>
          <w:highlight w:val="none"/>
        </w:rPr>
      </w:pPr>
      <w:r>
        <w:rPr>
          <w:rFonts w:hint="eastAsia" w:ascii="宋体" w:hAnsi="宋体" w:cs="宋体"/>
          <w:bCs/>
          <w:color w:val="auto"/>
          <w:sz w:val="22"/>
          <w:szCs w:val="22"/>
          <w:highlight w:val="none"/>
        </w:rPr>
        <w:t>评标委员会对资格文件和商务技术文件进行评审。</w:t>
      </w:r>
    </w:p>
    <w:p w14:paraId="63D4A59F">
      <w:pPr>
        <w:numPr>
          <w:ilvl w:val="0"/>
          <w:numId w:val="30"/>
        </w:numPr>
        <w:overflowPunct w:val="0"/>
        <w:spacing w:line="440" w:lineRule="exact"/>
        <w:rPr>
          <w:rFonts w:ascii="宋体" w:hAnsi="宋体" w:cs="宋体"/>
          <w:bCs/>
          <w:color w:val="auto"/>
          <w:sz w:val="22"/>
          <w:szCs w:val="22"/>
          <w:highlight w:val="none"/>
        </w:rPr>
      </w:pPr>
      <w:r>
        <w:rPr>
          <w:rFonts w:hint="eastAsia" w:ascii="宋体" w:hAnsi="宋体" w:cs="宋体"/>
          <w:bCs/>
          <w:color w:val="auto"/>
          <w:sz w:val="22"/>
          <w:szCs w:val="22"/>
          <w:highlight w:val="none"/>
        </w:rPr>
        <w:t>在系统上公开资格和商务技术评审结果。</w:t>
      </w:r>
    </w:p>
    <w:p w14:paraId="4B62DB9A">
      <w:pPr>
        <w:numPr>
          <w:ilvl w:val="0"/>
          <w:numId w:val="30"/>
        </w:numPr>
        <w:overflowPunct w:val="0"/>
        <w:spacing w:line="440" w:lineRule="exact"/>
        <w:rPr>
          <w:rFonts w:ascii="宋体" w:hAnsi="宋体" w:cs="宋体"/>
          <w:bCs/>
          <w:color w:val="auto"/>
          <w:sz w:val="22"/>
          <w:szCs w:val="22"/>
          <w:highlight w:val="none"/>
        </w:rPr>
      </w:pPr>
      <w:r>
        <w:rPr>
          <w:rFonts w:hint="eastAsia" w:ascii="宋体" w:hAnsi="宋体" w:cs="宋体"/>
          <w:bCs/>
          <w:color w:val="auto"/>
          <w:sz w:val="22"/>
          <w:szCs w:val="22"/>
          <w:highlight w:val="none"/>
        </w:rPr>
        <w:t>评标委员会对报价文件进行评审。</w:t>
      </w:r>
    </w:p>
    <w:p w14:paraId="04448F52">
      <w:pPr>
        <w:numPr>
          <w:ilvl w:val="0"/>
          <w:numId w:val="30"/>
        </w:numPr>
        <w:overflowPunct w:val="0"/>
        <w:spacing w:line="440" w:lineRule="exact"/>
        <w:rPr>
          <w:rFonts w:ascii="宋体" w:hAnsi="宋体" w:cs="宋体"/>
          <w:bCs/>
          <w:color w:val="auto"/>
          <w:sz w:val="22"/>
          <w:szCs w:val="22"/>
          <w:highlight w:val="none"/>
        </w:rPr>
      </w:pPr>
      <w:r>
        <w:rPr>
          <w:rFonts w:hint="eastAsia" w:ascii="宋体" w:hAnsi="宋体" w:cs="宋体"/>
          <w:bCs/>
          <w:color w:val="auto"/>
          <w:sz w:val="22"/>
          <w:szCs w:val="22"/>
          <w:highlight w:val="none"/>
        </w:rPr>
        <w:t>在系统上公布评审结果。</w:t>
      </w:r>
    </w:p>
    <w:p w14:paraId="4DDDE8E0">
      <w:pPr>
        <w:overflowPunct w:val="0"/>
        <w:spacing w:line="440" w:lineRule="exact"/>
        <w:ind w:left="110"/>
        <w:rPr>
          <w:rFonts w:ascii="宋体" w:hAnsi="宋体" w:cs="宋体"/>
          <w:b/>
          <w:bCs/>
          <w:color w:val="auto"/>
          <w:sz w:val="22"/>
          <w:szCs w:val="22"/>
          <w:highlight w:val="none"/>
        </w:rPr>
      </w:pPr>
      <w:r>
        <w:rPr>
          <w:rFonts w:hint="eastAsia" w:ascii="宋体" w:hAnsi="宋体" w:cs="宋体"/>
          <w:b/>
          <w:bCs/>
          <w:color w:val="auto"/>
          <w:sz w:val="22"/>
          <w:szCs w:val="22"/>
          <w:highlight w:val="none"/>
        </w:rPr>
        <w:t>特别说明：1、政采云公司如对电子化开标及评审程序有调整的，按调整后的程序操作。</w:t>
      </w:r>
    </w:p>
    <w:p w14:paraId="4FF8ADAB">
      <w:pPr>
        <w:overflowPunct w:val="0"/>
        <w:spacing w:line="440" w:lineRule="exact"/>
        <w:ind w:firstLine="1281" w:firstLineChars="580"/>
        <w:rPr>
          <w:rFonts w:ascii="宋体" w:hAnsi="宋体" w:cs="宋体"/>
          <w:b/>
          <w:bCs/>
          <w:color w:val="auto"/>
          <w:sz w:val="22"/>
          <w:szCs w:val="22"/>
          <w:highlight w:val="none"/>
        </w:rPr>
      </w:pPr>
      <w:r>
        <w:rPr>
          <w:rFonts w:hint="eastAsia" w:ascii="宋体" w:hAnsi="宋体" w:cs="宋体"/>
          <w:b/>
          <w:bCs/>
          <w:color w:val="auto"/>
          <w:sz w:val="22"/>
          <w:szCs w:val="22"/>
          <w:highlight w:val="none"/>
        </w:rPr>
        <w:t>2、目前政府采购全流程电子化交易，投标人须在规定时间内自行解密。</w:t>
      </w:r>
    </w:p>
    <w:p w14:paraId="43C5CED5">
      <w:pPr>
        <w:numPr>
          <w:ilvl w:val="1"/>
          <w:numId w:val="29"/>
        </w:numPr>
        <w:tabs>
          <w:tab w:val="left" w:pos="540"/>
          <w:tab w:val="clear" w:pos="992"/>
        </w:tabs>
        <w:spacing w:line="460" w:lineRule="exact"/>
        <w:ind w:left="540" w:hanging="540"/>
        <w:rPr>
          <w:rFonts w:ascii="宋体" w:hAnsi="宋体"/>
          <w:b/>
          <w:color w:val="auto"/>
          <w:sz w:val="22"/>
          <w:szCs w:val="22"/>
          <w:highlight w:val="none"/>
          <w:u w:val="single"/>
        </w:rPr>
      </w:pPr>
      <w:r>
        <w:rPr>
          <w:rFonts w:hint="eastAsia" w:ascii="宋体" w:hAnsi="宋体"/>
          <w:b/>
          <w:color w:val="auto"/>
          <w:sz w:val="22"/>
          <w:szCs w:val="22"/>
          <w:highlight w:val="none"/>
          <w:u w:val="single"/>
        </w:rPr>
        <w:t>电子响应文件解密结束后，各投标人签署《政府采购活动现场确认声明书》（见附件）后将扫描件发送至采购代理机构邮箱</w:t>
      </w:r>
      <w:r>
        <w:rPr>
          <w:rFonts w:hint="eastAsia" w:ascii="宋体" w:hAnsi="宋体" w:cs="宋体"/>
          <w:b/>
          <w:color w:val="auto"/>
          <w:sz w:val="22"/>
          <w:szCs w:val="22"/>
          <w:highlight w:val="none"/>
          <w:u w:val="single"/>
          <w:lang w:val="en-US" w:eastAsia="zh-CN"/>
        </w:rPr>
        <w:t>214545399@qq.com</w:t>
      </w:r>
      <w:r>
        <w:rPr>
          <w:rFonts w:hint="eastAsia" w:ascii="宋体" w:hAnsi="宋体"/>
          <w:b/>
          <w:color w:val="auto"/>
          <w:sz w:val="22"/>
          <w:szCs w:val="22"/>
          <w:highlight w:val="none"/>
          <w:u w:val="single"/>
        </w:rPr>
        <w:t>。</w:t>
      </w:r>
    </w:p>
    <w:p w14:paraId="55929633">
      <w:pPr>
        <w:numPr>
          <w:ilvl w:val="1"/>
          <w:numId w:val="29"/>
        </w:numPr>
        <w:tabs>
          <w:tab w:val="left" w:pos="540"/>
          <w:tab w:val="clear" w:pos="992"/>
        </w:tabs>
        <w:spacing w:line="460" w:lineRule="exact"/>
        <w:ind w:left="540" w:hanging="540"/>
        <w:rPr>
          <w:rFonts w:ascii="宋体" w:hAnsi="宋体"/>
          <w:b/>
          <w:color w:val="auto"/>
          <w:sz w:val="22"/>
          <w:szCs w:val="22"/>
          <w:highlight w:val="none"/>
        </w:rPr>
      </w:pPr>
      <w:r>
        <w:rPr>
          <w:rFonts w:hint="eastAsia" w:ascii="宋体" w:hAnsi="宋体"/>
          <w:b/>
          <w:color w:val="auto"/>
          <w:sz w:val="22"/>
          <w:szCs w:val="22"/>
          <w:highlight w:val="none"/>
        </w:rPr>
        <w:t>评审结束后，在“政采云平台”系统平台上公布个采购人的详细情况及中标（成交）候选投标人名单的公告等。</w:t>
      </w:r>
    </w:p>
    <w:p w14:paraId="53318E6C">
      <w:pPr>
        <w:tabs>
          <w:tab w:val="left" w:pos="540"/>
        </w:tabs>
        <w:spacing w:line="460" w:lineRule="exac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特别说明：如遇“政采云平台”电子化开标或评审程序调整的，按调整后程序执行。</w:t>
      </w:r>
    </w:p>
    <w:p w14:paraId="11BF60B2">
      <w:pPr>
        <w:spacing w:before="100" w:beforeAutospacing="1" w:after="100" w:afterAutospacing="1" w:line="440" w:lineRule="exact"/>
        <w:ind w:left="-6"/>
        <w:jc w:val="center"/>
        <w:outlineLvl w:val="0"/>
        <w:rPr>
          <w:rFonts w:ascii="宋体" w:hAnsi="宋体"/>
          <w:b/>
          <w:bCs/>
          <w:color w:val="auto"/>
          <w:sz w:val="26"/>
          <w:szCs w:val="26"/>
          <w:highlight w:val="none"/>
        </w:rPr>
      </w:pPr>
      <w:bookmarkStart w:id="141" w:name="_Toc28360"/>
      <w:r>
        <w:rPr>
          <w:rFonts w:hint="eastAsia" w:ascii="宋体" w:hAnsi="宋体"/>
          <w:b/>
          <w:bCs/>
          <w:color w:val="auto"/>
          <w:sz w:val="26"/>
          <w:szCs w:val="26"/>
          <w:highlight w:val="none"/>
        </w:rPr>
        <w:t>七、 评标</w:t>
      </w:r>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p>
    <w:p w14:paraId="79CC3F67">
      <w:pPr>
        <w:numPr>
          <w:ilvl w:val="0"/>
          <w:numId w:val="31"/>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评标委员会</w:t>
      </w:r>
    </w:p>
    <w:p w14:paraId="66AFE0FD">
      <w:pPr>
        <w:spacing w:line="460" w:lineRule="exact"/>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rPr>
        <w:t>采购人按照《中华人民共和国政府采购法》等有关法律、法规的规定组建评标委员会，评标委员会成员由采购人代表和有关技术、经济等方面的专家组成，成员人数为5人（含）以上单数，除采购人代表外的专家将在评标专家库中随机抽取产生。</w:t>
      </w:r>
    </w:p>
    <w:p w14:paraId="49A82F62">
      <w:pPr>
        <w:numPr>
          <w:ilvl w:val="0"/>
          <w:numId w:val="31"/>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评标过程的保密性</w:t>
      </w:r>
    </w:p>
    <w:p w14:paraId="2422DB8B">
      <w:pPr>
        <w:spacing w:line="460" w:lineRule="exact"/>
        <w:ind w:firstLine="440" w:firstLineChars="200"/>
        <w:rPr>
          <w:rFonts w:ascii="宋体" w:hAnsi="宋体" w:cs="宋体"/>
          <w:color w:val="auto"/>
          <w:kern w:val="0"/>
          <w:sz w:val="22"/>
          <w:szCs w:val="22"/>
          <w:highlight w:val="none"/>
        </w:rPr>
      </w:pPr>
      <w:r>
        <w:rPr>
          <w:rFonts w:hint="eastAsia" w:ascii="宋体" w:hAnsi="宋体" w:cs="宋体"/>
          <w:color w:val="auto"/>
          <w:kern w:val="0"/>
          <w:sz w:val="22"/>
          <w:szCs w:val="22"/>
          <w:highlight w:val="none"/>
        </w:rPr>
        <w:t>开标后直至向中标人授予合同时止，凡与评审有关的资料均不得向投标人及与评标无关人员透露。如果投标人在评标过程中试图向采购人和招标代理机构施加影响，其投标将被拒绝。</w:t>
      </w:r>
    </w:p>
    <w:p w14:paraId="1267D8E4">
      <w:pPr>
        <w:numPr>
          <w:ilvl w:val="0"/>
          <w:numId w:val="31"/>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投标文件的初审。初审分为资格性审查和符合性检查。</w:t>
      </w:r>
    </w:p>
    <w:p w14:paraId="2E579BBC">
      <w:pPr>
        <w:numPr>
          <w:ilvl w:val="1"/>
          <w:numId w:val="32"/>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资格性审查。</w:t>
      </w:r>
    </w:p>
    <w:p w14:paraId="31DF40E8">
      <w:pPr>
        <w:pStyle w:val="123"/>
        <w:numPr>
          <w:ilvl w:val="0"/>
          <w:numId w:val="33"/>
        </w:numPr>
        <w:tabs>
          <w:tab w:val="left" w:pos="425"/>
        </w:tabs>
        <w:overflowPunct w:val="0"/>
        <w:spacing w:line="440" w:lineRule="exact"/>
        <w:ind w:hanging="136" w:firstLineChars="0"/>
        <w:rPr>
          <w:rFonts w:ascii="宋体" w:hAnsi="宋体" w:cs="宋体"/>
          <w:bCs/>
          <w:color w:val="auto"/>
          <w:sz w:val="22"/>
          <w:szCs w:val="22"/>
          <w:highlight w:val="none"/>
        </w:rPr>
      </w:pPr>
      <w:r>
        <w:rPr>
          <w:rFonts w:hint="eastAsia" w:ascii="宋体" w:hAnsi="宋体" w:cs="宋体"/>
          <w:bCs/>
          <w:color w:val="auto"/>
          <w:sz w:val="22"/>
          <w:szCs w:val="22"/>
          <w:highlight w:val="none"/>
        </w:rPr>
        <w:t>依据法律、法规和采购文件的规定，采购人或采购代理机构在开启各投标人资格证明文件后，对各投标人进行投标资格审查，审查内容包括但不仅限于投标文件所提交证明材料是否能证明符合本项目对合格投标人的实质性要求。采购人或采购代理机构对投标人所提供的资格证明材料仅负审核的责任。如发现投标人所提供的资格证明材料不合法或不真实，采购人可取消其中标资格并追究法律责任。通过资格审查视作具备投标资格，审查不合格的投标文件将不进入后续详细评审。</w:t>
      </w:r>
    </w:p>
    <w:p w14:paraId="39C65EEA">
      <w:pPr>
        <w:pStyle w:val="123"/>
        <w:numPr>
          <w:ilvl w:val="0"/>
          <w:numId w:val="33"/>
        </w:numPr>
        <w:tabs>
          <w:tab w:val="left" w:pos="425"/>
        </w:tabs>
        <w:overflowPunct w:val="0"/>
        <w:spacing w:line="440" w:lineRule="exact"/>
        <w:ind w:hanging="136" w:firstLineChars="0"/>
        <w:rPr>
          <w:rFonts w:ascii="宋体" w:hAnsi="宋体" w:cs="宋体"/>
          <w:b/>
          <w:bCs/>
          <w:color w:val="auto"/>
          <w:sz w:val="22"/>
          <w:szCs w:val="22"/>
          <w:highlight w:val="none"/>
        </w:rPr>
      </w:pPr>
      <w:r>
        <w:rPr>
          <w:rFonts w:hint="eastAsia" w:ascii="宋体" w:hAnsi="宋体" w:cs="宋体"/>
          <w:b/>
          <w:bCs/>
          <w:color w:val="auto"/>
          <w:sz w:val="22"/>
          <w:szCs w:val="22"/>
          <w:highlight w:val="none"/>
        </w:rPr>
        <w:t>在资格审查过程中，若对投标人的资格审查文件有疑问，采购组织机构将在系统上向投标人发起询标函</w:t>
      </w:r>
    </w:p>
    <w:p w14:paraId="1A921F91">
      <w:pPr>
        <w:numPr>
          <w:ilvl w:val="1"/>
          <w:numId w:val="32"/>
        </w:numPr>
        <w:tabs>
          <w:tab w:val="left" w:pos="540"/>
          <w:tab w:val="clear" w:pos="992"/>
        </w:tabs>
        <w:spacing w:line="460" w:lineRule="exact"/>
        <w:ind w:left="540" w:hanging="540"/>
        <w:rPr>
          <w:rFonts w:ascii="宋体" w:hAnsi="宋体"/>
          <w:bCs/>
          <w:color w:val="auto"/>
          <w:sz w:val="22"/>
          <w:szCs w:val="22"/>
          <w:highlight w:val="none"/>
        </w:rPr>
      </w:pPr>
      <w:r>
        <w:rPr>
          <w:rFonts w:hint="eastAsia" w:ascii="宋体" w:hAnsi="宋体"/>
          <w:bCs/>
          <w:color w:val="auto"/>
          <w:sz w:val="22"/>
          <w:szCs w:val="22"/>
          <w:highlight w:val="none"/>
        </w:rPr>
        <w:t>符合性检查。依据招标文件的规定，从投标文件中的有效性、完整性和对招标文件的响应程度进行审查，并在“政采云系统-符合性评审”中录入投标人的符合性审查情况。</w:t>
      </w:r>
    </w:p>
    <w:p w14:paraId="51C02BC0">
      <w:pPr>
        <w:numPr>
          <w:ilvl w:val="1"/>
          <w:numId w:val="32"/>
        </w:numPr>
        <w:tabs>
          <w:tab w:val="left" w:pos="540"/>
          <w:tab w:val="clear" w:pos="992"/>
        </w:tabs>
        <w:spacing w:line="460" w:lineRule="exact"/>
        <w:ind w:left="540" w:hanging="540"/>
        <w:rPr>
          <w:rFonts w:ascii="宋体" w:hAnsi="宋体"/>
          <w:b/>
          <w:color w:val="auto"/>
          <w:sz w:val="22"/>
          <w:szCs w:val="22"/>
          <w:highlight w:val="none"/>
          <w:u w:val="single"/>
        </w:rPr>
      </w:pPr>
      <w:r>
        <w:rPr>
          <w:rFonts w:hint="eastAsia" w:ascii="宋体" w:hAnsi="宋体"/>
          <w:b/>
          <w:color w:val="auto"/>
          <w:sz w:val="22"/>
          <w:szCs w:val="22"/>
          <w:highlight w:val="none"/>
          <w:u w:val="single"/>
        </w:rPr>
        <w:t>▲通过资格性审查与符合性审查的商务技术文件由评委进行综合评审，审查确认未通过的商务技术文件不予评审。</w:t>
      </w:r>
    </w:p>
    <w:p w14:paraId="0080BF0F">
      <w:pPr>
        <w:numPr>
          <w:ilvl w:val="0"/>
          <w:numId w:val="31"/>
        </w:numPr>
        <w:tabs>
          <w:tab w:val="left" w:pos="540"/>
          <w:tab w:val="clear" w:pos="420"/>
        </w:tabs>
        <w:spacing w:line="460" w:lineRule="exact"/>
        <w:rPr>
          <w:rFonts w:ascii="宋体" w:hAnsi="宋体" w:cs="Arial"/>
          <w:b/>
          <w:color w:val="auto"/>
          <w:sz w:val="22"/>
          <w:szCs w:val="22"/>
          <w:highlight w:val="none"/>
        </w:rPr>
      </w:pPr>
      <w:r>
        <w:rPr>
          <w:rFonts w:hint="eastAsia" w:ascii="宋体" w:hAnsi="宋体" w:cs="Arial"/>
          <w:b/>
          <w:color w:val="auto"/>
          <w:sz w:val="22"/>
          <w:szCs w:val="22"/>
          <w:highlight w:val="none"/>
        </w:rPr>
        <w:t>无效标认定</w:t>
      </w:r>
    </w:p>
    <w:p w14:paraId="6685A6DE">
      <w:pPr>
        <w:numPr>
          <w:ilvl w:val="1"/>
          <w:numId w:val="34"/>
        </w:numPr>
        <w:tabs>
          <w:tab w:val="left" w:pos="360"/>
          <w:tab w:val="clear" w:pos="992"/>
        </w:tabs>
        <w:spacing w:line="460" w:lineRule="exact"/>
        <w:ind w:left="640"/>
        <w:rPr>
          <w:rFonts w:ascii="宋体" w:hAnsi="宋体" w:cs="Arial"/>
          <w:b/>
          <w:bCs/>
          <w:color w:val="auto"/>
          <w:sz w:val="22"/>
          <w:szCs w:val="22"/>
          <w:highlight w:val="none"/>
          <w:u w:val="single"/>
        </w:rPr>
      </w:pPr>
      <w:r>
        <w:rPr>
          <w:rFonts w:hint="eastAsia" w:ascii="宋体" w:hAnsi="宋体" w:cs="Arial"/>
          <w:b/>
          <w:bCs/>
          <w:color w:val="auto"/>
          <w:sz w:val="22"/>
          <w:szCs w:val="22"/>
          <w:highlight w:val="none"/>
          <w:u w:val="single"/>
        </w:rPr>
        <w:t>▲在对各投标人的投标文件进行综合评审时，投标文件有下列情况之一的，经评标委员会认定后按无效标处理：</w:t>
      </w:r>
    </w:p>
    <w:p w14:paraId="4DAC14C3">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电子投标文件未按规定进行CA签章；</w:t>
      </w:r>
    </w:p>
    <w:p w14:paraId="1A288C6E">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投标文件中要求投标人法定代表人或授权代表签字的地方无法定代表人签字或其授权代表签字的；</w:t>
      </w:r>
    </w:p>
    <w:p w14:paraId="7CD3F240">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不具备招标文件中规定的资格要求的；</w:t>
      </w:r>
    </w:p>
    <w:p w14:paraId="4AE55347">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报价超过招标文件中规定的预算金额或者最高限价的；</w:t>
      </w:r>
    </w:p>
    <w:p w14:paraId="68673303">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投标文件含有采购人不能接受的附加条件的；</w:t>
      </w:r>
    </w:p>
    <w:p w14:paraId="6CFDC924">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经评标委员会认定投标人串通投标的；</w:t>
      </w:r>
    </w:p>
    <w:p w14:paraId="2CDB724C">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同时出现两种及以上不一致价格且修正后投标人不确认报价的；</w:t>
      </w:r>
    </w:p>
    <w:p w14:paraId="3D215A3D">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报价明显低于其他通过符合性审查投标人的报价，且在评标现场合理的时间内不能证明其报价合理性的；</w:t>
      </w:r>
    </w:p>
    <w:p w14:paraId="2B5AE915">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授权代表无法定代表人合法、有效委托的；</w:t>
      </w:r>
    </w:p>
    <w:p w14:paraId="673C0CC4">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sz w:val="22"/>
          <w:szCs w:val="22"/>
          <w:highlight w:val="none"/>
          <w:u w:val="single"/>
        </w:rPr>
        <w:t>规定时间内解密失败且经异常处理但政采云电子交易系统仍未能识别备份投标文件的；</w:t>
      </w:r>
    </w:p>
    <w:p w14:paraId="54A2C3B4">
      <w:pPr>
        <w:numPr>
          <w:ilvl w:val="0"/>
          <w:numId w:val="35"/>
        </w:numPr>
        <w:spacing w:line="440" w:lineRule="exact"/>
        <w:rPr>
          <w:rFonts w:ascii="宋体" w:hAnsi="宋体" w:cs="宋体"/>
          <w:bCs/>
          <w:color w:val="auto"/>
          <w:kern w:val="0"/>
          <w:sz w:val="22"/>
          <w:szCs w:val="22"/>
          <w:highlight w:val="none"/>
          <w:u w:val="single"/>
        </w:rPr>
      </w:pPr>
      <w:r>
        <w:rPr>
          <w:rFonts w:hint="eastAsia" w:ascii="宋体" w:hAnsi="宋体" w:cs="宋体"/>
          <w:bCs/>
          <w:color w:val="auto"/>
          <w:kern w:val="0"/>
          <w:sz w:val="22"/>
          <w:szCs w:val="22"/>
          <w:highlight w:val="none"/>
          <w:u w:val="single"/>
        </w:rPr>
        <w:t>评标委员会认定不符合法律、法规和招标文件中规定的其他实质性要求的。</w:t>
      </w:r>
    </w:p>
    <w:p w14:paraId="68EE789B">
      <w:pPr>
        <w:numPr>
          <w:ilvl w:val="1"/>
          <w:numId w:val="34"/>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b/>
          <w:bCs/>
          <w:color w:val="auto"/>
          <w:sz w:val="22"/>
          <w:szCs w:val="22"/>
          <w:highlight w:val="none"/>
          <w:u w:val="single"/>
        </w:rPr>
        <w:t>▲评标委员会发现投标文件有下列情形之一的属于重大偏差(评标委员会按少数服从多数原则认定),按照无效投标处理：</w:t>
      </w:r>
    </w:p>
    <w:p w14:paraId="2C2EC2DB">
      <w:pPr>
        <w:spacing w:line="460" w:lineRule="exact"/>
        <w:ind w:firstLine="418" w:firstLineChars="19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u w:val="single"/>
        </w:rPr>
        <w:t>1）未按招标文件要求编制或字迹模糊、辨认不清的投标文件；</w:t>
      </w:r>
    </w:p>
    <w:p w14:paraId="4062CFB9">
      <w:pPr>
        <w:spacing w:line="460" w:lineRule="exact"/>
        <w:ind w:firstLine="418" w:firstLineChars="19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u w:val="single"/>
        </w:rPr>
        <w:t>2）出现明显不符合技术规格、技术标准的要求或不满足招标文件技术规格书中的主要参数的投标文件；</w:t>
      </w:r>
    </w:p>
    <w:p w14:paraId="66641E76">
      <w:pPr>
        <w:spacing w:line="460" w:lineRule="exact"/>
        <w:ind w:firstLine="418" w:firstLineChars="19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u w:val="single"/>
        </w:rPr>
        <w:t>3）出现投标项目数量与招标文件对比出现较大偏差；商务报价明细表计算错误，出现较大差错；</w:t>
      </w:r>
    </w:p>
    <w:p w14:paraId="4F4163F3">
      <w:pPr>
        <w:spacing w:line="460" w:lineRule="exact"/>
        <w:ind w:firstLine="418" w:firstLineChars="19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u w:val="single"/>
        </w:rPr>
        <w:t>4）出现其它不符合招标文件中规定的实质性要求的投标文件，是否为偏离实质性要求由评标委员会认定。</w:t>
      </w:r>
    </w:p>
    <w:p w14:paraId="79EA2C26">
      <w:pPr>
        <w:numPr>
          <w:ilvl w:val="1"/>
          <w:numId w:val="34"/>
        </w:numPr>
        <w:tabs>
          <w:tab w:val="left" w:pos="360"/>
          <w:tab w:val="clear" w:pos="992"/>
        </w:tabs>
        <w:spacing w:line="460" w:lineRule="exact"/>
        <w:ind w:left="640"/>
        <w:rPr>
          <w:rFonts w:ascii="宋体" w:hAnsi="宋体" w:cs="Arial"/>
          <w:b/>
          <w:bCs/>
          <w:color w:val="auto"/>
          <w:sz w:val="22"/>
          <w:szCs w:val="22"/>
          <w:highlight w:val="none"/>
          <w:u w:val="single"/>
        </w:rPr>
      </w:pPr>
      <w:r>
        <w:rPr>
          <w:rFonts w:hint="eastAsia" w:ascii="宋体" w:hAnsi="宋体" w:cs="Arial"/>
          <w:b/>
          <w:bCs/>
          <w:color w:val="auto"/>
          <w:sz w:val="22"/>
          <w:szCs w:val="22"/>
          <w:highlight w:val="none"/>
          <w:u w:val="single"/>
        </w:rPr>
        <w:t>▲有下列情形之一的，视为投标人串通投标，其投标无效：</w:t>
      </w:r>
    </w:p>
    <w:p w14:paraId="55BAB2D7">
      <w:pPr>
        <w:spacing w:line="460" w:lineRule="exact"/>
        <w:ind w:firstLine="418" w:firstLineChars="19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u w:val="single"/>
        </w:rPr>
        <w:t>1)不同投标人的投标文件由同一单位或者个人编制；</w:t>
      </w:r>
    </w:p>
    <w:p w14:paraId="6C51BA4D">
      <w:pPr>
        <w:spacing w:line="460" w:lineRule="exact"/>
        <w:ind w:firstLine="418" w:firstLineChars="19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u w:val="single"/>
        </w:rPr>
        <w:t>2)不同投标人委托同一单位或者个人办理投标事宜；</w:t>
      </w:r>
    </w:p>
    <w:p w14:paraId="69DCD307">
      <w:pPr>
        <w:spacing w:line="460" w:lineRule="exact"/>
        <w:ind w:firstLine="418" w:firstLineChars="19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u w:val="single"/>
        </w:rPr>
        <w:t>3)不同投标人的投标文件载明的项目管理成员或者联系人员为同一人；</w:t>
      </w:r>
    </w:p>
    <w:p w14:paraId="2019DADD">
      <w:pPr>
        <w:spacing w:line="460" w:lineRule="exact"/>
        <w:ind w:firstLine="418" w:firstLineChars="19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u w:val="single"/>
        </w:rPr>
        <w:t>4）不同投标人的投标文件异常一致或者投标报价呈规律性差异；</w:t>
      </w:r>
    </w:p>
    <w:p w14:paraId="6044BEF9">
      <w:pPr>
        <w:spacing w:line="460" w:lineRule="exact"/>
        <w:ind w:firstLine="418" w:firstLineChars="190"/>
        <w:rPr>
          <w:rFonts w:ascii="宋体" w:hAnsi="宋体" w:cs="宋体"/>
          <w:color w:val="auto"/>
          <w:kern w:val="0"/>
          <w:sz w:val="22"/>
          <w:szCs w:val="22"/>
          <w:highlight w:val="none"/>
          <w:u w:val="single"/>
        </w:rPr>
      </w:pPr>
      <w:r>
        <w:rPr>
          <w:rFonts w:hint="eastAsia" w:ascii="宋体" w:hAnsi="宋体" w:cs="宋体"/>
          <w:color w:val="auto"/>
          <w:kern w:val="0"/>
          <w:sz w:val="22"/>
          <w:szCs w:val="22"/>
          <w:highlight w:val="none"/>
          <w:u w:val="single"/>
        </w:rPr>
        <w:t>5）不同投标人的投标文件相互混装；</w:t>
      </w:r>
    </w:p>
    <w:p w14:paraId="14CC10BA">
      <w:pPr>
        <w:numPr>
          <w:ilvl w:val="1"/>
          <w:numId w:val="34"/>
        </w:numPr>
        <w:tabs>
          <w:tab w:val="left" w:pos="360"/>
          <w:tab w:val="clear" w:pos="992"/>
        </w:tabs>
        <w:spacing w:line="460" w:lineRule="exact"/>
        <w:ind w:left="640"/>
        <w:rPr>
          <w:rFonts w:ascii="宋体" w:hAnsi="宋体" w:cs="Arial"/>
          <w:b/>
          <w:bCs/>
          <w:color w:val="auto"/>
          <w:sz w:val="22"/>
          <w:szCs w:val="22"/>
          <w:highlight w:val="none"/>
          <w:u w:val="single"/>
        </w:rPr>
      </w:pPr>
      <w:r>
        <w:rPr>
          <w:rFonts w:hint="eastAsia" w:ascii="宋体" w:hAnsi="宋体" w:cs="Arial"/>
          <w:b/>
          <w:bCs/>
          <w:color w:val="auto"/>
          <w:sz w:val="22"/>
          <w:szCs w:val="22"/>
          <w:highlight w:val="none"/>
          <w:u w:val="single"/>
        </w:rPr>
        <w:t>▲本项目采用政采云电子招投标开标及评审程序，如有以下情形之一的，按以下情况处理：</w:t>
      </w:r>
    </w:p>
    <w:p w14:paraId="26013677">
      <w:pPr>
        <w:numPr>
          <w:ilvl w:val="0"/>
          <w:numId w:val="36"/>
        </w:numPr>
        <w:spacing w:line="360" w:lineRule="auto"/>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投标人在规定时间内无法解密或解密失败的作无效投标处理。解密成功的投标人不足三家的，本项目流标重新组织采购活动。</w:t>
      </w:r>
    </w:p>
    <w:p w14:paraId="6CE091B9">
      <w:pPr>
        <w:numPr>
          <w:ilvl w:val="0"/>
          <w:numId w:val="36"/>
        </w:numPr>
        <w:spacing w:line="360" w:lineRule="auto"/>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因政采云平台原因无法读取或电子开评标无法正常进行，采购机构将情况上报行业监管部门同意后，重新组织采购活动。</w:t>
      </w:r>
    </w:p>
    <w:p w14:paraId="3B62A8E5">
      <w:pPr>
        <w:numPr>
          <w:ilvl w:val="0"/>
          <w:numId w:val="36"/>
        </w:numPr>
        <w:spacing w:line="360" w:lineRule="auto"/>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符合专业条件的投标人或者对招标文件作实质响应的投标人不足3家的，本次招标按废标处理，重新组织招标。</w:t>
      </w:r>
    </w:p>
    <w:p w14:paraId="022FC9B6">
      <w:pPr>
        <w:numPr>
          <w:ilvl w:val="1"/>
          <w:numId w:val="34"/>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在详细评标之前，评标委员会要审查每份投标文件是否实质上响应了招标文件的要求。实质上响应的投标应该是与招标文件要求的全部条款、条件和规格基本相符。没有重大偏离。</w:t>
      </w:r>
    </w:p>
    <w:p w14:paraId="40EC8D27">
      <w:pPr>
        <w:numPr>
          <w:ilvl w:val="1"/>
          <w:numId w:val="34"/>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实质上没有响应招标文件要求的投标将被否决，投标人不得通过修正或撤消不合要求的偏离或保留从而使其投标成为实质上响应的投标。</w:t>
      </w:r>
    </w:p>
    <w:p w14:paraId="40FC24CC">
      <w:pPr>
        <w:numPr>
          <w:ilvl w:val="0"/>
          <w:numId w:val="31"/>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投标文件的澄清</w:t>
      </w:r>
    </w:p>
    <w:p w14:paraId="43A6758A">
      <w:pPr>
        <w:numPr>
          <w:ilvl w:val="1"/>
          <w:numId w:val="3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为有助于投标文件的审查、评价和比较，评标小组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凡属于评标小组在评标中发现的计算错误并进行核实的修改不在此列。</w:t>
      </w:r>
    </w:p>
    <w:p w14:paraId="7C7C38CE">
      <w:pPr>
        <w:numPr>
          <w:ilvl w:val="1"/>
          <w:numId w:val="3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若投标文件中所提交的证书、证明等材料若出现已过有效期、时间或其他主要信息不明确，且投标人书面澄清（书面澄清仅限在投标文件递交截止时间前所提交投标文件及相关材料中未被评标委员会审查出的内容）亦不明确的，评审过程中将不予认可，不再寻求外部证据（外部证据包括投标人在澄清过程中申请补交的证明材料或网络查询结果等非投标文件本身内容）。</w:t>
      </w:r>
    </w:p>
    <w:p w14:paraId="7E05A52A">
      <w:pPr>
        <w:numPr>
          <w:ilvl w:val="1"/>
          <w:numId w:val="37"/>
        </w:numPr>
        <w:tabs>
          <w:tab w:val="left" w:pos="360"/>
          <w:tab w:val="clear" w:pos="992"/>
        </w:tabs>
        <w:spacing w:line="460" w:lineRule="exact"/>
        <w:ind w:left="640"/>
        <w:rPr>
          <w:rFonts w:ascii="宋体" w:hAnsi="宋体" w:cs="Arial"/>
          <w:b/>
          <w:bCs/>
          <w:color w:val="auto"/>
          <w:sz w:val="22"/>
          <w:szCs w:val="22"/>
          <w:highlight w:val="none"/>
        </w:rPr>
      </w:pPr>
      <w:r>
        <w:rPr>
          <w:rFonts w:hint="eastAsia" w:ascii="宋体" w:hAnsi="宋体" w:cs="Arial"/>
          <w:b/>
          <w:bCs/>
          <w:color w:val="auto"/>
          <w:sz w:val="22"/>
          <w:szCs w:val="22"/>
          <w:highlight w:val="none"/>
        </w:rPr>
        <w:t>投标文件报价出现前后不一致的，除招标文件另有规定外，按照下列规定修正：</w:t>
      </w:r>
    </w:p>
    <w:p w14:paraId="08060F09">
      <w:pPr>
        <w:spacing w:line="460" w:lineRule="exact"/>
        <w:ind w:firstLine="418" w:firstLineChars="190"/>
        <w:rPr>
          <w:rFonts w:ascii="宋体" w:hAnsi="宋体" w:cs="宋体"/>
          <w:color w:val="auto"/>
          <w:kern w:val="0"/>
          <w:sz w:val="22"/>
          <w:szCs w:val="22"/>
          <w:highlight w:val="none"/>
        </w:rPr>
      </w:pPr>
      <w:r>
        <w:rPr>
          <w:rFonts w:hint="eastAsia" w:ascii="宋体" w:hAnsi="宋体" w:cs="宋体"/>
          <w:color w:val="auto"/>
          <w:kern w:val="0"/>
          <w:sz w:val="22"/>
          <w:szCs w:val="22"/>
          <w:highlight w:val="none"/>
        </w:rPr>
        <w:t>1）</w:t>
      </w:r>
      <w:r>
        <w:rPr>
          <w:rFonts w:hint="eastAsia" w:ascii="宋体" w:hAnsi="宋体" w:cs="宋体"/>
          <w:color w:val="auto"/>
          <w:sz w:val="22"/>
          <w:highlight w:val="none"/>
        </w:rPr>
        <w:t>投标文件中开标一览表（报价表）内容与投标文件中相应内容不一致的，以开标一览表（报价表）为准</w:t>
      </w:r>
      <w:r>
        <w:rPr>
          <w:rFonts w:hint="eastAsia" w:ascii="宋体" w:hAnsi="宋体" w:cs="宋体"/>
          <w:color w:val="auto"/>
          <w:kern w:val="0"/>
          <w:sz w:val="22"/>
          <w:szCs w:val="22"/>
          <w:highlight w:val="none"/>
        </w:rPr>
        <w:t>。</w:t>
      </w:r>
    </w:p>
    <w:p w14:paraId="3A485BEB">
      <w:pPr>
        <w:spacing w:line="460" w:lineRule="exact"/>
        <w:ind w:firstLine="418" w:firstLineChars="190"/>
        <w:rPr>
          <w:rFonts w:ascii="宋体" w:hAnsi="宋体" w:cs="宋体"/>
          <w:color w:val="auto"/>
          <w:sz w:val="22"/>
          <w:highlight w:val="none"/>
        </w:rPr>
      </w:pPr>
      <w:r>
        <w:rPr>
          <w:rFonts w:hint="eastAsia" w:ascii="宋体" w:hAnsi="宋体" w:cs="宋体"/>
          <w:color w:val="auto"/>
          <w:kern w:val="0"/>
          <w:sz w:val="22"/>
          <w:szCs w:val="22"/>
          <w:highlight w:val="none"/>
        </w:rPr>
        <w:t>2）</w:t>
      </w:r>
      <w:r>
        <w:rPr>
          <w:rFonts w:hint="eastAsia" w:ascii="宋体" w:hAnsi="宋体" w:cs="宋体"/>
          <w:color w:val="auto"/>
          <w:sz w:val="22"/>
          <w:highlight w:val="none"/>
        </w:rPr>
        <w:t>大写金额和小写金额不一致的，以大写金额为准。</w:t>
      </w:r>
    </w:p>
    <w:p w14:paraId="566BF971">
      <w:pPr>
        <w:spacing w:line="460" w:lineRule="exact"/>
        <w:ind w:firstLine="418" w:firstLineChars="190"/>
        <w:rPr>
          <w:rFonts w:ascii="宋体" w:hAnsi="宋体" w:cs="宋体"/>
          <w:color w:val="auto"/>
          <w:sz w:val="22"/>
          <w:highlight w:val="none"/>
        </w:rPr>
      </w:pPr>
      <w:r>
        <w:rPr>
          <w:rFonts w:hint="eastAsia" w:ascii="宋体" w:hAnsi="宋体" w:cs="宋体"/>
          <w:color w:val="auto"/>
          <w:sz w:val="22"/>
          <w:highlight w:val="none"/>
        </w:rPr>
        <w:t>3）单价金额小数点或者百分比有明显错位的，以开标一览表的总价为准，并修改单价。</w:t>
      </w:r>
    </w:p>
    <w:p w14:paraId="3A80471F">
      <w:pPr>
        <w:spacing w:line="460" w:lineRule="exact"/>
        <w:ind w:firstLine="418" w:firstLineChars="190"/>
        <w:rPr>
          <w:rFonts w:ascii="宋体" w:hAnsi="宋体" w:cs="宋体"/>
          <w:color w:val="auto"/>
          <w:sz w:val="22"/>
          <w:highlight w:val="none"/>
        </w:rPr>
      </w:pPr>
      <w:r>
        <w:rPr>
          <w:rFonts w:hint="eastAsia" w:ascii="宋体" w:hAnsi="宋体" w:cs="宋体"/>
          <w:color w:val="auto"/>
          <w:sz w:val="22"/>
          <w:highlight w:val="none"/>
        </w:rPr>
        <w:t>4）总价金额与按单价汇总金额不一致的，以单价金额计算结果为准。</w:t>
      </w:r>
    </w:p>
    <w:p w14:paraId="181E62DB">
      <w:pPr>
        <w:spacing w:line="460" w:lineRule="exact"/>
        <w:ind w:firstLine="418" w:firstLineChars="190"/>
        <w:rPr>
          <w:rFonts w:ascii="宋体" w:hAnsi="宋体" w:cs="宋体"/>
          <w:b/>
          <w:bCs/>
          <w:color w:val="auto"/>
          <w:sz w:val="22"/>
          <w:highlight w:val="none"/>
        </w:rPr>
      </w:pPr>
      <w:r>
        <w:rPr>
          <w:rFonts w:hint="eastAsia" w:ascii="宋体" w:hAnsi="宋体" w:cs="宋体"/>
          <w:color w:val="auto"/>
          <w:sz w:val="22"/>
          <w:highlight w:val="none"/>
        </w:rPr>
        <w:t>5）</w:t>
      </w:r>
      <w:r>
        <w:rPr>
          <w:rFonts w:hint="eastAsia" w:ascii="宋体" w:hAnsi="宋体" w:cs="宋体"/>
          <w:b/>
          <w:bCs/>
          <w:color w:val="auto"/>
          <w:sz w:val="22"/>
          <w:highlight w:val="none"/>
        </w:rPr>
        <w:t>同时出现两种以上不一致的，按照前款规定的顺序修正。修正后的报价按照本招标文件规定经投标人确认后产生约束力，投标人不确认的，其投标无效。</w:t>
      </w:r>
    </w:p>
    <w:p w14:paraId="5160464C">
      <w:pPr>
        <w:numPr>
          <w:ilvl w:val="1"/>
          <w:numId w:val="37"/>
        </w:numPr>
        <w:tabs>
          <w:tab w:val="left" w:pos="360"/>
          <w:tab w:val="clear" w:pos="992"/>
        </w:tabs>
        <w:spacing w:line="460" w:lineRule="exact"/>
        <w:ind w:left="640"/>
        <w:rPr>
          <w:rFonts w:ascii="宋体" w:hAnsi="宋体" w:cs="Arial"/>
          <w:b/>
          <w:bCs/>
          <w:color w:val="auto"/>
          <w:sz w:val="22"/>
          <w:szCs w:val="22"/>
          <w:highlight w:val="none"/>
        </w:rPr>
      </w:pPr>
      <w:r>
        <w:rPr>
          <w:rFonts w:hint="eastAsia" w:ascii="宋体" w:hAnsi="宋体" w:cs="宋体"/>
          <w:color w:val="auto"/>
          <w:kern w:val="0"/>
          <w:sz w:val="22"/>
          <w:szCs w:val="22"/>
          <w:highlight w:val="none"/>
        </w:rPr>
        <w:t>▲</w:t>
      </w:r>
      <w:r>
        <w:rPr>
          <w:rFonts w:hint="eastAsia" w:ascii="宋体" w:hAnsi="宋体" w:cs="宋体"/>
          <w:b/>
          <w:bCs/>
          <w:color w:val="auto"/>
          <w:kern w:val="0"/>
          <w:sz w:val="22"/>
          <w:szCs w:val="22"/>
          <w:highlight w:val="none"/>
        </w:rPr>
        <w:t>评标委员会认为投标人的报价明显低于其他通过符合性审查投标人的报价，有可能影响产品质</w:t>
      </w:r>
      <w:r>
        <w:rPr>
          <w:rFonts w:hint="eastAsia" w:ascii="宋体" w:hAnsi="宋体" w:cs="Arial"/>
          <w:b/>
          <w:bCs/>
          <w:color w:val="auto"/>
          <w:sz w:val="22"/>
          <w:szCs w:val="22"/>
          <w:highlight w:val="none"/>
        </w:rPr>
        <w:t>量或者不能诚信履约的，将要求其在合理时间内在“政采云平台”上作出在线澄清并提供书面说明，必要时提交相关证明材料；投标人不能证明其报价合理性的，评标委员会应当将其作为无效投标处理。</w:t>
      </w:r>
    </w:p>
    <w:p w14:paraId="1AA39031">
      <w:pPr>
        <w:numPr>
          <w:ilvl w:val="1"/>
          <w:numId w:val="3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如果投标人代表拒绝按评标委员会要求在“政采云平台”作出在线回复且无其他有效回复方式的，评标委员会可以对其作出否决投标处理。</w:t>
      </w:r>
    </w:p>
    <w:p w14:paraId="4CB6D5F1">
      <w:pPr>
        <w:numPr>
          <w:ilvl w:val="1"/>
          <w:numId w:val="37"/>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经澄清后，若偏差仍存在，且不可接受，则投标文件将被认定为“没有实质性响应招标文件要求”，按无效投标处理，不再进入下一步评审。</w:t>
      </w:r>
    </w:p>
    <w:p w14:paraId="4E1E2D35">
      <w:pPr>
        <w:numPr>
          <w:ilvl w:val="0"/>
          <w:numId w:val="31"/>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评标原则和评标办法</w:t>
      </w:r>
    </w:p>
    <w:p w14:paraId="6161BF13">
      <w:pPr>
        <w:numPr>
          <w:ilvl w:val="1"/>
          <w:numId w:val="38"/>
        </w:numPr>
        <w:tabs>
          <w:tab w:val="left" w:pos="360"/>
          <w:tab w:val="clear" w:pos="992"/>
        </w:tabs>
        <w:spacing w:line="460" w:lineRule="exact"/>
        <w:ind w:left="418" w:leftChars="-68" w:hanging="561" w:hangingChars="255"/>
        <w:rPr>
          <w:rFonts w:ascii="宋体" w:hAnsi="宋体" w:cs="Arial"/>
          <w:color w:val="auto"/>
          <w:sz w:val="22"/>
          <w:szCs w:val="22"/>
          <w:highlight w:val="none"/>
        </w:rPr>
      </w:pPr>
      <w:r>
        <w:rPr>
          <w:rFonts w:hint="eastAsia" w:ascii="宋体" w:hAnsi="宋体" w:cs="Arial"/>
          <w:color w:val="auto"/>
          <w:sz w:val="22"/>
          <w:szCs w:val="22"/>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6F57949D">
      <w:pPr>
        <w:numPr>
          <w:ilvl w:val="1"/>
          <w:numId w:val="38"/>
        </w:numPr>
        <w:tabs>
          <w:tab w:val="left" w:pos="360"/>
          <w:tab w:val="clear" w:pos="992"/>
        </w:tabs>
        <w:spacing w:line="460" w:lineRule="exact"/>
        <w:ind w:left="418" w:leftChars="-68" w:hanging="561" w:hangingChars="255"/>
        <w:rPr>
          <w:rFonts w:ascii="宋体" w:hAnsi="宋体" w:cs="Arial"/>
          <w:color w:val="auto"/>
          <w:sz w:val="22"/>
          <w:szCs w:val="22"/>
          <w:highlight w:val="none"/>
        </w:rPr>
      </w:pPr>
      <w:r>
        <w:rPr>
          <w:rFonts w:hint="eastAsia" w:ascii="宋体" w:hAnsi="宋体" w:cs="Arial"/>
          <w:color w:val="auto"/>
          <w:sz w:val="22"/>
          <w:szCs w:val="22"/>
          <w:highlight w:val="none"/>
        </w:rPr>
        <w:t>评标中因评标委员会成员缺席、回避或者健康等特殊原因导致评标委员会组成不符合规定的，依法补足后继续评标。被更换的评标委员会成员所作出的评标意见无效。</w:t>
      </w:r>
    </w:p>
    <w:p w14:paraId="1447D282">
      <w:pPr>
        <w:numPr>
          <w:ilvl w:val="1"/>
          <w:numId w:val="38"/>
        </w:numPr>
        <w:tabs>
          <w:tab w:val="left" w:pos="360"/>
          <w:tab w:val="clear" w:pos="992"/>
        </w:tabs>
        <w:spacing w:line="460" w:lineRule="exact"/>
        <w:ind w:left="418" w:leftChars="-68" w:hanging="561" w:hangingChars="255"/>
        <w:rPr>
          <w:rFonts w:ascii="宋体" w:hAnsi="宋体" w:cs="Arial"/>
          <w:color w:val="auto"/>
          <w:sz w:val="22"/>
          <w:szCs w:val="22"/>
          <w:highlight w:val="none"/>
        </w:rPr>
      </w:pPr>
      <w:r>
        <w:rPr>
          <w:rFonts w:hint="eastAsia" w:ascii="宋体" w:hAnsi="宋体" w:cs="Arial"/>
          <w:color w:val="auto"/>
          <w:sz w:val="22"/>
          <w:szCs w:val="22"/>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2F75368E">
      <w:pPr>
        <w:numPr>
          <w:ilvl w:val="1"/>
          <w:numId w:val="38"/>
        </w:numPr>
        <w:tabs>
          <w:tab w:val="left" w:pos="360"/>
          <w:tab w:val="clear" w:pos="992"/>
        </w:tabs>
        <w:spacing w:line="460" w:lineRule="exact"/>
        <w:ind w:left="418" w:leftChars="-68" w:hanging="561" w:hangingChars="255"/>
        <w:rPr>
          <w:rFonts w:ascii="宋体" w:hAnsi="宋体" w:cs="Arial"/>
          <w:color w:val="auto"/>
          <w:sz w:val="22"/>
          <w:szCs w:val="22"/>
          <w:highlight w:val="none"/>
        </w:rPr>
      </w:pPr>
      <w:r>
        <w:rPr>
          <w:rFonts w:hint="eastAsia" w:ascii="宋体" w:hAnsi="宋体" w:cs="Arial"/>
          <w:color w:val="auto"/>
          <w:sz w:val="22"/>
          <w:szCs w:val="22"/>
          <w:highlight w:val="none"/>
        </w:rPr>
        <w:t>本项目评标办法是综合评分法，具体评标内容及评分标准等详见第三部分“评标原则及方法”。</w:t>
      </w:r>
    </w:p>
    <w:p w14:paraId="4D76947B">
      <w:pPr>
        <w:numPr>
          <w:ilvl w:val="1"/>
          <w:numId w:val="38"/>
        </w:numPr>
        <w:tabs>
          <w:tab w:val="left" w:pos="360"/>
          <w:tab w:val="clear" w:pos="992"/>
        </w:tabs>
        <w:spacing w:line="460" w:lineRule="exact"/>
        <w:ind w:left="418" w:leftChars="-68" w:hanging="561" w:hangingChars="255"/>
        <w:rPr>
          <w:rFonts w:ascii="宋体" w:hAnsi="宋体" w:cs="Arial"/>
          <w:color w:val="auto"/>
          <w:sz w:val="22"/>
          <w:szCs w:val="22"/>
          <w:highlight w:val="none"/>
        </w:rPr>
      </w:pPr>
      <w:r>
        <w:rPr>
          <w:rFonts w:hint="eastAsia" w:ascii="宋体" w:hAnsi="宋体" w:cs="Arial"/>
          <w:color w:val="auto"/>
          <w:sz w:val="22"/>
          <w:szCs w:val="22"/>
          <w:highlight w:val="none"/>
        </w:rPr>
        <w:t>评标过程中遇到特殊情况，由评标委员会遵循公开、公正原则，采取投票方式按照少数服从多数原则决定。</w:t>
      </w:r>
    </w:p>
    <w:p w14:paraId="448812CE">
      <w:pPr>
        <w:numPr>
          <w:ilvl w:val="0"/>
          <w:numId w:val="31"/>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确定中标候选人</w:t>
      </w:r>
    </w:p>
    <w:p w14:paraId="4576007A">
      <w:pPr>
        <w:numPr>
          <w:ilvl w:val="1"/>
          <w:numId w:val="39"/>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本次招标由评标委员会推荐中标候选人，采购人根据评标委员会的推荐结果进行最终确认。</w:t>
      </w:r>
    </w:p>
    <w:p w14:paraId="4911DE1A">
      <w:pPr>
        <w:numPr>
          <w:ilvl w:val="1"/>
          <w:numId w:val="39"/>
        </w:numPr>
        <w:tabs>
          <w:tab w:val="left" w:pos="360"/>
          <w:tab w:val="clear" w:pos="992"/>
        </w:tabs>
        <w:spacing w:line="460" w:lineRule="exact"/>
        <w:ind w:left="640"/>
        <w:rPr>
          <w:rFonts w:ascii="宋体" w:hAnsi="宋体" w:cs="宋体"/>
          <w:color w:val="auto"/>
          <w:kern w:val="0"/>
          <w:sz w:val="22"/>
          <w:szCs w:val="22"/>
          <w:highlight w:val="none"/>
        </w:rPr>
      </w:pPr>
      <w:r>
        <w:rPr>
          <w:rFonts w:hint="eastAsia" w:ascii="宋体" w:hAnsi="宋体" w:cs="Arial"/>
          <w:color w:val="auto"/>
          <w:sz w:val="22"/>
          <w:szCs w:val="22"/>
          <w:highlight w:val="none"/>
        </w:rPr>
        <w:t>评标委员会依据法律、法规及采购文件有关规定在有效标中按投标人的综合得分（商务技术分</w:t>
      </w:r>
      <w:r>
        <w:rPr>
          <w:rFonts w:hint="eastAsia" w:ascii="宋体" w:hAnsi="宋体" w:cs="宋体"/>
          <w:b/>
          <w:bCs/>
          <w:color w:val="auto"/>
          <w:kern w:val="0"/>
          <w:sz w:val="22"/>
          <w:szCs w:val="22"/>
          <w:highlight w:val="none"/>
        </w:rPr>
        <w:t>及报价分之各）高低进行排序，综合得分前二名投标人依次作为第一中标候选人和第二中标候选人向采购人推荐，并提交评标报告。综合得分相同的以报价分得分高的优先；综合得分相同且报价分得分相同的，由评标委员会随机抽签决定排序。</w:t>
      </w:r>
    </w:p>
    <w:p w14:paraId="42358F41">
      <w:pPr>
        <w:numPr>
          <w:ilvl w:val="1"/>
          <w:numId w:val="39"/>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b/>
          <w:bCs/>
          <w:color w:val="auto"/>
          <w:sz w:val="22"/>
          <w:szCs w:val="22"/>
          <w:highlight w:val="none"/>
          <w:u w:val="single"/>
        </w:rPr>
        <w:t>若出现以下情形之一，采购人可视具体情况确定是否由备选中标人为中标人或重新组织招标：</w:t>
      </w:r>
    </w:p>
    <w:p w14:paraId="01C4DECB">
      <w:pPr>
        <w:spacing w:line="460" w:lineRule="exact"/>
        <w:ind w:firstLine="418" w:firstLineChars="190"/>
        <w:rPr>
          <w:rFonts w:ascii="宋体" w:hAnsi="宋体" w:cs="宋体"/>
          <w:color w:val="auto"/>
          <w:kern w:val="0"/>
          <w:sz w:val="22"/>
          <w:szCs w:val="22"/>
          <w:highlight w:val="none"/>
        </w:rPr>
      </w:pPr>
      <w:r>
        <w:rPr>
          <w:rFonts w:hint="eastAsia" w:ascii="宋体" w:hAnsi="宋体" w:cs="宋体"/>
          <w:color w:val="auto"/>
          <w:kern w:val="0"/>
          <w:sz w:val="22"/>
          <w:szCs w:val="22"/>
          <w:highlight w:val="none"/>
        </w:rPr>
        <w:t>1）中标候选人放弃中标资格；</w:t>
      </w:r>
    </w:p>
    <w:p w14:paraId="08B67988">
      <w:pPr>
        <w:spacing w:line="460" w:lineRule="exact"/>
        <w:ind w:firstLine="418" w:firstLineChars="190"/>
        <w:rPr>
          <w:rFonts w:ascii="宋体" w:hAnsi="宋体" w:cs="宋体"/>
          <w:color w:val="auto"/>
          <w:kern w:val="0"/>
          <w:sz w:val="22"/>
          <w:szCs w:val="22"/>
          <w:highlight w:val="none"/>
        </w:rPr>
      </w:pPr>
      <w:r>
        <w:rPr>
          <w:rFonts w:hint="eastAsia" w:ascii="宋体" w:hAnsi="宋体" w:cs="宋体"/>
          <w:color w:val="auto"/>
          <w:kern w:val="0"/>
          <w:sz w:val="22"/>
          <w:szCs w:val="22"/>
          <w:highlight w:val="none"/>
        </w:rPr>
        <w:t>2）中标候选人因不可抗力提出不能履行合同；</w:t>
      </w:r>
    </w:p>
    <w:p w14:paraId="77F551A7">
      <w:pPr>
        <w:spacing w:line="460" w:lineRule="exact"/>
        <w:ind w:firstLine="418" w:firstLineChars="190"/>
        <w:rPr>
          <w:rFonts w:ascii="宋体" w:hAnsi="宋体" w:cs="宋体"/>
          <w:color w:val="auto"/>
          <w:kern w:val="0"/>
          <w:sz w:val="22"/>
          <w:szCs w:val="22"/>
          <w:highlight w:val="none"/>
        </w:rPr>
      </w:pPr>
      <w:r>
        <w:rPr>
          <w:rFonts w:hint="eastAsia" w:ascii="宋体" w:hAnsi="宋体" w:cs="宋体"/>
          <w:color w:val="auto"/>
          <w:kern w:val="0"/>
          <w:sz w:val="22"/>
          <w:szCs w:val="22"/>
          <w:highlight w:val="none"/>
        </w:rPr>
        <w:t>3）中标候选人未能在规定时间内与采购单位签订合同；</w:t>
      </w:r>
    </w:p>
    <w:p w14:paraId="03528BEC">
      <w:pPr>
        <w:spacing w:line="460" w:lineRule="exact"/>
        <w:ind w:firstLine="418" w:firstLineChars="190"/>
        <w:rPr>
          <w:rFonts w:ascii="宋体" w:hAnsi="宋体" w:cs="宋体"/>
          <w:color w:val="auto"/>
          <w:kern w:val="0"/>
          <w:sz w:val="22"/>
          <w:szCs w:val="22"/>
          <w:highlight w:val="none"/>
        </w:rPr>
      </w:pPr>
      <w:r>
        <w:rPr>
          <w:rFonts w:hint="eastAsia" w:ascii="宋体" w:hAnsi="宋体" w:cs="宋体"/>
          <w:color w:val="auto"/>
          <w:kern w:val="0"/>
          <w:sz w:val="22"/>
          <w:szCs w:val="22"/>
          <w:highlight w:val="none"/>
        </w:rPr>
        <w:t>4）经质疑，采购人审查后，中标候选人确实在本次采购活动中存在违法违规行为或其他原因使质疑成立的。</w:t>
      </w:r>
    </w:p>
    <w:p w14:paraId="584B0626">
      <w:pPr>
        <w:numPr>
          <w:ilvl w:val="1"/>
          <w:numId w:val="39"/>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采购人、采购代理机构及评标委员会对未中标的投标人不作解释。</w:t>
      </w:r>
    </w:p>
    <w:p w14:paraId="437333A9">
      <w:pPr>
        <w:numPr>
          <w:ilvl w:val="0"/>
          <w:numId w:val="31"/>
        </w:numPr>
        <w:tabs>
          <w:tab w:val="left" w:pos="540"/>
          <w:tab w:val="clear" w:pos="420"/>
        </w:tabs>
        <w:spacing w:line="460" w:lineRule="exact"/>
        <w:rPr>
          <w:rFonts w:ascii="宋体" w:hAnsi="宋体" w:cs="Arial"/>
          <w:bCs/>
          <w:color w:val="auto"/>
          <w:sz w:val="22"/>
          <w:szCs w:val="22"/>
          <w:highlight w:val="none"/>
        </w:rPr>
      </w:pPr>
      <w:bookmarkStart w:id="142" w:name="_Toc34221901"/>
      <w:bookmarkStart w:id="143" w:name="_Toc34508136"/>
      <w:bookmarkStart w:id="144" w:name="_Toc306613654"/>
      <w:r>
        <w:rPr>
          <w:rFonts w:hint="eastAsia" w:ascii="宋体" w:hAnsi="宋体" w:cs="Arial"/>
          <w:bCs/>
          <w:color w:val="auto"/>
          <w:sz w:val="22"/>
          <w:szCs w:val="22"/>
          <w:highlight w:val="none"/>
        </w:rPr>
        <w:t xml:space="preserve"> 可中止电子交易活动的情形</w:t>
      </w:r>
    </w:p>
    <w:p w14:paraId="16099F27">
      <w:pPr>
        <w:numPr>
          <w:ilvl w:val="1"/>
          <w:numId w:val="40"/>
        </w:numPr>
        <w:tabs>
          <w:tab w:val="left" w:pos="640"/>
          <w:tab w:val="clear" w:pos="992"/>
        </w:tabs>
        <w:spacing w:line="460" w:lineRule="exact"/>
        <w:ind w:left="640"/>
        <w:rPr>
          <w:rFonts w:ascii="宋体" w:hAnsi="宋体" w:cs="Arial"/>
          <w:b/>
          <w:bCs/>
          <w:color w:val="auto"/>
          <w:sz w:val="22"/>
          <w:szCs w:val="22"/>
          <w:highlight w:val="none"/>
        </w:rPr>
      </w:pPr>
      <w:r>
        <w:rPr>
          <w:rFonts w:hint="eastAsia" w:ascii="宋体" w:hAnsi="宋体" w:cs="Arial"/>
          <w:b/>
          <w:bCs/>
          <w:color w:val="auto"/>
          <w:sz w:val="22"/>
          <w:szCs w:val="22"/>
          <w:highlight w:val="none"/>
        </w:rPr>
        <w:t>采购过程中出现以下情形，导致电子交易平台无法正常运行，或者无法保证电子交易的公平、公正和安全时，采购组织机构可中止电子交易活动：</w:t>
      </w:r>
    </w:p>
    <w:p w14:paraId="29094E3A">
      <w:pPr>
        <w:numPr>
          <w:ilvl w:val="2"/>
          <w:numId w:val="41"/>
        </w:numPr>
        <w:tabs>
          <w:tab w:val="left" w:pos="993"/>
        </w:tabs>
        <w:spacing w:line="460" w:lineRule="exact"/>
        <w:ind w:left="993" w:hanging="426"/>
        <w:rPr>
          <w:rFonts w:ascii="宋体" w:hAnsi="宋体" w:cs="宋体"/>
          <w:color w:val="auto"/>
          <w:kern w:val="0"/>
          <w:sz w:val="22"/>
          <w:szCs w:val="22"/>
          <w:highlight w:val="none"/>
        </w:rPr>
      </w:pPr>
      <w:r>
        <w:rPr>
          <w:rFonts w:hint="eastAsia" w:ascii="宋体" w:hAnsi="宋体" w:cs="宋体"/>
          <w:color w:val="auto"/>
          <w:kern w:val="0"/>
          <w:sz w:val="22"/>
          <w:szCs w:val="22"/>
          <w:highlight w:val="none"/>
        </w:rPr>
        <w:t>电子交易平台发生故障而无法登录访问的；</w:t>
      </w:r>
    </w:p>
    <w:p w14:paraId="5F173B9A">
      <w:pPr>
        <w:numPr>
          <w:ilvl w:val="2"/>
          <w:numId w:val="41"/>
        </w:numPr>
        <w:tabs>
          <w:tab w:val="left" w:pos="993"/>
        </w:tabs>
        <w:spacing w:line="460" w:lineRule="exact"/>
        <w:ind w:left="993" w:hanging="426"/>
        <w:rPr>
          <w:rFonts w:ascii="宋体" w:hAnsi="宋体" w:cs="宋体"/>
          <w:color w:val="auto"/>
          <w:kern w:val="0"/>
          <w:sz w:val="22"/>
          <w:szCs w:val="22"/>
          <w:highlight w:val="none"/>
        </w:rPr>
      </w:pPr>
      <w:r>
        <w:rPr>
          <w:rFonts w:hint="eastAsia" w:ascii="宋体" w:hAnsi="宋体" w:cs="宋体"/>
          <w:color w:val="auto"/>
          <w:kern w:val="0"/>
          <w:sz w:val="22"/>
          <w:szCs w:val="22"/>
          <w:highlight w:val="none"/>
        </w:rPr>
        <w:t>电子交易平台应用或数据库出现错误，不能进行正常操作的；</w:t>
      </w:r>
    </w:p>
    <w:p w14:paraId="6B07E9E7">
      <w:pPr>
        <w:numPr>
          <w:ilvl w:val="2"/>
          <w:numId w:val="41"/>
        </w:numPr>
        <w:tabs>
          <w:tab w:val="left" w:pos="993"/>
        </w:tabs>
        <w:spacing w:line="460" w:lineRule="exact"/>
        <w:ind w:left="993" w:hanging="426"/>
        <w:rPr>
          <w:rFonts w:ascii="宋体" w:hAnsi="宋体" w:cs="宋体"/>
          <w:color w:val="auto"/>
          <w:kern w:val="0"/>
          <w:sz w:val="22"/>
          <w:szCs w:val="22"/>
          <w:highlight w:val="none"/>
        </w:rPr>
      </w:pPr>
      <w:r>
        <w:rPr>
          <w:rFonts w:hint="eastAsia" w:ascii="宋体" w:hAnsi="宋体" w:cs="宋体"/>
          <w:color w:val="auto"/>
          <w:kern w:val="0"/>
          <w:sz w:val="22"/>
          <w:szCs w:val="22"/>
          <w:highlight w:val="none"/>
        </w:rPr>
        <w:t>电子交易平台发现严重安全漏洞，有潜在泄密危险的；</w:t>
      </w:r>
    </w:p>
    <w:p w14:paraId="65D70BA7">
      <w:pPr>
        <w:numPr>
          <w:ilvl w:val="2"/>
          <w:numId w:val="41"/>
        </w:numPr>
        <w:tabs>
          <w:tab w:val="left" w:pos="993"/>
        </w:tabs>
        <w:spacing w:line="460" w:lineRule="exact"/>
        <w:ind w:left="993" w:hanging="426"/>
        <w:rPr>
          <w:rFonts w:ascii="宋体" w:hAnsi="宋体" w:cs="宋体"/>
          <w:color w:val="auto"/>
          <w:kern w:val="0"/>
          <w:sz w:val="22"/>
          <w:szCs w:val="22"/>
          <w:highlight w:val="none"/>
        </w:rPr>
      </w:pPr>
      <w:r>
        <w:rPr>
          <w:rFonts w:hint="eastAsia" w:ascii="宋体" w:hAnsi="宋体" w:cs="宋体"/>
          <w:color w:val="auto"/>
          <w:kern w:val="0"/>
          <w:sz w:val="22"/>
          <w:szCs w:val="22"/>
          <w:highlight w:val="none"/>
        </w:rPr>
        <w:t>病毒发作导致不能进行正常操作的；</w:t>
      </w:r>
    </w:p>
    <w:p w14:paraId="3C2154F8">
      <w:pPr>
        <w:numPr>
          <w:ilvl w:val="2"/>
          <w:numId w:val="41"/>
        </w:numPr>
        <w:tabs>
          <w:tab w:val="left" w:pos="993"/>
        </w:tabs>
        <w:spacing w:line="460" w:lineRule="exact"/>
        <w:ind w:left="993" w:hanging="426"/>
        <w:rPr>
          <w:rFonts w:ascii="宋体" w:hAnsi="宋体" w:cs="宋体"/>
          <w:color w:val="auto"/>
          <w:kern w:val="0"/>
          <w:sz w:val="22"/>
          <w:szCs w:val="22"/>
          <w:highlight w:val="none"/>
        </w:rPr>
      </w:pPr>
      <w:r>
        <w:rPr>
          <w:rFonts w:hint="eastAsia" w:ascii="宋体" w:hAnsi="宋体" w:cs="宋体"/>
          <w:color w:val="auto"/>
          <w:kern w:val="0"/>
          <w:sz w:val="22"/>
          <w:szCs w:val="22"/>
          <w:highlight w:val="none"/>
        </w:rPr>
        <w:t>其他无法保证电子交易的公平、公正和安全的情况。</w:t>
      </w:r>
    </w:p>
    <w:p w14:paraId="3AA581E4">
      <w:pPr>
        <w:numPr>
          <w:ilvl w:val="1"/>
          <w:numId w:val="40"/>
        </w:numPr>
        <w:tabs>
          <w:tab w:val="left" w:pos="64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出现前款规定情形，不影响采购公平、公正性的，采购组织机构可以待上述情形消除后继续组织电子交易活动；影响或可能影响采购公平、公正性的，应当重新采购。</w:t>
      </w:r>
    </w:p>
    <w:p w14:paraId="3CE98ED3">
      <w:pPr>
        <w:pStyle w:val="2"/>
        <w:ind w:left="420"/>
        <w:jc w:val="center"/>
        <w:rPr>
          <w:rFonts w:ascii="宋体" w:hAnsi="宋体"/>
          <w:color w:val="auto"/>
          <w:sz w:val="26"/>
          <w:szCs w:val="26"/>
          <w:highlight w:val="none"/>
        </w:rPr>
      </w:pPr>
      <w:bookmarkStart w:id="145" w:name="_Toc7414"/>
      <w:r>
        <w:rPr>
          <w:rFonts w:hint="eastAsia" w:ascii="宋体" w:hAnsi="宋体"/>
          <w:color w:val="auto"/>
          <w:sz w:val="26"/>
          <w:szCs w:val="26"/>
          <w:highlight w:val="none"/>
        </w:rPr>
        <w:t xml:space="preserve">八、 </w:t>
      </w:r>
      <w:bookmarkStart w:id="146" w:name="_Toc32607"/>
      <w:r>
        <w:rPr>
          <w:rFonts w:hint="eastAsia" w:ascii="宋体" w:hAnsi="宋体"/>
          <w:color w:val="auto"/>
          <w:sz w:val="26"/>
          <w:szCs w:val="26"/>
          <w:highlight w:val="none"/>
        </w:rPr>
        <w:t>授予合同</w:t>
      </w:r>
      <w:bookmarkEnd w:id="142"/>
      <w:bookmarkEnd w:id="143"/>
      <w:bookmarkEnd w:id="144"/>
      <w:bookmarkEnd w:id="145"/>
      <w:bookmarkEnd w:id="146"/>
    </w:p>
    <w:p w14:paraId="0590CF53">
      <w:pPr>
        <w:numPr>
          <w:ilvl w:val="0"/>
          <w:numId w:val="42"/>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确定中标人</w:t>
      </w:r>
    </w:p>
    <w:p w14:paraId="3934E82B">
      <w:pPr>
        <w:numPr>
          <w:ilvl w:val="1"/>
          <w:numId w:val="43"/>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采购人自收到评标报告之日起5个工作日内，在评标报告确定的中标候选人名单中按顺序确定中标人。</w:t>
      </w:r>
    </w:p>
    <w:p w14:paraId="6C0B2613">
      <w:pPr>
        <w:numPr>
          <w:ilvl w:val="1"/>
          <w:numId w:val="43"/>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中标人确定之日起2个工作日内，在“政采云”平台上公示中标结果，中标公告期限为1个工作日；</w:t>
      </w:r>
    </w:p>
    <w:p w14:paraId="4A3BF814">
      <w:pPr>
        <w:numPr>
          <w:ilvl w:val="1"/>
          <w:numId w:val="43"/>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在公告中标结果的同时，采购人向中标人发出中标通知书。</w:t>
      </w:r>
    </w:p>
    <w:p w14:paraId="0B60D3A3">
      <w:pPr>
        <w:numPr>
          <w:ilvl w:val="1"/>
          <w:numId w:val="43"/>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各投标人对评标结果如有异议，可在中标结果公示之日起7个工作日内以书面形式向采购人进行署名投诉或提出质疑，但需对投诉或质疑内容的真实性承担法律责任。</w:t>
      </w:r>
    </w:p>
    <w:p w14:paraId="0A285AD8">
      <w:pPr>
        <w:numPr>
          <w:ilvl w:val="0"/>
          <w:numId w:val="42"/>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签订合同</w:t>
      </w:r>
    </w:p>
    <w:p w14:paraId="51CC98C2">
      <w:pPr>
        <w:numPr>
          <w:ilvl w:val="1"/>
          <w:numId w:val="44"/>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公示期结束后，中标人须在5个工作日内主动联系采购人或采购机构领取中标通知书。中标人应当在中标通知书发出之日起30日内与采购人签订合同。中标人未经采购人许可，在规定时间内未到采购人处与采购人签订合同，则视为拒签合同。</w:t>
      </w:r>
    </w:p>
    <w:p w14:paraId="7537D2E4">
      <w:pPr>
        <w:numPr>
          <w:ilvl w:val="1"/>
          <w:numId w:val="44"/>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招标文件、中标人的投标文件及投标修改文件、评标过程中有关澄清文件及经双方签字的询标纪要（承诺）和中标通知书均作为合同附件。</w:t>
      </w:r>
    </w:p>
    <w:p w14:paraId="79EF44FE">
      <w:pPr>
        <w:numPr>
          <w:ilvl w:val="1"/>
          <w:numId w:val="44"/>
        </w:numPr>
        <w:tabs>
          <w:tab w:val="left" w:pos="360"/>
          <w:tab w:val="clear" w:pos="992"/>
        </w:tabs>
        <w:spacing w:line="460" w:lineRule="exact"/>
        <w:ind w:left="640"/>
        <w:rPr>
          <w:rFonts w:ascii="宋体" w:hAnsi="宋体" w:cs="Arial"/>
          <w:b/>
          <w:bCs/>
          <w:color w:val="auto"/>
          <w:sz w:val="22"/>
          <w:szCs w:val="22"/>
          <w:highlight w:val="none"/>
        </w:rPr>
      </w:pPr>
      <w:r>
        <w:rPr>
          <w:rFonts w:hint="eastAsia" w:ascii="宋体" w:hAnsi="宋体" w:cs="Arial"/>
          <w:b/>
          <w:bCs/>
          <w:color w:val="auto"/>
          <w:sz w:val="22"/>
          <w:szCs w:val="22"/>
          <w:highlight w:val="none"/>
        </w:rPr>
        <w:t>中标投标人应在合同签订后2个工作日内提交一份合同文本扫描件报招标代理机构备案。</w:t>
      </w:r>
    </w:p>
    <w:p w14:paraId="16EC64D4">
      <w:pPr>
        <w:numPr>
          <w:ilvl w:val="1"/>
          <w:numId w:val="44"/>
        </w:numPr>
        <w:tabs>
          <w:tab w:val="left" w:pos="360"/>
          <w:tab w:val="clear" w:pos="992"/>
        </w:tabs>
        <w:spacing w:line="460" w:lineRule="exact"/>
        <w:ind w:left="640"/>
        <w:rPr>
          <w:rFonts w:ascii="宋体" w:hAnsi="宋体" w:cs="Arial"/>
          <w:color w:val="auto"/>
          <w:sz w:val="22"/>
          <w:szCs w:val="22"/>
          <w:highlight w:val="none"/>
        </w:rPr>
      </w:pPr>
      <w:r>
        <w:rPr>
          <w:rFonts w:hint="eastAsia" w:ascii="宋体" w:hAnsi="宋体" w:cs="Arial"/>
          <w:color w:val="auto"/>
          <w:sz w:val="22"/>
          <w:szCs w:val="22"/>
          <w:highlight w:val="none"/>
        </w:rPr>
        <w:t>中标人在规定时间内（30日历天）借故否认已经承诺的条件、拒签合同，以投标违约处理，并赔偿采购人由此造成的直接经济损失；采购人重新组织招标的，所需费用由原中标人承担。</w:t>
      </w:r>
    </w:p>
    <w:p w14:paraId="4BA403CE">
      <w:pPr>
        <w:numPr>
          <w:ilvl w:val="0"/>
          <w:numId w:val="42"/>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
          <w:color w:val="auto"/>
          <w:sz w:val="22"/>
          <w:szCs w:val="22"/>
          <w:highlight w:val="none"/>
        </w:rPr>
        <w:t>根据《浙江省财政厅关于明确政府采购保证金管理工作的通知》（浙财采监〔2019〕5号）规定“供应商在政府采购活动中违反政府采购相关规定给采购组织机构造成损失的，采购组织机构可按照采购文件约定要求供应商承担赔偿责任。”的规定，对因</w:t>
      </w:r>
      <w:r>
        <w:rPr>
          <w:rFonts w:hint="eastAsia" w:ascii="宋体" w:hAnsi="宋体" w:cs="宋体"/>
          <w:b/>
          <w:color w:val="auto"/>
          <w:kern w:val="0"/>
          <w:sz w:val="22"/>
          <w:szCs w:val="22"/>
          <w:highlight w:val="none"/>
        </w:rPr>
        <w:t>违法违规行为或其他原因取消</w:t>
      </w:r>
      <w:r>
        <w:rPr>
          <w:rFonts w:hint="eastAsia" w:ascii="宋体" w:hAnsi="宋体" w:cs="Arial"/>
          <w:b/>
          <w:color w:val="auto"/>
          <w:sz w:val="22"/>
          <w:szCs w:val="22"/>
          <w:highlight w:val="none"/>
        </w:rPr>
        <w:t>中标（成交）资格，或自愿放弃中标（成交）资格的供应商，需承担代理费和专家评审费等费用。</w:t>
      </w:r>
    </w:p>
    <w:p w14:paraId="0A050CC5">
      <w:pPr>
        <w:pStyle w:val="2"/>
        <w:ind w:left="420"/>
        <w:jc w:val="center"/>
        <w:rPr>
          <w:rFonts w:ascii="宋体" w:hAnsi="宋体"/>
          <w:color w:val="auto"/>
          <w:sz w:val="26"/>
          <w:szCs w:val="26"/>
          <w:highlight w:val="none"/>
        </w:rPr>
      </w:pPr>
      <w:bookmarkStart w:id="147" w:name="_Toc18423"/>
      <w:bookmarkStart w:id="148" w:name="_Toc22702"/>
      <w:bookmarkStart w:id="149" w:name="_Toc25540"/>
      <w:r>
        <w:rPr>
          <w:rFonts w:hint="eastAsia" w:ascii="宋体" w:hAnsi="宋体"/>
          <w:color w:val="auto"/>
          <w:sz w:val="26"/>
          <w:szCs w:val="26"/>
          <w:highlight w:val="none"/>
        </w:rPr>
        <w:t>九、验收</w:t>
      </w:r>
      <w:bookmarkEnd w:id="147"/>
      <w:bookmarkEnd w:id="148"/>
      <w:bookmarkEnd w:id="149"/>
    </w:p>
    <w:p w14:paraId="7B2C09CC">
      <w:pPr>
        <w:numPr>
          <w:ilvl w:val="0"/>
          <w:numId w:val="45"/>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6FE312A">
      <w:pPr>
        <w:numPr>
          <w:ilvl w:val="0"/>
          <w:numId w:val="45"/>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采购人可以邀请参加本项目的其他供应商或者第三方机构参与验收。参与验收的供应商或者第三方机构的意见作为验收书的参考资料一并存档。</w:t>
      </w:r>
    </w:p>
    <w:p w14:paraId="634C2BFE">
      <w:pPr>
        <w:numPr>
          <w:ilvl w:val="0"/>
          <w:numId w:val="45"/>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3270D25A">
      <w:pPr>
        <w:numPr>
          <w:ilvl w:val="0"/>
          <w:numId w:val="45"/>
        </w:numPr>
        <w:tabs>
          <w:tab w:val="left" w:pos="540"/>
          <w:tab w:val="clear" w:pos="420"/>
        </w:tabs>
        <w:spacing w:line="460" w:lineRule="exact"/>
        <w:rPr>
          <w:rFonts w:ascii="宋体" w:hAnsi="宋体" w:cs="Arial"/>
          <w:bCs/>
          <w:color w:val="auto"/>
          <w:sz w:val="22"/>
          <w:szCs w:val="22"/>
          <w:highlight w:val="none"/>
        </w:rPr>
      </w:pPr>
      <w:r>
        <w:rPr>
          <w:rFonts w:hint="eastAsia" w:ascii="宋体" w:hAnsi="宋体" w:cs="Arial"/>
          <w:bCs/>
          <w:color w:val="auto"/>
          <w:sz w:val="22"/>
          <w:szCs w:val="22"/>
          <w:highlight w:val="none"/>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C42494D">
      <w:pPr>
        <w:numPr>
          <w:ilvl w:val="0"/>
          <w:numId w:val="45"/>
        </w:numPr>
        <w:tabs>
          <w:tab w:val="left" w:pos="540"/>
          <w:tab w:val="clear" w:pos="420"/>
        </w:tabs>
        <w:spacing w:line="460" w:lineRule="exact"/>
        <w:rPr>
          <w:rFonts w:ascii="宋体" w:hAnsi="宋体" w:cs="Arial"/>
          <w:b/>
          <w:color w:val="auto"/>
          <w:sz w:val="22"/>
          <w:szCs w:val="22"/>
          <w:highlight w:val="none"/>
        </w:rPr>
      </w:pPr>
      <w:bookmarkStart w:id="150" w:name="_Hlt75236101"/>
      <w:bookmarkEnd w:id="150"/>
      <w:bookmarkStart w:id="151" w:name="_Hlt74707468"/>
      <w:bookmarkEnd w:id="151"/>
      <w:bookmarkStart w:id="152" w:name="_Hlt74729768"/>
      <w:bookmarkEnd w:id="152"/>
      <w:bookmarkStart w:id="153" w:name="_Hlt68072998"/>
      <w:bookmarkEnd w:id="153"/>
      <w:bookmarkStart w:id="154" w:name="_Hlt68073093"/>
      <w:bookmarkEnd w:id="154"/>
      <w:bookmarkStart w:id="155" w:name="_Hlt75236290"/>
      <w:bookmarkEnd w:id="155"/>
      <w:bookmarkStart w:id="156" w:name="_Hlt68403820"/>
      <w:bookmarkEnd w:id="156"/>
      <w:bookmarkStart w:id="157" w:name="_Hlt74714665"/>
      <w:bookmarkEnd w:id="157"/>
      <w:bookmarkStart w:id="158" w:name="_Hlt74730295"/>
      <w:bookmarkEnd w:id="158"/>
      <w:bookmarkStart w:id="159" w:name="_Hlt68072990"/>
      <w:bookmarkEnd w:id="159"/>
      <w:bookmarkStart w:id="160" w:name="_Hlt75236011"/>
      <w:bookmarkEnd w:id="160"/>
      <w:bookmarkStart w:id="161" w:name="_Hlt68057669"/>
      <w:bookmarkEnd w:id="161"/>
      <w:r>
        <w:rPr>
          <w:rFonts w:hint="eastAsia" w:ascii="宋体" w:hAnsi="宋体" w:cs="Arial"/>
          <w:b/>
          <w:color w:val="auto"/>
          <w:sz w:val="22"/>
          <w:szCs w:val="22"/>
          <w:highlight w:val="none"/>
        </w:rPr>
        <w:t>履约验收费用由供应商承担，因供应商原因造成验收不通过的，再次验收的费用仍由供应商承担。如采用简易验收的，则不需要支付该笔费用。</w:t>
      </w:r>
    </w:p>
    <w:p w14:paraId="42CB8EAF">
      <w:pPr>
        <w:pStyle w:val="4"/>
        <w:rPr>
          <w:color w:val="auto"/>
          <w:highlight w:val="none"/>
        </w:rPr>
      </w:pPr>
    </w:p>
    <w:p w14:paraId="4E1A7B78">
      <w:pPr>
        <w:pStyle w:val="25"/>
        <w:rPr>
          <w:color w:val="auto"/>
          <w:highlight w:val="none"/>
        </w:rPr>
      </w:pPr>
    </w:p>
    <w:p w14:paraId="4F09909D">
      <w:pPr>
        <w:pStyle w:val="77"/>
        <w:rPr>
          <w:rFonts w:ascii="宋体" w:hAnsi="宋体"/>
          <w:color w:val="auto"/>
          <w:sz w:val="22"/>
          <w:szCs w:val="22"/>
          <w:highlight w:val="none"/>
        </w:rPr>
      </w:pPr>
    </w:p>
    <w:p w14:paraId="65018872">
      <w:pPr>
        <w:widowControl/>
        <w:spacing w:before="60" w:after="60" w:line="400" w:lineRule="exact"/>
        <w:ind w:left="424" w:leftChars="202" w:right="60" w:firstLine="440" w:firstLineChars="200"/>
        <w:jc w:val="center"/>
        <w:rPr>
          <w:rFonts w:ascii="宋体" w:hAnsi="宋体"/>
          <w:color w:val="auto"/>
          <w:sz w:val="22"/>
          <w:szCs w:val="22"/>
          <w:highlight w:val="none"/>
        </w:rPr>
      </w:pPr>
    </w:p>
    <w:p w14:paraId="2D6EE0B9">
      <w:pPr>
        <w:widowControl/>
        <w:spacing w:before="60" w:after="60" w:line="400" w:lineRule="exact"/>
        <w:ind w:left="424" w:leftChars="202" w:right="60" w:firstLine="440" w:firstLineChars="200"/>
        <w:jc w:val="center"/>
        <w:rPr>
          <w:rStyle w:val="78"/>
          <w:rFonts w:ascii="宋体" w:hAnsi="宋体" w:eastAsia="宋体" w:cs="宋体"/>
          <w:color w:val="auto"/>
          <w:sz w:val="36"/>
          <w:szCs w:val="36"/>
          <w:highlight w:val="none"/>
        </w:rPr>
      </w:pPr>
      <w:r>
        <w:rPr>
          <w:rFonts w:hint="eastAsia" w:ascii="宋体" w:hAnsi="宋体"/>
          <w:color w:val="auto"/>
          <w:sz w:val="22"/>
          <w:szCs w:val="22"/>
          <w:highlight w:val="none"/>
        </w:rPr>
        <w:br w:type="page"/>
      </w:r>
      <w:bookmarkStart w:id="162" w:name="_Toc245191317"/>
      <w:bookmarkStart w:id="163" w:name="_Toc262105506"/>
      <w:bookmarkStart w:id="164" w:name="_Toc19245"/>
      <w:bookmarkStart w:id="165" w:name="_Toc245722284"/>
      <w:bookmarkStart w:id="166" w:name="_Toc223716001"/>
      <w:bookmarkStart w:id="167" w:name="_Toc249758715"/>
      <w:bookmarkStart w:id="168" w:name="_Toc246261268"/>
      <w:bookmarkStart w:id="169" w:name="_Toc222114882"/>
      <w:bookmarkStart w:id="170" w:name="_Toc249758867"/>
      <w:bookmarkStart w:id="171" w:name="_Toc239145357"/>
      <w:bookmarkStart w:id="172" w:name="_Toc221374629"/>
      <w:bookmarkStart w:id="173" w:name="_Toc221423622"/>
      <w:bookmarkStart w:id="174" w:name="_Toc241404205"/>
      <w:bookmarkStart w:id="175" w:name="_Toc221356954"/>
      <w:bookmarkStart w:id="176" w:name="_Toc262049421"/>
      <w:bookmarkStart w:id="177" w:name="_Toc221356890"/>
      <w:r>
        <w:rPr>
          <w:rStyle w:val="78"/>
          <w:rFonts w:hint="eastAsia" w:ascii="宋体" w:hAnsi="宋体" w:eastAsia="宋体" w:cs="宋体"/>
          <w:color w:val="auto"/>
          <w:sz w:val="36"/>
          <w:szCs w:val="36"/>
          <w:highlight w:val="none"/>
        </w:rPr>
        <w:t>第二部分   招标内容及要求</w:t>
      </w:r>
    </w:p>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14:paraId="1BBD5F1D">
      <w:pPr>
        <w:spacing w:after="120" w:line="360" w:lineRule="auto"/>
        <w:rPr>
          <w:rFonts w:ascii="宋体" w:hAnsi="宋体" w:cs="宋体"/>
          <w:b/>
          <w:bCs/>
          <w:color w:val="auto"/>
          <w:kern w:val="0"/>
          <w:sz w:val="22"/>
          <w:szCs w:val="22"/>
          <w:highlight w:val="none"/>
        </w:rPr>
      </w:pPr>
      <w:bookmarkStart w:id="178" w:name="_Toc58438895"/>
      <w:bookmarkStart w:id="179" w:name="_Toc245722286"/>
      <w:bookmarkStart w:id="180" w:name="_Toc222114884"/>
      <w:bookmarkStart w:id="181" w:name="_Toc262049424"/>
      <w:bookmarkStart w:id="182" w:name="_Toc239145359"/>
      <w:bookmarkStart w:id="183" w:name="_Toc221423624"/>
      <w:bookmarkStart w:id="184" w:name="_Toc223716003"/>
      <w:bookmarkStart w:id="185" w:name="_Toc221356892"/>
      <w:bookmarkStart w:id="186" w:name="_Toc241404207"/>
      <w:bookmarkStart w:id="187" w:name="_Toc262105509"/>
      <w:bookmarkStart w:id="188" w:name="_Toc246261270"/>
      <w:bookmarkStart w:id="189" w:name="_Toc249758719"/>
      <w:bookmarkStart w:id="190" w:name="_Toc221356956"/>
      <w:bookmarkStart w:id="191" w:name="_Toc249758870"/>
      <w:bookmarkStart w:id="192" w:name="_Toc245191319"/>
      <w:bookmarkStart w:id="193" w:name="_Toc221374631"/>
      <w:bookmarkStart w:id="194" w:name="_Toc249758718"/>
    </w:p>
    <w:bookmarkEnd w:id="178"/>
    <w:p w14:paraId="6DE6ECB2">
      <w:pPr>
        <w:numPr>
          <w:ilvl w:val="0"/>
          <w:numId w:val="46"/>
        </w:numPr>
        <w:spacing w:after="120" w:line="400" w:lineRule="exact"/>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服务内容清单</w:t>
      </w:r>
    </w:p>
    <w:tbl>
      <w:tblPr>
        <w:tblStyle w:val="64"/>
        <w:tblW w:w="98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01"/>
        <w:gridCol w:w="6857"/>
      </w:tblGrid>
      <w:tr w14:paraId="2227D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3001" w:type="dxa"/>
            <w:vAlign w:val="center"/>
          </w:tcPr>
          <w:p w14:paraId="1D062152">
            <w:pPr>
              <w:pStyle w:val="4"/>
              <w:outlineLvl w:val="0"/>
              <w:rPr>
                <w:rFonts w:ascii="宋体" w:hAnsi="宋体" w:eastAsia="宋体" w:cs="宋体"/>
                <w:color w:val="auto"/>
                <w:sz w:val="22"/>
                <w:szCs w:val="22"/>
                <w:highlight w:val="none"/>
              </w:rPr>
            </w:pPr>
            <w:bookmarkStart w:id="195" w:name="_Toc22893"/>
            <w:r>
              <w:rPr>
                <w:rFonts w:hint="eastAsia" w:ascii="宋体" w:hAnsi="宋体" w:eastAsia="宋体" w:cs="宋体"/>
                <w:color w:val="auto"/>
                <w:sz w:val="22"/>
                <w:szCs w:val="22"/>
                <w:highlight w:val="none"/>
              </w:rPr>
              <w:t>序号</w:t>
            </w:r>
            <w:bookmarkEnd w:id="195"/>
          </w:p>
        </w:tc>
        <w:tc>
          <w:tcPr>
            <w:tcW w:w="6857" w:type="dxa"/>
            <w:vAlign w:val="center"/>
          </w:tcPr>
          <w:p w14:paraId="0C30E09F">
            <w:pPr>
              <w:pStyle w:val="4"/>
              <w:outlineLvl w:val="0"/>
              <w:rPr>
                <w:rFonts w:ascii="宋体" w:hAnsi="宋体" w:eastAsia="宋体" w:cs="宋体"/>
                <w:color w:val="auto"/>
                <w:sz w:val="22"/>
                <w:szCs w:val="22"/>
                <w:highlight w:val="none"/>
              </w:rPr>
            </w:pPr>
            <w:bookmarkStart w:id="196" w:name="_Toc14691"/>
            <w:r>
              <w:rPr>
                <w:rFonts w:hint="eastAsia" w:ascii="宋体" w:hAnsi="宋体" w:eastAsia="宋体" w:cs="宋体"/>
                <w:color w:val="auto"/>
                <w:sz w:val="22"/>
                <w:szCs w:val="22"/>
                <w:highlight w:val="none"/>
              </w:rPr>
              <w:t>服务内容</w:t>
            </w:r>
            <w:bookmarkEnd w:id="196"/>
          </w:p>
        </w:tc>
      </w:tr>
      <w:tr w14:paraId="0CD09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3001" w:type="dxa"/>
            <w:vAlign w:val="center"/>
          </w:tcPr>
          <w:p w14:paraId="24F97707">
            <w:pPr>
              <w:pStyle w:val="4"/>
              <w:outlineLvl w:val="0"/>
              <w:rPr>
                <w:rFonts w:ascii="宋体" w:hAnsi="宋体" w:eastAsia="宋体" w:cs="宋体"/>
                <w:b w:val="0"/>
                <w:bCs w:val="0"/>
                <w:color w:val="auto"/>
                <w:sz w:val="22"/>
                <w:szCs w:val="22"/>
                <w:highlight w:val="none"/>
              </w:rPr>
            </w:pPr>
            <w:bookmarkStart w:id="197" w:name="_Toc1425"/>
            <w:r>
              <w:rPr>
                <w:rFonts w:hint="eastAsia" w:ascii="宋体" w:hAnsi="宋体" w:eastAsia="宋体" w:cs="宋体"/>
                <w:b w:val="0"/>
                <w:bCs w:val="0"/>
                <w:color w:val="auto"/>
                <w:sz w:val="22"/>
                <w:szCs w:val="22"/>
                <w:highlight w:val="none"/>
              </w:rPr>
              <w:t>1</w:t>
            </w:r>
            <w:bookmarkEnd w:id="197"/>
          </w:p>
        </w:tc>
        <w:tc>
          <w:tcPr>
            <w:tcW w:w="6857" w:type="dxa"/>
            <w:vAlign w:val="center"/>
          </w:tcPr>
          <w:p w14:paraId="01AD56B4">
            <w:pPr>
              <w:pStyle w:val="4"/>
              <w:outlineLvl w:val="0"/>
              <w:rPr>
                <w:rFonts w:ascii="宋体" w:hAnsi="宋体" w:eastAsia="宋体" w:cs="宋体"/>
                <w:b w:val="0"/>
                <w:bCs w:val="0"/>
                <w:color w:val="auto"/>
                <w:sz w:val="22"/>
                <w:szCs w:val="22"/>
                <w:highlight w:val="none"/>
              </w:rPr>
            </w:pPr>
            <w:bookmarkStart w:id="198" w:name="_Toc30792"/>
            <w:r>
              <w:rPr>
                <w:rFonts w:hint="eastAsia" w:ascii="宋体" w:hAnsi="宋体" w:eastAsia="宋体" w:cs="宋体"/>
                <w:b w:val="0"/>
                <w:bCs w:val="0"/>
                <w:color w:val="auto"/>
                <w:sz w:val="22"/>
                <w:szCs w:val="22"/>
                <w:highlight w:val="none"/>
              </w:rPr>
              <w:t>信息化技术外包服务</w:t>
            </w:r>
            <w:bookmarkEnd w:id="198"/>
          </w:p>
        </w:tc>
      </w:tr>
      <w:tr w14:paraId="423F6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3001" w:type="dxa"/>
            <w:vAlign w:val="center"/>
          </w:tcPr>
          <w:p w14:paraId="5E398199">
            <w:pPr>
              <w:pStyle w:val="4"/>
              <w:outlineLvl w:val="0"/>
              <w:rPr>
                <w:rFonts w:ascii="宋体" w:hAnsi="宋体" w:eastAsia="宋体" w:cs="宋体"/>
                <w:b w:val="0"/>
                <w:bCs w:val="0"/>
                <w:color w:val="auto"/>
                <w:sz w:val="22"/>
                <w:szCs w:val="22"/>
                <w:highlight w:val="none"/>
              </w:rPr>
            </w:pPr>
            <w:bookmarkStart w:id="199" w:name="_Toc2068"/>
            <w:r>
              <w:rPr>
                <w:rFonts w:hint="eastAsia" w:ascii="宋体" w:hAnsi="宋体" w:eastAsia="宋体" w:cs="宋体"/>
                <w:b w:val="0"/>
                <w:bCs w:val="0"/>
                <w:color w:val="auto"/>
                <w:sz w:val="22"/>
                <w:szCs w:val="22"/>
                <w:highlight w:val="none"/>
              </w:rPr>
              <w:t>2</w:t>
            </w:r>
            <w:bookmarkEnd w:id="199"/>
          </w:p>
        </w:tc>
        <w:tc>
          <w:tcPr>
            <w:tcW w:w="6857" w:type="dxa"/>
            <w:vAlign w:val="center"/>
          </w:tcPr>
          <w:p w14:paraId="76C5CC59">
            <w:pPr>
              <w:pStyle w:val="4"/>
              <w:outlineLvl w:val="0"/>
              <w:rPr>
                <w:rFonts w:ascii="宋体" w:hAnsi="宋体" w:eastAsia="宋体" w:cs="宋体"/>
                <w:b w:val="0"/>
                <w:bCs w:val="0"/>
                <w:color w:val="auto"/>
                <w:sz w:val="22"/>
                <w:szCs w:val="22"/>
                <w:highlight w:val="none"/>
              </w:rPr>
            </w:pPr>
            <w:bookmarkStart w:id="200" w:name="_Toc6092"/>
            <w:r>
              <w:rPr>
                <w:rFonts w:hint="eastAsia" w:ascii="宋体" w:hAnsi="宋体" w:eastAsia="宋体" w:cs="宋体"/>
                <w:b w:val="0"/>
                <w:bCs w:val="0"/>
                <w:snapToGrid w:val="0"/>
                <w:color w:val="auto"/>
                <w:kern w:val="0"/>
                <w:sz w:val="22"/>
                <w:szCs w:val="22"/>
                <w:highlight w:val="none"/>
              </w:rPr>
              <w:t>智慧交通专网租用</w:t>
            </w:r>
            <w:bookmarkEnd w:id="200"/>
          </w:p>
        </w:tc>
      </w:tr>
      <w:tr w14:paraId="0D629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3001" w:type="dxa"/>
            <w:vAlign w:val="center"/>
          </w:tcPr>
          <w:p w14:paraId="0A0DA505">
            <w:pPr>
              <w:pStyle w:val="4"/>
              <w:outlineLvl w:val="0"/>
              <w:rPr>
                <w:rFonts w:ascii="宋体" w:hAnsi="宋体" w:eastAsia="宋体" w:cs="宋体"/>
                <w:b w:val="0"/>
                <w:bCs w:val="0"/>
                <w:color w:val="auto"/>
                <w:sz w:val="22"/>
                <w:szCs w:val="22"/>
                <w:highlight w:val="none"/>
              </w:rPr>
            </w:pPr>
            <w:bookmarkStart w:id="201" w:name="_Toc1660"/>
            <w:r>
              <w:rPr>
                <w:rFonts w:hint="eastAsia" w:ascii="宋体" w:hAnsi="宋体" w:eastAsia="宋体" w:cs="宋体"/>
                <w:b w:val="0"/>
                <w:bCs w:val="0"/>
                <w:color w:val="auto"/>
                <w:sz w:val="22"/>
                <w:szCs w:val="22"/>
                <w:highlight w:val="none"/>
              </w:rPr>
              <w:t>3</w:t>
            </w:r>
            <w:bookmarkEnd w:id="201"/>
          </w:p>
        </w:tc>
        <w:tc>
          <w:tcPr>
            <w:tcW w:w="6857" w:type="dxa"/>
            <w:vAlign w:val="center"/>
          </w:tcPr>
          <w:p w14:paraId="78F635F5">
            <w:pPr>
              <w:pStyle w:val="4"/>
              <w:outlineLvl w:val="0"/>
              <w:rPr>
                <w:rFonts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数据中心灾备服务</w:t>
            </w:r>
          </w:p>
        </w:tc>
      </w:tr>
    </w:tbl>
    <w:p w14:paraId="059A5EA3">
      <w:pPr>
        <w:pStyle w:val="4"/>
        <w:jc w:val="both"/>
        <w:rPr>
          <w:color w:val="auto"/>
          <w:highlight w:val="none"/>
        </w:rPr>
      </w:pPr>
    </w:p>
    <w:p w14:paraId="3A247F1F">
      <w:pPr>
        <w:numPr>
          <w:ilvl w:val="0"/>
          <w:numId w:val="46"/>
        </w:numPr>
        <w:spacing w:after="120" w:line="400" w:lineRule="exact"/>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信息化技术外包服务详细内容及要求</w:t>
      </w:r>
    </w:p>
    <w:p w14:paraId="3F306954">
      <w:pPr>
        <w:snapToGrid w:val="0"/>
        <w:spacing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信息化技术外包服务是为温州市交通运输局及其直属的市交通综合行政执法队、市公路与运输管理中心、市港航管理中心、市交通工程管理中心（以下简称：局与一队三中心）提供信息化技术外包服务。项目的内容主要包括：交通数据中心管理与运维保障，系统安全管理，系统设备、系统集成及网络管理、业务系统运维保障、信息化项目管理、信息化终端设备管理维护等工作。</w:t>
      </w:r>
    </w:p>
    <w:p w14:paraId="2440173B">
      <w:pPr>
        <w:pStyle w:val="123"/>
        <w:numPr>
          <w:ilvl w:val="0"/>
          <w:numId w:val="47"/>
        </w:numPr>
        <w:snapToGrid w:val="0"/>
        <w:spacing w:line="400" w:lineRule="exact"/>
        <w:ind w:hanging="5" w:firstLineChars="0"/>
        <w:rPr>
          <w:rFonts w:ascii="宋体" w:hAnsi="宋体" w:cs="宋体"/>
          <w:b/>
          <w:color w:val="auto"/>
          <w:sz w:val="22"/>
          <w:szCs w:val="22"/>
          <w:highlight w:val="none"/>
        </w:rPr>
      </w:pPr>
      <w:r>
        <w:rPr>
          <w:rFonts w:hint="eastAsia" w:ascii="宋体" w:hAnsi="宋体" w:cs="宋体"/>
          <w:b/>
          <w:color w:val="auto"/>
          <w:sz w:val="22"/>
          <w:szCs w:val="22"/>
          <w:highlight w:val="none"/>
        </w:rPr>
        <w:t>信息化技术外包服务范围</w:t>
      </w:r>
    </w:p>
    <w:p w14:paraId="50D68315">
      <w:pPr>
        <w:snapToGrid w:val="0"/>
        <w:spacing w:line="400" w:lineRule="exact"/>
        <w:ind w:left="567"/>
        <w:rPr>
          <w:rFonts w:ascii="宋体" w:hAnsi="宋体" w:cs="宋体"/>
          <w:bCs/>
          <w:color w:val="auto"/>
          <w:sz w:val="22"/>
          <w:szCs w:val="22"/>
          <w:highlight w:val="none"/>
        </w:rPr>
      </w:pPr>
      <w:r>
        <w:rPr>
          <w:rFonts w:hint="eastAsia" w:ascii="宋体" w:hAnsi="宋体" w:cs="宋体"/>
          <w:bCs/>
          <w:color w:val="auto"/>
          <w:sz w:val="22"/>
          <w:szCs w:val="22"/>
          <w:highlight w:val="none"/>
        </w:rPr>
        <w:t>局与一队三中心的信息化技术外包服务主要包括：</w:t>
      </w:r>
    </w:p>
    <w:p w14:paraId="69923A47">
      <w:pPr>
        <w:pStyle w:val="123"/>
        <w:numPr>
          <w:ilvl w:val="0"/>
          <w:numId w:val="48"/>
        </w:numPr>
        <w:snapToGrid w:val="0"/>
        <w:spacing w:line="400" w:lineRule="exact"/>
        <w:ind w:left="1160" w:hanging="720" w:firstLineChars="0"/>
        <w:rPr>
          <w:rFonts w:ascii="宋体" w:hAnsi="宋体" w:cs="宋体"/>
          <w:bCs/>
          <w:color w:val="auto"/>
          <w:sz w:val="22"/>
          <w:szCs w:val="22"/>
          <w:highlight w:val="none"/>
        </w:rPr>
      </w:pPr>
      <w:r>
        <w:rPr>
          <w:rFonts w:hint="eastAsia" w:ascii="宋体" w:hAnsi="宋体" w:cs="宋体"/>
          <w:bCs/>
          <w:color w:val="auto"/>
          <w:sz w:val="22"/>
          <w:szCs w:val="22"/>
          <w:highlight w:val="none"/>
        </w:rPr>
        <w:t>信息化系统：主要有智慧交通综合信息中心、温州市智慧交通综合执法分应用</w:t>
      </w:r>
      <w:r>
        <w:rPr>
          <w:rFonts w:hint="eastAsia" w:ascii="宋体" w:hAnsi="宋体" w:cs="宋体"/>
          <w:bCs/>
          <w:color w:val="auto"/>
          <w:sz w:val="22"/>
          <w:szCs w:val="22"/>
          <w:highlight w:val="none"/>
          <w:woUserID w:val="0"/>
        </w:rPr>
        <w:t>和温州智慧港航数据中心及应用系统</w:t>
      </w:r>
      <w:r>
        <w:rPr>
          <w:rFonts w:hint="eastAsia" w:ascii="宋体" w:hAnsi="宋体" w:cs="宋体"/>
          <w:bCs/>
          <w:color w:val="auto"/>
          <w:sz w:val="22"/>
          <w:szCs w:val="22"/>
          <w:highlight w:val="none"/>
        </w:rPr>
        <w:t>等15个自建系统(详见附件)；省建处罚系统、省建许可系统、省建行业监管系统等省建及其他业务系统；</w:t>
      </w:r>
    </w:p>
    <w:p w14:paraId="012EA5FD">
      <w:pPr>
        <w:pStyle w:val="123"/>
        <w:snapToGrid w:val="0"/>
        <w:spacing w:line="400" w:lineRule="exact"/>
        <w:ind w:left="1160" w:leftChars="0" w:hanging="720" w:firstLineChars="0"/>
        <w:rPr>
          <w:rFonts w:hint="default" w:ascii="宋体" w:hAnsi="宋体" w:cs="宋体"/>
          <w:bCs/>
          <w:color w:val="auto"/>
          <w:sz w:val="22"/>
          <w:szCs w:val="22"/>
          <w:highlight w:val="none"/>
          <w:woUserID w:val="3"/>
        </w:rPr>
      </w:pPr>
      <w:r>
        <w:rPr>
          <w:rFonts w:ascii="宋体" w:hAnsi="宋体" w:cs="宋体"/>
          <w:bCs/>
          <w:color w:val="auto"/>
          <w:sz w:val="22"/>
          <w:szCs w:val="22"/>
          <w:highlight w:val="none"/>
        </w:rPr>
        <w:t>（二）</w:t>
      </w:r>
      <w:r>
        <w:rPr>
          <w:rFonts w:hint="eastAsia" w:ascii="宋体" w:hAnsi="宋体" w:cs="宋体"/>
          <w:bCs/>
          <w:color w:val="auto"/>
          <w:sz w:val="22"/>
          <w:szCs w:val="22"/>
          <w:highlight w:val="none"/>
        </w:rPr>
        <w:t>中心机房及</w:t>
      </w:r>
      <w:r>
        <w:rPr>
          <w:rFonts w:hint="default" w:ascii="宋体" w:hAnsi="宋体" w:cs="宋体"/>
          <w:bCs/>
          <w:color w:val="auto"/>
          <w:sz w:val="22"/>
          <w:szCs w:val="22"/>
          <w:highlight w:val="none"/>
          <w:woUserID w:val="3"/>
        </w:rPr>
        <w:t>前端感知</w:t>
      </w:r>
      <w:r>
        <w:rPr>
          <w:rFonts w:hint="eastAsia" w:ascii="宋体" w:hAnsi="宋体" w:cs="宋体"/>
          <w:bCs/>
          <w:color w:val="auto"/>
          <w:sz w:val="22"/>
          <w:szCs w:val="22"/>
          <w:highlight w:val="none"/>
        </w:rPr>
        <w:t>配套设施</w:t>
      </w:r>
      <w:r>
        <w:rPr>
          <w:rFonts w:hint="default" w:ascii="宋体" w:hAnsi="宋体" w:cs="宋体"/>
          <w:bCs/>
          <w:color w:val="auto"/>
          <w:sz w:val="22"/>
          <w:szCs w:val="22"/>
          <w:highlight w:val="none"/>
          <w:woUserID w:val="3"/>
        </w:rPr>
        <w:t>管理</w:t>
      </w:r>
      <w:r>
        <w:rPr>
          <w:rFonts w:hint="eastAsia" w:ascii="宋体" w:hAnsi="宋体" w:cs="宋体"/>
          <w:bCs/>
          <w:color w:val="auto"/>
          <w:sz w:val="22"/>
          <w:szCs w:val="22"/>
          <w:highlight w:val="none"/>
        </w:rPr>
        <w:t>：交通中心机房、市交通综合行政执法队7楼中心机房及</w:t>
      </w:r>
      <w:r>
        <w:rPr>
          <w:rFonts w:hint="default" w:ascii="宋体" w:hAnsi="宋体" w:cs="宋体"/>
          <w:bCs/>
          <w:color w:val="auto"/>
          <w:sz w:val="22"/>
          <w:szCs w:val="22"/>
          <w:highlight w:val="none"/>
          <w:woUserID w:val="3"/>
        </w:rPr>
        <w:t>前端感知</w:t>
      </w:r>
      <w:r>
        <w:rPr>
          <w:rFonts w:hint="eastAsia" w:ascii="宋体" w:hAnsi="宋体" w:cs="宋体"/>
          <w:bCs/>
          <w:color w:val="auto"/>
          <w:sz w:val="22"/>
          <w:szCs w:val="22"/>
          <w:highlight w:val="none"/>
        </w:rPr>
        <w:t>配套设施；</w:t>
      </w:r>
    </w:p>
    <w:p w14:paraId="3F034DB2">
      <w:pPr>
        <w:pStyle w:val="123"/>
        <w:snapToGrid w:val="0"/>
        <w:spacing w:line="400" w:lineRule="exact"/>
        <w:ind w:left="1160" w:hanging="720" w:firstLineChars="0"/>
        <w:rPr>
          <w:rFonts w:ascii="宋体" w:hAnsi="宋体" w:cs="宋体"/>
          <w:bCs/>
          <w:color w:val="auto"/>
          <w:sz w:val="22"/>
          <w:szCs w:val="22"/>
          <w:highlight w:val="none"/>
        </w:rPr>
      </w:pPr>
      <w:r>
        <w:rPr>
          <w:rFonts w:ascii="宋体" w:hAnsi="宋体" w:cs="宋体"/>
          <w:bCs/>
          <w:color w:val="auto"/>
          <w:sz w:val="22"/>
          <w:szCs w:val="22"/>
          <w:highlight w:val="none"/>
        </w:rPr>
        <w:t>（</w:t>
      </w:r>
      <w:r>
        <w:rPr>
          <w:rFonts w:hint="eastAsia" w:ascii="宋体" w:hAnsi="宋体" w:cs="宋体"/>
          <w:bCs/>
          <w:color w:val="auto"/>
          <w:sz w:val="22"/>
          <w:szCs w:val="22"/>
          <w:highlight w:val="none"/>
        </w:rPr>
        <w:t>三</w:t>
      </w:r>
      <w:r>
        <w:rPr>
          <w:rFonts w:ascii="宋体" w:hAnsi="宋体" w:cs="宋体"/>
          <w:bCs/>
          <w:color w:val="auto"/>
          <w:sz w:val="22"/>
          <w:szCs w:val="22"/>
          <w:highlight w:val="none"/>
        </w:rPr>
        <w:t>）</w:t>
      </w:r>
      <w:r>
        <w:rPr>
          <w:rFonts w:hint="eastAsia" w:ascii="宋体" w:hAnsi="宋体" w:cs="宋体"/>
          <w:bCs/>
          <w:color w:val="auto"/>
          <w:sz w:val="22"/>
          <w:szCs w:val="22"/>
          <w:highlight w:val="none"/>
        </w:rPr>
        <w:t>系统网络：</w:t>
      </w:r>
      <w:r>
        <w:rPr>
          <w:rFonts w:hint="default" w:ascii="宋体" w:hAnsi="宋体" w:cs="宋体"/>
          <w:bCs/>
          <w:color w:val="auto"/>
          <w:sz w:val="22"/>
          <w:szCs w:val="22"/>
          <w:highlight w:val="none"/>
          <w:woUserID w:val="1"/>
        </w:rPr>
        <w:t>前端基础感知网、交通专网、</w:t>
      </w:r>
      <w:r>
        <w:rPr>
          <w:rFonts w:hint="eastAsia" w:ascii="宋体" w:hAnsi="宋体" w:cs="宋体"/>
          <w:bCs/>
          <w:color w:val="auto"/>
          <w:sz w:val="22"/>
          <w:szCs w:val="22"/>
          <w:highlight w:val="none"/>
        </w:rPr>
        <w:t>政务外网</w:t>
      </w:r>
      <w:r>
        <w:rPr>
          <w:rFonts w:hint="default" w:ascii="宋体" w:hAnsi="宋体" w:cs="宋体"/>
          <w:bCs/>
          <w:color w:val="auto"/>
          <w:sz w:val="22"/>
          <w:szCs w:val="22"/>
          <w:highlight w:val="none"/>
          <w:woUserID w:val="1"/>
        </w:rPr>
        <w:t>（含信创）和</w:t>
      </w:r>
      <w:r>
        <w:rPr>
          <w:rFonts w:hint="eastAsia" w:ascii="宋体" w:hAnsi="宋体" w:cs="宋体"/>
          <w:bCs/>
          <w:color w:val="auto"/>
          <w:sz w:val="22"/>
          <w:szCs w:val="22"/>
          <w:highlight w:val="none"/>
        </w:rPr>
        <w:t>互联网。</w:t>
      </w:r>
    </w:p>
    <w:p w14:paraId="4C0C61E5">
      <w:pPr>
        <w:pStyle w:val="123"/>
        <w:snapToGrid w:val="0"/>
        <w:spacing w:line="400" w:lineRule="exact"/>
        <w:ind w:left="1160" w:hanging="720" w:firstLineChars="0"/>
        <w:rPr>
          <w:rFonts w:ascii="宋体" w:hAnsi="宋体" w:cs="宋体"/>
          <w:bCs/>
          <w:color w:val="auto"/>
          <w:sz w:val="22"/>
          <w:szCs w:val="22"/>
          <w:highlight w:val="none"/>
        </w:rPr>
      </w:pPr>
      <w:r>
        <w:rPr>
          <w:rFonts w:ascii="宋体" w:hAnsi="宋体" w:cs="宋体"/>
          <w:bCs/>
          <w:color w:val="auto"/>
          <w:sz w:val="22"/>
          <w:szCs w:val="22"/>
          <w:highlight w:val="none"/>
        </w:rPr>
        <w:t>（</w:t>
      </w:r>
      <w:r>
        <w:rPr>
          <w:rFonts w:hint="eastAsia" w:ascii="宋体" w:hAnsi="宋体" w:cs="宋体"/>
          <w:bCs/>
          <w:color w:val="auto"/>
          <w:sz w:val="22"/>
          <w:szCs w:val="22"/>
          <w:highlight w:val="none"/>
        </w:rPr>
        <w:t>四</w:t>
      </w:r>
      <w:r>
        <w:rPr>
          <w:rFonts w:ascii="宋体" w:hAnsi="宋体" w:cs="宋体"/>
          <w:bCs/>
          <w:color w:val="auto"/>
          <w:sz w:val="22"/>
          <w:szCs w:val="22"/>
          <w:highlight w:val="none"/>
        </w:rPr>
        <w:t>）</w:t>
      </w:r>
      <w:r>
        <w:rPr>
          <w:rFonts w:hint="eastAsia" w:ascii="宋体" w:hAnsi="宋体" w:cs="宋体"/>
          <w:bCs/>
          <w:color w:val="auto"/>
          <w:sz w:val="22"/>
          <w:szCs w:val="22"/>
          <w:highlight w:val="none"/>
        </w:rPr>
        <w:t>办公运维：温州市交通运输综合行政执法队机关及各执法队（含中队）</w:t>
      </w:r>
    </w:p>
    <w:p w14:paraId="1C4B1AB6">
      <w:pPr>
        <w:pStyle w:val="123"/>
        <w:snapToGrid w:val="0"/>
        <w:spacing w:line="400" w:lineRule="exact"/>
        <w:ind w:firstLine="2200" w:firstLineChars="1000"/>
        <w:rPr>
          <w:rFonts w:ascii="宋体" w:hAnsi="宋体" w:cs="宋体"/>
          <w:bCs/>
          <w:color w:val="auto"/>
          <w:sz w:val="22"/>
          <w:szCs w:val="22"/>
          <w:highlight w:val="none"/>
        </w:rPr>
      </w:pPr>
      <w:r>
        <w:rPr>
          <w:rFonts w:hint="eastAsia" w:ascii="宋体" w:hAnsi="宋体" w:cs="宋体"/>
          <w:bCs/>
          <w:color w:val="auto"/>
          <w:sz w:val="22"/>
          <w:szCs w:val="22"/>
          <w:highlight w:val="none"/>
        </w:rPr>
        <w:t>高新大厦交通办公区域:办公网络及安全保障维护（不含终端及办公设备）</w:t>
      </w:r>
    </w:p>
    <w:p w14:paraId="7DECF2E2">
      <w:pPr>
        <w:pStyle w:val="123"/>
        <w:numPr>
          <w:ilvl w:val="0"/>
          <w:numId w:val="47"/>
        </w:numPr>
        <w:snapToGrid w:val="0"/>
        <w:spacing w:line="400" w:lineRule="exact"/>
        <w:ind w:hanging="5" w:firstLineChars="0"/>
        <w:rPr>
          <w:rFonts w:ascii="宋体" w:hAnsi="宋体" w:cs="宋体"/>
          <w:b/>
          <w:color w:val="auto"/>
          <w:sz w:val="22"/>
          <w:szCs w:val="22"/>
          <w:highlight w:val="none"/>
        </w:rPr>
      </w:pPr>
      <w:r>
        <w:rPr>
          <w:rFonts w:hint="eastAsia" w:ascii="宋体" w:hAnsi="宋体" w:cs="宋体"/>
          <w:b/>
          <w:color w:val="auto"/>
          <w:sz w:val="22"/>
          <w:szCs w:val="22"/>
          <w:highlight w:val="none"/>
        </w:rPr>
        <w:t>信息化技术外包服务内容</w:t>
      </w:r>
    </w:p>
    <w:p w14:paraId="0E7BEBDC">
      <w:pPr>
        <w:snapToGrid w:val="0"/>
        <w:spacing w:line="400" w:lineRule="exact"/>
        <w:ind w:firstLine="440" w:firstLineChars="200"/>
        <w:rPr>
          <w:rFonts w:ascii="宋体" w:hAnsi="宋体" w:cs="宋体"/>
          <w:bCs/>
          <w:color w:val="auto"/>
          <w:sz w:val="22"/>
          <w:szCs w:val="22"/>
          <w:highlight w:val="none"/>
        </w:rPr>
      </w:pPr>
      <w:r>
        <w:rPr>
          <w:rFonts w:ascii="宋体" w:hAnsi="宋体" w:cs="宋体"/>
          <w:bCs/>
          <w:color w:val="auto"/>
          <w:sz w:val="22"/>
          <w:szCs w:val="22"/>
          <w:highlight w:val="none"/>
        </w:rPr>
        <w:t>（</w:t>
      </w:r>
      <w:r>
        <w:rPr>
          <w:rFonts w:hint="eastAsia" w:ascii="宋体" w:hAnsi="宋体" w:cs="宋体"/>
          <w:bCs/>
          <w:color w:val="auto"/>
          <w:sz w:val="22"/>
          <w:szCs w:val="22"/>
          <w:highlight w:val="none"/>
        </w:rPr>
        <w:t>一</w:t>
      </w:r>
      <w:r>
        <w:rPr>
          <w:rFonts w:ascii="宋体" w:hAnsi="宋体" w:cs="宋体"/>
          <w:bCs/>
          <w:color w:val="auto"/>
          <w:sz w:val="22"/>
          <w:szCs w:val="22"/>
          <w:highlight w:val="none"/>
        </w:rPr>
        <w:t>）</w:t>
      </w:r>
      <w:r>
        <w:rPr>
          <w:rFonts w:hint="eastAsia" w:ascii="宋体" w:hAnsi="宋体" w:cs="宋体"/>
          <w:bCs/>
          <w:color w:val="auto"/>
          <w:sz w:val="22"/>
          <w:szCs w:val="22"/>
          <w:highlight w:val="none"/>
        </w:rPr>
        <w:t>交通数据中心管理工作：一是负责交通数据中心的数据质量监管、数据清理和数据保护工作，保障数据中心正常运行；二是负责数据采集、存储、集成、预处理。三是负责编写交通运输指标计算服务，维护指标计算服务正常运行，对分析结果进行可视化展示。</w:t>
      </w:r>
    </w:p>
    <w:p w14:paraId="04F3F5AC">
      <w:pPr>
        <w:snapToGrid w:val="0"/>
        <w:spacing w:line="40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（二）网络系统安全管理工作：一是负责核心信息化设备、主机和信息平台</w:t>
      </w:r>
      <w:r>
        <w:rPr>
          <w:rFonts w:hint="default" w:ascii="宋体" w:hAnsi="宋体" w:cs="宋体"/>
          <w:bCs/>
          <w:color w:val="auto"/>
          <w:sz w:val="22"/>
          <w:szCs w:val="22"/>
          <w:highlight w:val="none"/>
          <w:woUserID w:val="1"/>
        </w:rPr>
        <w:t>安全漏扫和</w:t>
      </w:r>
      <w:r>
        <w:rPr>
          <w:rFonts w:hint="eastAsia" w:ascii="宋体" w:hAnsi="宋体" w:cs="宋体"/>
          <w:bCs/>
          <w:color w:val="auto"/>
          <w:sz w:val="22"/>
          <w:szCs w:val="22"/>
          <w:highlight w:val="none"/>
        </w:rPr>
        <w:t>加固工作，负责信息系统安全等级保护</w:t>
      </w:r>
      <w:r>
        <w:rPr>
          <w:rFonts w:hint="default" w:ascii="宋体" w:hAnsi="宋体" w:cs="宋体"/>
          <w:bCs/>
          <w:color w:val="auto"/>
          <w:sz w:val="22"/>
          <w:szCs w:val="22"/>
          <w:highlight w:val="none"/>
          <w:woUserID w:val="1"/>
        </w:rPr>
        <w:t>和密码测评</w:t>
      </w:r>
      <w:r>
        <w:rPr>
          <w:rFonts w:hint="eastAsia" w:ascii="宋体" w:hAnsi="宋体" w:cs="宋体"/>
          <w:bCs/>
          <w:color w:val="auto"/>
          <w:sz w:val="22"/>
          <w:szCs w:val="22"/>
          <w:highlight w:val="none"/>
        </w:rPr>
        <w:t>工作；二是负责网络安全宣传、培训和演练工作，负责网络态势安全监测</w:t>
      </w:r>
      <w:r>
        <w:rPr>
          <w:rFonts w:hint="default" w:ascii="宋体" w:hAnsi="宋体" w:cs="宋体"/>
          <w:bCs/>
          <w:color w:val="auto"/>
          <w:sz w:val="22"/>
          <w:szCs w:val="22"/>
          <w:highlight w:val="none"/>
          <w:woUserID w:val="1"/>
        </w:rPr>
        <w:t>、预警、协调和</w:t>
      </w:r>
      <w:r>
        <w:rPr>
          <w:rFonts w:hint="eastAsia" w:ascii="宋体" w:hAnsi="宋体" w:cs="宋体"/>
          <w:bCs/>
          <w:color w:val="auto"/>
          <w:sz w:val="22"/>
          <w:szCs w:val="22"/>
          <w:highlight w:val="none"/>
        </w:rPr>
        <w:t>通报工作。</w:t>
      </w:r>
    </w:p>
    <w:p w14:paraId="0EB036D9">
      <w:pPr>
        <w:snapToGrid w:val="0"/>
        <w:spacing w:line="40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（三）系统集成网络规划管理工作：一是负责网络规划、配置优化工作，负责保障网络通讯正常，畅通；二是负责交通基础云平台与系统集成管理，负责交通局</w:t>
      </w:r>
      <w:r>
        <w:rPr>
          <w:rFonts w:hint="default" w:ascii="宋体" w:hAnsi="宋体" w:cs="宋体"/>
          <w:bCs/>
          <w:color w:val="auto"/>
          <w:sz w:val="22"/>
          <w:szCs w:val="22"/>
          <w:highlight w:val="none"/>
          <w:woUserID w:val="1"/>
        </w:rPr>
        <w:t>数据中心联通IDC托管机房</w:t>
      </w:r>
      <w:r>
        <w:rPr>
          <w:rFonts w:hint="eastAsia" w:ascii="宋体" w:hAnsi="宋体" w:cs="宋体"/>
          <w:bCs/>
          <w:color w:val="auto"/>
          <w:sz w:val="22"/>
          <w:szCs w:val="22"/>
          <w:highlight w:val="none"/>
        </w:rPr>
        <w:t>、市交通综合行政执法队7楼中心机房日常管理、资源优化工作，配合机房维保公司做好巡检维护和重大会议活动及节假日网络安全保障工作，保障网络及系统正常运行；三是负责交通运输局政务云资源申请、优化和维护工作。</w:t>
      </w:r>
    </w:p>
    <w:p w14:paraId="6E9AB5B8">
      <w:pPr>
        <w:snapToGrid w:val="0"/>
        <w:spacing w:line="40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四）业务系统运维保障工作：一是负责保障业务系统运行正常，负责处理业务部门反映的系统问题，配合做好业务系统推广应用；二是负责交通视频平台的管理，负责视频资源接入，共享、转发等工作，确保平台稳定运行。</w:t>
      </w:r>
    </w:p>
    <w:p w14:paraId="18BDF13B">
      <w:pPr>
        <w:snapToGrid w:val="0"/>
        <w:spacing w:line="40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（五）项目管理工作：配合做好项目建设方案编制、立项申报、采购、建设管理、验收、整理存档项目资料。</w:t>
      </w:r>
    </w:p>
    <w:p w14:paraId="4B554158">
      <w:pPr>
        <w:snapToGrid w:val="0"/>
        <w:spacing w:line="400" w:lineRule="exact"/>
        <w:ind w:firstLine="440" w:firstLineChars="200"/>
        <w:rPr>
          <w:rFonts w:ascii="宋体" w:hAnsi="宋体" w:cs="宋体"/>
          <w:color w:val="auto"/>
          <w:sz w:val="22"/>
          <w:szCs w:val="22"/>
          <w:highlight w:val="none"/>
        </w:rPr>
      </w:pPr>
      <w:r>
        <w:rPr>
          <w:rFonts w:hint="eastAsia" w:ascii="宋体" w:hAnsi="宋体" w:cs="宋体"/>
          <w:bCs/>
          <w:color w:val="auto"/>
          <w:sz w:val="22"/>
          <w:szCs w:val="22"/>
          <w:highlight w:val="none"/>
        </w:rPr>
        <w:t>（六）办公运维：信息化终端、设备管理维护：负责执法科技装备、办公信息化设备与耗材的采购、分配、日常管理及维护；受理解决设备使用中的各种技术问题，定期巡检和指导操作人员对执法科技装备和办公信息化设备的使用。包含队机关及各执法队（含中队）的办公电脑、笔记本电脑、打印传真扫描设备、科技执法设备（含移动办公及单兵车载等）、办公网络等。高新大厦2层、9层、16-22层:</w:t>
      </w:r>
      <w:r>
        <w:rPr>
          <w:rFonts w:hint="default" w:ascii="宋体" w:hAnsi="宋体" w:cs="宋体"/>
          <w:bCs/>
          <w:color w:val="auto"/>
          <w:sz w:val="22"/>
          <w:szCs w:val="22"/>
          <w:highlight w:val="none"/>
          <w:woUserID w:val="1"/>
        </w:rPr>
        <w:t>交通</w:t>
      </w:r>
      <w:r>
        <w:rPr>
          <w:rFonts w:hint="eastAsia" w:ascii="宋体" w:hAnsi="宋体" w:cs="宋体"/>
          <w:bCs/>
          <w:color w:val="auto"/>
          <w:sz w:val="22"/>
          <w:szCs w:val="22"/>
          <w:highlight w:val="none"/>
        </w:rPr>
        <w:t>办公网络及安全保障维护（不含终端及办公设备）。</w:t>
      </w:r>
    </w:p>
    <w:p w14:paraId="74799DAD">
      <w:pPr>
        <w:pStyle w:val="123"/>
        <w:numPr>
          <w:ilvl w:val="0"/>
          <w:numId w:val="47"/>
        </w:numPr>
        <w:snapToGrid w:val="0"/>
        <w:spacing w:line="400" w:lineRule="exact"/>
        <w:ind w:hanging="5" w:firstLineChars="0"/>
        <w:rPr>
          <w:rFonts w:ascii="宋体" w:hAnsi="宋体" w:cs="宋体"/>
          <w:b/>
          <w:color w:val="auto"/>
          <w:sz w:val="22"/>
          <w:szCs w:val="22"/>
          <w:highlight w:val="none"/>
        </w:rPr>
      </w:pPr>
      <w:r>
        <w:rPr>
          <w:rFonts w:hint="eastAsia" w:ascii="宋体" w:hAnsi="宋体" w:cs="宋体"/>
          <w:b/>
          <w:color w:val="auto"/>
          <w:sz w:val="22"/>
          <w:szCs w:val="22"/>
          <w:highlight w:val="none"/>
        </w:rPr>
        <w:t>信息化技术外包服务要求</w:t>
      </w:r>
    </w:p>
    <w:p w14:paraId="168EF939">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（一）信息化技术外包服务的时间</w:t>
      </w:r>
    </w:p>
    <w:p w14:paraId="7AA7C51D">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信息化技术外包服务的时间为2025年1月1日至2025年12月31日。</w:t>
      </w:r>
    </w:p>
    <w:p w14:paraId="34004163">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（二）信息化技术外包服务团队与人员的管理</w:t>
      </w:r>
    </w:p>
    <w:p w14:paraId="695F0543">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1.</w:t>
      </w:r>
      <w:r>
        <w:rPr>
          <w:rFonts w:ascii="宋体" w:cs="宋体"/>
          <w:color w:val="auto"/>
          <w:sz w:val="22"/>
          <w:highlight w:val="none"/>
        </w:rPr>
        <w:t>中标单位</w:t>
      </w:r>
      <w:r>
        <w:rPr>
          <w:rFonts w:hint="eastAsia" w:ascii="宋体" w:cs="宋体"/>
          <w:color w:val="auto"/>
          <w:sz w:val="22"/>
          <w:highlight w:val="none"/>
        </w:rPr>
        <w:t>必须按照采购人要求完成组建信息化技术外包服务团队（以下简称：团队）派驻采购人单位，落实专人负责团队的管理，制定完善的管理、考核制度，确保服务质量。团队人员不少于10人（含项目负责人）。对团队人员进行每月量化考核，每月考核情况汇总成年度考核情况，根据考核结果给团队人员发放年终奖金。</w:t>
      </w:r>
    </w:p>
    <w:p w14:paraId="086F76CE">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2.</w:t>
      </w:r>
      <w:r>
        <w:rPr>
          <w:rFonts w:ascii="宋体" w:cs="宋体"/>
          <w:color w:val="auto"/>
          <w:sz w:val="22"/>
          <w:highlight w:val="none"/>
        </w:rPr>
        <w:t>中标单位</w:t>
      </w:r>
      <w:r>
        <w:rPr>
          <w:rFonts w:hint="eastAsia" w:ascii="宋体" w:cs="宋体"/>
          <w:color w:val="auto"/>
          <w:sz w:val="22"/>
          <w:highlight w:val="none"/>
        </w:rPr>
        <w:t>要确保团队人员的稳定性，派驻技术人员由采购人根据需要安排办公地点，遵守采购人工作纪律，人员考勤由采购人管理。加强技术服务人员培训，未经采购人同意，不得擅自更换技术服务人员。</w:t>
      </w:r>
    </w:p>
    <w:p w14:paraId="4E294625">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3.</w:t>
      </w:r>
      <w:r>
        <w:rPr>
          <w:rFonts w:ascii="宋体" w:cs="宋体"/>
          <w:color w:val="auto"/>
          <w:sz w:val="22"/>
          <w:highlight w:val="none"/>
        </w:rPr>
        <w:t>中标单位</w:t>
      </w:r>
      <w:r>
        <w:rPr>
          <w:rFonts w:hint="eastAsia" w:ascii="宋体" w:cs="宋体"/>
          <w:color w:val="auto"/>
          <w:sz w:val="22"/>
          <w:highlight w:val="none"/>
        </w:rPr>
        <w:t>必须给团队人员缴纳社保五险一金（公积金、失业、养老、医保等），负责派驻技术人员在采购人单位就餐费用。因采购人工作需要出差，派驻技术人员的差旅费由采购人负责。</w:t>
      </w:r>
    </w:p>
    <w:p w14:paraId="7FBA980B">
      <w:pPr>
        <w:snapToGrid w:val="0"/>
        <w:spacing w:line="480" w:lineRule="exact"/>
        <w:ind w:firstLine="440" w:firstLineChars="200"/>
        <w:rPr>
          <w:rFonts w:ascii="宋体" w:cs="宋体"/>
          <w:color w:val="auto"/>
          <w:sz w:val="22"/>
          <w:highlight w:val="none"/>
        </w:rPr>
      </w:pPr>
      <w:r>
        <w:rPr>
          <w:rFonts w:ascii="宋体" w:cs="宋体"/>
          <w:color w:val="auto"/>
          <w:sz w:val="22"/>
          <w:highlight w:val="none"/>
        </w:rPr>
        <w:t>4</w:t>
      </w:r>
      <w:r>
        <w:rPr>
          <w:rFonts w:hint="eastAsia" w:ascii="宋体" w:cs="宋体"/>
          <w:color w:val="auto"/>
          <w:sz w:val="22"/>
          <w:highlight w:val="none"/>
        </w:rPr>
        <w:t>.为保障局与一队三中心信息化技术服务的稳定与安全，中标单位要充分考虑继续留用现有信息化服务外包人员，中标单位如需更换技术人员，必须在投标文件技术资信标中给出详细的人员更</w:t>
      </w:r>
      <w:r>
        <w:rPr>
          <w:rFonts w:hint="eastAsia" w:ascii="宋体" w:cs="宋体"/>
          <w:color w:val="auto"/>
          <w:szCs w:val="21"/>
          <w:highlight w:val="none"/>
        </w:rPr>
        <w:t>换方案，包括并不仅限</w:t>
      </w:r>
      <w:r>
        <w:rPr>
          <w:rFonts w:hint="eastAsia" w:ascii="宋体" w:cs="宋体"/>
          <w:color w:val="auto"/>
          <w:sz w:val="22"/>
          <w:highlight w:val="none"/>
        </w:rPr>
        <w:t>于：现有人员的安置方案、新老技术服务人员工作交接方案等。中标单位在本项目公告期间，可向采购人了解现有人员薪资待遇具体情况。</w:t>
      </w:r>
    </w:p>
    <w:p w14:paraId="162814B1">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5.▲投标单位须在投标时明确承诺，若中标，外包技术人员薪资待遇支出费用不低于</w:t>
      </w:r>
      <w:r>
        <w:rPr>
          <w:rFonts w:hint="eastAsia" w:ascii="宋体" w:hAnsi="宋体" w:cs="宋体"/>
          <w:b/>
          <w:bCs/>
          <w:color w:val="auto"/>
          <w:sz w:val="22"/>
          <w:szCs w:val="22"/>
          <w:highlight w:val="none"/>
        </w:rPr>
        <w:t>信息化技术外包服务</w:t>
      </w:r>
      <w:r>
        <w:rPr>
          <w:rFonts w:hint="eastAsia" w:ascii="宋体" w:cs="宋体"/>
          <w:color w:val="auto"/>
          <w:sz w:val="22"/>
          <w:highlight w:val="none"/>
        </w:rPr>
        <w:t>中标金额的91%，且其支出与使用必须在采购人的认可与监督下方可进行。</w:t>
      </w:r>
    </w:p>
    <w:p w14:paraId="3C45FD47">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6.中标单位必须做好采购人信息化系统和数据保密工作，未经允许不得对外透露采购人相关的设备、网络及系统的信息，未经允许不得复制外传与工作相关的数据与信息。</w:t>
      </w:r>
    </w:p>
    <w:p w14:paraId="151ACBC4">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7.信息化技术外包服务期间存在以下四种情况的，采购人有权提前终止合同，</w:t>
      </w:r>
      <w:r>
        <w:rPr>
          <w:rFonts w:ascii="宋体" w:cs="宋体"/>
          <w:color w:val="auto"/>
          <w:sz w:val="22"/>
          <w:highlight w:val="none"/>
        </w:rPr>
        <w:t>并</w:t>
      </w:r>
      <w:r>
        <w:rPr>
          <w:rFonts w:hint="eastAsia" w:ascii="宋体" w:cs="宋体"/>
          <w:color w:val="auto"/>
          <w:sz w:val="22"/>
          <w:highlight w:val="none"/>
        </w:rPr>
        <w:t>不支付外包服务费用。</w:t>
      </w:r>
      <w:r>
        <w:rPr>
          <w:rFonts w:ascii="宋体" w:cs="宋体"/>
          <w:color w:val="auto"/>
          <w:sz w:val="22"/>
          <w:highlight w:val="none"/>
        </w:rPr>
        <w:t>如</w:t>
      </w:r>
      <w:r>
        <w:rPr>
          <w:rFonts w:hint="eastAsia" w:ascii="宋体" w:cs="宋体"/>
          <w:color w:val="auto"/>
          <w:sz w:val="22"/>
          <w:highlight w:val="none"/>
        </w:rPr>
        <w:t>造成采购人经济损失的，中标单位应予赔偿。情节严重的，将予追究法律责任。</w:t>
      </w:r>
    </w:p>
    <w:p w14:paraId="16474A07">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①团队人员的流动率（采购人建议更换的除外）高于25%的；</w:t>
      </w:r>
    </w:p>
    <w:p w14:paraId="40C92963">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②未按照要求组建团队并上岗到位的；</w:t>
      </w:r>
    </w:p>
    <w:p w14:paraId="40F9AC90">
      <w:pPr>
        <w:snapToGrid w:val="0"/>
        <w:spacing w:line="480" w:lineRule="exact"/>
        <w:ind w:firstLine="440" w:firstLineChars="200"/>
        <w:rPr>
          <w:rFonts w:ascii="宋体" w:cs="宋体"/>
          <w:bCs/>
          <w:color w:val="auto"/>
          <w:sz w:val="22"/>
          <w:highlight w:val="none"/>
        </w:rPr>
      </w:pPr>
      <w:r>
        <w:rPr>
          <w:rFonts w:hint="eastAsia" w:ascii="宋体" w:cs="宋体"/>
          <w:color w:val="auto"/>
          <w:sz w:val="22"/>
          <w:highlight w:val="none"/>
        </w:rPr>
        <w:t>③团队因工作失误或未按照规定做好信</w:t>
      </w:r>
      <w:r>
        <w:rPr>
          <w:rFonts w:hint="eastAsia" w:ascii="宋体" w:cs="宋体"/>
          <w:bCs/>
          <w:color w:val="auto"/>
          <w:sz w:val="22"/>
          <w:highlight w:val="none"/>
        </w:rPr>
        <w:t>息系统和数据保密工作，給采购人的信息系统造成重大故障或造成恶劣影响的；</w:t>
      </w:r>
    </w:p>
    <w:p w14:paraId="795A8401">
      <w:pPr>
        <w:snapToGrid w:val="0"/>
        <w:spacing w:line="480" w:lineRule="exact"/>
        <w:ind w:firstLine="440" w:firstLineChars="200"/>
        <w:rPr>
          <w:rFonts w:ascii="宋体" w:cs="宋体"/>
          <w:bCs/>
          <w:color w:val="auto"/>
          <w:sz w:val="22"/>
          <w:highlight w:val="none"/>
        </w:rPr>
      </w:pPr>
      <w:r>
        <w:rPr>
          <w:rFonts w:hint="eastAsia" w:ascii="宋体" w:cs="宋体"/>
          <w:bCs/>
          <w:color w:val="auto"/>
          <w:sz w:val="22"/>
          <w:highlight w:val="none"/>
        </w:rPr>
        <w:t>④未按照合同及招标要求做好服务，并在收到告诫通知后一个月内未整改到位的。</w:t>
      </w:r>
    </w:p>
    <w:p w14:paraId="5D0A0683">
      <w:pPr>
        <w:widowControl/>
        <w:spacing w:line="500" w:lineRule="exact"/>
        <w:ind w:firstLine="440" w:firstLineChars="200"/>
        <w:jc w:val="left"/>
        <w:rPr>
          <w:rFonts w:ascii="宋体"/>
          <w:bCs/>
          <w:color w:val="auto"/>
          <w:kern w:val="0"/>
          <w:sz w:val="22"/>
          <w:szCs w:val="22"/>
          <w:highlight w:val="none"/>
        </w:rPr>
      </w:pPr>
      <w:r>
        <w:rPr>
          <w:rFonts w:hint="eastAsia" w:ascii="宋体"/>
          <w:bCs/>
          <w:color w:val="auto"/>
          <w:kern w:val="0"/>
          <w:sz w:val="22"/>
          <w:szCs w:val="22"/>
          <w:highlight w:val="none"/>
        </w:rPr>
        <w:t>8.由于上一年度项目截止后，财政预算未下达，自2025年1月份至中标单位接手时止这段时间的技术服务费用由中标单位支付（该技术服务费用金额=（该时间月数/12）*2025年中标运维金额）。</w:t>
      </w:r>
    </w:p>
    <w:p w14:paraId="4AD70E60">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9.运维服务质量考核要求</w:t>
      </w:r>
    </w:p>
    <w:p w14:paraId="03A3FC55">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①每月技术服务整体情况进行服务满意度调查表，输出服务满意度调查表。</w:t>
      </w:r>
    </w:p>
    <w:p w14:paraId="00088AEB">
      <w:pPr>
        <w:snapToGrid w:val="0"/>
        <w:spacing w:line="480" w:lineRule="exact"/>
        <w:ind w:firstLine="440" w:firstLineChars="200"/>
        <w:rPr>
          <w:rFonts w:ascii="宋体" w:cs="宋体"/>
          <w:color w:val="auto"/>
          <w:sz w:val="22"/>
          <w:highlight w:val="none"/>
        </w:rPr>
      </w:pPr>
      <w:r>
        <w:rPr>
          <w:rFonts w:hint="eastAsia" w:ascii="宋体" w:cs="宋体"/>
          <w:color w:val="auto"/>
          <w:sz w:val="22"/>
          <w:highlight w:val="none"/>
        </w:rPr>
        <w:t>②每周驻场技术人员每人提供周报，周报内容包含所有工作内容，如巡检、技术服务、故障排除、技术方案、项目管理等全部工作内容</w:t>
      </w:r>
    </w:p>
    <w:p w14:paraId="63CB07F6">
      <w:pPr>
        <w:pStyle w:val="76"/>
        <w:ind w:firstLine="440"/>
        <w:rPr>
          <w:rFonts w:cs="宋体"/>
          <w:color w:val="auto"/>
          <w:sz w:val="22"/>
          <w:highlight w:val="none"/>
          <w:lang w:val="en-US"/>
        </w:rPr>
      </w:pPr>
      <w:r>
        <w:rPr>
          <w:rFonts w:hint="eastAsia" w:cs="宋体"/>
          <w:color w:val="auto"/>
          <w:sz w:val="22"/>
          <w:highlight w:val="none"/>
          <w:lang w:val="en-US"/>
        </w:rPr>
        <w:t>③每月对所有驻场技术人员进行考核，对每个人员使用外包人员管理考核表进行打分。</w:t>
      </w:r>
    </w:p>
    <w:p w14:paraId="2EEF6AC3">
      <w:pPr>
        <w:spacing w:line="40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附件：</w:t>
      </w:r>
    </w:p>
    <w:p w14:paraId="03E7E90A">
      <w:pPr>
        <w:spacing w:line="400" w:lineRule="exact"/>
        <w:jc w:val="center"/>
        <w:rPr>
          <w:rFonts w:ascii="宋体" w:hAnsi="宋体" w:cs="宋体"/>
          <w:b/>
          <w:bCs/>
          <w:color w:val="auto"/>
          <w:sz w:val="24"/>
          <w:highlight w:val="none"/>
        </w:rPr>
      </w:pPr>
      <w:r>
        <w:rPr>
          <w:rFonts w:hint="eastAsia" w:ascii="宋体" w:hAnsi="宋体" w:cs="宋体"/>
          <w:b/>
          <w:bCs/>
          <w:color w:val="auto"/>
          <w:sz w:val="24"/>
          <w:highlight w:val="none"/>
        </w:rPr>
        <w:t>（1）系统清单</w:t>
      </w:r>
    </w:p>
    <w:tbl>
      <w:tblPr>
        <w:tblStyle w:val="63"/>
        <w:tblW w:w="9753" w:type="dxa"/>
        <w:jc w:val="center"/>
        <w:tblLayout w:type="fixed"/>
        <w:tblCellMar>
          <w:top w:w="0" w:type="dxa"/>
          <w:left w:w="108" w:type="dxa"/>
          <w:bottom w:w="0" w:type="dxa"/>
          <w:right w:w="108" w:type="dxa"/>
        </w:tblCellMar>
      </w:tblPr>
      <w:tblGrid>
        <w:gridCol w:w="856"/>
        <w:gridCol w:w="6275"/>
        <w:gridCol w:w="2622"/>
      </w:tblGrid>
      <w:tr w14:paraId="76BF4EC5">
        <w:tblPrEx>
          <w:tblCellMar>
            <w:top w:w="0" w:type="dxa"/>
            <w:left w:w="108" w:type="dxa"/>
            <w:bottom w:w="0" w:type="dxa"/>
            <w:right w:w="108" w:type="dxa"/>
          </w:tblCellMar>
        </w:tblPrEx>
        <w:trPr>
          <w:trHeight w:val="520" w:hRule="atLeast"/>
          <w:jc w:val="center"/>
        </w:trPr>
        <w:tc>
          <w:tcPr>
            <w:tcW w:w="9753" w:type="dxa"/>
            <w:gridSpan w:val="3"/>
            <w:tcBorders>
              <w:top w:val="single" w:color="auto" w:sz="4" w:space="0"/>
              <w:left w:val="single" w:color="auto" w:sz="4" w:space="0"/>
              <w:bottom w:val="single" w:color="auto" w:sz="4" w:space="0"/>
              <w:right w:val="single" w:color="auto" w:sz="4" w:space="0"/>
            </w:tcBorders>
            <w:vAlign w:val="center"/>
          </w:tcPr>
          <w:p w14:paraId="27695672">
            <w:pPr>
              <w:widowControl/>
              <w:spacing w:line="400" w:lineRule="exact"/>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在用业务系统信息表</w:t>
            </w:r>
          </w:p>
        </w:tc>
      </w:tr>
      <w:tr w14:paraId="6B120DB4">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54A5AE8A">
            <w:pPr>
              <w:widowControl/>
              <w:spacing w:line="400" w:lineRule="exact"/>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序号</w:t>
            </w:r>
          </w:p>
        </w:tc>
        <w:tc>
          <w:tcPr>
            <w:tcW w:w="6275" w:type="dxa"/>
            <w:tcBorders>
              <w:top w:val="nil"/>
              <w:left w:val="nil"/>
              <w:bottom w:val="single" w:color="auto" w:sz="4" w:space="0"/>
              <w:right w:val="single" w:color="auto" w:sz="4" w:space="0"/>
            </w:tcBorders>
            <w:vAlign w:val="center"/>
          </w:tcPr>
          <w:p w14:paraId="7BA3BDC4">
            <w:pPr>
              <w:widowControl/>
              <w:spacing w:line="400" w:lineRule="exact"/>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系统名称</w:t>
            </w:r>
          </w:p>
        </w:tc>
        <w:tc>
          <w:tcPr>
            <w:tcW w:w="2622" w:type="dxa"/>
            <w:tcBorders>
              <w:top w:val="nil"/>
              <w:left w:val="nil"/>
              <w:bottom w:val="single" w:color="auto" w:sz="4" w:space="0"/>
              <w:right w:val="single" w:color="auto" w:sz="4" w:space="0"/>
            </w:tcBorders>
            <w:vAlign w:val="center"/>
          </w:tcPr>
          <w:p w14:paraId="63AB909E">
            <w:pPr>
              <w:widowControl/>
              <w:spacing w:line="400" w:lineRule="exact"/>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是否自建</w:t>
            </w:r>
          </w:p>
        </w:tc>
      </w:tr>
      <w:tr w14:paraId="5C8540F3">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50E3565F">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w:t>
            </w:r>
          </w:p>
        </w:tc>
        <w:tc>
          <w:tcPr>
            <w:tcW w:w="6275" w:type="dxa"/>
            <w:tcBorders>
              <w:top w:val="nil"/>
              <w:left w:val="nil"/>
              <w:bottom w:val="single" w:color="auto" w:sz="4" w:space="0"/>
              <w:right w:val="single" w:color="auto" w:sz="4" w:space="0"/>
            </w:tcBorders>
            <w:vAlign w:val="center"/>
          </w:tcPr>
          <w:p w14:paraId="3137E029">
            <w:pPr>
              <w:widowControl/>
              <w:spacing w:line="400" w:lineRule="exact"/>
              <w:jc w:val="center"/>
              <w:rPr>
                <w:rFonts w:ascii="宋体" w:hAnsi="宋体" w:cs="宋体"/>
                <w:color w:val="auto"/>
                <w:kern w:val="0"/>
                <w:sz w:val="22"/>
                <w:szCs w:val="22"/>
                <w:highlight w:val="none"/>
              </w:rPr>
            </w:pPr>
            <w:r>
              <w:rPr>
                <w:rFonts w:hint="eastAsia" w:ascii="Times New Roman" w:hAnsi="Times New Roman" w:eastAsia="宋体" w:cs="Times New Roman"/>
                <w:b w:val="0"/>
                <w:i w:val="0"/>
                <w:caps w:val="0"/>
                <w:color w:val="auto"/>
                <w:spacing w:val="0"/>
                <w:sz w:val="21"/>
                <w:szCs w:val="24"/>
                <w:highlight w:val="none"/>
                <w:shd w:val="clear" w:fill="auto"/>
                <w:woUserID w:val="0"/>
              </w:rPr>
              <w:t>温州数字公运（智慧交通防汛防台应急）应用</w:t>
            </w:r>
          </w:p>
        </w:tc>
        <w:tc>
          <w:tcPr>
            <w:tcW w:w="2622" w:type="dxa"/>
            <w:tcBorders>
              <w:top w:val="nil"/>
              <w:left w:val="nil"/>
              <w:bottom w:val="single" w:color="auto" w:sz="4" w:space="0"/>
              <w:right w:val="single" w:color="auto" w:sz="4" w:space="0"/>
            </w:tcBorders>
            <w:vAlign w:val="center"/>
          </w:tcPr>
          <w:p w14:paraId="135E5899">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6D9E63DD">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2E8B0F0A">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w:t>
            </w:r>
          </w:p>
        </w:tc>
        <w:tc>
          <w:tcPr>
            <w:tcW w:w="6275" w:type="dxa"/>
            <w:tcBorders>
              <w:top w:val="nil"/>
              <w:left w:val="nil"/>
              <w:bottom w:val="single" w:color="auto" w:sz="4" w:space="0"/>
              <w:right w:val="single" w:color="auto" w:sz="4" w:space="0"/>
            </w:tcBorders>
            <w:vAlign w:val="center"/>
          </w:tcPr>
          <w:p w14:paraId="6B542E11">
            <w:pPr>
              <w:widowControl/>
              <w:spacing w:line="400" w:lineRule="exact"/>
              <w:jc w:val="center"/>
              <w:rPr>
                <w:rFonts w:ascii="宋体" w:hAnsi="宋体" w:cs="宋体"/>
                <w:color w:val="auto"/>
                <w:kern w:val="0"/>
                <w:sz w:val="22"/>
                <w:szCs w:val="22"/>
                <w:highlight w:val="none"/>
              </w:rPr>
            </w:pPr>
            <w:r>
              <w:rPr>
                <w:rFonts w:hint="eastAsia"/>
                <w:color w:val="auto"/>
                <w:highlight w:val="none"/>
              </w:rPr>
              <w:t>温州市智慧交通综合执法分应用</w:t>
            </w:r>
          </w:p>
        </w:tc>
        <w:tc>
          <w:tcPr>
            <w:tcW w:w="2622" w:type="dxa"/>
            <w:tcBorders>
              <w:top w:val="nil"/>
              <w:left w:val="nil"/>
              <w:bottom w:val="single" w:color="auto" w:sz="4" w:space="0"/>
              <w:right w:val="single" w:color="auto" w:sz="4" w:space="0"/>
            </w:tcBorders>
            <w:vAlign w:val="center"/>
          </w:tcPr>
          <w:p w14:paraId="31E46EE5">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59A6F4CF">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009BC87E">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w:t>
            </w:r>
          </w:p>
        </w:tc>
        <w:tc>
          <w:tcPr>
            <w:tcW w:w="6275" w:type="dxa"/>
            <w:tcBorders>
              <w:top w:val="nil"/>
              <w:left w:val="nil"/>
              <w:bottom w:val="single" w:color="auto" w:sz="4" w:space="0"/>
              <w:right w:val="single" w:color="auto" w:sz="4" w:space="0"/>
            </w:tcBorders>
            <w:vAlign w:val="center"/>
          </w:tcPr>
          <w:p w14:paraId="3DEA7627">
            <w:pPr>
              <w:widowControl/>
              <w:spacing w:line="400" w:lineRule="exact"/>
              <w:jc w:val="center"/>
              <w:rPr>
                <w:rFonts w:ascii="宋体" w:hAnsi="宋体" w:cs="宋体"/>
                <w:color w:val="auto"/>
                <w:kern w:val="0"/>
                <w:sz w:val="22"/>
                <w:szCs w:val="22"/>
                <w:highlight w:val="none"/>
              </w:rPr>
            </w:pPr>
            <w:r>
              <w:rPr>
                <w:rFonts w:hint="eastAsia"/>
                <w:color w:val="auto"/>
                <w:highlight w:val="none"/>
              </w:rPr>
              <w:t>温州市区道路交通运行指数系统</w:t>
            </w:r>
          </w:p>
        </w:tc>
        <w:tc>
          <w:tcPr>
            <w:tcW w:w="2622" w:type="dxa"/>
            <w:tcBorders>
              <w:top w:val="nil"/>
              <w:left w:val="nil"/>
              <w:bottom w:val="single" w:color="auto" w:sz="4" w:space="0"/>
              <w:right w:val="single" w:color="auto" w:sz="4" w:space="0"/>
            </w:tcBorders>
            <w:vAlign w:val="center"/>
          </w:tcPr>
          <w:p w14:paraId="1A6978D3">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2F404115">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0B32F40D">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4</w:t>
            </w:r>
          </w:p>
        </w:tc>
        <w:tc>
          <w:tcPr>
            <w:tcW w:w="6275" w:type="dxa"/>
            <w:tcBorders>
              <w:top w:val="nil"/>
              <w:left w:val="nil"/>
              <w:bottom w:val="single" w:color="auto" w:sz="4" w:space="0"/>
              <w:right w:val="single" w:color="auto" w:sz="4" w:space="0"/>
            </w:tcBorders>
            <w:vAlign w:val="center"/>
          </w:tcPr>
          <w:p w14:paraId="655B6B44">
            <w:pPr>
              <w:widowControl/>
              <w:spacing w:line="400" w:lineRule="exact"/>
              <w:jc w:val="center"/>
              <w:rPr>
                <w:rFonts w:ascii="宋体" w:hAnsi="宋体" w:cs="宋体"/>
                <w:color w:val="auto"/>
                <w:kern w:val="0"/>
                <w:sz w:val="22"/>
                <w:szCs w:val="22"/>
                <w:highlight w:val="none"/>
              </w:rPr>
            </w:pPr>
            <w:r>
              <w:rPr>
                <w:rFonts w:hint="eastAsia"/>
                <w:color w:val="auto"/>
                <w:highlight w:val="none"/>
              </w:rPr>
              <w:t>温州市重点车辆协同监控系统</w:t>
            </w:r>
          </w:p>
        </w:tc>
        <w:tc>
          <w:tcPr>
            <w:tcW w:w="2622" w:type="dxa"/>
            <w:tcBorders>
              <w:top w:val="nil"/>
              <w:left w:val="nil"/>
              <w:bottom w:val="single" w:color="auto" w:sz="4" w:space="0"/>
              <w:right w:val="single" w:color="auto" w:sz="4" w:space="0"/>
            </w:tcBorders>
            <w:vAlign w:val="center"/>
          </w:tcPr>
          <w:p w14:paraId="033A5CD0">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20E0DFDE">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0D2520F0">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w:t>
            </w:r>
          </w:p>
        </w:tc>
        <w:tc>
          <w:tcPr>
            <w:tcW w:w="6275" w:type="dxa"/>
            <w:tcBorders>
              <w:top w:val="nil"/>
              <w:left w:val="nil"/>
              <w:bottom w:val="single" w:color="auto" w:sz="4" w:space="0"/>
              <w:right w:val="single" w:color="auto" w:sz="4" w:space="0"/>
            </w:tcBorders>
            <w:vAlign w:val="center"/>
          </w:tcPr>
          <w:p w14:paraId="6B45CD95">
            <w:pPr>
              <w:widowControl/>
              <w:spacing w:line="400" w:lineRule="exact"/>
              <w:jc w:val="center"/>
              <w:rPr>
                <w:rFonts w:ascii="宋体" w:hAnsi="宋体" w:cs="宋体"/>
                <w:color w:val="auto"/>
                <w:kern w:val="0"/>
                <w:sz w:val="22"/>
                <w:szCs w:val="22"/>
                <w:highlight w:val="none"/>
              </w:rPr>
            </w:pPr>
            <w:r>
              <w:rPr>
                <w:rFonts w:hint="eastAsia"/>
                <w:color w:val="auto"/>
                <w:highlight w:val="none"/>
              </w:rPr>
              <w:t>温州市智慧交通综合信息系统</w:t>
            </w:r>
          </w:p>
        </w:tc>
        <w:tc>
          <w:tcPr>
            <w:tcW w:w="2622" w:type="dxa"/>
            <w:tcBorders>
              <w:top w:val="nil"/>
              <w:left w:val="nil"/>
              <w:bottom w:val="single" w:color="auto" w:sz="4" w:space="0"/>
              <w:right w:val="single" w:color="auto" w:sz="4" w:space="0"/>
            </w:tcBorders>
            <w:vAlign w:val="center"/>
          </w:tcPr>
          <w:p w14:paraId="0B789D55">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28E1B7EC">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3792D070">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w:t>
            </w:r>
          </w:p>
        </w:tc>
        <w:tc>
          <w:tcPr>
            <w:tcW w:w="6275" w:type="dxa"/>
            <w:tcBorders>
              <w:top w:val="nil"/>
              <w:left w:val="nil"/>
              <w:bottom w:val="single" w:color="auto" w:sz="4" w:space="0"/>
              <w:right w:val="single" w:color="auto" w:sz="4" w:space="0"/>
            </w:tcBorders>
            <w:vAlign w:val="center"/>
          </w:tcPr>
          <w:p w14:paraId="61D19DAF">
            <w:pPr>
              <w:widowControl/>
              <w:spacing w:line="400" w:lineRule="exact"/>
              <w:jc w:val="center"/>
              <w:rPr>
                <w:rFonts w:ascii="宋体" w:hAnsi="宋体" w:cs="宋体"/>
                <w:color w:val="auto"/>
                <w:kern w:val="0"/>
                <w:sz w:val="22"/>
                <w:szCs w:val="22"/>
                <w:highlight w:val="none"/>
              </w:rPr>
            </w:pPr>
            <w:r>
              <w:rPr>
                <w:rFonts w:hint="eastAsia"/>
                <w:color w:val="auto"/>
                <w:highlight w:val="none"/>
              </w:rPr>
              <w:t>温州交通执法数字化监管系统</w:t>
            </w:r>
          </w:p>
        </w:tc>
        <w:tc>
          <w:tcPr>
            <w:tcW w:w="2622" w:type="dxa"/>
            <w:tcBorders>
              <w:top w:val="nil"/>
              <w:left w:val="nil"/>
              <w:bottom w:val="single" w:color="auto" w:sz="4" w:space="0"/>
              <w:right w:val="single" w:color="auto" w:sz="4" w:space="0"/>
            </w:tcBorders>
            <w:vAlign w:val="center"/>
          </w:tcPr>
          <w:p w14:paraId="6A5E2A0F">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5794E9F1">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76DBA9FF">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7</w:t>
            </w:r>
          </w:p>
        </w:tc>
        <w:tc>
          <w:tcPr>
            <w:tcW w:w="6275" w:type="dxa"/>
            <w:tcBorders>
              <w:top w:val="nil"/>
              <w:left w:val="nil"/>
              <w:bottom w:val="single" w:color="auto" w:sz="4" w:space="0"/>
              <w:right w:val="single" w:color="auto" w:sz="4" w:space="0"/>
            </w:tcBorders>
            <w:vAlign w:val="center"/>
          </w:tcPr>
          <w:p w14:paraId="23D0249C">
            <w:pPr>
              <w:widowControl/>
              <w:spacing w:line="400" w:lineRule="exact"/>
              <w:jc w:val="center"/>
              <w:rPr>
                <w:rFonts w:ascii="宋体" w:hAnsi="宋体" w:cs="宋体"/>
                <w:color w:val="auto"/>
                <w:kern w:val="0"/>
                <w:sz w:val="22"/>
                <w:szCs w:val="22"/>
                <w:highlight w:val="none"/>
              </w:rPr>
            </w:pPr>
            <w:r>
              <w:rPr>
                <w:rFonts w:hint="eastAsia"/>
                <w:color w:val="auto"/>
                <w:highlight w:val="none"/>
              </w:rPr>
              <w:t>温州市出租网约监管系统</w:t>
            </w:r>
          </w:p>
        </w:tc>
        <w:tc>
          <w:tcPr>
            <w:tcW w:w="2622" w:type="dxa"/>
            <w:tcBorders>
              <w:top w:val="nil"/>
              <w:left w:val="nil"/>
              <w:bottom w:val="single" w:color="auto" w:sz="4" w:space="0"/>
              <w:right w:val="single" w:color="auto" w:sz="4" w:space="0"/>
            </w:tcBorders>
            <w:vAlign w:val="center"/>
          </w:tcPr>
          <w:p w14:paraId="5F1DB7AF">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4F2681AA">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2A75C368">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8</w:t>
            </w:r>
          </w:p>
        </w:tc>
        <w:tc>
          <w:tcPr>
            <w:tcW w:w="6275" w:type="dxa"/>
            <w:tcBorders>
              <w:top w:val="nil"/>
              <w:left w:val="nil"/>
              <w:bottom w:val="single" w:color="auto" w:sz="4" w:space="0"/>
              <w:right w:val="single" w:color="auto" w:sz="4" w:space="0"/>
            </w:tcBorders>
            <w:vAlign w:val="center"/>
          </w:tcPr>
          <w:p w14:paraId="1A2A0E3B">
            <w:pPr>
              <w:widowControl/>
              <w:spacing w:line="400" w:lineRule="exact"/>
              <w:jc w:val="center"/>
              <w:rPr>
                <w:rFonts w:ascii="宋体" w:hAnsi="宋体" w:cs="宋体"/>
                <w:color w:val="auto"/>
                <w:kern w:val="0"/>
                <w:sz w:val="22"/>
                <w:szCs w:val="22"/>
                <w:highlight w:val="none"/>
              </w:rPr>
            </w:pPr>
            <w:r>
              <w:rPr>
                <w:rFonts w:hint="eastAsia"/>
                <w:color w:val="auto"/>
                <w:highlight w:val="none"/>
              </w:rPr>
              <w:t>温州12328监督服务热线系统</w:t>
            </w:r>
          </w:p>
        </w:tc>
        <w:tc>
          <w:tcPr>
            <w:tcW w:w="2622" w:type="dxa"/>
            <w:tcBorders>
              <w:top w:val="nil"/>
              <w:left w:val="nil"/>
              <w:bottom w:val="single" w:color="auto" w:sz="4" w:space="0"/>
              <w:right w:val="single" w:color="auto" w:sz="4" w:space="0"/>
            </w:tcBorders>
            <w:vAlign w:val="center"/>
          </w:tcPr>
          <w:p w14:paraId="1E21FA8C">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58E7886A">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030A9AC7">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9</w:t>
            </w:r>
          </w:p>
        </w:tc>
        <w:tc>
          <w:tcPr>
            <w:tcW w:w="6275" w:type="dxa"/>
            <w:tcBorders>
              <w:top w:val="nil"/>
              <w:left w:val="nil"/>
              <w:bottom w:val="single" w:color="auto" w:sz="4" w:space="0"/>
              <w:right w:val="single" w:color="auto" w:sz="4" w:space="0"/>
            </w:tcBorders>
            <w:vAlign w:val="center"/>
          </w:tcPr>
          <w:p w14:paraId="09A8E8A0">
            <w:pPr>
              <w:widowControl/>
              <w:spacing w:line="400" w:lineRule="exact"/>
              <w:jc w:val="center"/>
              <w:rPr>
                <w:rFonts w:ascii="宋体" w:hAnsi="宋体" w:cs="宋体"/>
                <w:color w:val="auto"/>
                <w:kern w:val="0"/>
                <w:sz w:val="22"/>
                <w:szCs w:val="22"/>
                <w:highlight w:val="none"/>
              </w:rPr>
            </w:pPr>
            <w:r>
              <w:rPr>
                <w:rFonts w:hint="eastAsia"/>
                <w:color w:val="auto"/>
                <w:highlight w:val="none"/>
              </w:rPr>
              <w:t>温州交通重点区域非现场数字化监管系统</w:t>
            </w:r>
          </w:p>
        </w:tc>
        <w:tc>
          <w:tcPr>
            <w:tcW w:w="2622" w:type="dxa"/>
            <w:tcBorders>
              <w:top w:val="nil"/>
              <w:left w:val="nil"/>
              <w:bottom w:val="single" w:color="auto" w:sz="4" w:space="0"/>
              <w:right w:val="single" w:color="auto" w:sz="4" w:space="0"/>
            </w:tcBorders>
            <w:vAlign w:val="center"/>
          </w:tcPr>
          <w:p w14:paraId="2FAD83C3">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774A7017">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0BAADA56">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10</w:t>
            </w:r>
          </w:p>
        </w:tc>
        <w:tc>
          <w:tcPr>
            <w:tcW w:w="6275" w:type="dxa"/>
            <w:tcBorders>
              <w:top w:val="nil"/>
              <w:left w:val="nil"/>
              <w:bottom w:val="single" w:color="auto" w:sz="4" w:space="0"/>
              <w:right w:val="single" w:color="auto" w:sz="4" w:space="0"/>
            </w:tcBorders>
            <w:vAlign w:val="center"/>
          </w:tcPr>
          <w:p w14:paraId="19935F98">
            <w:pPr>
              <w:widowControl/>
              <w:spacing w:line="400" w:lineRule="exact"/>
              <w:jc w:val="center"/>
              <w:rPr>
                <w:rFonts w:ascii="宋体" w:hAnsi="宋体" w:cs="宋体"/>
                <w:color w:val="auto"/>
                <w:kern w:val="0"/>
                <w:sz w:val="22"/>
                <w:szCs w:val="22"/>
                <w:highlight w:val="none"/>
              </w:rPr>
            </w:pPr>
            <w:r>
              <w:rPr>
                <w:rFonts w:hint="eastAsia" w:ascii="Times New Roman" w:hAnsi="Times New Roman" w:eastAsia="宋体" w:cs="Times New Roman"/>
                <w:i w:val="0"/>
                <w:caps w:val="0"/>
                <w:color w:val="auto"/>
                <w:spacing w:val="0"/>
                <w:sz w:val="21"/>
                <w:szCs w:val="24"/>
                <w:highlight w:val="none"/>
                <w:woUserID w:val="0"/>
              </w:rPr>
              <w:t>温州市民用运力快速转换系统</w:t>
            </w:r>
          </w:p>
        </w:tc>
        <w:tc>
          <w:tcPr>
            <w:tcW w:w="2622" w:type="dxa"/>
            <w:tcBorders>
              <w:top w:val="nil"/>
              <w:left w:val="nil"/>
              <w:bottom w:val="single" w:color="auto" w:sz="4" w:space="0"/>
              <w:right w:val="single" w:color="auto" w:sz="4" w:space="0"/>
            </w:tcBorders>
            <w:vAlign w:val="center"/>
          </w:tcPr>
          <w:p w14:paraId="132EB456">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666F6418">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5B9F1DC1">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11</w:t>
            </w:r>
          </w:p>
        </w:tc>
        <w:tc>
          <w:tcPr>
            <w:tcW w:w="6275" w:type="dxa"/>
            <w:tcBorders>
              <w:top w:val="nil"/>
              <w:left w:val="nil"/>
              <w:bottom w:val="single" w:color="auto" w:sz="4" w:space="0"/>
              <w:right w:val="single" w:color="auto" w:sz="4" w:space="0"/>
            </w:tcBorders>
            <w:vAlign w:val="center"/>
          </w:tcPr>
          <w:p w14:paraId="59F3E3E8">
            <w:pPr>
              <w:widowControl/>
              <w:spacing w:line="400" w:lineRule="exact"/>
              <w:jc w:val="center"/>
              <w:rPr>
                <w:rFonts w:ascii="宋体" w:hAnsi="宋体" w:cs="宋体"/>
                <w:color w:val="auto"/>
                <w:kern w:val="0"/>
                <w:sz w:val="22"/>
                <w:szCs w:val="22"/>
                <w:highlight w:val="none"/>
              </w:rPr>
            </w:pPr>
            <w:r>
              <w:rPr>
                <w:rFonts w:hint="eastAsia"/>
                <w:color w:val="auto"/>
                <w:highlight w:val="none"/>
              </w:rPr>
              <w:t>温州智慧港航数据中心及应用系统</w:t>
            </w:r>
          </w:p>
        </w:tc>
        <w:tc>
          <w:tcPr>
            <w:tcW w:w="2622" w:type="dxa"/>
            <w:tcBorders>
              <w:top w:val="nil"/>
              <w:left w:val="nil"/>
              <w:bottom w:val="single" w:color="auto" w:sz="4" w:space="0"/>
              <w:right w:val="single" w:color="auto" w:sz="4" w:space="0"/>
            </w:tcBorders>
            <w:vAlign w:val="center"/>
          </w:tcPr>
          <w:p w14:paraId="5A179978">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5F006D82">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4AA43CE5">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12</w:t>
            </w:r>
          </w:p>
        </w:tc>
        <w:tc>
          <w:tcPr>
            <w:tcW w:w="6275" w:type="dxa"/>
            <w:tcBorders>
              <w:top w:val="nil"/>
              <w:left w:val="nil"/>
              <w:bottom w:val="single" w:color="auto" w:sz="4" w:space="0"/>
              <w:right w:val="single" w:color="auto" w:sz="4" w:space="0"/>
            </w:tcBorders>
            <w:vAlign w:val="center"/>
          </w:tcPr>
          <w:p w14:paraId="4B9CF9BF">
            <w:pPr>
              <w:widowControl/>
              <w:spacing w:line="400" w:lineRule="exact"/>
              <w:jc w:val="center"/>
              <w:rPr>
                <w:rFonts w:ascii="宋体" w:hAnsi="宋体" w:cs="宋体"/>
                <w:color w:val="auto"/>
                <w:kern w:val="0"/>
                <w:sz w:val="22"/>
                <w:szCs w:val="22"/>
                <w:highlight w:val="none"/>
              </w:rPr>
            </w:pPr>
            <w:r>
              <w:rPr>
                <w:rFonts w:hint="eastAsia"/>
                <w:color w:val="auto"/>
                <w:highlight w:val="none"/>
              </w:rPr>
              <w:t>温州巡游车移动端应用</w:t>
            </w:r>
          </w:p>
        </w:tc>
        <w:tc>
          <w:tcPr>
            <w:tcW w:w="2622" w:type="dxa"/>
            <w:tcBorders>
              <w:top w:val="nil"/>
              <w:left w:val="nil"/>
              <w:bottom w:val="single" w:color="auto" w:sz="4" w:space="0"/>
              <w:right w:val="single" w:color="auto" w:sz="4" w:space="0"/>
            </w:tcBorders>
            <w:vAlign w:val="center"/>
          </w:tcPr>
          <w:p w14:paraId="1CEC1589">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0B9AFA8A">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648D7053">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13</w:t>
            </w:r>
          </w:p>
        </w:tc>
        <w:tc>
          <w:tcPr>
            <w:tcW w:w="6275" w:type="dxa"/>
            <w:tcBorders>
              <w:top w:val="nil"/>
              <w:left w:val="nil"/>
              <w:bottom w:val="single" w:color="auto" w:sz="4" w:space="0"/>
              <w:right w:val="single" w:color="auto" w:sz="4" w:space="0"/>
            </w:tcBorders>
            <w:vAlign w:val="center"/>
          </w:tcPr>
          <w:p w14:paraId="76D73486">
            <w:pPr>
              <w:widowControl/>
              <w:spacing w:line="400" w:lineRule="exact"/>
              <w:jc w:val="center"/>
              <w:rPr>
                <w:rFonts w:hint="default" w:ascii="宋体" w:hAnsi="宋体" w:cs="宋体"/>
                <w:color w:val="auto"/>
                <w:kern w:val="0"/>
                <w:sz w:val="22"/>
                <w:szCs w:val="22"/>
                <w:highlight w:val="none"/>
                <w:woUserID w:val="2"/>
              </w:rPr>
            </w:pPr>
            <w:r>
              <w:rPr>
                <w:rFonts w:hint="eastAsia"/>
                <w:color w:val="auto"/>
                <w:highlight w:val="none"/>
              </w:rPr>
              <w:t>温州瓯江数字航道服务与管理系统</w:t>
            </w:r>
          </w:p>
        </w:tc>
        <w:tc>
          <w:tcPr>
            <w:tcW w:w="2622" w:type="dxa"/>
            <w:tcBorders>
              <w:top w:val="nil"/>
              <w:left w:val="nil"/>
              <w:bottom w:val="single" w:color="auto" w:sz="4" w:space="0"/>
              <w:right w:val="single" w:color="auto" w:sz="4" w:space="0"/>
            </w:tcBorders>
            <w:vAlign w:val="center"/>
          </w:tcPr>
          <w:p w14:paraId="19101A00">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07612C79">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12BB8120">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14</w:t>
            </w:r>
          </w:p>
        </w:tc>
        <w:tc>
          <w:tcPr>
            <w:tcW w:w="6275" w:type="dxa"/>
            <w:tcBorders>
              <w:top w:val="nil"/>
              <w:left w:val="nil"/>
              <w:bottom w:val="single" w:color="auto" w:sz="4" w:space="0"/>
              <w:right w:val="single" w:color="auto" w:sz="4" w:space="0"/>
            </w:tcBorders>
            <w:vAlign w:val="center"/>
          </w:tcPr>
          <w:p w14:paraId="7F696FDC">
            <w:pPr>
              <w:widowControl/>
              <w:spacing w:line="400" w:lineRule="exact"/>
              <w:jc w:val="center"/>
              <w:rPr>
                <w:rFonts w:ascii="宋体" w:hAnsi="宋体" w:cs="宋体"/>
                <w:color w:val="auto"/>
                <w:kern w:val="0"/>
                <w:sz w:val="22"/>
                <w:szCs w:val="22"/>
                <w:highlight w:val="none"/>
              </w:rPr>
            </w:pPr>
            <w:r>
              <w:rPr>
                <w:rFonts w:hint="eastAsia"/>
                <w:color w:val="auto"/>
                <w:highlight w:val="none"/>
              </w:rPr>
              <w:t>温州市网络预约出租汽车申报服务管理系统</w:t>
            </w:r>
          </w:p>
        </w:tc>
        <w:tc>
          <w:tcPr>
            <w:tcW w:w="2622" w:type="dxa"/>
            <w:tcBorders>
              <w:top w:val="nil"/>
              <w:left w:val="nil"/>
              <w:bottom w:val="single" w:color="auto" w:sz="4" w:space="0"/>
              <w:right w:val="single" w:color="auto" w:sz="4" w:space="0"/>
            </w:tcBorders>
            <w:vAlign w:val="center"/>
          </w:tcPr>
          <w:p w14:paraId="25775626">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r w14:paraId="4504A9EF">
        <w:tblPrEx>
          <w:tblCellMar>
            <w:top w:w="0" w:type="dxa"/>
            <w:left w:w="108" w:type="dxa"/>
            <w:bottom w:w="0" w:type="dxa"/>
            <w:right w:w="108" w:type="dxa"/>
          </w:tblCellMar>
        </w:tblPrEx>
        <w:trPr>
          <w:trHeight w:val="270" w:hRule="atLeast"/>
          <w:jc w:val="center"/>
        </w:trPr>
        <w:tc>
          <w:tcPr>
            <w:tcW w:w="856" w:type="dxa"/>
            <w:tcBorders>
              <w:top w:val="nil"/>
              <w:left w:val="single" w:color="auto" w:sz="4" w:space="0"/>
              <w:bottom w:val="single" w:color="auto" w:sz="4" w:space="0"/>
              <w:right w:val="single" w:color="auto" w:sz="4" w:space="0"/>
            </w:tcBorders>
            <w:vAlign w:val="center"/>
          </w:tcPr>
          <w:p w14:paraId="4CD14194">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15</w:t>
            </w:r>
          </w:p>
        </w:tc>
        <w:tc>
          <w:tcPr>
            <w:tcW w:w="6275" w:type="dxa"/>
            <w:tcBorders>
              <w:top w:val="nil"/>
              <w:left w:val="nil"/>
              <w:bottom w:val="single" w:color="auto" w:sz="4" w:space="0"/>
              <w:right w:val="single" w:color="auto" w:sz="4" w:space="0"/>
            </w:tcBorders>
            <w:vAlign w:val="center"/>
          </w:tcPr>
          <w:p w14:paraId="18B693C8">
            <w:pPr>
              <w:widowControl/>
              <w:spacing w:line="400" w:lineRule="exact"/>
              <w:jc w:val="center"/>
              <w:rPr>
                <w:rFonts w:ascii="宋体" w:hAnsi="宋体" w:cs="宋体"/>
                <w:color w:val="auto"/>
                <w:kern w:val="0"/>
                <w:sz w:val="22"/>
                <w:szCs w:val="22"/>
                <w:highlight w:val="none"/>
              </w:rPr>
            </w:pPr>
            <w:r>
              <w:rPr>
                <w:rFonts w:hint="eastAsia" w:ascii="Times New Roman" w:hAnsi="Times New Roman" w:eastAsia="宋体" w:cs="Times New Roman"/>
                <w:i w:val="0"/>
                <w:caps w:val="0"/>
                <w:color w:val="auto"/>
                <w:spacing w:val="0"/>
                <w:sz w:val="21"/>
                <w:szCs w:val="24"/>
                <w:highlight w:val="none"/>
                <w:woUserID w:val="0"/>
              </w:rPr>
              <w:t>温州交通数字路政应用</w:t>
            </w:r>
          </w:p>
        </w:tc>
        <w:tc>
          <w:tcPr>
            <w:tcW w:w="2622" w:type="dxa"/>
            <w:tcBorders>
              <w:top w:val="nil"/>
              <w:left w:val="nil"/>
              <w:bottom w:val="single" w:color="auto" w:sz="4" w:space="0"/>
              <w:right w:val="single" w:color="auto" w:sz="4" w:space="0"/>
            </w:tcBorders>
            <w:vAlign w:val="center"/>
          </w:tcPr>
          <w:p w14:paraId="08F8BF0D">
            <w:pPr>
              <w:widowControl/>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是</w:t>
            </w:r>
          </w:p>
        </w:tc>
      </w:tr>
    </w:tbl>
    <w:p w14:paraId="25B55990">
      <w:pPr>
        <w:spacing w:line="400" w:lineRule="exact"/>
        <w:ind w:firstLine="241" w:firstLineChars="100"/>
        <w:jc w:val="center"/>
        <w:rPr>
          <w:rFonts w:ascii="宋体" w:hAnsi="宋体" w:cs="宋体"/>
          <w:color w:val="auto"/>
          <w:sz w:val="22"/>
          <w:szCs w:val="22"/>
          <w:highlight w:val="none"/>
        </w:rPr>
      </w:pPr>
      <w:r>
        <w:rPr>
          <w:rFonts w:hint="eastAsia" w:ascii="宋体" w:hAnsi="宋体" w:cs="宋体"/>
          <w:b/>
          <w:bCs/>
          <w:color w:val="auto"/>
          <w:sz w:val="24"/>
          <w:highlight w:val="none"/>
        </w:rPr>
        <w:t>（</w:t>
      </w:r>
      <w:r>
        <w:rPr>
          <w:rFonts w:ascii="宋体" w:hAnsi="宋体" w:cs="宋体"/>
          <w:b/>
          <w:bCs/>
          <w:color w:val="auto"/>
          <w:sz w:val="24"/>
          <w:highlight w:val="none"/>
        </w:rPr>
        <w:t>2）外包人员管理考核表</w:t>
      </w:r>
    </w:p>
    <w:p w14:paraId="262031D6">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被考核人：</w:t>
      </w:r>
      <w:r>
        <w:rPr>
          <w:rFonts w:ascii="宋体" w:hAnsi="宋体" w:cs="宋体"/>
          <w:color w:val="auto"/>
          <w:sz w:val="22"/>
          <w:szCs w:val="22"/>
          <w:highlight w:val="none"/>
        </w:rPr>
        <w:t xml:space="preserve">                             </w:t>
      </w:r>
      <w:r>
        <w:rPr>
          <w:rFonts w:hint="eastAsia" w:ascii="宋体" w:hAnsi="宋体" w:cs="宋体"/>
          <w:color w:val="auto"/>
          <w:sz w:val="22"/>
          <w:szCs w:val="22"/>
          <w:highlight w:val="none"/>
        </w:rPr>
        <w:t>考核时间：</w:t>
      </w:r>
      <w:r>
        <w:rPr>
          <w:rFonts w:ascii="宋体" w:hAnsi="宋体" w:cs="宋体"/>
          <w:color w:val="auto"/>
          <w:sz w:val="22"/>
          <w:szCs w:val="22"/>
          <w:highlight w:val="none"/>
        </w:rPr>
        <w:t xml:space="preserve">      </w:t>
      </w:r>
      <w:r>
        <w:rPr>
          <w:rFonts w:hint="eastAsia" w:ascii="宋体" w:hAnsi="宋体" w:cs="宋体"/>
          <w:color w:val="auto"/>
          <w:sz w:val="22"/>
          <w:szCs w:val="22"/>
          <w:highlight w:val="none"/>
        </w:rPr>
        <w:t>年</w:t>
      </w:r>
      <w:r>
        <w:rPr>
          <w:rFonts w:ascii="宋体" w:hAnsi="宋体" w:cs="宋体"/>
          <w:color w:val="auto"/>
          <w:sz w:val="22"/>
          <w:szCs w:val="22"/>
          <w:highlight w:val="none"/>
        </w:rPr>
        <w:t xml:space="preserve">     </w:t>
      </w:r>
      <w:r>
        <w:rPr>
          <w:rFonts w:hint="eastAsia" w:ascii="宋体" w:hAnsi="宋体" w:cs="宋体"/>
          <w:color w:val="auto"/>
          <w:sz w:val="22"/>
          <w:szCs w:val="22"/>
          <w:highlight w:val="none"/>
        </w:rPr>
        <w:t>月</w:t>
      </w:r>
    </w:p>
    <w:tbl>
      <w:tblPr>
        <w:tblStyle w:val="63"/>
        <w:tblW w:w="97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999"/>
        <w:gridCol w:w="1001"/>
        <w:gridCol w:w="4667"/>
        <w:gridCol w:w="999"/>
        <w:gridCol w:w="1094"/>
      </w:tblGrid>
      <w:tr w14:paraId="3A9E2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tcBorders>
              <w:left w:val="single" w:color="auto" w:sz="4" w:space="0"/>
              <w:right w:val="single" w:color="auto" w:sz="4" w:space="0"/>
            </w:tcBorders>
          </w:tcPr>
          <w:p w14:paraId="29B8CA0E">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考核指标</w:t>
            </w:r>
          </w:p>
        </w:tc>
        <w:tc>
          <w:tcPr>
            <w:tcW w:w="999" w:type="dxa"/>
            <w:tcBorders>
              <w:left w:val="single" w:color="auto" w:sz="4" w:space="0"/>
              <w:right w:val="single" w:color="auto" w:sz="4" w:space="0"/>
            </w:tcBorders>
          </w:tcPr>
          <w:p w14:paraId="08A3B945">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指标分值</w:t>
            </w:r>
          </w:p>
        </w:tc>
        <w:tc>
          <w:tcPr>
            <w:tcW w:w="1001" w:type="dxa"/>
            <w:tcBorders>
              <w:left w:val="single" w:color="auto" w:sz="4" w:space="0"/>
              <w:right w:val="single" w:color="auto" w:sz="4" w:space="0"/>
            </w:tcBorders>
          </w:tcPr>
          <w:p w14:paraId="730F717E">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项目序号</w:t>
            </w:r>
          </w:p>
        </w:tc>
        <w:tc>
          <w:tcPr>
            <w:tcW w:w="4667" w:type="dxa"/>
            <w:tcBorders>
              <w:left w:val="single" w:color="auto" w:sz="4" w:space="0"/>
              <w:right w:val="single" w:color="auto" w:sz="4" w:space="0"/>
            </w:tcBorders>
          </w:tcPr>
          <w:p w14:paraId="03002BCB">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考核内容</w:t>
            </w:r>
          </w:p>
        </w:tc>
        <w:tc>
          <w:tcPr>
            <w:tcW w:w="999" w:type="dxa"/>
            <w:tcBorders>
              <w:left w:val="single" w:color="auto" w:sz="4" w:space="0"/>
              <w:right w:val="single" w:color="auto" w:sz="4" w:space="0"/>
            </w:tcBorders>
          </w:tcPr>
          <w:p w14:paraId="66F8F026">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最高分值</w:t>
            </w:r>
          </w:p>
        </w:tc>
        <w:tc>
          <w:tcPr>
            <w:tcW w:w="1094" w:type="dxa"/>
            <w:tcBorders>
              <w:left w:val="single" w:color="auto" w:sz="4" w:space="0"/>
              <w:right w:val="single" w:color="auto" w:sz="4" w:space="0"/>
            </w:tcBorders>
          </w:tcPr>
          <w:p w14:paraId="7304011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评分</w:t>
            </w:r>
          </w:p>
        </w:tc>
      </w:tr>
      <w:tr w14:paraId="5B445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Merge w:val="restart"/>
            <w:tcBorders>
              <w:top w:val="single" w:color="auto" w:sz="4" w:space="0"/>
              <w:left w:val="single" w:color="auto" w:sz="4" w:space="0"/>
              <w:right w:val="single" w:color="auto" w:sz="4" w:space="0"/>
            </w:tcBorders>
            <w:vAlign w:val="center"/>
          </w:tcPr>
          <w:p w14:paraId="6A7DB009">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本月工作业绩</w:t>
            </w:r>
          </w:p>
        </w:tc>
        <w:tc>
          <w:tcPr>
            <w:tcW w:w="999" w:type="dxa"/>
            <w:vMerge w:val="restart"/>
            <w:tcBorders>
              <w:top w:val="single" w:color="auto" w:sz="4" w:space="0"/>
              <w:left w:val="single" w:color="auto" w:sz="4" w:space="0"/>
              <w:right w:val="single" w:color="auto" w:sz="4" w:space="0"/>
            </w:tcBorders>
            <w:vAlign w:val="center"/>
          </w:tcPr>
          <w:p w14:paraId="7B239631">
            <w:pPr>
              <w:spacing w:line="400" w:lineRule="exact"/>
              <w:rPr>
                <w:rFonts w:ascii="宋体" w:hAnsi="宋体" w:cs="宋体"/>
                <w:color w:val="auto"/>
                <w:sz w:val="22"/>
                <w:szCs w:val="22"/>
                <w:highlight w:val="none"/>
              </w:rPr>
            </w:pPr>
            <w:r>
              <w:rPr>
                <w:rFonts w:ascii="宋体" w:hAnsi="宋体" w:cs="宋体"/>
                <w:color w:val="auto"/>
                <w:sz w:val="22"/>
                <w:szCs w:val="22"/>
                <w:highlight w:val="none"/>
              </w:rPr>
              <w:t>50</w:t>
            </w:r>
          </w:p>
        </w:tc>
        <w:tc>
          <w:tcPr>
            <w:tcW w:w="1001" w:type="dxa"/>
            <w:tcBorders>
              <w:top w:val="single" w:color="auto" w:sz="4" w:space="0"/>
              <w:left w:val="single" w:color="auto" w:sz="4" w:space="0"/>
              <w:right w:val="single" w:color="auto" w:sz="4" w:space="0"/>
            </w:tcBorders>
            <w:vAlign w:val="center"/>
          </w:tcPr>
          <w:p w14:paraId="5975AFEB">
            <w:pPr>
              <w:spacing w:line="400" w:lineRule="exact"/>
              <w:rPr>
                <w:rFonts w:ascii="宋体" w:hAnsi="宋体" w:cs="宋体"/>
                <w:color w:val="auto"/>
                <w:sz w:val="22"/>
                <w:szCs w:val="22"/>
                <w:highlight w:val="none"/>
              </w:rPr>
            </w:pPr>
            <w:r>
              <w:rPr>
                <w:rFonts w:ascii="宋体" w:hAnsi="宋体" w:cs="宋体"/>
                <w:color w:val="auto"/>
                <w:sz w:val="22"/>
                <w:szCs w:val="22"/>
                <w:highlight w:val="none"/>
              </w:rPr>
              <w:t>1</w:t>
            </w:r>
          </w:p>
        </w:tc>
        <w:tc>
          <w:tcPr>
            <w:tcW w:w="4667" w:type="dxa"/>
            <w:tcBorders>
              <w:top w:val="single" w:color="auto" w:sz="4" w:space="0"/>
              <w:left w:val="single" w:color="auto" w:sz="4" w:space="0"/>
              <w:right w:val="single" w:color="auto" w:sz="4" w:space="0"/>
            </w:tcBorders>
            <w:vAlign w:val="center"/>
          </w:tcPr>
          <w:p w14:paraId="60E04BC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日常工作完成情况，工作效率与工作计划要求是否相符。工作质量是否符合职责要求，是否出现重大失误</w:t>
            </w:r>
          </w:p>
        </w:tc>
        <w:tc>
          <w:tcPr>
            <w:tcW w:w="999" w:type="dxa"/>
            <w:tcBorders>
              <w:top w:val="single" w:color="auto" w:sz="4" w:space="0"/>
              <w:left w:val="single" w:color="auto" w:sz="4" w:space="0"/>
              <w:right w:val="single" w:color="auto" w:sz="4" w:space="0"/>
            </w:tcBorders>
            <w:vAlign w:val="center"/>
          </w:tcPr>
          <w:p w14:paraId="681D4BEC">
            <w:pPr>
              <w:spacing w:line="400" w:lineRule="exact"/>
              <w:rPr>
                <w:rFonts w:ascii="宋体" w:hAnsi="宋体" w:cs="宋体"/>
                <w:color w:val="auto"/>
                <w:sz w:val="22"/>
                <w:szCs w:val="22"/>
                <w:highlight w:val="none"/>
              </w:rPr>
            </w:pPr>
            <w:r>
              <w:rPr>
                <w:rFonts w:ascii="宋体" w:hAnsi="宋体" w:cs="宋体"/>
                <w:color w:val="auto"/>
                <w:sz w:val="22"/>
                <w:szCs w:val="22"/>
                <w:highlight w:val="none"/>
              </w:rPr>
              <w:t>25</w:t>
            </w:r>
          </w:p>
        </w:tc>
        <w:tc>
          <w:tcPr>
            <w:tcW w:w="1094" w:type="dxa"/>
            <w:tcBorders>
              <w:top w:val="single" w:color="auto" w:sz="4" w:space="0"/>
              <w:left w:val="single" w:color="auto" w:sz="4" w:space="0"/>
              <w:right w:val="single" w:color="auto" w:sz="4" w:space="0"/>
            </w:tcBorders>
            <w:vAlign w:val="center"/>
          </w:tcPr>
          <w:p w14:paraId="1E2B599D">
            <w:pPr>
              <w:spacing w:line="400" w:lineRule="exact"/>
              <w:rPr>
                <w:rFonts w:ascii="宋体" w:hAnsi="宋体" w:cs="宋体"/>
                <w:color w:val="auto"/>
                <w:sz w:val="22"/>
                <w:szCs w:val="22"/>
                <w:highlight w:val="none"/>
              </w:rPr>
            </w:pPr>
          </w:p>
        </w:tc>
      </w:tr>
      <w:tr w14:paraId="5803D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Merge w:val="continue"/>
            <w:tcBorders>
              <w:top w:val="single" w:color="auto" w:sz="4" w:space="0"/>
              <w:left w:val="single" w:color="auto" w:sz="4" w:space="0"/>
              <w:right w:val="single" w:color="auto" w:sz="4" w:space="0"/>
            </w:tcBorders>
            <w:vAlign w:val="center"/>
          </w:tcPr>
          <w:p w14:paraId="2F821F64">
            <w:pPr>
              <w:spacing w:line="400" w:lineRule="exact"/>
              <w:rPr>
                <w:rFonts w:ascii="宋体" w:hAnsi="宋体" w:cs="宋体"/>
                <w:color w:val="auto"/>
                <w:sz w:val="22"/>
                <w:szCs w:val="22"/>
                <w:highlight w:val="none"/>
              </w:rPr>
            </w:pPr>
          </w:p>
        </w:tc>
        <w:tc>
          <w:tcPr>
            <w:tcW w:w="999" w:type="dxa"/>
            <w:vMerge w:val="continue"/>
            <w:tcBorders>
              <w:top w:val="single" w:color="auto" w:sz="4" w:space="0"/>
              <w:left w:val="single" w:color="auto" w:sz="4" w:space="0"/>
              <w:right w:val="single" w:color="auto" w:sz="4" w:space="0"/>
            </w:tcBorders>
            <w:vAlign w:val="center"/>
          </w:tcPr>
          <w:p w14:paraId="5DEBF548">
            <w:pPr>
              <w:spacing w:line="400" w:lineRule="exact"/>
              <w:rPr>
                <w:rFonts w:ascii="宋体" w:hAnsi="宋体" w:cs="宋体"/>
                <w:color w:val="auto"/>
                <w:sz w:val="22"/>
                <w:szCs w:val="22"/>
                <w:highlight w:val="none"/>
              </w:rPr>
            </w:pPr>
          </w:p>
        </w:tc>
        <w:tc>
          <w:tcPr>
            <w:tcW w:w="1001" w:type="dxa"/>
            <w:tcBorders>
              <w:top w:val="single" w:color="auto" w:sz="4" w:space="0"/>
              <w:left w:val="single" w:color="auto" w:sz="4" w:space="0"/>
              <w:right w:val="single" w:color="auto" w:sz="4" w:space="0"/>
            </w:tcBorders>
            <w:vAlign w:val="center"/>
          </w:tcPr>
          <w:p w14:paraId="39E71F7A">
            <w:pPr>
              <w:spacing w:line="400" w:lineRule="exact"/>
              <w:rPr>
                <w:rFonts w:ascii="宋体" w:hAnsi="宋体" w:cs="宋体"/>
                <w:color w:val="auto"/>
                <w:sz w:val="22"/>
                <w:szCs w:val="22"/>
                <w:highlight w:val="none"/>
              </w:rPr>
            </w:pPr>
            <w:r>
              <w:rPr>
                <w:rFonts w:ascii="宋体" w:hAnsi="宋体" w:cs="宋体"/>
                <w:color w:val="auto"/>
                <w:sz w:val="22"/>
                <w:szCs w:val="22"/>
                <w:highlight w:val="none"/>
              </w:rPr>
              <w:t>2</w:t>
            </w:r>
          </w:p>
        </w:tc>
        <w:tc>
          <w:tcPr>
            <w:tcW w:w="4667" w:type="dxa"/>
            <w:tcBorders>
              <w:top w:val="single" w:color="auto" w:sz="4" w:space="0"/>
              <w:left w:val="single" w:color="auto" w:sz="4" w:space="0"/>
              <w:right w:val="single" w:color="auto" w:sz="4" w:space="0"/>
            </w:tcBorders>
            <w:vAlign w:val="center"/>
          </w:tcPr>
          <w:p w14:paraId="673C4EB5">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项目工作完成情况，工作效率与工作计划要求是否相符。工作质量是否符合职责要求，是否出现重大失误。</w:t>
            </w:r>
          </w:p>
        </w:tc>
        <w:tc>
          <w:tcPr>
            <w:tcW w:w="999" w:type="dxa"/>
            <w:tcBorders>
              <w:top w:val="single" w:color="auto" w:sz="4" w:space="0"/>
              <w:left w:val="single" w:color="auto" w:sz="4" w:space="0"/>
              <w:right w:val="single" w:color="auto" w:sz="4" w:space="0"/>
            </w:tcBorders>
            <w:vAlign w:val="center"/>
          </w:tcPr>
          <w:p w14:paraId="4FF1C405">
            <w:pPr>
              <w:spacing w:line="400" w:lineRule="exact"/>
              <w:rPr>
                <w:rFonts w:ascii="宋体" w:hAnsi="宋体" w:cs="宋体"/>
                <w:color w:val="auto"/>
                <w:sz w:val="22"/>
                <w:szCs w:val="22"/>
                <w:highlight w:val="none"/>
              </w:rPr>
            </w:pPr>
            <w:r>
              <w:rPr>
                <w:rFonts w:ascii="宋体" w:hAnsi="宋体" w:cs="宋体"/>
                <w:color w:val="auto"/>
                <w:sz w:val="22"/>
                <w:szCs w:val="22"/>
                <w:highlight w:val="none"/>
              </w:rPr>
              <w:t>25</w:t>
            </w:r>
          </w:p>
        </w:tc>
        <w:tc>
          <w:tcPr>
            <w:tcW w:w="1094" w:type="dxa"/>
            <w:tcBorders>
              <w:top w:val="single" w:color="auto" w:sz="4" w:space="0"/>
              <w:left w:val="single" w:color="auto" w:sz="4" w:space="0"/>
              <w:right w:val="single" w:color="auto" w:sz="4" w:space="0"/>
            </w:tcBorders>
            <w:vAlign w:val="center"/>
          </w:tcPr>
          <w:p w14:paraId="3BDF6973">
            <w:pPr>
              <w:spacing w:line="400" w:lineRule="exact"/>
              <w:rPr>
                <w:rFonts w:ascii="宋体" w:hAnsi="宋体" w:cs="宋体"/>
                <w:color w:val="auto"/>
                <w:sz w:val="22"/>
                <w:szCs w:val="22"/>
                <w:highlight w:val="none"/>
              </w:rPr>
            </w:pPr>
          </w:p>
        </w:tc>
      </w:tr>
      <w:tr w14:paraId="5FE58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995" w:type="dxa"/>
            <w:vMerge w:val="restart"/>
            <w:tcBorders>
              <w:top w:val="single" w:color="auto" w:sz="4" w:space="0"/>
              <w:left w:val="single" w:color="auto" w:sz="4" w:space="0"/>
              <w:right w:val="single" w:color="auto" w:sz="4" w:space="0"/>
            </w:tcBorders>
            <w:vAlign w:val="center"/>
          </w:tcPr>
          <w:p w14:paraId="5BD64EFB">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工作能力</w:t>
            </w:r>
          </w:p>
        </w:tc>
        <w:tc>
          <w:tcPr>
            <w:tcW w:w="999" w:type="dxa"/>
            <w:vMerge w:val="restart"/>
            <w:tcBorders>
              <w:top w:val="single" w:color="auto" w:sz="4" w:space="0"/>
              <w:left w:val="single" w:color="auto" w:sz="4" w:space="0"/>
              <w:right w:val="single" w:color="auto" w:sz="4" w:space="0"/>
            </w:tcBorders>
            <w:vAlign w:val="center"/>
          </w:tcPr>
          <w:p w14:paraId="3C750FDE">
            <w:pPr>
              <w:spacing w:line="400" w:lineRule="exact"/>
              <w:rPr>
                <w:rFonts w:ascii="宋体" w:hAnsi="宋体" w:cs="宋体"/>
                <w:color w:val="auto"/>
                <w:sz w:val="22"/>
                <w:szCs w:val="22"/>
                <w:highlight w:val="none"/>
              </w:rPr>
            </w:pPr>
            <w:r>
              <w:rPr>
                <w:rFonts w:ascii="宋体" w:hAnsi="宋体" w:cs="宋体"/>
                <w:color w:val="auto"/>
                <w:sz w:val="22"/>
                <w:szCs w:val="22"/>
                <w:highlight w:val="none"/>
              </w:rPr>
              <w:t>10</w:t>
            </w:r>
          </w:p>
        </w:tc>
        <w:tc>
          <w:tcPr>
            <w:tcW w:w="1001" w:type="dxa"/>
            <w:tcBorders>
              <w:top w:val="single" w:color="auto" w:sz="4" w:space="0"/>
              <w:left w:val="single" w:color="auto" w:sz="4" w:space="0"/>
              <w:right w:val="single" w:color="auto" w:sz="4" w:space="0"/>
            </w:tcBorders>
            <w:vAlign w:val="center"/>
          </w:tcPr>
          <w:p w14:paraId="7D014D1E">
            <w:pPr>
              <w:spacing w:line="400" w:lineRule="exact"/>
              <w:rPr>
                <w:rFonts w:ascii="宋体" w:hAnsi="宋体" w:cs="宋体"/>
                <w:color w:val="auto"/>
                <w:sz w:val="22"/>
                <w:szCs w:val="22"/>
                <w:highlight w:val="none"/>
              </w:rPr>
            </w:pPr>
            <w:r>
              <w:rPr>
                <w:rFonts w:ascii="宋体" w:hAnsi="宋体" w:cs="宋体"/>
                <w:color w:val="auto"/>
                <w:sz w:val="22"/>
                <w:szCs w:val="22"/>
                <w:highlight w:val="none"/>
              </w:rPr>
              <w:t>1</w:t>
            </w:r>
          </w:p>
        </w:tc>
        <w:tc>
          <w:tcPr>
            <w:tcW w:w="4667" w:type="dxa"/>
            <w:tcBorders>
              <w:top w:val="single" w:color="auto" w:sz="4" w:space="0"/>
              <w:left w:val="single" w:color="auto" w:sz="4" w:space="0"/>
              <w:right w:val="single" w:color="auto" w:sz="4" w:space="0"/>
            </w:tcBorders>
            <w:vAlign w:val="center"/>
          </w:tcPr>
          <w:p w14:paraId="385D0084">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是否主动解决工作中遇到的问题。</w:t>
            </w:r>
          </w:p>
        </w:tc>
        <w:tc>
          <w:tcPr>
            <w:tcW w:w="999" w:type="dxa"/>
            <w:tcBorders>
              <w:top w:val="single" w:color="auto" w:sz="4" w:space="0"/>
              <w:left w:val="single" w:color="auto" w:sz="4" w:space="0"/>
              <w:right w:val="single" w:color="auto" w:sz="4" w:space="0"/>
            </w:tcBorders>
            <w:vAlign w:val="center"/>
          </w:tcPr>
          <w:p w14:paraId="104C8EA8">
            <w:pPr>
              <w:spacing w:line="400" w:lineRule="exact"/>
              <w:rPr>
                <w:rFonts w:ascii="宋体" w:hAnsi="宋体" w:cs="宋体"/>
                <w:color w:val="auto"/>
                <w:sz w:val="22"/>
                <w:szCs w:val="22"/>
                <w:highlight w:val="none"/>
              </w:rPr>
            </w:pPr>
            <w:r>
              <w:rPr>
                <w:rFonts w:ascii="宋体" w:hAnsi="宋体" w:cs="宋体"/>
                <w:color w:val="auto"/>
                <w:sz w:val="22"/>
                <w:szCs w:val="22"/>
                <w:highlight w:val="none"/>
              </w:rPr>
              <w:t>5</w:t>
            </w:r>
          </w:p>
        </w:tc>
        <w:tc>
          <w:tcPr>
            <w:tcW w:w="1094" w:type="dxa"/>
            <w:tcBorders>
              <w:top w:val="single" w:color="auto" w:sz="4" w:space="0"/>
              <w:left w:val="single" w:color="auto" w:sz="4" w:space="0"/>
              <w:right w:val="single" w:color="auto" w:sz="4" w:space="0"/>
            </w:tcBorders>
            <w:vAlign w:val="center"/>
          </w:tcPr>
          <w:p w14:paraId="63B2AD8E">
            <w:pPr>
              <w:spacing w:line="400" w:lineRule="exact"/>
              <w:rPr>
                <w:rFonts w:ascii="宋体" w:hAnsi="宋体" w:cs="宋体"/>
                <w:color w:val="auto"/>
                <w:sz w:val="22"/>
                <w:szCs w:val="22"/>
                <w:highlight w:val="none"/>
              </w:rPr>
            </w:pPr>
          </w:p>
        </w:tc>
      </w:tr>
      <w:tr w14:paraId="51C58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95" w:type="dxa"/>
            <w:vMerge w:val="continue"/>
            <w:tcBorders>
              <w:top w:val="single" w:color="auto" w:sz="4" w:space="0"/>
              <w:left w:val="single" w:color="auto" w:sz="4" w:space="0"/>
              <w:right w:val="single" w:color="auto" w:sz="4" w:space="0"/>
            </w:tcBorders>
            <w:vAlign w:val="center"/>
          </w:tcPr>
          <w:p w14:paraId="2F3150CB">
            <w:pPr>
              <w:spacing w:line="400" w:lineRule="exact"/>
              <w:rPr>
                <w:rFonts w:ascii="宋体" w:hAnsi="宋体" w:cs="宋体"/>
                <w:color w:val="auto"/>
                <w:sz w:val="22"/>
                <w:szCs w:val="22"/>
                <w:highlight w:val="none"/>
              </w:rPr>
            </w:pPr>
          </w:p>
        </w:tc>
        <w:tc>
          <w:tcPr>
            <w:tcW w:w="999" w:type="dxa"/>
            <w:vMerge w:val="continue"/>
            <w:tcBorders>
              <w:top w:val="single" w:color="auto" w:sz="4" w:space="0"/>
              <w:left w:val="single" w:color="auto" w:sz="4" w:space="0"/>
              <w:right w:val="single" w:color="auto" w:sz="4" w:space="0"/>
            </w:tcBorders>
            <w:vAlign w:val="center"/>
          </w:tcPr>
          <w:p w14:paraId="1AE7CA77">
            <w:pPr>
              <w:spacing w:line="400" w:lineRule="exact"/>
              <w:rPr>
                <w:rFonts w:ascii="宋体" w:hAnsi="宋体" w:cs="宋体"/>
                <w:color w:val="auto"/>
                <w:sz w:val="22"/>
                <w:szCs w:val="22"/>
                <w:highlight w:val="none"/>
              </w:rPr>
            </w:pPr>
          </w:p>
        </w:tc>
        <w:tc>
          <w:tcPr>
            <w:tcW w:w="1001" w:type="dxa"/>
            <w:tcBorders>
              <w:top w:val="single" w:color="auto" w:sz="4" w:space="0"/>
              <w:left w:val="single" w:color="auto" w:sz="4" w:space="0"/>
              <w:right w:val="single" w:color="auto" w:sz="4" w:space="0"/>
            </w:tcBorders>
            <w:vAlign w:val="center"/>
          </w:tcPr>
          <w:p w14:paraId="11D0DF8F">
            <w:pPr>
              <w:spacing w:line="400" w:lineRule="exact"/>
              <w:rPr>
                <w:rFonts w:ascii="宋体" w:hAnsi="宋体" w:cs="宋体"/>
                <w:color w:val="auto"/>
                <w:sz w:val="22"/>
                <w:szCs w:val="22"/>
                <w:highlight w:val="none"/>
              </w:rPr>
            </w:pPr>
            <w:r>
              <w:rPr>
                <w:rFonts w:ascii="宋体" w:hAnsi="宋体" w:cs="宋体"/>
                <w:color w:val="auto"/>
                <w:sz w:val="22"/>
                <w:szCs w:val="22"/>
                <w:highlight w:val="none"/>
              </w:rPr>
              <w:t>2</w:t>
            </w:r>
          </w:p>
        </w:tc>
        <w:tc>
          <w:tcPr>
            <w:tcW w:w="4667" w:type="dxa"/>
            <w:tcBorders>
              <w:top w:val="single" w:color="auto" w:sz="4" w:space="0"/>
              <w:left w:val="single" w:color="auto" w:sz="4" w:space="0"/>
              <w:right w:val="single" w:color="auto" w:sz="4" w:space="0"/>
            </w:tcBorders>
            <w:vAlign w:val="center"/>
          </w:tcPr>
          <w:p w14:paraId="7AF81C6A">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独立完成工作能力是否符合要求。</w:t>
            </w:r>
          </w:p>
        </w:tc>
        <w:tc>
          <w:tcPr>
            <w:tcW w:w="999" w:type="dxa"/>
            <w:tcBorders>
              <w:top w:val="single" w:color="auto" w:sz="4" w:space="0"/>
              <w:left w:val="single" w:color="auto" w:sz="4" w:space="0"/>
              <w:right w:val="single" w:color="auto" w:sz="4" w:space="0"/>
            </w:tcBorders>
            <w:vAlign w:val="center"/>
          </w:tcPr>
          <w:p w14:paraId="17C16241">
            <w:pPr>
              <w:spacing w:line="400" w:lineRule="exact"/>
              <w:rPr>
                <w:rFonts w:ascii="宋体" w:hAnsi="宋体" w:cs="宋体"/>
                <w:color w:val="auto"/>
                <w:sz w:val="22"/>
                <w:szCs w:val="22"/>
                <w:highlight w:val="none"/>
              </w:rPr>
            </w:pPr>
            <w:r>
              <w:rPr>
                <w:rFonts w:ascii="宋体" w:hAnsi="宋体" w:cs="宋体"/>
                <w:color w:val="auto"/>
                <w:sz w:val="22"/>
                <w:szCs w:val="22"/>
                <w:highlight w:val="none"/>
              </w:rPr>
              <w:t>5</w:t>
            </w:r>
          </w:p>
        </w:tc>
        <w:tc>
          <w:tcPr>
            <w:tcW w:w="1094" w:type="dxa"/>
            <w:tcBorders>
              <w:top w:val="single" w:color="auto" w:sz="4" w:space="0"/>
              <w:left w:val="single" w:color="auto" w:sz="4" w:space="0"/>
              <w:right w:val="single" w:color="auto" w:sz="4" w:space="0"/>
            </w:tcBorders>
            <w:vAlign w:val="center"/>
          </w:tcPr>
          <w:p w14:paraId="560B9958">
            <w:pPr>
              <w:spacing w:line="400" w:lineRule="exact"/>
              <w:rPr>
                <w:rFonts w:ascii="宋体" w:hAnsi="宋体" w:cs="宋体"/>
                <w:color w:val="auto"/>
                <w:sz w:val="22"/>
                <w:szCs w:val="22"/>
                <w:highlight w:val="none"/>
              </w:rPr>
            </w:pPr>
          </w:p>
        </w:tc>
      </w:tr>
      <w:tr w14:paraId="0A9E3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95" w:type="dxa"/>
            <w:vMerge w:val="restart"/>
            <w:tcBorders>
              <w:top w:val="single" w:color="auto" w:sz="4" w:space="0"/>
              <w:left w:val="single" w:color="auto" w:sz="4" w:space="0"/>
              <w:right w:val="single" w:color="auto" w:sz="4" w:space="0"/>
            </w:tcBorders>
            <w:vAlign w:val="center"/>
          </w:tcPr>
          <w:p w14:paraId="63B4B0AE">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工作态度</w:t>
            </w:r>
          </w:p>
        </w:tc>
        <w:tc>
          <w:tcPr>
            <w:tcW w:w="999" w:type="dxa"/>
            <w:vMerge w:val="restart"/>
            <w:tcBorders>
              <w:top w:val="single" w:color="auto" w:sz="4" w:space="0"/>
              <w:left w:val="single" w:color="auto" w:sz="4" w:space="0"/>
              <w:right w:val="single" w:color="auto" w:sz="4" w:space="0"/>
            </w:tcBorders>
            <w:vAlign w:val="center"/>
          </w:tcPr>
          <w:p w14:paraId="02667F5C">
            <w:pPr>
              <w:spacing w:line="400" w:lineRule="exact"/>
              <w:rPr>
                <w:rFonts w:ascii="宋体" w:hAnsi="宋体" w:cs="宋体"/>
                <w:color w:val="auto"/>
                <w:sz w:val="22"/>
                <w:szCs w:val="22"/>
                <w:highlight w:val="none"/>
              </w:rPr>
            </w:pPr>
            <w:r>
              <w:rPr>
                <w:rFonts w:ascii="宋体" w:hAnsi="宋体" w:cs="宋体"/>
                <w:color w:val="auto"/>
                <w:sz w:val="22"/>
                <w:szCs w:val="22"/>
                <w:highlight w:val="none"/>
              </w:rPr>
              <w:t>20</w:t>
            </w:r>
          </w:p>
        </w:tc>
        <w:tc>
          <w:tcPr>
            <w:tcW w:w="1001" w:type="dxa"/>
            <w:tcBorders>
              <w:top w:val="single" w:color="auto" w:sz="4" w:space="0"/>
              <w:left w:val="single" w:color="auto" w:sz="4" w:space="0"/>
              <w:right w:val="single" w:color="auto" w:sz="4" w:space="0"/>
            </w:tcBorders>
            <w:vAlign w:val="center"/>
          </w:tcPr>
          <w:p w14:paraId="024B97A9">
            <w:pPr>
              <w:spacing w:line="400" w:lineRule="exact"/>
              <w:rPr>
                <w:rFonts w:ascii="宋体" w:hAnsi="宋体" w:cs="宋体"/>
                <w:color w:val="auto"/>
                <w:sz w:val="22"/>
                <w:szCs w:val="22"/>
                <w:highlight w:val="none"/>
              </w:rPr>
            </w:pPr>
            <w:r>
              <w:rPr>
                <w:rFonts w:ascii="宋体" w:hAnsi="宋体" w:cs="宋体"/>
                <w:color w:val="auto"/>
                <w:sz w:val="22"/>
                <w:szCs w:val="22"/>
                <w:highlight w:val="none"/>
              </w:rPr>
              <w:t>1</w:t>
            </w:r>
          </w:p>
        </w:tc>
        <w:tc>
          <w:tcPr>
            <w:tcW w:w="4667" w:type="dxa"/>
            <w:tcBorders>
              <w:top w:val="single" w:color="auto" w:sz="4" w:space="0"/>
              <w:left w:val="single" w:color="auto" w:sz="4" w:space="0"/>
              <w:right w:val="single" w:color="auto" w:sz="4" w:space="0"/>
            </w:tcBorders>
            <w:vAlign w:val="center"/>
          </w:tcPr>
          <w:p w14:paraId="6C97E213">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工作是否有自觉性，积极性。积极主动完成领导交办的工作。</w:t>
            </w:r>
          </w:p>
        </w:tc>
        <w:tc>
          <w:tcPr>
            <w:tcW w:w="999" w:type="dxa"/>
            <w:tcBorders>
              <w:top w:val="single" w:color="auto" w:sz="4" w:space="0"/>
              <w:left w:val="single" w:color="auto" w:sz="4" w:space="0"/>
              <w:right w:val="single" w:color="auto" w:sz="4" w:space="0"/>
            </w:tcBorders>
            <w:vAlign w:val="center"/>
          </w:tcPr>
          <w:p w14:paraId="1C51C45C">
            <w:pPr>
              <w:spacing w:line="400" w:lineRule="exact"/>
              <w:rPr>
                <w:rFonts w:ascii="宋体" w:hAnsi="宋体" w:cs="宋体"/>
                <w:color w:val="auto"/>
                <w:sz w:val="22"/>
                <w:szCs w:val="22"/>
                <w:highlight w:val="none"/>
              </w:rPr>
            </w:pPr>
            <w:r>
              <w:rPr>
                <w:rFonts w:ascii="宋体" w:hAnsi="宋体" w:cs="宋体"/>
                <w:color w:val="auto"/>
                <w:sz w:val="22"/>
                <w:szCs w:val="22"/>
                <w:highlight w:val="none"/>
              </w:rPr>
              <w:t>10</w:t>
            </w:r>
          </w:p>
        </w:tc>
        <w:tc>
          <w:tcPr>
            <w:tcW w:w="1094" w:type="dxa"/>
            <w:tcBorders>
              <w:top w:val="single" w:color="auto" w:sz="4" w:space="0"/>
              <w:left w:val="single" w:color="auto" w:sz="4" w:space="0"/>
              <w:right w:val="single" w:color="auto" w:sz="4" w:space="0"/>
            </w:tcBorders>
            <w:vAlign w:val="center"/>
          </w:tcPr>
          <w:p w14:paraId="434CB336">
            <w:pPr>
              <w:spacing w:line="400" w:lineRule="exact"/>
              <w:rPr>
                <w:rFonts w:ascii="宋体" w:hAnsi="宋体" w:cs="宋体"/>
                <w:color w:val="auto"/>
                <w:sz w:val="22"/>
                <w:szCs w:val="22"/>
                <w:highlight w:val="none"/>
              </w:rPr>
            </w:pPr>
          </w:p>
        </w:tc>
      </w:tr>
      <w:tr w14:paraId="03318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95" w:type="dxa"/>
            <w:vMerge w:val="continue"/>
            <w:tcBorders>
              <w:top w:val="single" w:color="auto" w:sz="4" w:space="0"/>
              <w:left w:val="single" w:color="auto" w:sz="4" w:space="0"/>
              <w:right w:val="single" w:color="auto" w:sz="4" w:space="0"/>
            </w:tcBorders>
            <w:vAlign w:val="center"/>
          </w:tcPr>
          <w:p w14:paraId="2F80039F">
            <w:pPr>
              <w:spacing w:line="400" w:lineRule="exact"/>
              <w:rPr>
                <w:rFonts w:ascii="宋体" w:hAnsi="宋体" w:cs="宋体"/>
                <w:color w:val="auto"/>
                <w:sz w:val="22"/>
                <w:szCs w:val="22"/>
                <w:highlight w:val="none"/>
              </w:rPr>
            </w:pPr>
          </w:p>
        </w:tc>
        <w:tc>
          <w:tcPr>
            <w:tcW w:w="999" w:type="dxa"/>
            <w:vMerge w:val="continue"/>
            <w:tcBorders>
              <w:top w:val="single" w:color="auto" w:sz="4" w:space="0"/>
              <w:left w:val="single" w:color="auto" w:sz="4" w:space="0"/>
              <w:right w:val="single" w:color="auto" w:sz="4" w:space="0"/>
            </w:tcBorders>
            <w:vAlign w:val="center"/>
          </w:tcPr>
          <w:p w14:paraId="0F54D2A0">
            <w:pPr>
              <w:spacing w:line="400" w:lineRule="exact"/>
              <w:rPr>
                <w:rFonts w:ascii="宋体" w:hAnsi="宋体" w:cs="宋体"/>
                <w:color w:val="auto"/>
                <w:sz w:val="22"/>
                <w:szCs w:val="22"/>
                <w:highlight w:val="none"/>
              </w:rPr>
            </w:pPr>
          </w:p>
        </w:tc>
        <w:tc>
          <w:tcPr>
            <w:tcW w:w="1001" w:type="dxa"/>
            <w:tcBorders>
              <w:top w:val="single" w:color="auto" w:sz="4" w:space="0"/>
              <w:left w:val="single" w:color="auto" w:sz="4" w:space="0"/>
              <w:right w:val="single" w:color="auto" w:sz="4" w:space="0"/>
            </w:tcBorders>
            <w:vAlign w:val="center"/>
          </w:tcPr>
          <w:p w14:paraId="1312616A">
            <w:pPr>
              <w:spacing w:line="400" w:lineRule="exact"/>
              <w:rPr>
                <w:rFonts w:ascii="宋体" w:hAnsi="宋体" w:cs="宋体"/>
                <w:color w:val="auto"/>
                <w:sz w:val="22"/>
                <w:szCs w:val="22"/>
                <w:highlight w:val="none"/>
              </w:rPr>
            </w:pPr>
            <w:r>
              <w:rPr>
                <w:rFonts w:ascii="宋体" w:hAnsi="宋体" w:cs="宋体"/>
                <w:color w:val="auto"/>
                <w:sz w:val="22"/>
                <w:szCs w:val="22"/>
                <w:highlight w:val="none"/>
              </w:rPr>
              <w:t>2</w:t>
            </w:r>
          </w:p>
        </w:tc>
        <w:tc>
          <w:tcPr>
            <w:tcW w:w="4667" w:type="dxa"/>
            <w:tcBorders>
              <w:top w:val="single" w:color="auto" w:sz="4" w:space="0"/>
              <w:left w:val="single" w:color="auto" w:sz="4" w:space="0"/>
              <w:right w:val="single" w:color="auto" w:sz="4" w:space="0"/>
            </w:tcBorders>
            <w:vAlign w:val="center"/>
          </w:tcPr>
          <w:p w14:paraId="20636B0E">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是否团结协作，是否尊重他人和集体荣誉感。</w:t>
            </w:r>
          </w:p>
        </w:tc>
        <w:tc>
          <w:tcPr>
            <w:tcW w:w="999" w:type="dxa"/>
            <w:tcBorders>
              <w:top w:val="single" w:color="auto" w:sz="4" w:space="0"/>
              <w:left w:val="single" w:color="auto" w:sz="4" w:space="0"/>
              <w:right w:val="single" w:color="auto" w:sz="4" w:space="0"/>
            </w:tcBorders>
            <w:vAlign w:val="center"/>
          </w:tcPr>
          <w:p w14:paraId="61E9433F">
            <w:pPr>
              <w:spacing w:line="400" w:lineRule="exact"/>
              <w:rPr>
                <w:rFonts w:ascii="宋体" w:hAnsi="宋体" w:cs="宋体"/>
                <w:color w:val="auto"/>
                <w:sz w:val="22"/>
                <w:szCs w:val="22"/>
                <w:highlight w:val="none"/>
              </w:rPr>
            </w:pPr>
            <w:r>
              <w:rPr>
                <w:rFonts w:ascii="宋体" w:hAnsi="宋体" w:cs="宋体"/>
                <w:color w:val="auto"/>
                <w:sz w:val="22"/>
                <w:szCs w:val="22"/>
                <w:highlight w:val="none"/>
              </w:rPr>
              <w:t>10</w:t>
            </w:r>
          </w:p>
        </w:tc>
        <w:tc>
          <w:tcPr>
            <w:tcW w:w="1094" w:type="dxa"/>
            <w:tcBorders>
              <w:top w:val="single" w:color="auto" w:sz="4" w:space="0"/>
              <w:left w:val="single" w:color="auto" w:sz="4" w:space="0"/>
              <w:right w:val="single" w:color="auto" w:sz="4" w:space="0"/>
            </w:tcBorders>
            <w:vAlign w:val="center"/>
          </w:tcPr>
          <w:p w14:paraId="137E6FC7">
            <w:pPr>
              <w:spacing w:line="400" w:lineRule="exact"/>
              <w:rPr>
                <w:rFonts w:ascii="宋体" w:hAnsi="宋体" w:cs="宋体"/>
                <w:color w:val="auto"/>
                <w:sz w:val="22"/>
                <w:szCs w:val="22"/>
                <w:highlight w:val="none"/>
              </w:rPr>
            </w:pPr>
          </w:p>
        </w:tc>
      </w:tr>
      <w:tr w14:paraId="0B4B8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restart"/>
            <w:tcBorders>
              <w:top w:val="single" w:color="auto" w:sz="4" w:space="0"/>
              <w:left w:val="single" w:color="auto" w:sz="4" w:space="0"/>
              <w:right w:val="single" w:color="auto" w:sz="4" w:space="0"/>
            </w:tcBorders>
            <w:vAlign w:val="center"/>
          </w:tcPr>
          <w:p w14:paraId="4FF44B70">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劳动纪律</w:t>
            </w:r>
          </w:p>
        </w:tc>
        <w:tc>
          <w:tcPr>
            <w:tcW w:w="999" w:type="dxa"/>
            <w:vMerge w:val="restart"/>
            <w:tcBorders>
              <w:top w:val="single" w:color="auto" w:sz="4" w:space="0"/>
              <w:left w:val="single" w:color="auto" w:sz="4" w:space="0"/>
              <w:right w:val="single" w:color="auto" w:sz="4" w:space="0"/>
            </w:tcBorders>
            <w:vAlign w:val="center"/>
          </w:tcPr>
          <w:p w14:paraId="7214BEE6">
            <w:pPr>
              <w:spacing w:line="400" w:lineRule="exact"/>
              <w:rPr>
                <w:rFonts w:ascii="宋体" w:hAnsi="宋体" w:cs="宋体"/>
                <w:color w:val="auto"/>
                <w:sz w:val="22"/>
                <w:szCs w:val="22"/>
                <w:highlight w:val="none"/>
              </w:rPr>
            </w:pPr>
            <w:r>
              <w:rPr>
                <w:rFonts w:ascii="宋体" w:hAnsi="宋体" w:cs="宋体"/>
                <w:color w:val="auto"/>
                <w:sz w:val="22"/>
                <w:szCs w:val="22"/>
                <w:highlight w:val="none"/>
              </w:rPr>
              <w:t>20</w:t>
            </w:r>
          </w:p>
        </w:tc>
        <w:tc>
          <w:tcPr>
            <w:tcW w:w="1001" w:type="dxa"/>
            <w:tcBorders>
              <w:top w:val="single" w:color="auto" w:sz="4" w:space="0"/>
              <w:left w:val="single" w:color="auto" w:sz="4" w:space="0"/>
              <w:right w:val="single" w:color="auto" w:sz="4" w:space="0"/>
            </w:tcBorders>
            <w:vAlign w:val="center"/>
          </w:tcPr>
          <w:p w14:paraId="52A2C1A2">
            <w:pPr>
              <w:spacing w:line="400" w:lineRule="exact"/>
              <w:rPr>
                <w:rFonts w:ascii="宋体" w:hAnsi="宋体" w:cs="宋体"/>
                <w:color w:val="auto"/>
                <w:sz w:val="22"/>
                <w:szCs w:val="22"/>
                <w:highlight w:val="none"/>
              </w:rPr>
            </w:pPr>
            <w:r>
              <w:rPr>
                <w:rFonts w:ascii="宋体" w:hAnsi="宋体" w:cs="宋体"/>
                <w:color w:val="auto"/>
                <w:sz w:val="22"/>
                <w:szCs w:val="22"/>
                <w:highlight w:val="none"/>
              </w:rPr>
              <w:t>1</w:t>
            </w:r>
          </w:p>
        </w:tc>
        <w:tc>
          <w:tcPr>
            <w:tcW w:w="4667" w:type="dxa"/>
            <w:tcBorders>
              <w:top w:val="single" w:color="auto" w:sz="4" w:space="0"/>
              <w:left w:val="single" w:color="auto" w:sz="4" w:space="0"/>
              <w:right w:val="single" w:color="auto" w:sz="4" w:space="0"/>
            </w:tcBorders>
            <w:vAlign w:val="center"/>
          </w:tcPr>
          <w:p w14:paraId="05BFA886">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自觉遵守劳动纪律和各种规章制度，没有迟到早退现象。</w:t>
            </w:r>
          </w:p>
        </w:tc>
        <w:tc>
          <w:tcPr>
            <w:tcW w:w="999" w:type="dxa"/>
            <w:tcBorders>
              <w:top w:val="single" w:color="auto" w:sz="4" w:space="0"/>
              <w:left w:val="single" w:color="auto" w:sz="4" w:space="0"/>
              <w:right w:val="single" w:color="auto" w:sz="4" w:space="0"/>
            </w:tcBorders>
            <w:vAlign w:val="center"/>
          </w:tcPr>
          <w:p w14:paraId="2FA8FCA0">
            <w:pPr>
              <w:spacing w:line="400" w:lineRule="exact"/>
              <w:rPr>
                <w:rFonts w:ascii="宋体" w:hAnsi="宋体" w:cs="宋体"/>
                <w:color w:val="auto"/>
                <w:sz w:val="22"/>
                <w:szCs w:val="22"/>
                <w:highlight w:val="none"/>
              </w:rPr>
            </w:pPr>
            <w:r>
              <w:rPr>
                <w:rFonts w:ascii="宋体" w:hAnsi="宋体" w:cs="宋体"/>
                <w:color w:val="auto"/>
                <w:sz w:val="22"/>
                <w:szCs w:val="22"/>
                <w:highlight w:val="none"/>
              </w:rPr>
              <w:t>10</w:t>
            </w:r>
          </w:p>
        </w:tc>
        <w:tc>
          <w:tcPr>
            <w:tcW w:w="1094" w:type="dxa"/>
            <w:tcBorders>
              <w:top w:val="single" w:color="auto" w:sz="4" w:space="0"/>
              <w:left w:val="single" w:color="auto" w:sz="4" w:space="0"/>
              <w:right w:val="single" w:color="auto" w:sz="4" w:space="0"/>
            </w:tcBorders>
            <w:vAlign w:val="center"/>
          </w:tcPr>
          <w:p w14:paraId="03F990E5">
            <w:pPr>
              <w:spacing w:line="400" w:lineRule="exact"/>
              <w:rPr>
                <w:rFonts w:ascii="宋体" w:hAnsi="宋体" w:cs="宋体"/>
                <w:color w:val="auto"/>
                <w:sz w:val="22"/>
                <w:szCs w:val="22"/>
                <w:highlight w:val="none"/>
              </w:rPr>
            </w:pPr>
          </w:p>
        </w:tc>
      </w:tr>
      <w:tr w14:paraId="17681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Merge w:val="continue"/>
            <w:tcBorders>
              <w:top w:val="single" w:color="auto" w:sz="4" w:space="0"/>
              <w:left w:val="single" w:color="auto" w:sz="4" w:space="0"/>
              <w:right w:val="single" w:color="auto" w:sz="4" w:space="0"/>
            </w:tcBorders>
            <w:vAlign w:val="center"/>
          </w:tcPr>
          <w:p w14:paraId="72871633">
            <w:pPr>
              <w:spacing w:line="400" w:lineRule="exact"/>
              <w:rPr>
                <w:rFonts w:ascii="宋体" w:hAnsi="宋体" w:cs="宋体"/>
                <w:color w:val="auto"/>
                <w:sz w:val="22"/>
                <w:szCs w:val="22"/>
                <w:highlight w:val="none"/>
              </w:rPr>
            </w:pPr>
          </w:p>
        </w:tc>
        <w:tc>
          <w:tcPr>
            <w:tcW w:w="999" w:type="dxa"/>
            <w:vMerge w:val="continue"/>
            <w:tcBorders>
              <w:top w:val="single" w:color="auto" w:sz="4" w:space="0"/>
              <w:left w:val="single" w:color="auto" w:sz="4" w:space="0"/>
              <w:right w:val="single" w:color="auto" w:sz="4" w:space="0"/>
            </w:tcBorders>
            <w:vAlign w:val="center"/>
          </w:tcPr>
          <w:p w14:paraId="39EF234E">
            <w:pPr>
              <w:spacing w:line="400" w:lineRule="exact"/>
              <w:rPr>
                <w:rFonts w:ascii="宋体" w:hAnsi="宋体" w:cs="宋体"/>
                <w:color w:val="auto"/>
                <w:sz w:val="22"/>
                <w:szCs w:val="22"/>
                <w:highlight w:val="none"/>
              </w:rPr>
            </w:pPr>
          </w:p>
        </w:tc>
        <w:tc>
          <w:tcPr>
            <w:tcW w:w="1001" w:type="dxa"/>
            <w:tcBorders>
              <w:top w:val="single" w:color="auto" w:sz="4" w:space="0"/>
              <w:left w:val="single" w:color="auto" w:sz="4" w:space="0"/>
              <w:right w:val="single" w:color="auto" w:sz="4" w:space="0"/>
            </w:tcBorders>
            <w:vAlign w:val="center"/>
          </w:tcPr>
          <w:p w14:paraId="6D46D973">
            <w:pPr>
              <w:spacing w:line="400" w:lineRule="exact"/>
              <w:rPr>
                <w:rFonts w:ascii="宋体" w:hAnsi="宋体" w:cs="宋体"/>
                <w:color w:val="auto"/>
                <w:sz w:val="22"/>
                <w:szCs w:val="22"/>
                <w:highlight w:val="none"/>
              </w:rPr>
            </w:pPr>
            <w:r>
              <w:rPr>
                <w:rFonts w:ascii="宋体" w:hAnsi="宋体" w:cs="宋体"/>
                <w:color w:val="auto"/>
                <w:sz w:val="22"/>
                <w:szCs w:val="22"/>
                <w:highlight w:val="none"/>
              </w:rPr>
              <w:t>2</w:t>
            </w:r>
          </w:p>
        </w:tc>
        <w:tc>
          <w:tcPr>
            <w:tcW w:w="4667" w:type="dxa"/>
            <w:tcBorders>
              <w:top w:val="single" w:color="auto" w:sz="4" w:space="0"/>
              <w:left w:val="single" w:color="auto" w:sz="4" w:space="0"/>
              <w:right w:val="single" w:color="auto" w:sz="4" w:space="0"/>
            </w:tcBorders>
            <w:vAlign w:val="center"/>
          </w:tcPr>
          <w:p w14:paraId="330C8B08">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服从管理，服从调配，没有不良记录。</w:t>
            </w:r>
          </w:p>
        </w:tc>
        <w:tc>
          <w:tcPr>
            <w:tcW w:w="999" w:type="dxa"/>
            <w:tcBorders>
              <w:top w:val="single" w:color="auto" w:sz="4" w:space="0"/>
              <w:left w:val="single" w:color="auto" w:sz="4" w:space="0"/>
              <w:right w:val="single" w:color="auto" w:sz="4" w:space="0"/>
            </w:tcBorders>
            <w:vAlign w:val="center"/>
          </w:tcPr>
          <w:p w14:paraId="30274102">
            <w:pPr>
              <w:spacing w:line="400" w:lineRule="exact"/>
              <w:rPr>
                <w:rFonts w:ascii="宋体" w:hAnsi="宋体" w:cs="宋体"/>
                <w:color w:val="auto"/>
                <w:sz w:val="22"/>
                <w:szCs w:val="22"/>
                <w:highlight w:val="none"/>
              </w:rPr>
            </w:pPr>
            <w:r>
              <w:rPr>
                <w:rFonts w:ascii="宋体" w:hAnsi="宋体" w:cs="宋体"/>
                <w:color w:val="auto"/>
                <w:sz w:val="22"/>
                <w:szCs w:val="22"/>
                <w:highlight w:val="none"/>
              </w:rPr>
              <w:t>10</w:t>
            </w:r>
          </w:p>
        </w:tc>
        <w:tc>
          <w:tcPr>
            <w:tcW w:w="1094" w:type="dxa"/>
            <w:tcBorders>
              <w:top w:val="single" w:color="auto" w:sz="4" w:space="0"/>
              <w:left w:val="single" w:color="auto" w:sz="4" w:space="0"/>
              <w:right w:val="single" w:color="auto" w:sz="4" w:space="0"/>
            </w:tcBorders>
            <w:vAlign w:val="center"/>
          </w:tcPr>
          <w:p w14:paraId="34A3D36B">
            <w:pPr>
              <w:spacing w:line="400" w:lineRule="exact"/>
              <w:rPr>
                <w:rFonts w:ascii="宋体" w:hAnsi="宋体" w:cs="宋体"/>
                <w:color w:val="auto"/>
                <w:sz w:val="22"/>
                <w:szCs w:val="22"/>
                <w:highlight w:val="none"/>
              </w:rPr>
            </w:pPr>
          </w:p>
        </w:tc>
      </w:tr>
      <w:tr w14:paraId="49664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2995" w:type="dxa"/>
            <w:gridSpan w:val="3"/>
            <w:tcBorders>
              <w:top w:val="single" w:color="auto" w:sz="4" w:space="0"/>
              <w:left w:val="single" w:color="auto" w:sz="4" w:space="0"/>
              <w:right w:val="single" w:color="auto" w:sz="4" w:space="0"/>
            </w:tcBorders>
            <w:vAlign w:val="center"/>
          </w:tcPr>
          <w:p w14:paraId="41D96CBC">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合计得分</w:t>
            </w:r>
          </w:p>
        </w:tc>
        <w:tc>
          <w:tcPr>
            <w:tcW w:w="4667" w:type="dxa"/>
            <w:tcBorders>
              <w:top w:val="single" w:color="auto" w:sz="4" w:space="0"/>
              <w:left w:val="single" w:color="auto" w:sz="4" w:space="0"/>
              <w:right w:val="single" w:color="auto" w:sz="4" w:space="0"/>
            </w:tcBorders>
            <w:vAlign w:val="center"/>
          </w:tcPr>
          <w:p w14:paraId="103F7AAE">
            <w:pPr>
              <w:spacing w:line="400" w:lineRule="exact"/>
              <w:rPr>
                <w:rFonts w:ascii="宋体" w:hAnsi="宋体" w:cs="宋体"/>
                <w:color w:val="auto"/>
                <w:sz w:val="22"/>
                <w:szCs w:val="22"/>
                <w:highlight w:val="none"/>
              </w:rPr>
            </w:pPr>
          </w:p>
        </w:tc>
        <w:tc>
          <w:tcPr>
            <w:tcW w:w="999" w:type="dxa"/>
            <w:tcBorders>
              <w:top w:val="single" w:color="auto" w:sz="4" w:space="0"/>
              <w:left w:val="single" w:color="auto" w:sz="4" w:space="0"/>
              <w:right w:val="single" w:color="auto" w:sz="4" w:space="0"/>
            </w:tcBorders>
            <w:vAlign w:val="center"/>
          </w:tcPr>
          <w:p w14:paraId="07845335">
            <w:pPr>
              <w:spacing w:line="400" w:lineRule="exact"/>
              <w:rPr>
                <w:rFonts w:ascii="宋体" w:hAnsi="宋体" w:cs="宋体"/>
                <w:color w:val="auto"/>
                <w:sz w:val="22"/>
                <w:szCs w:val="22"/>
                <w:highlight w:val="none"/>
              </w:rPr>
            </w:pPr>
          </w:p>
        </w:tc>
        <w:tc>
          <w:tcPr>
            <w:tcW w:w="1094" w:type="dxa"/>
            <w:tcBorders>
              <w:top w:val="single" w:color="auto" w:sz="4" w:space="0"/>
              <w:left w:val="single" w:color="auto" w:sz="4" w:space="0"/>
              <w:right w:val="single" w:color="auto" w:sz="4" w:space="0"/>
            </w:tcBorders>
            <w:vAlign w:val="center"/>
          </w:tcPr>
          <w:p w14:paraId="3EAA9A74">
            <w:pPr>
              <w:spacing w:line="400" w:lineRule="exact"/>
              <w:rPr>
                <w:rFonts w:ascii="宋体" w:hAnsi="宋体" w:cs="宋体"/>
                <w:color w:val="auto"/>
                <w:sz w:val="22"/>
                <w:szCs w:val="22"/>
                <w:highlight w:val="none"/>
              </w:rPr>
            </w:pPr>
          </w:p>
        </w:tc>
      </w:tr>
    </w:tbl>
    <w:p w14:paraId="415337D8">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服务单位审核签字</w:t>
      </w:r>
      <w:r>
        <w:rPr>
          <w:rFonts w:ascii="宋体" w:hAnsi="宋体" w:cs="宋体"/>
          <w:color w:val="auto"/>
          <w:sz w:val="22"/>
          <w:szCs w:val="22"/>
          <w:highlight w:val="none"/>
        </w:rPr>
        <w:t>:</w:t>
      </w:r>
    </w:p>
    <w:p w14:paraId="28A2D32A">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注:</w:t>
      </w:r>
    </w:p>
    <w:p w14:paraId="7F8916D5">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日常工作出现重大失误，扣1-10分；</w:t>
      </w:r>
    </w:p>
    <w:p w14:paraId="477661C6">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负责的项目出现重大失误，扣1-10分；</w:t>
      </w:r>
    </w:p>
    <w:p w14:paraId="2910B0F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工作能力提升，获得与工作相关证书，初级证书加1</w:t>
      </w:r>
      <w:r>
        <w:rPr>
          <w:rFonts w:ascii="宋体" w:hAnsi="宋体" w:cs="宋体"/>
          <w:color w:val="auto"/>
          <w:sz w:val="22"/>
          <w:szCs w:val="22"/>
          <w:highlight w:val="none"/>
        </w:rPr>
        <w:t>分</w:t>
      </w:r>
      <w:r>
        <w:rPr>
          <w:rFonts w:hint="eastAsia" w:ascii="宋体" w:hAnsi="宋体" w:cs="宋体"/>
          <w:color w:val="auto"/>
          <w:sz w:val="22"/>
          <w:szCs w:val="22"/>
          <w:highlight w:val="none"/>
        </w:rPr>
        <w:t>，中级证书加3分，高级证书加5分；</w:t>
      </w:r>
    </w:p>
    <w:p w14:paraId="4A0C7E1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劳动纪律同局里相关制度，迟到早退发现一次扣1分；</w:t>
      </w:r>
    </w:p>
    <w:p w14:paraId="21478171">
      <w:pPr>
        <w:pStyle w:val="25"/>
        <w:rPr>
          <w:color w:val="auto"/>
          <w:highlight w:val="none"/>
        </w:rPr>
      </w:pPr>
    </w:p>
    <w:p w14:paraId="049FF258">
      <w:pPr>
        <w:spacing w:line="400" w:lineRule="exact"/>
        <w:jc w:val="center"/>
        <w:rPr>
          <w:rFonts w:ascii="宋体" w:hAnsi="宋体" w:cs="宋体"/>
          <w:b/>
          <w:bCs/>
          <w:color w:val="auto"/>
          <w:sz w:val="24"/>
          <w:highlight w:val="none"/>
        </w:rPr>
      </w:pPr>
      <w:r>
        <w:rPr>
          <w:rFonts w:hint="eastAsia" w:ascii="宋体" w:hAnsi="宋体" w:cs="宋体"/>
          <w:b/>
          <w:bCs/>
          <w:color w:val="auto"/>
          <w:sz w:val="24"/>
          <w:highlight w:val="none"/>
        </w:rPr>
        <w:t>（3）相应服务报表要求见下表：</w:t>
      </w:r>
    </w:p>
    <w:tbl>
      <w:tblPr>
        <w:tblStyle w:val="63"/>
        <w:tblW w:w="9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8"/>
        <w:gridCol w:w="3826"/>
        <w:gridCol w:w="3887"/>
        <w:gridCol w:w="1014"/>
      </w:tblGrid>
      <w:tr w14:paraId="096D8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8" w:type="dxa"/>
            <w:tcBorders>
              <w:left w:val="single" w:color="auto" w:sz="4" w:space="0"/>
              <w:right w:val="single" w:color="auto" w:sz="4" w:space="0"/>
            </w:tcBorders>
          </w:tcPr>
          <w:p w14:paraId="728B08BF">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序号</w:t>
            </w:r>
          </w:p>
        </w:tc>
        <w:tc>
          <w:tcPr>
            <w:tcW w:w="3826" w:type="dxa"/>
            <w:tcBorders>
              <w:left w:val="single" w:color="auto" w:sz="4" w:space="0"/>
              <w:right w:val="single" w:color="auto" w:sz="4" w:space="0"/>
            </w:tcBorders>
          </w:tcPr>
          <w:p w14:paraId="123DB450">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服务内容</w:t>
            </w:r>
          </w:p>
        </w:tc>
        <w:tc>
          <w:tcPr>
            <w:tcW w:w="3887" w:type="dxa"/>
            <w:tcBorders>
              <w:left w:val="single" w:color="auto" w:sz="4" w:space="0"/>
              <w:right w:val="single" w:color="auto" w:sz="4" w:space="0"/>
            </w:tcBorders>
          </w:tcPr>
          <w:p w14:paraId="50B7932C">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输出台账</w:t>
            </w:r>
          </w:p>
        </w:tc>
        <w:tc>
          <w:tcPr>
            <w:tcW w:w="1014" w:type="dxa"/>
            <w:tcBorders>
              <w:left w:val="single" w:color="auto" w:sz="4" w:space="0"/>
              <w:right w:val="single" w:color="auto" w:sz="4" w:space="0"/>
            </w:tcBorders>
          </w:tcPr>
          <w:p w14:paraId="14DEB8D0">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备注</w:t>
            </w:r>
          </w:p>
        </w:tc>
      </w:tr>
      <w:tr w14:paraId="6AB20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028" w:type="dxa"/>
            <w:tcBorders>
              <w:top w:val="single" w:color="auto" w:sz="4" w:space="0"/>
              <w:left w:val="single" w:color="auto" w:sz="4" w:space="0"/>
              <w:right w:val="single" w:color="auto" w:sz="4" w:space="0"/>
            </w:tcBorders>
          </w:tcPr>
          <w:p w14:paraId="363423E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3826" w:type="dxa"/>
            <w:tcBorders>
              <w:top w:val="single" w:color="auto" w:sz="4" w:space="0"/>
              <w:left w:val="single" w:color="auto" w:sz="4" w:space="0"/>
              <w:right w:val="single" w:color="auto" w:sz="4" w:space="0"/>
            </w:tcBorders>
          </w:tcPr>
          <w:p w14:paraId="388C8F0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信息化技术服务</w:t>
            </w:r>
          </w:p>
        </w:tc>
        <w:tc>
          <w:tcPr>
            <w:tcW w:w="3887" w:type="dxa"/>
            <w:tcBorders>
              <w:top w:val="single" w:color="auto" w:sz="4" w:space="0"/>
              <w:left w:val="single" w:color="auto" w:sz="4" w:space="0"/>
              <w:right w:val="single" w:color="auto" w:sz="4" w:space="0"/>
            </w:tcBorders>
          </w:tcPr>
          <w:p w14:paraId="490D1422">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驻场人员周报</w:t>
            </w:r>
          </w:p>
        </w:tc>
        <w:tc>
          <w:tcPr>
            <w:tcW w:w="1014" w:type="dxa"/>
            <w:tcBorders>
              <w:top w:val="single" w:color="auto" w:sz="4" w:space="0"/>
              <w:left w:val="single" w:color="auto" w:sz="4" w:space="0"/>
              <w:right w:val="single" w:color="auto" w:sz="4" w:space="0"/>
            </w:tcBorders>
          </w:tcPr>
          <w:p w14:paraId="51FDB85C">
            <w:pPr>
              <w:spacing w:line="400" w:lineRule="exact"/>
              <w:rPr>
                <w:rFonts w:ascii="宋体" w:hAnsi="宋体" w:cs="宋体"/>
                <w:color w:val="auto"/>
                <w:sz w:val="22"/>
                <w:szCs w:val="22"/>
                <w:highlight w:val="none"/>
              </w:rPr>
            </w:pPr>
          </w:p>
        </w:tc>
      </w:tr>
      <w:tr w14:paraId="458D5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8" w:type="dxa"/>
            <w:tcBorders>
              <w:top w:val="single" w:color="auto" w:sz="4" w:space="0"/>
              <w:left w:val="single" w:color="auto" w:sz="4" w:space="0"/>
              <w:bottom w:val="single" w:color="auto" w:sz="4" w:space="0"/>
              <w:right w:val="single" w:color="auto" w:sz="4" w:space="0"/>
            </w:tcBorders>
          </w:tcPr>
          <w:p w14:paraId="7E60346A">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3826" w:type="dxa"/>
            <w:tcBorders>
              <w:top w:val="single" w:color="auto" w:sz="4" w:space="0"/>
              <w:left w:val="single" w:color="auto" w:sz="4" w:space="0"/>
              <w:bottom w:val="single" w:color="auto" w:sz="4" w:space="0"/>
              <w:right w:val="single" w:color="auto" w:sz="4" w:space="0"/>
            </w:tcBorders>
          </w:tcPr>
          <w:p w14:paraId="0533139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信息化技术服务</w:t>
            </w:r>
          </w:p>
        </w:tc>
        <w:tc>
          <w:tcPr>
            <w:tcW w:w="3887" w:type="dxa"/>
            <w:tcBorders>
              <w:top w:val="single" w:color="auto" w:sz="4" w:space="0"/>
              <w:left w:val="single" w:color="auto" w:sz="4" w:space="0"/>
              <w:bottom w:val="single" w:color="auto" w:sz="4" w:space="0"/>
              <w:right w:val="single" w:color="auto" w:sz="4" w:space="0"/>
            </w:tcBorders>
          </w:tcPr>
          <w:p w14:paraId="32827F70">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满意度调查表</w:t>
            </w:r>
          </w:p>
        </w:tc>
        <w:tc>
          <w:tcPr>
            <w:tcW w:w="1014" w:type="dxa"/>
            <w:tcBorders>
              <w:top w:val="single" w:color="auto" w:sz="4" w:space="0"/>
              <w:left w:val="single" w:color="auto" w:sz="4" w:space="0"/>
              <w:bottom w:val="single" w:color="auto" w:sz="4" w:space="0"/>
              <w:right w:val="single" w:color="auto" w:sz="4" w:space="0"/>
            </w:tcBorders>
          </w:tcPr>
          <w:p w14:paraId="1059DCED">
            <w:pPr>
              <w:spacing w:line="400" w:lineRule="exact"/>
              <w:rPr>
                <w:rFonts w:ascii="宋体" w:hAnsi="宋体" w:cs="宋体"/>
                <w:color w:val="auto"/>
                <w:sz w:val="22"/>
                <w:szCs w:val="22"/>
                <w:highlight w:val="none"/>
              </w:rPr>
            </w:pPr>
          </w:p>
        </w:tc>
      </w:tr>
      <w:tr w14:paraId="15930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8" w:type="dxa"/>
            <w:tcBorders>
              <w:top w:val="single" w:color="auto" w:sz="4" w:space="0"/>
              <w:left w:val="single" w:color="auto" w:sz="4" w:space="0"/>
              <w:bottom w:val="single" w:color="auto" w:sz="4" w:space="0"/>
              <w:right w:val="single" w:color="auto" w:sz="4" w:space="0"/>
            </w:tcBorders>
          </w:tcPr>
          <w:p w14:paraId="7DFB05F2">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3826" w:type="dxa"/>
            <w:tcBorders>
              <w:top w:val="single" w:color="auto" w:sz="4" w:space="0"/>
              <w:left w:val="single" w:color="auto" w:sz="4" w:space="0"/>
              <w:bottom w:val="single" w:color="auto" w:sz="4" w:space="0"/>
              <w:right w:val="single" w:color="auto" w:sz="4" w:space="0"/>
            </w:tcBorders>
          </w:tcPr>
          <w:p w14:paraId="6BB97B5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信息化技术服务</w:t>
            </w:r>
          </w:p>
        </w:tc>
        <w:tc>
          <w:tcPr>
            <w:tcW w:w="3887" w:type="dxa"/>
            <w:tcBorders>
              <w:top w:val="single" w:color="auto" w:sz="4" w:space="0"/>
              <w:left w:val="single" w:color="auto" w:sz="4" w:space="0"/>
              <w:bottom w:val="single" w:color="auto" w:sz="4" w:space="0"/>
              <w:right w:val="single" w:color="auto" w:sz="4" w:space="0"/>
            </w:tcBorders>
          </w:tcPr>
          <w:p w14:paraId="4635E57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外包人员管理考核表</w:t>
            </w:r>
          </w:p>
        </w:tc>
        <w:tc>
          <w:tcPr>
            <w:tcW w:w="1014" w:type="dxa"/>
            <w:tcBorders>
              <w:top w:val="single" w:color="auto" w:sz="4" w:space="0"/>
              <w:left w:val="single" w:color="auto" w:sz="4" w:space="0"/>
              <w:bottom w:val="single" w:color="auto" w:sz="4" w:space="0"/>
              <w:right w:val="single" w:color="auto" w:sz="4" w:space="0"/>
            </w:tcBorders>
          </w:tcPr>
          <w:p w14:paraId="6707C33E">
            <w:pPr>
              <w:spacing w:line="400" w:lineRule="exact"/>
              <w:rPr>
                <w:rFonts w:ascii="宋体" w:hAnsi="宋体" w:cs="宋体"/>
                <w:color w:val="auto"/>
                <w:sz w:val="22"/>
                <w:szCs w:val="22"/>
                <w:highlight w:val="none"/>
              </w:rPr>
            </w:pPr>
          </w:p>
        </w:tc>
      </w:tr>
      <w:tr w14:paraId="2C6CF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8" w:type="dxa"/>
            <w:tcBorders>
              <w:top w:val="single" w:color="auto" w:sz="4" w:space="0"/>
              <w:left w:val="single" w:color="auto" w:sz="4" w:space="0"/>
              <w:right w:val="single" w:color="auto" w:sz="4" w:space="0"/>
            </w:tcBorders>
          </w:tcPr>
          <w:p w14:paraId="2567B926">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3826" w:type="dxa"/>
            <w:tcBorders>
              <w:top w:val="single" w:color="auto" w:sz="4" w:space="0"/>
              <w:left w:val="single" w:color="auto" w:sz="4" w:space="0"/>
              <w:right w:val="single" w:color="auto" w:sz="4" w:space="0"/>
            </w:tcBorders>
          </w:tcPr>
          <w:p w14:paraId="281E9FC0">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信息化技术服务</w:t>
            </w:r>
          </w:p>
        </w:tc>
        <w:tc>
          <w:tcPr>
            <w:tcW w:w="3887" w:type="dxa"/>
            <w:tcBorders>
              <w:top w:val="single" w:color="auto" w:sz="4" w:space="0"/>
              <w:left w:val="single" w:color="auto" w:sz="4" w:space="0"/>
              <w:right w:val="single" w:color="auto" w:sz="4" w:space="0"/>
            </w:tcBorders>
          </w:tcPr>
          <w:p w14:paraId="783136B5">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年度总结报告</w:t>
            </w:r>
          </w:p>
        </w:tc>
        <w:tc>
          <w:tcPr>
            <w:tcW w:w="1014" w:type="dxa"/>
            <w:tcBorders>
              <w:top w:val="single" w:color="auto" w:sz="4" w:space="0"/>
              <w:left w:val="single" w:color="auto" w:sz="4" w:space="0"/>
              <w:right w:val="single" w:color="auto" w:sz="4" w:space="0"/>
            </w:tcBorders>
          </w:tcPr>
          <w:p w14:paraId="72F0AEB0">
            <w:pPr>
              <w:spacing w:line="400" w:lineRule="exact"/>
              <w:rPr>
                <w:rFonts w:ascii="宋体" w:hAnsi="宋体" w:cs="宋体"/>
                <w:color w:val="auto"/>
                <w:sz w:val="22"/>
                <w:szCs w:val="22"/>
                <w:highlight w:val="none"/>
              </w:rPr>
            </w:pPr>
          </w:p>
        </w:tc>
      </w:tr>
    </w:tbl>
    <w:p w14:paraId="42185F7F">
      <w:pPr>
        <w:spacing w:line="400" w:lineRule="exact"/>
        <w:rPr>
          <w:rFonts w:ascii="宋体" w:hAnsi="宋体" w:cs="宋体"/>
          <w:color w:val="auto"/>
          <w:sz w:val="22"/>
          <w:szCs w:val="22"/>
          <w:highlight w:val="none"/>
        </w:rPr>
      </w:pPr>
    </w:p>
    <w:p w14:paraId="09171E01">
      <w:pPr>
        <w:numPr>
          <w:ilvl w:val="0"/>
          <w:numId w:val="46"/>
        </w:numPr>
        <w:spacing w:after="120" w:line="400" w:lineRule="exact"/>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智慧交通专网租用详细内容及要求</w:t>
      </w:r>
    </w:p>
    <w:p w14:paraId="5275CA82">
      <w:pPr>
        <w:tabs>
          <w:tab w:val="left" w:pos="720"/>
          <w:tab w:val="left" w:pos="5355"/>
        </w:tabs>
        <w:spacing w:line="400" w:lineRule="exac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（一）采购要求</w:t>
      </w:r>
    </w:p>
    <w:p w14:paraId="2F53F6AD">
      <w:pPr>
        <w:tabs>
          <w:tab w:val="left" w:pos="720"/>
          <w:tab w:val="left" w:pos="5355"/>
        </w:tabs>
        <w:spacing w:line="400" w:lineRule="exact"/>
        <w:rPr>
          <w:rFonts w:ascii="宋体" w:hAnsi="宋体" w:cs="宋体"/>
          <w:color w:val="auto"/>
          <w:kern w:val="0"/>
          <w:sz w:val="22"/>
          <w:szCs w:val="22"/>
          <w:highlight w:val="none"/>
        </w:rPr>
      </w:pPr>
      <w:bookmarkStart w:id="202" w:name="_Toc463709293"/>
      <w:r>
        <w:rPr>
          <w:rFonts w:hint="eastAsia" w:ascii="宋体" w:hAnsi="宋体" w:cs="宋体"/>
          <w:color w:val="auto"/>
          <w:kern w:val="0"/>
          <w:sz w:val="22"/>
          <w:szCs w:val="22"/>
          <w:highlight w:val="none"/>
        </w:rPr>
        <w:t>1、采购人通过租用中标单位以下电路，免收手续费、调测费，其接入光纤、光电转换设备、光纤模块的投资、建设、调试和维护均由中标单位负责。</w:t>
      </w:r>
    </w:p>
    <w:p w14:paraId="4E34431C">
      <w:pPr>
        <w:tabs>
          <w:tab w:val="left" w:pos="720"/>
          <w:tab w:val="left" w:pos="5355"/>
        </w:tabs>
        <w:spacing w:line="400" w:lineRule="exact"/>
        <w:rPr>
          <w:rFonts w:hint="eastAsia"/>
          <w:color w:val="auto"/>
          <w:highlight w:val="none"/>
        </w:rPr>
      </w:pPr>
      <w:r>
        <w:rPr>
          <w:rFonts w:hint="eastAsia" w:ascii="宋体" w:hAnsi="宋体" w:cs="宋体"/>
          <w:color w:val="auto"/>
          <w:kern w:val="0"/>
          <w:sz w:val="22"/>
          <w:szCs w:val="22"/>
          <w:highlight w:val="none"/>
        </w:rPr>
        <w:t>2、采购清单：</w:t>
      </w:r>
    </w:p>
    <w:tbl>
      <w:tblPr>
        <w:tblStyle w:val="63"/>
        <w:tblW w:w="9750" w:type="dxa"/>
        <w:jc w:val="center"/>
        <w:tblLayout w:type="fixed"/>
        <w:tblCellMar>
          <w:top w:w="0" w:type="dxa"/>
          <w:left w:w="108" w:type="dxa"/>
          <w:bottom w:w="0" w:type="dxa"/>
          <w:right w:w="108" w:type="dxa"/>
        </w:tblCellMar>
      </w:tblPr>
      <w:tblGrid>
        <w:gridCol w:w="823"/>
        <w:gridCol w:w="1915"/>
        <w:gridCol w:w="4987"/>
        <w:gridCol w:w="2025"/>
      </w:tblGrid>
      <w:tr w14:paraId="56AFD37C">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1A18D805">
            <w:pPr>
              <w:jc w:val="center"/>
              <w:rPr>
                <w:rFonts w:asciiTheme="majorEastAsia" w:hAnsiTheme="majorEastAsia" w:eastAsiaTheme="majorEastAsia" w:cstheme="majorEastAsia"/>
                <w:b/>
                <w:bCs/>
                <w:color w:val="auto"/>
                <w:sz w:val="22"/>
                <w:szCs w:val="22"/>
                <w:highlight w:val="none"/>
              </w:rPr>
            </w:pPr>
            <w:r>
              <w:rPr>
                <w:rFonts w:hint="eastAsia" w:asciiTheme="majorEastAsia" w:hAnsiTheme="majorEastAsia" w:eastAsiaTheme="majorEastAsia" w:cstheme="majorEastAsia"/>
                <w:b/>
                <w:bCs/>
                <w:color w:val="auto"/>
                <w:sz w:val="22"/>
                <w:szCs w:val="22"/>
                <w:highlight w:val="none"/>
              </w:rPr>
              <w:t>序号</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3CB832D">
            <w:pPr>
              <w:jc w:val="center"/>
              <w:rPr>
                <w:rFonts w:asciiTheme="majorEastAsia" w:hAnsiTheme="majorEastAsia" w:eastAsiaTheme="majorEastAsia" w:cstheme="majorEastAsia"/>
                <w:b/>
                <w:bCs/>
                <w:color w:val="auto"/>
                <w:sz w:val="22"/>
                <w:szCs w:val="22"/>
                <w:highlight w:val="none"/>
              </w:rPr>
            </w:pPr>
            <w:r>
              <w:rPr>
                <w:rFonts w:hint="eastAsia" w:asciiTheme="majorEastAsia" w:hAnsiTheme="majorEastAsia" w:eastAsiaTheme="majorEastAsia" w:cstheme="majorEastAsia"/>
                <w:b/>
                <w:bCs/>
                <w:color w:val="auto"/>
                <w:sz w:val="22"/>
                <w:szCs w:val="22"/>
                <w:highlight w:val="none"/>
              </w:rPr>
              <w:t>类型</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443A0A9C">
            <w:pPr>
              <w:jc w:val="center"/>
              <w:rPr>
                <w:rFonts w:asciiTheme="majorEastAsia" w:hAnsiTheme="majorEastAsia" w:eastAsiaTheme="majorEastAsia" w:cstheme="majorEastAsia"/>
                <w:b/>
                <w:bCs/>
                <w:color w:val="auto"/>
                <w:sz w:val="22"/>
                <w:szCs w:val="22"/>
                <w:highlight w:val="none"/>
              </w:rPr>
            </w:pPr>
            <w:r>
              <w:rPr>
                <w:rFonts w:hint="eastAsia" w:asciiTheme="majorEastAsia" w:hAnsiTheme="majorEastAsia" w:eastAsiaTheme="majorEastAsia" w:cstheme="majorEastAsia"/>
                <w:b/>
                <w:bCs/>
                <w:color w:val="auto"/>
                <w:sz w:val="22"/>
                <w:szCs w:val="22"/>
                <w:highlight w:val="none"/>
              </w:rPr>
              <w:t>名称</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0031155A">
            <w:pPr>
              <w:jc w:val="center"/>
              <w:rPr>
                <w:rFonts w:asciiTheme="majorEastAsia" w:hAnsiTheme="majorEastAsia" w:eastAsiaTheme="majorEastAsia" w:cstheme="majorEastAsia"/>
                <w:b/>
                <w:bCs/>
                <w:color w:val="auto"/>
                <w:sz w:val="22"/>
                <w:szCs w:val="22"/>
                <w:highlight w:val="none"/>
              </w:rPr>
            </w:pPr>
            <w:r>
              <w:rPr>
                <w:rFonts w:hint="eastAsia" w:asciiTheme="majorEastAsia" w:hAnsiTheme="majorEastAsia" w:eastAsiaTheme="majorEastAsia" w:cstheme="majorEastAsia"/>
                <w:b/>
                <w:bCs/>
                <w:color w:val="auto"/>
                <w:sz w:val="22"/>
                <w:szCs w:val="22"/>
                <w:highlight w:val="none"/>
              </w:rPr>
              <w:t>用途</w:t>
            </w:r>
          </w:p>
        </w:tc>
      </w:tr>
      <w:tr w14:paraId="326A8411">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697D736B">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70FDD65">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数字电路100M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86564EE">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val="en-US" w:eastAsia="zh-CN" w:bidi="ar"/>
              </w:rPr>
              <w:t>市</w:t>
            </w:r>
            <w:r>
              <w:rPr>
                <w:rFonts w:hint="eastAsia" w:asciiTheme="majorEastAsia" w:hAnsiTheme="majorEastAsia" w:eastAsiaTheme="majorEastAsia" w:cstheme="majorEastAsia"/>
                <w:color w:val="auto"/>
                <w:kern w:val="0"/>
                <w:sz w:val="22"/>
                <w:szCs w:val="22"/>
                <w:highlight w:val="none"/>
                <w:lang w:bidi="ar"/>
              </w:rPr>
              <w:t>交通机房-温州北管理站</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0D6D7A9F">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视频专线</w:t>
            </w:r>
          </w:p>
        </w:tc>
      </w:tr>
      <w:tr w14:paraId="6E1EC66E">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383DF43C">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2</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41C210A4">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数字电路100M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64B5A017">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val="en-US" w:eastAsia="zh-CN" w:bidi="ar"/>
              </w:rPr>
              <w:t>市</w:t>
            </w:r>
            <w:r>
              <w:rPr>
                <w:rFonts w:hint="eastAsia" w:asciiTheme="majorEastAsia" w:hAnsiTheme="majorEastAsia" w:eastAsiaTheme="majorEastAsia" w:cstheme="majorEastAsia"/>
                <w:color w:val="auto"/>
                <w:kern w:val="0"/>
                <w:sz w:val="22"/>
                <w:szCs w:val="22"/>
                <w:highlight w:val="none"/>
                <w:lang w:bidi="ar"/>
              </w:rPr>
              <w:t>交通机房-移动云机房</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360C74A">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移动云专线（OA）</w:t>
            </w:r>
          </w:p>
        </w:tc>
      </w:tr>
      <w:tr w14:paraId="10AE7C83">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09070E0F">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3</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A84CADD">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数字电路100M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4CEC3883">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val="en-US" w:eastAsia="zh-CN" w:bidi="ar"/>
              </w:rPr>
              <w:t>市</w:t>
            </w:r>
            <w:r>
              <w:rPr>
                <w:rFonts w:hint="eastAsia" w:asciiTheme="majorEastAsia" w:hAnsiTheme="majorEastAsia" w:eastAsiaTheme="majorEastAsia" w:cstheme="majorEastAsia"/>
                <w:color w:val="auto"/>
                <w:kern w:val="0"/>
                <w:sz w:val="22"/>
                <w:szCs w:val="22"/>
                <w:highlight w:val="none"/>
                <w:lang w:bidi="ar"/>
              </w:rPr>
              <w:t>交通机房</w:t>
            </w:r>
            <w:r>
              <w:rPr>
                <w:rFonts w:asciiTheme="majorEastAsia" w:hAnsiTheme="majorEastAsia" w:eastAsiaTheme="majorEastAsia" w:cstheme="majorEastAsia"/>
                <w:color w:val="auto"/>
                <w:kern w:val="0"/>
                <w:sz w:val="22"/>
                <w:szCs w:val="22"/>
                <w:highlight w:val="none"/>
                <w:lang w:bidi="ar"/>
              </w:rPr>
              <w:t>-永嘉管理站（峙口）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0CFE5F17">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视频专线</w:t>
            </w:r>
          </w:p>
        </w:tc>
      </w:tr>
      <w:tr w14:paraId="004F102F">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0268D9AF">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4</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C909241">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数字电路100M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6E3A559B">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val="en-US" w:eastAsia="zh-CN" w:bidi="ar"/>
              </w:rPr>
              <w:t>市</w:t>
            </w:r>
            <w:r>
              <w:rPr>
                <w:rFonts w:hint="eastAsia" w:asciiTheme="majorEastAsia" w:hAnsiTheme="majorEastAsia" w:eastAsiaTheme="majorEastAsia" w:cstheme="majorEastAsia"/>
                <w:color w:val="auto"/>
                <w:kern w:val="0"/>
                <w:sz w:val="22"/>
                <w:szCs w:val="22"/>
                <w:highlight w:val="none"/>
                <w:lang w:bidi="ar"/>
              </w:rPr>
              <w:t>交通机房-甬台温高速管理站（南白象）</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75241972">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视频专线</w:t>
            </w:r>
          </w:p>
        </w:tc>
      </w:tr>
      <w:tr w14:paraId="16E2A416">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6507281B">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5</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7F3C1D92">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数字电路100M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179B302F">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val="en-US" w:eastAsia="zh-CN" w:bidi="ar"/>
              </w:rPr>
              <w:t>市</w:t>
            </w:r>
            <w:r>
              <w:rPr>
                <w:rFonts w:hint="eastAsia" w:asciiTheme="majorEastAsia" w:hAnsiTheme="majorEastAsia" w:eastAsiaTheme="majorEastAsia" w:cstheme="majorEastAsia"/>
                <w:color w:val="auto"/>
                <w:kern w:val="0"/>
                <w:sz w:val="22"/>
                <w:szCs w:val="22"/>
                <w:highlight w:val="none"/>
                <w:lang w:bidi="ar"/>
              </w:rPr>
              <w:t>交通机房-执法队机房</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30E5A2A">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数据专线</w:t>
            </w:r>
          </w:p>
        </w:tc>
      </w:tr>
      <w:tr w14:paraId="0495AFA6">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097F8517">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6</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AF5FECF">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裸光纤</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988F1DE">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val="en-US" w:eastAsia="zh-CN" w:bidi="ar"/>
              </w:rPr>
              <w:t>市</w:t>
            </w:r>
            <w:r>
              <w:rPr>
                <w:rFonts w:hint="eastAsia" w:asciiTheme="majorEastAsia" w:hAnsiTheme="majorEastAsia" w:eastAsiaTheme="majorEastAsia" w:cstheme="majorEastAsia"/>
                <w:color w:val="auto"/>
                <w:kern w:val="0"/>
                <w:sz w:val="22"/>
                <w:szCs w:val="22"/>
                <w:highlight w:val="none"/>
                <w:lang w:bidi="ar"/>
              </w:rPr>
              <w:t>交通机房-执法队机房</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2B225D9">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数据容灾专线</w:t>
            </w:r>
          </w:p>
        </w:tc>
      </w:tr>
      <w:tr w14:paraId="4BAFF602">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3F390B8C">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7</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706F104B">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裸光纤</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3B87CB17">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val="en-US" w:eastAsia="zh-CN" w:bidi="ar"/>
              </w:rPr>
              <w:t>市</w:t>
            </w:r>
            <w:r>
              <w:rPr>
                <w:rFonts w:hint="eastAsia" w:asciiTheme="majorEastAsia" w:hAnsiTheme="majorEastAsia" w:eastAsiaTheme="majorEastAsia" w:cstheme="majorEastAsia"/>
                <w:color w:val="auto"/>
                <w:kern w:val="0"/>
                <w:sz w:val="22"/>
                <w:szCs w:val="22"/>
                <w:highlight w:val="none"/>
                <w:lang w:bidi="ar"/>
              </w:rPr>
              <w:t>交通机房-高新大厦</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8341850">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办公专线</w:t>
            </w:r>
          </w:p>
        </w:tc>
      </w:tr>
      <w:tr w14:paraId="08EF6487">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4C2CA4E0">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8</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3052F9F">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裸光纤</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3E123B40">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val="en-US" w:eastAsia="zh-CN" w:bidi="ar"/>
              </w:rPr>
              <w:t>市</w:t>
            </w:r>
            <w:r>
              <w:rPr>
                <w:rFonts w:hint="eastAsia" w:asciiTheme="majorEastAsia" w:hAnsiTheme="majorEastAsia" w:eastAsiaTheme="majorEastAsia" w:cstheme="majorEastAsia"/>
                <w:color w:val="auto"/>
                <w:kern w:val="0"/>
                <w:sz w:val="22"/>
                <w:szCs w:val="22"/>
                <w:highlight w:val="none"/>
                <w:lang w:bidi="ar"/>
              </w:rPr>
              <w:t>交通机房-执法队机房</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D67CF7F">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灾备专线</w:t>
            </w:r>
          </w:p>
        </w:tc>
      </w:tr>
      <w:tr w14:paraId="1D84FB5A">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50B47970">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9</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39AD4A8A">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VPN1000M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932B9F5">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交通局主节点</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A063FEE">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前端感知设备移动主节点</w:t>
            </w:r>
          </w:p>
        </w:tc>
      </w:tr>
      <w:tr w14:paraId="0336F416">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64E7C75A">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10</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47705A59">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VPN100M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E5FF244">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金丽温高速管理站</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0D457642">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视频专线</w:t>
            </w:r>
          </w:p>
        </w:tc>
      </w:tr>
      <w:tr w14:paraId="60C9DECB">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48F64EF8">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11</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13B0F8DC">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VPN100M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612A3D0F">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绕城高速温州大桥</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B8936EC">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视频专线</w:t>
            </w:r>
          </w:p>
        </w:tc>
      </w:tr>
      <w:tr w14:paraId="2F3645AA">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4B44E5D2">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12</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EFDEC45">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6443685">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温州市瓯海区104国道K1937+220瓯海卡口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3397FC0">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58A4E5A8">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367345F5">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13</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A7FA793">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F53430B">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温州市鹿城区330国道K110+510临江辖区</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3BB89CEB">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29DE23C8">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65F3C9AF">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14</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7D42A163">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2612B43">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温州市苍南县s232省道K1+620</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4C52FC0">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76A2C27B">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5FB7D95F">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15</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3EB3F224">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40F96D83">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温州市苍南县104国道K2005+970苍南监控</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E80DFEA">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508A17FB">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40F85041">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16</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58625300">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0FAC7525">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温州乐清市104国道K1811+660乐清卡口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62EDBF46">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61238D8C">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095FFEC8">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17</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436237C">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026AA42D">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温州瑞安市330省道K23+960瑞安卡口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721FEAB">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2B3537EA">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2A019BEE">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18</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1D3B6686">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58CB95D">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温州市泰顺县58省道K3+470泰顺辖区</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2EDDEC0B">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1C5A735B">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41864232">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19</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74FCBC13">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3AD7B801">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温州市泰顺县58省道K56+730泰顺卡口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683EAB74">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62D43F98">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shd w:val="clear" w:color="auto" w:fill="auto"/>
            <w:vAlign w:val="center"/>
          </w:tcPr>
          <w:p w14:paraId="518B573D">
            <w:pPr>
              <w:widowControl/>
              <w:jc w:val="center"/>
              <w:textAlignment w:val="center"/>
              <w:rPr>
                <w:rFonts w:asciiTheme="majorEastAsia" w:hAnsiTheme="majorEastAsia" w:eastAsiaTheme="majorEastAsia" w:cstheme="majorEastAsia"/>
                <w:color w:val="auto"/>
                <w:kern w:val="2"/>
                <w:sz w:val="22"/>
                <w:szCs w:val="22"/>
                <w:highlight w:val="none"/>
                <w:lang w:val="en-US" w:eastAsia="zh-CN" w:bidi="ar-SA"/>
              </w:rPr>
            </w:pPr>
            <w:r>
              <w:rPr>
                <w:rFonts w:hint="eastAsia" w:asciiTheme="majorEastAsia" w:hAnsiTheme="majorEastAsia" w:eastAsiaTheme="majorEastAsia" w:cstheme="majorEastAsia"/>
                <w:color w:val="auto"/>
                <w:kern w:val="0"/>
                <w:sz w:val="22"/>
                <w:szCs w:val="22"/>
                <w:highlight w:val="none"/>
                <w:lang w:bidi="ar"/>
              </w:rPr>
              <w:t>20</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E43DAE0">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632E965">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温州市永嘉县104国道K1884+0永嘉卡口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0B63E83B">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73B7E4AE">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3F0653C5">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21</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50C2779">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VPN20M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01E82776">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温州市永嘉县S223省道K34+780(仙永隧道)</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0E0CE13E">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龙门架专线</w:t>
            </w:r>
          </w:p>
        </w:tc>
      </w:tr>
      <w:tr w14:paraId="16AE32F1">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06C346D3">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22</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16AD8D3F">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互联网专线50M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29F8BB2">
            <w:pPr>
              <w:widowControl/>
              <w:textAlignment w:val="bottom"/>
              <w:rPr>
                <w:rFonts w:asciiTheme="majorEastAsia" w:hAnsiTheme="majorEastAsia" w:eastAsiaTheme="majorEastAsia" w:cstheme="majorEastAsia"/>
                <w:color w:val="auto"/>
                <w:sz w:val="22"/>
                <w:szCs w:val="22"/>
                <w:highlight w:val="none"/>
                <w:u w:val="single"/>
              </w:rPr>
            </w:pPr>
            <w:r>
              <w:rPr>
                <w:rFonts w:hint="eastAsia" w:asciiTheme="majorEastAsia" w:hAnsiTheme="majorEastAsia" w:eastAsiaTheme="majorEastAsia" w:cstheme="majorEastAsia"/>
                <w:color w:val="auto"/>
                <w:kern w:val="0"/>
                <w:sz w:val="22"/>
                <w:szCs w:val="22"/>
                <w:highlight w:val="none"/>
                <w:lang w:bidi="ar"/>
              </w:rPr>
              <w:t>浙江省温州市, 温州航区航运职工学校（交通综合办公大楼）温州市中心区A-06地块</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3D1D547">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VPN专线</w:t>
            </w:r>
          </w:p>
        </w:tc>
      </w:tr>
      <w:tr w14:paraId="5D1CAB38">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4365AE8C">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23</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270C91B">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裸光纤</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C12BB8C">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龙湾区新三路16号高新大厦16楼机房--鹿城区瓯江路1155号交通大楼M层中心机房</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90E910A">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办公网络备线</w:t>
            </w:r>
          </w:p>
        </w:tc>
      </w:tr>
      <w:tr w14:paraId="317F76CC">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65F47570">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24</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5F3CC411">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裸光纤</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3C386EE">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瓯江路1155号温州交通大楼m层机房--温州大道1792号市交通综合执法队7楼机房</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472D45B">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数据灾备线路</w:t>
            </w:r>
          </w:p>
        </w:tc>
      </w:tr>
      <w:tr w14:paraId="03ECE665">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07E68B1C">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25</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30211B3B">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裸光纤</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FF98E14">
            <w:pPr>
              <w:widowControl/>
              <w:textAlignment w:val="bottom"/>
              <w:rPr>
                <w:rFonts w:hint="eastAsia"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瓯江路1155号温州交通大楼m层机房--温州大道1792号市交通综合执法队7楼机房</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EA26731">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数据灾备线路</w:t>
            </w:r>
          </w:p>
        </w:tc>
      </w:tr>
      <w:tr w14:paraId="717A7C25">
        <w:tblPrEx>
          <w:tblCellMar>
            <w:top w:w="0" w:type="dxa"/>
            <w:left w:w="108" w:type="dxa"/>
            <w:bottom w:w="0" w:type="dxa"/>
            <w:right w:w="108" w:type="dxa"/>
          </w:tblCellMar>
        </w:tblPrEx>
        <w:trPr>
          <w:trHeight w:val="720"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5510F9F1">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26</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5B96DB04">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数字链路100M</w:t>
            </w:r>
          </w:p>
        </w:tc>
        <w:tc>
          <w:tcPr>
            <w:tcW w:w="4987" w:type="dxa"/>
            <w:tcBorders>
              <w:top w:val="single" w:color="auto" w:sz="6" w:space="0"/>
              <w:left w:val="single" w:color="auto" w:sz="6" w:space="0"/>
              <w:bottom w:val="single" w:color="auto" w:sz="6" w:space="0"/>
              <w:right w:val="single" w:color="auto" w:sz="6" w:space="0"/>
              <w:tl2br w:val="nil"/>
              <w:tr2bl w:val="nil"/>
            </w:tcBorders>
            <w:shd w:val="clear" w:color="auto" w:fill="auto"/>
            <w:vAlign w:val="bottom"/>
          </w:tcPr>
          <w:p w14:paraId="4E7896C6">
            <w:pPr>
              <w:keepNext w:val="0"/>
              <w:keepLines w:val="0"/>
              <w:widowControl/>
              <w:suppressLineNumbers w:val="0"/>
              <w:spacing w:line="720" w:lineRule="auto"/>
              <w:jc w:val="both"/>
              <w:textAlignment w:val="bottom"/>
              <w:rPr>
                <w:rFonts w:ascii="等线" w:hAnsi="等线" w:eastAsia="等线" w:cs="等线"/>
                <w:i w:val="0"/>
                <w:iCs w:val="0"/>
                <w:color w:val="auto"/>
                <w:kern w:val="2"/>
                <w:sz w:val="22"/>
                <w:szCs w:val="22"/>
                <w:highlight w:val="none"/>
                <w:u w:val="none"/>
                <w:lang w:val="en-US" w:eastAsia="zh-CN" w:bidi="ar-SA"/>
              </w:rPr>
            </w:pPr>
            <w:r>
              <w:rPr>
                <w:rFonts w:hint="eastAsia" w:asciiTheme="majorEastAsia" w:hAnsiTheme="majorEastAsia" w:eastAsiaTheme="majorEastAsia" w:cstheme="majorEastAsia"/>
                <w:color w:val="auto"/>
                <w:kern w:val="0"/>
                <w:sz w:val="22"/>
                <w:szCs w:val="22"/>
                <w:highlight w:val="none"/>
                <w:lang w:val="en-US" w:eastAsia="zh-CN" w:bidi="ar"/>
              </w:rPr>
              <w:t>交通局机房-电信全球眼机房</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0B5A12C">
            <w:pPr>
              <w:widowControl/>
              <w:textAlignment w:val="bottom"/>
              <w:rPr>
                <w:rFonts w:hint="default" w:asciiTheme="majorEastAsia" w:hAnsiTheme="majorEastAsia" w:eastAsiaTheme="majorEastAsia" w:cstheme="majorEastAsia"/>
                <w:color w:val="auto"/>
                <w:sz w:val="22"/>
                <w:szCs w:val="22"/>
                <w:highlight w:val="none"/>
                <w:lang w:val="en-US" w:eastAsia="zh-CN"/>
              </w:rPr>
            </w:pPr>
            <w:r>
              <w:rPr>
                <w:rFonts w:hint="eastAsia" w:asciiTheme="majorEastAsia" w:hAnsiTheme="majorEastAsia" w:eastAsiaTheme="majorEastAsia" w:cstheme="majorEastAsia"/>
                <w:color w:val="auto"/>
                <w:kern w:val="0"/>
                <w:sz w:val="22"/>
                <w:szCs w:val="22"/>
                <w:highlight w:val="none"/>
                <w:lang w:val="en-US" w:eastAsia="zh-CN" w:bidi="ar"/>
              </w:rPr>
              <w:t>视频专线</w:t>
            </w:r>
          </w:p>
        </w:tc>
      </w:tr>
      <w:tr w14:paraId="1B615D05">
        <w:tblPrEx>
          <w:tblCellMar>
            <w:top w:w="0" w:type="dxa"/>
            <w:left w:w="108" w:type="dxa"/>
            <w:bottom w:w="0" w:type="dxa"/>
            <w:right w:w="108" w:type="dxa"/>
          </w:tblCellMar>
        </w:tblPrEx>
        <w:trPr>
          <w:trHeight w:val="94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0AFC91EF">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27</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15103A74">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数字链路100M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B28DE6D">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温州市龙湾区状元街道富春江路2号2号电信机房（视联网）---温州市龙湾区蒲州街道新三路16号高新大厦2楼会议室</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393ACD69">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视联网备线</w:t>
            </w:r>
          </w:p>
        </w:tc>
      </w:tr>
      <w:tr w14:paraId="58335817">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2FB6DF74">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28</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5C34CB86">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裸光纤</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02B8F54">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温州市龙湾区蒲州街道温州高新技术产业开发区新三路高新大厦2层</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4400954">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视联网专线</w:t>
            </w:r>
          </w:p>
        </w:tc>
      </w:tr>
      <w:tr w14:paraId="151C0FFA">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1337BCD3">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29</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4064D50B">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裸光纤</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83ECAD7">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温州市龙湾区蒲州街道温州高新技术产业开发区新三路高新大厦21层</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28229DE">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视联网专线</w:t>
            </w:r>
          </w:p>
        </w:tc>
      </w:tr>
      <w:tr w14:paraId="06A5EC4B">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10102606">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30</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FC41C60">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数字链路100M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7520273">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温州市瓯江路1155号交通局大楼--明珠路788号滨海云计算</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B1814CB">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交运视频专线</w:t>
            </w:r>
          </w:p>
        </w:tc>
      </w:tr>
      <w:tr w14:paraId="7D86E678">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32417E8E">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31</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DDE811E">
            <w:pPr>
              <w:widowControl/>
              <w:jc w:val="center"/>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数字链路10M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12CF585D">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温州市瓯江路1155号交通局大楼--明珠路788号滨海云计算</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0A4492BB">
            <w:pPr>
              <w:widowControl/>
              <w:textAlignment w:val="bottom"/>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公交一卡通加密机专线</w:t>
            </w:r>
          </w:p>
        </w:tc>
      </w:tr>
      <w:tr w14:paraId="23E58422">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3C81712D">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32</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540425B">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D2A8279">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状元街道天运码头</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594803E">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436B94E9">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4F419C2">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33</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5A4EF840">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40B1BECD">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状元街道易通码头</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20C3F05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5BFBE1EA">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1F5F749E">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34</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E82B362">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324BA50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状元街道中石化码头</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39850E0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00EC37F6">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16FBEDBC">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35</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DE49A91">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1BEA23F8">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状元街道燃料公司码头</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85CEE16">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03E3B15F">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64C0C213">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36</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375FC421">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35503A30">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瑶溪街道白楼下东海码头</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63FDCB01">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6274ADBC">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2A7FD46">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37</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78F2EFBB">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5F841A5">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瑶溪街道白楼下交通（建力）码头</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392407F1">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193D0EE3">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29D389A2">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38</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5B40D184">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984815D">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瑶溪街道温州港集团龙湾作业区白楼下码头（西边泊位）</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B0829FA">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3D6050A8">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649FEDBE">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39</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61B4508">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4C36C135">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瑶溪街道温州港集团龙湾作业区万吨码头(东边滚装码头泊位）</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561F56B">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6C2EA079">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1B257F87">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40</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46DC7621">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5245A58">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瑶溪街道温州港口石化码头</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E7F5D09">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3E520D1B">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5C04D8D">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41</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5C134CB">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0753F55E">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海滨街道永兴能源码头</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047C720B">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76E63742">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1A845612">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42</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1499699D">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A79706F">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金海化工市场停车场1</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2EDADC26">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6E226EB6">
        <w:tblPrEx>
          <w:tblCellMar>
            <w:top w:w="0" w:type="dxa"/>
            <w:left w:w="108" w:type="dxa"/>
            <w:bottom w:w="0" w:type="dxa"/>
            <w:right w:w="108" w:type="dxa"/>
          </w:tblCellMar>
        </w:tblPrEx>
        <w:trPr>
          <w:trHeight w:val="63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4D6FD0E0">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43</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7692EAE4">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1047C34">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金海化工市场停车场2</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131E7CA">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监控，自动录制船舶到港作业</w:t>
            </w:r>
          </w:p>
        </w:tc>
      </w:tr>
      <w:tr w14:paraId="0C91A861">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030D64F6">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44</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371BB9E9">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3F2CC695">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金海化工市场道路</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BA54EE2">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危货市场监管</w:t>
            </w:r>
          </w:p>
        </w:tc>
      </w:tr>
      <w:tr w14:paraId="163688EA">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62D0827">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45</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4A57361">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6CC79C6">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仰义高速口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B4B1EED">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危货市场监管</w:t>
            </w:r>
          </w:p>
        </w:tc>
      </w:tr>
      <w:tr w14:paraId="421AB141">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5C7C516B">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46</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4A9E0590">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5375F69">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双屿高速口1</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21EE4EA">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危货市场监管</w:t>
            </w:r>
          </w:p>
        </w:tc>
      </w:tr>
      <w:tr w14:paraId="7E91FB8D">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526DAAF8">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47</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47B5FF6">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C1468F9">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双屿高速口2</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2FDF41F6">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危货市场监管</w:t>
            </w:r>
          </w:p>
        </w:tc>
      </w:tr>
      <w:tr w14:paraId="3A12AD0D">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90FE94F">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48</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36654E5B">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72D1AF7">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温州南高速口（增加1台）</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AFCFFC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危货市场监管</w:t>
            </w:r>
          </w:p>
        </w:tc>
      </w:tr>
      <w:tr w14:paraId="6B901349">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D146953">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49</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599DE9A8">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F7C28C8">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温州南服务区1</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8AD9BBD">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5D5A775A">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34775A1C">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50</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56DF49FE">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D11B90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温州南服务区2</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69513074">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5EA7BECC">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4D3D930B">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51</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AC61D38">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0973A9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潘桥高速口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76FC0F05">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2E27C7B7">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540A4267">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52</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4A96FE53">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1DE232A6">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娄桥高速口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0E39C72">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6087A165">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2A881F89">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53</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697396C">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22932F7">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温州东高速口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2BD300AA">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28DA87A3">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123FFA38">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54</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92693AC">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46C11C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104国道仙岩段口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6D346972">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1F11412D">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6AD0A5D4">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55</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69FA410">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11FF52A5">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三溪高速口（新增点位）</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6FDBEEAB">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18FC3577">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44CF6057">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56</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03D3FC1">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1A40682">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大桥北收费站1</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604409C7">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4CBCC132">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EC6E509">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57</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3C09468B">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61291E27">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大桥北收费站2</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63B9D6C6">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1735DDAF">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25558AB4">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58</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2BD9AEF">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7F412BC0">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永嘉三江G104瓯越大桥交叉口西南</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3FEFCECA">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站外组客治理</w:t>
            </w:r>
          </w:p>
        </w:tc>
      </w:tr>
      <w:tr w14:paraId="55B3DD8C">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06E5A65">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59</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1CF01BC8">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0A800863">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永嘉瓯北长岙-2</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3ACEA620">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铁塔高位监控</w:t>
            </w:r>
          </w:p>
        </w:tc>
      </w:tr>
      <w:tr w14:paraId="14EB0591">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678FBA33">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60</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5F65472A">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603E692D">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瓯海丽岙第六人民医院南</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27F13C8">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铁塔高位监控</w:t>
            </w:r>
          </w:p>
        </w:tc>
      </w:tr>
      <w:tr w14:paraId="1CDCE2FF">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5CEF9AF5">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61</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4C3A92B">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2B488DD0">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温州瓯海104国道丽岙路段</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01BE8420">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铁塔高位监控</w:t>
            </w:r>
          </w:p>
        </w:tc>
      </w:tr>
      <w:tr w14:paraId="67F93E2A">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5EDCED33">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62</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66543832">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576F1544">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瓯海丽岙新花鸟市场</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FE5D419">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铁塔高位监控</w:t>
            </w:r>
          </w:p>
        </w:tc>
      </w:tr>
      <w:tr w14:paraId="37546AEB">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266EF6E0">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63</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44A7E229">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4A475A77">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瑞安华表西搬迁</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77C98B3">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铁塔高位监控</w:t>
            </w:r>
          </w:p>
        </w:tc>
      </w:tr>
      <w:tr w14:paraId="64DA67A4">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27969E6">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64</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1FCBDE5">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40CEABF8">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瑞安汀田华表北</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137107C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铁塔高位监控</w:t>
            </w:r>
          </w:p>
        </w:tc>
      </w:tr>
      <w:tr w14:paraId="3E90FDE6">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4634D091">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65</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07E5FC01">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6F476CF9">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瑞安瑞安汀田大典下北</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3302787">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铁塔高位监控</w:t>
            </w:r>
          </w:p>
        </w:tc>
      </w:tr>
      <w:tr w14:paraId="5D598671">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7ECDCED7">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66</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2F4456BA">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1108F7D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瑞安塘下岑头</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59DF555A">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铁塔高位监控</w:t>
            </w:r>
          </w:p>
        </w:tc>
      </w:tr>
      <w:tr w14:paraId="62B2B64C">
        <w:tblPrEx>
          <w:tblCellMar>
            <w:top w:w="0" w:type="dxa"/>
            <w:left w:w="108" w:type="dxa"/>
            <w:bottom w:w="0" w:type="dxa"/>
            <w:right w:w="108" w:type="dxa"/>
          </w:tblCellMar>
        </w:tblPrEx>
        <w:trPr>
          <w:trHeight w:val="325" w:hRule="atLeast"/>
          <w:jc w:val="center"/>
        </w:trPr>
        <w:tc>
          <w:tcPr>
            <w:tcW w:w="823" w:type="dxa"/>
            <w:tcBorders>
              <w:top w:val="single" w:color="auto" w:sz="6" w:space="0"/>
              <w:left w:val="single" w:color="auto" w:sz="6" w:space="0"/>
              <w:bottom w:val="single" w:color="auto" w:sz="6" w:space="0"/>
              <w:right w:val="single" w:color="auto" w:sz="6" w:space="0"/>
              <w:tl2br w:val="nil"/>
              <w:tr2bl w:val="nil"/>
            </w:tcBorders>
            <w:vAlign w:val="center"/>
          </w:tcPr>
          <w:p w14:paraId="3AE1E255">
            <w:pPr>
              <w:widowControl/>
              <w:jc w:val="center"/>
              <w:textAlignment w:val="center"/>
              <w:rPr>
                <w:rFonts w:asciiTheme="majorEastAsia" w:hAnsiTheme="majorEastAsia" w:eastAsiaTheme="majorEastAsia" w:cstheme="majorEastAsia"/>
                <w:color w:val="auto"/>
                <w:sz w:val="22"/>
                <w:szCs w:val="22"/>
                <w:highlight w:val="none"/>
              </w:rPr>
            </w:pPr>
            <w:r>
              <w:rPr>
                <w:rFonts w:hint="eastAsia" w:asciiTheme="majorEastAsia" w:hAnsiTheme="majorEastAsia" w:eastAsiaTheme="majorEastAsia" w:cstheme="majorEastAsia"/>
                <w:color w:val="auto"/>
                <w:kern w:val="0"/>
                <w:sz w:val="22"/>
                <w:szCs w:val="22"/>
                <w:highlight w:val="none"/>
                <w:lang w:bidi="ar"/>
              </w:rPr>
              <w:t>67</w:t>
            </w:r>
          </w:p>
        </w:tc>
        <w:tc>
          <w:tcPr>
            <w:tcW w:w="1915" w:type="dxa"/>
            <w:tcBorders>
              <w:top w:val="single" w:color="auto" w:sz="6" w:space="0"/>
              <w:left w:val="single" w:color="auto" w:sz="6" w:space="0"/>
              <w:bottom w:val="single" w:color="auto" w:sz="6" w:space="0"/>
              <w:right w:val="single" w:color="auto" w:sz="6" w:space="0"/>
              <w:tl2br w:val="nil"/>
              <w:tr2bl w:val="nil"/>
            </w:tcBorders>
            <w:vAlign w:val="center"/>
          </w:tcPr>
          <w:p w14:paraId="335418EE">
            <w:pPr>
              <w:widowControl/>
              <w:jc w:val="center"/>
              <w:textAlignment w:val="bottom"/>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VPN 10M</w:t>
            </w:r>
          </w:p>
        </w:tc>
        <w:tc>
          <w:tcPr>
            <w:tcW w:w="4987" w:type="dxa"/>
            <w:tcBorders>
              <w:top w:val="single" w:color="auto" w:sz="6" w:space="0"/>
              <w:left w:val="single" w:color="auto" w:sz="6" w:space="0"/>
              <w:bottom w:val="single" w:color="auto" w:sz="6" w:space="0"/>
              <w:right w:val="single" w:color="auto" w:sz="6" w:space="0"/>
              <w:tl2br w:val="nil"/>
              <w:tr2bl w:val="nil"/>
            </w:tcBorders>
            <w:vAlign w:val="center"/>
          </w:tcPr>
          <w:p w14:paraId="16C1A02C">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塘下高速出口</w:t>
            </w:r>
          </w:p>
        </w:tc>
        <w:tc>
          <w:tcPr>
            <w:tcW w:w="2025" w:type="dxa"/>
            <w:tcBorders>
              <w:top w:val="single" w:color="auto" w:sz="6" w:space="0"/>
              <w:left w:val="single" w:color="auto" w:sz="6" w:space="0"/>
              <w:bottom w:val="single" w:color="auto" w:sz="6" w:space="0"/>
              <w:right w:val="single" w:color="auto" w:sz="6" w:space="0"/>
              <w:tl2br w:val="nil"/>
              <w:tr2bl w:val="nil"/>
            </w:tcBorders>
            <w:vAlign w:val="center"/>
          </w:tcPr>
          <w:p w14:paraId="40D55C02">
            <w:pPr>
              <w:widowControl/>
              <w:textAlignment w:val="center"/>
              <w:rPr>
                <w:rFonts w:asciiTheme="majorEastAsia" w:hAnsiTheme="majorEastAsia" w:eastAsiaTheme="majorEastAsia" w:cstheme="majorEastAsia"/>
                <w:color w:val="auto"/>
                <w:kern w:val="0"/>
                <w:sz w:val="22"/>
                <w:szCs w:val="22"/>
                <w:highlight w:val="none"/>
                <w:lang w:bidi="ar"/>
              </w:rPr>
            </w:pPr>
            <w:r>
              <w:rPr>
                <w:rFonts w:hint="eastAsia" w:asciiTheme="majorEastAsia" w:hAnsiTheme="majorEastAsia" w:eastAsiaTheme="majorEastAsia" w:cstheme="majorEastAsia"/>
                <w:color w:val="auto"/>
                <w:kern w:val="0"/>
                <w:sz w:val="22"/>
                <w:szCs w:val="22"/>
                <w:highlight w:val="none"/>
                <w:lang w:bidi="ar"/>
              </w:rPr>
              <w:t>铁塔高位监控</w:t>
            </w:r>
          </w:p>
        </w:tc>
      </w:tr>
    </w:tbl>
    <w:p w14:paraId="42694FF0">
      <w:pPr>
        <w:tabs>
          <w:tab w:val="left" w:pos="720"/>
          <w:tab w:val="left" w:pos="5355"/>
        </w:tabs>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3、采购人部分链路涉及高速公路和国、省道公路，要求中标单位具有相应施工资质并遵守相关规定，及时向相关单位（高速公路业主、路政、交警等）办理施工许可，根据影响交通流大小及危险程度，按相应的规范施工。</w:t>
      </w:r>
    </w:p>
    <w:p w14:paraId="4819D740">
      <w:pPr>
        <w:tabs>
          <w:tab w:val="left" w:pos="720"/>
          <w:tab w:val="left" w:pos="5355"/>
        </w:tabs>
        <w:spacing w:line="400" w:lineRule="exact"/>
        <w:rPr>
          <w:rFonts w:hint="eastAsia" w:ascii="宋体" w:hAnsi="宋体" w:eastAsia="宋体" w:cs="宋体"/>
          <w:color w:val="auto"/>
          <w:kern w:val="0"/>
          <w:sz w:val="22"/>
          <w:szCs w:val="22"/>
          <w:highlight w:val="none"/>
          <w:lang w:eastAsia="zh-CN"/>
        </w:rPr>
      </w:pPr>
      <w:r>
        <w:rPr>
          <w:rFonts w:hint="eastAsia" w:ascii="宋体" w:hAnsi="宋体" w:cs="宋体"/>
          <w:color w:val="auto"/>
          <w:kern w:val="0"/>
          <w:sz w:val="22"/>
          <w:szCs w:val="22"/>
          <w:highlight w:val="none"/>
        </w:rPr>
        <w:t>4、</w:t>
      </w:r>
      <w:r>
        <w:rPr>
          <w:rFonts w:hint="eastAsia" w:ascii="宋体" w:hAnsi="宋体" w:cs="宋体"/>
          <w:color w:val="auto"/>
          <w:kern w:val="0"/>
          <w:sz w:val="22"/>
          <w:szCs w:val="22"/>
          <w:highlight w:val="none"/>
          <w:u w:val="single"/>
        </w:rPr>
        <w:t>采购人线路具有特殊性，请需要了解的详情的联系采购人咨询</w:t>
      </w:r>
      <w:r>
        <w:rPr>
          <w:rFonts w:hint="eastAsia" w:ascii="宋体" w:hAnsi="宋体" w:cs="宋体"/>
          <w:color w:val="auto"/>
          <w:kern w:val="0"/>
          <w:sz w:val="22"/>
          <w:szCs w:val="22"/>
          <w:highlight w:val="none"/>
          <w:u w:val="none"/>
          <w:lang w:eastAsia="zh-CN"/>
        </w:rPr>
        <w:t>。</w:t>
      </w:r>
    </w:p>
    <w:p w14:paraId="72D14F87">
      <w:pPr>
        <w:tabs>
          <w:tab w:val="left" w:pos="720"/>
          <w:tab w:val="left" w:pos="5355"/>
        </w:tabs>
        <w:spacing w:line="400" w:lineRule="exac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u w:val="wave"/>
        </w:rPr>
        <w:t>5、为避免采购人的日常业务受影响，要求中标单位充分知晓采购内容及风险，遵守施工管理规定，预中标公示后15天内无法满足所有线路正常使用的，中标单位失去资格并</w:t>
      </w:r>
      <w:r>
        <w:rPr>
          <w:rFonts w:hint="eastAsia" w:ascii="宋体" w:hAnsi="宋体" w:cs="宋体"/>
          <w:b/>
          <w:bCs/>
          <w:color w:val="auto"/>
          <w:kern w:val="0"/>
          <w:sz w:val="22"/>
          <w:szCs w:val="22"/>
          <w:highlight w:val="none"/>
        </w:rPr>
        <w:t>向原租赁单位支付延期产生的费用。</w:t>
      </w:r>
    </w:p>
    <w:p w14:paraId="1ED77A0E">
      <w:pPr>
        <w:tabs>
          <w:tab w:val="left" w:pos="720"/>
          <w:tab w:val="left" w:pos="5355"/>
        </w:tabs>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6、中标单位需承诺采购人的数据通信全网年正常可用率不低于99%，当采购人的数据通信出现故障时，中标单位在接到甲方申告后2小时内应立即作出响应，排除故障。</w:t>
      </w:r>
    </w:p>
    <w:p w14:paraId="37D915D0">
      <w:pPr>
        <w:tabs>
          <w:tab w:val="left" w:pos="720"/>
          <w:tab w:val="left" w:pos="5355"/>
        </w:tabs>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7.由于上一年度项目截止后，财政预算未下达，自2025年1月份至中标单位接手时止这段时间的租赁费用由中标单位支付（该租赁费用金额=（该时间月数/12）*2025年中标金额）</w:t>
      </w:r>
      <w:r>
        <w:rPr>
          <w:rFonts w:hint="eastAsia" w:ascii="宋体" w:hAnsi="宋体" w:cs="宋体"/>
          <w:bCs/>
          <w:color w:val="auto"/>
          <w:kern w:val="0"/>
          <w:szCs w:val="21"/>
          <w:highlight w:val="none"/>
        </w:rPr>
        <w:t>。</w:t>
      </w:r>
    </w:p>
    <w:bookmarkEnd w:id="202"/>
    <w:p w14:paraId="0080F3BA">
      <w:pPr>
        <w:tabs>
          <w:tab w:val="left" w:pos="720"/>
          <w:tab w:val="left" w:pos="5355"/>
        </w:tabs>
        <w:spacing w:line="400" w:lineRule="exac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（二）保密原则</w:t>
      </w:r>
    </w:p>
    <w:p w14:paraId="1A3DEFC7">
      <w:pPr>
        <w:tabs>
          <w:tab w:val="left" w:pos="720"/>
          <w:tab w:val="left" w:pos="5355"/>
        </w:tabs>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1、未经双方书面许可，任何一方不得向第三方提供或披露对方的资料和信息。</w:t>
      </w:r>
    </w:p>
    <w:p w14:paraId="2541836C">
      <w:pPr>
        <w:tabs>
          <w:tab w:val="left" w:pos="720"/>
          <w:tab w:val="left" w:pos="5355"/>
        </w:tabs>
        <w:spacing w:line="400" w:lineRule="exact"/>
        <w:rPr>
          <w:rFonts w:ascii="宋体" w:hAnsi="宋体" w:cs="宋体"/>
          <w:b/>
          <w:bCs/>
          <w:color w:val="auto"/>
          <w:kern w:val="0"/>
          <w:sz w:val="22"/>
          <w:szCs w:val="22"/>
          <w:highlight w:val="none"/>
        </w:rPr>
      </w:pPr>
      <w:r>
        <w:rPr>
          <w:rFonts w:hint="eastAsia" w:ascii="宋体" w:hAnsi="宋体" w:cs="宋体"/>
          <w:color w:val="auto"/>
          <w:kern w:val="0"/>
          <w:sz w:val="22"/>
          <w:szCs w:val="22"/>
          <w:highlight w:val="none"/>
        </w:rPr>
        <w:t>2、双方实施本项目了解到对方的有关网络组织、业务发展、价格策略等商业机密时，双方均有义务为对方保密。</w:t>
      </w:r>
    </w:p>
    <w:p w14:paraId="13D3D2E5">
      <w:pPr>
        <w:spacing w:after="120" w:line="400" w:lineRule="exact"/>
        <w:rPr>
          <w:rFonts w:ascii="宋体" w:hAnsi="宋体" w:cs="宋体"/>
          <w:b/>
          <w:bCs/>
          <w:color w:val="auto"/>
          <w:kern w:val="0"/>
          <w:sz w:val="24"/>
          <w:highlight w:val="none"/>
        </w:rPr>
      </w:pPr>
      <w:r>
        <w:rPr>
          <w:rFonts w:hint="eastAsia" w:ascii="宋体" w:hAnsi="宋体" w:cs="宋体"/>
          <w:b/>
          <w:bCs/>
          <w:color w:val="auto"/>
          <w:kern w:val="0"/>
          <w:sz w:val="24"/>
          <w:highlight w:val="none"/>
        </w:rPr>
        <w:t>四</w:t>
      </w:r>
      <w:r>
        <w:rPr>
          <w:rFonts w:hint="eastAsia" w:ascii="宋体" w:hAnsi="宋体" w:cs="宋体"/>
          <w:b/>
          <w:bCs/>
          <w:color w:val="auto"/>
          <w:kern w:val="0"/>
          <w:sz w:val="28"/>
          <w:szCs w:val="28"/>
          <w:highlight w:val="none"/>
        </w:rPr>
        <w:t>、数据中心灾备服务详细内容及要求</w:t>
      </w:r>
    </w:p>
    <w:p w14:paraId="23DB94D3">
      <w:pPr>
        <w:tabs>
          <w:tab w:val="left" w:pos="720"/>
          <w:tab w:val="left" w:pos="5355"/>
        </w:tabs>
        <w:spacing w:line="400" w:lineRule="exact"/>
        <w:rPr>
          <w:rFonts w:ascii="宋体" w:hAnsi="宋体" w:cs="宋体"/>
          <w:color w:val="auto"/>
          <w:kern w:val="0"/>
          <w:sz w:val="22"/>
          <w:szCs w:val="22"/>
          <w:highlight w:val="none"/>
        </w:rPr>
      </w:pPr>
      <w:r>
        <w:rPr>
          <w:rFonts w:hint="eastAsia" w:ascii="宋体" w:hAnsi="宋体" w:cs="宋体"/>
          <w:b/>
          <w:bCs/>
          <w:color w:val="auto"/>
          <w:kern w:val="0"/>
          <w:sz w:val="22"/>
          <w:szCs w:val="22"/>
          <w:highlight w:val="none"/>
        </w:rPr>
        <w:t>（一）</w:t>
      </w:r>
      <w:r>
        <w:rPr>
          <w:rFonts w:hint="eastAsia" w:ascii="宋体" w:hAnsi="宋体" w:cs="宋体"/>
          <w:color w:val="auto"/>
          <w:kern w:val="0"/>
          <w:sz w:val="22"/>
          <w:szCs w:val="22"/>
          <w:highlight w:val="none"/>
        </w:rPr>
        <w:t xml:space="preserve"> </w:t>
      </w:r>
      <w:r>
        <w:rPr>
          <w:rFonts w:hint="eastAsia" w:ascii="宋体" w:hAnsi="宋体" w:cs="宋体"/>
          <w:b/>
          <w:bCs/>
          <w:color w:val="auto"/>
          <w:kern w:val="0"/>
          <w:sz w:val="22"/>
          <w:szCs w:val="22"/>
          <w:highlight w:val="none"/>
        </w:rPr>
        <w:t>数据中心灾备服务内容</w:t>
      </w:r>
    </w:p>
    <w:p w14:paraId="3D7CEA3B">
      <w:pPr>
        <w:tabs>
          <w:tab w:val="left" w:pos="720"/>
          <w:tab w:val="left" w:pos="5355"/>
        </w:tabs>
        <w:spacing w:line="400" w:lineRule="exact"/>
        <w:ind w:firstLine="220" w:firstLineChars="100"/>
        <w:rPr>
          <w:rFonts w:ascii="宋体" w:hAnsi="宋体" w:cs="宋体"/>
          <w:color w:val="auto"/>
          <w:kern w:val="0"/>
          <w:sz w:val="22"/>
          <w:szCs w:val="22"/>
          <w:highlight w:val="none"/>
        </w:rPr>
      </w:pPr>
      <w:r>
        <w:rPr>
          <w:rFonts w:hint="eastAsia" w:ascii="宋体" w:hAnsi="宋体" w:cs="宋体"/>
          <w:color w:val="auto"/>
          <w:kern w:val="0"/>
          <w:sz w:val="22"/>
          <w:szCs w:val="22"/>
          <w:highlight w:val="none"/>
        </w:rPr>
        <w:t>温州市交通运输局数据库及业务系统灾备需利用两台双活存储、备份软件及容灾管理软件实现存储双活，本次采购以租赁服务的形式来实现数据灾备（租赁服务满三年，所提供的设备产权归甲方所有）。本次租赁服务时间为：</w:t>
      </w:r>
      <w:r>
        <w:rPr>
          <w:rFonts w:ascii="宋体" w:hAnsi="宋体" w:cs="宋体"/>
          <w:color w:val="auto"/>
          <w:kern w:val="0"/>
          <w:sz w:val="22"/>
          <w:szCs w:val="22"/>
          <w:highlight w:val="none"/>
        </w:rPr>
        <w:t>202</w:t>
      </w:r>
      <w:r>
        <w:rPr>
          <w:rFonts w:hint="eastAsia" w:ascii="宋体" w:hAnsi="宋体" w:cs="宋体"/>
          <w:color w:val="auto"/>
          <w:kern w:val="0"/>
          <w:sz w:val="22"/>
          <w:szCs w:val="22"/>
          <w:highlight w:val="none"/>
        </w:rPr>
        <w:t>5</w:t>
      </w:r>
      <w:r>
        <w:rPr>
          <w:rFonts w:ascii="宋体" w:hAnsi="宋体" w:cs="宋体"/>
          <w:color w:val="auto"/>
          <w:kern w:val="0"/>
          <w:sz w:val="22"/>
          <w:szCs w:val="22"/>
          <w:highlight w:val="none"/>
        </w:rPr>
        <w:t>年11月1日至202</w:t>
      </w:r>
      <w:r>
        <w:rPr>
          <w:rFonts w:hint="eastAsia" w:ascii="宋体" w:hAnsi="宋体" w:cs="宋体"/>
          <w:color w:val="auto"/>
          <w:kern w:val="0"/>
          <w:sz w:val="22"/>
          <w:szCs w:val="22"/>
          <w:highlight w:val="none"/>
        </w:rPr>
        <w:t>6</w:t>
      </w:r>
      <w:r>
        <w:rPr>
          <w:rFonts w:ascii="宋体" w:hAnsi="宋体" w:cs="宋体"/>
          <w:color w:val="auto"/>
          <w:kern w:val="0"/>
          <w:sz w:val="22"/>
          <w:szCs w:val="22"/>
          <w:highlight w:val="none"/>
        </w:rPr>
        <w:t>年10月31日。</w:t>
      </w:r>
    </w:p>
    <w:tbl>
      <w:tblPr>
        <w:tblStyle w:val="63"/>
        <w:tblW w:w="9755" w:type="dxa"/>
        <w:tblInd w:w="0" w:type="dxa"/>
        <w:tblLayout w:type="fixed"/>
        <w:tblCellMar>
          <w:top w:w="0" w:type="dxa"/>
          <w:left w:w="108" w:type="dxa"/>
          <w:bottom w:w="0" w:type="dxa"/>
          <w:right w:w="108" w:type="dxa"/>
        </w:tblCellMar>
      </w:tblPr>
      <w:tblGrid>
        <w:gridCol w:w="1225"/>
        <w:gridCol w:w="3241"/>
        <w:gridCol w:w="1226"/>
        <w:gridCol w:w="1226"/>
        <w:gridCol w:w="2837"/>
      </w:tblGrid>
      <w:tr w14:paraId="7C6F7372">
        <w:tblPrEx>
          <w:tblCellMar>
            <w:top w:w="0" w:type="dxa"/>
            <w:left w:w="108" w:type="dxa"/>
            <w:bottom w:w="0" w:type="dxa"/>
            <w:right w:w="108" w:type="dxa"/>
          </w:tblCellMar>
        </w:tblPrEx>
        <w:trPr>
          <w:trHeight w:val="272" w:hRule="atLeast"/>
        </w:trPr>
        <w:tc>
          <w:tcPr>
            <w:tcW w:w="1225" w:type="dxa"/>
            <w:tcBorders>
              <w:top w:val="single" w:color="auto" w:sz="8" w:space="0"/>
              <w:left w:val="single" w:color="auto" w:sz="8" w:space="0"/>
              <w:bottom w:val="single" w:color="auto" w:sz="8" w:space="0"/>
              <w:right w:val="single" w:color="auto" w:sz="8" w:space="0"/>
            </w:tcBorders>
            <w:vAlign w:val="center"/>
          </w:tcPr>
          <w:p w14:paraId="1C08C2A8">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序号</w:t>
            </w:r>
          </w:p>
        </w:tc>
        <w:tc>
          <w:tcPr>
            <w:tcW w:w="3241" w:type="dxa"/>
            <w:tcBorders>
              <w:top w:val="single" w:color="auto" w:sz="8" w:space="0"/>
              <w:left w:val="nil"/>
              <w:bottom w:val="single" w:color="auto" w:sz="8" w:space="0"/>
              <w:right w:val="single" w:color="auto" w:sz="8" w:space="0"/>
            </w:tcBorders>
            <w:vAlign w:val="center"/>
          </w:tcPr>
          <w:p w14:paraId="73DD1570">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设备名称</w:t>
            </w:r>
          </w:p>
        </w:tc>
        <w:tc>
          <w:tcPr>
            <w:tcW w:w="1226" w:type="dxa"/>
            <w:tcBorders>
              <w:top w:val="single" w:color="auto" w:sz="8" w:space="0"/>
              <w:left w:val="nil"/>
              <w:bottom w:val="single" w:color="auto" w:sz="8" w:space="0"/>
              <w:right w:val="single" w:color="auto" w:sz="8" w:space="0"/>
            </w:tcBorders>
            <w:vAlign w:val="center"/>
          </w:tcPr>
          <w:p w14:paraId="68022415">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数量</w:t>
            </w:r>
          </w:p>
        </w:tc>
        <w:tc>
          <w:tcPr>
            <w:tcW w:w="1226" w:type="dxa"/>
            <w:tcBorders>
              <w:top w:val="single" w:color="auto" w:sz="8" w:space="0"/>
              <w:left w:val="nil"/>
              <w:bottom w:val="single" w:color="auto" w:sz="8" w:space="0"/>
              <w:right w:val="single" w:color="auto" w:sz="8" w:space="0"/>
            </w:tcBorders>
            <w:vAlign w:val="center"/>
          </w:tcPr>
          <w:p w14:paraId="16E89831">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单位</w:t>
            </w:r>
          </w:p>
        </w:tc>
        <w:tc>
          <w:tcPr>
            <w:tcW w:w="2837" w:type="dxa"/>
            <w:tcBorders>
              <w:top w:val="single" w:color="auto" w:sz="8" w:space="0"/>
              <w:left w:val="nil"/>
              <w:bottom w:val="single" w:color="auto" w:sz="8" w:space="0"/>
              <w:right w:val="single" w:color="auto" w:sz="8" w:space="0"/>
            </w:tcBorders>
            <w:vAlign w:val="center"/>
          </w:tcPr>
          <w:p w14:paraId="7446C135">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技术参数</w:t>
            </w:r>
          </w:p>
        </w:tc>
      </w:tr>
      <w:tr w14:paraId="4E98B4DF">
        <w:tblPrEx>
          <w:tblCellMar>
            <w:top w:w="0" w:type="dxa"/>
            <w:left w:w="108" w:type="dxa"/>
            <w:bottom w:w="0" w:type="dxa"/>
            <w:right w:w="108" w:type="dxa"/>
          </w:tblCellMar>
        </w:tblPrEx>
        <w:trPr>
          <w:trHeight w:val="272" w:hRule="atLeast"/>
        </w:trPr>
        <w:tc>
          <w:tcPr>
            <w:tcW w:w="1225" w:type="dxa"/>
            <w:tcBorders>
              <w:top w:val="nil"/>
              <w:left w:val="single" w:color="auto" w:sz="8" w:space="0"/>
              <w:bottom w:val="single" w:color="auto" w:sz="8" w:space="0"/>
              <w:right w:val="single" w:color="auto" w:sz="8" w:space="0"/>
            </w:tcBorders>
            <w:vAlign w:val="center"/>
          </w:tcPr>
          <w:p w14:paraId="6655D33F">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3241" w:type="dxa"/>
            <w:tcBorders>
              <w:top w:val="nil"/>
              <w:left w:val="nil"/>
              <w:bottom w:val="single" w:color="auto" w:sz="8" w:space="0"/>
              <w:right w:val="single" w:color="auto" w:sz="8" w:space="0"/>
            </w:tcBorders>
            <w:vAlign w:val="center"/>
          </w:tcPr>
          <w:p w14:paraId="5A4855DB">
            <w:pPr>
              <w:jc w:val="center"/>
              <w:rPr>
                <w:rFonts w:ascii="宋体" w:hAnsi="宋体" w:cs="宋体"/>
                <w:color w:val="auto"/>
                <w:sz w:val="22"/>
                <w:szCs w:val="22"/>
                <w:highlight w:val="none"/>
              </w:rPr>
            </w:pPr>
            <w:r>
              <w:rPr>
                <w:rFonts w:hint="eastAsia" w:ascii="宋体" w:hAnsi="宋体" w:cs="宋体"/>
                <w:color w:val="auto"/>
                <w:sz w:val="22"/>
                <w:szCs w:val="22"/>
                <w:highlight w:val="none"/>
              </w:rPr>
              <w:t>交通局运输局双活存储</w:t>
            </w:r>
          </w:p>
        </w:tc>
        <w:tc>
          <w:tcPr>
            <w:tcW w:w="1226" w:type="dxa"/>
            <w:tcBorders>
              <w:top w:val="nil"/>
              <w:left w:val="nil"/>
              <w:bottom w:val="single" w:color="auto" w:sz="8" w:space="0"/>
              <w:right w:val="single" w:color="auto" w:sz="8" w:space="0"/>
            </w:tcBorders>
            <w:vAlign w:val="center"/>
          </w:tcPr>
          <w:p w14:paraId="2BED3550">
            <w:pPr>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226" w:type="dxa"/>
            <w:tcBorders>
              <w:top w:val="nil"/>
              <w:left w:val="nil"/>
              <w:bottom w:val="single" w:color="auto" w:sz="8" w:space="0"/>
              <w:right w:val="single" w:color="auto" w:sz="8" w:space="0"/>
            </w:tcBorders>
            <w:vAlign w:val="center"/>
          </w:tcPr>
          <w:p w14:paraId="493E38BD">
            <w:pPr>
              <w:jc w:val="center"/>
              <w:rPr>
                <w:rFonts w:ascii="宋体" w:hAnsi="宋体" w:cs="宋体"/>
                <w:color w:val="auto"/>
                <w:sz w:val="22"/>
                <w:szCs w:val="22"/>
                <w:highlight w:val="none"/>
              </w:rPr>
            </w:pPr>
            <w:r>
              <w:rPr>
                <w:rFonts w:hint="eastAsia" w:ascii="宋体" w:hAnsi="宋体" w:cs="宋体"/>
                <w:color w:val="auto"/>
                <w:sz w:val="22"/>
                <w:szCs w:val="22"/>
                <w:highlight w:val="none"/>
              </w:rPr>
              <w:t>台</w:t>
            </w:r>
          </w:p>
        </w:tc>
        <w:tc>
          <w:tcPr>
            <w:tcW w:w="2837" w:type="dxa"/>
            <w:tcBorders>
              <w:top w:val="nil"/>
              <w:left w:val="nil"/>
              <w:bottom w:val="single" w:color="auto" w:sz="8" w:space="0"/>
              <w:right w:val="single" w:color="auto" w:sz="8" w:space="0"/>
            </w:tcBorders>
            <w:vAlign w:val="center"/>
          </w:tcPr>
          <w:p w14:paraId="17CC9818">
            <w:pPr>
              <w:jc w:val="center"/>
              <w:rPr>
                <w:rFonts w:ascii="宋体" w:hAnsi="宋体" w:cs="宋体"/>
                <w:color w:val="auto"/>
                <w:sz w:val="22"/>
                <w:szCs w:val="22"/>
                <w:highlight w:val="none"/>
              </w:rPr>
            </w:pPr>
            <w:r>
              <w:rPr>
                <w:rFonts w:hint="eastAsia" w:ascii="宋体" w:hAnsi="宋体" w:cs="宋体"/>
                <w:color w:val="auto"/>
                <w:sz w:val="22"/>
                <w:szCs w:val="22"/>
                <w:highlight w:val="none"/>
              </w:rPr>
              <w:t>详见指标要求</w:t>
            </w:r>
          </w:p>
        </w:tc>
      </w:tr>
      <w:tr w14:paraId="738FB074">
        <w:tblPrEx>
          <w:tblCellMar>
            <w:top w:w="0" w:type="dxa"/>
            <w:left w:w="108" w:type="dxa"/>
            <w:bottom w:w="0" w:type="dxa"/>
            <w:right w:w="108" w:type="dxa"/>
          </w:tblCellMar>
        </w:tblPrEx>
        <w:trPr>
          <w:trHeight w:val="272" w:hRule="atLeast"/>
        </w:trPr>
        <w:tc>
          <w:tcPr>
            <w:tcW w:w="1225" w:type="dxa"/>
            <w:tcBorders>
              <w:top w:val="nil"/>
              <w:left w:val="single" w:color="auto" w:sz="8" w:space="0"/>
              <w:bottom w:val="single" w:color="auto" w:sz="8" w:space="0"/>
              <w:right w:val="single" w:color="auto" w:sz="8" w:space="0"/>
            </w:tcBorders>
            <w:vAlign w:val="center"/>
          </w:tcPr>
          <w:p w14:paraId="73DAAA22">
            <w:pPr>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3241" w:type="dxa"/>
            <w:tcBorders>
              <w:top w:val="nil"/>
              <w:left w:val="nil"/>
              <w:bottom w:val="single" w:color="auto" w:sz="8" w:space="0"/>
              <w:right w:val="single" w:color="auto" w:sz="8" w:space="0"/>
            </w:tcBorders>
            <w:vAlign w:val="center"/>
          </w:tcPr>
          <w:p w14:paraId="65F55A51">
            <w:pPr>
              <w:jc w:val="center"/>
              <w:rPr>
                <w:rFonts w:ascii="宋体" w:hAnsi="宋体" w:cs="宋体"/>
                <w:color w:val="auto"/>
                <w:sz w:val="22"/>
                <w:szCs w:val="22"/>
                <w:highlight w:val="none"/>
              </w:rPr>
            </w:pPr>
            <w:r>
              <w:rPr>
                <w:rFonts w:hint="eastAsia" w:ascii="宋体" w:hAnsi="宋体" w:cs="宋体"/>
                <w:color w:val="auto"/>
                <w:sz w:val="22"/>
                <w:szCs w:val="22"/>
                <w:highlight w:val="none"/>
              </w:rPr>
              <w:t>备份软件</w:t>
            </w:r>
          </w:p>
        </w:tc>
        <w:tc>
          <w:tcPr>
            <w:tcW w:w="1226" w:type="dxa"/>
            <w:tcBorders>
              <w:top w:val="nil"/>
              <w:left w:val="nil"/>
              <w:bottom w:val="single" w:color="auto" w:sz="8" w:space="0"/>
              <w:right w:val="single" w:color="auto" w:sz="8" w:space="0"/>
            </w:tcBorders>
            <w:vAlign w:val="center"/>
          </w:tcPr>
          <w:p w14:paraId="6D970B70">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1226" w:type="dxa"/>
            <w:tcBorders>
              <w:top w:val="nil"/>
              <w:left w:val="nil"/>
              <w:bottom w:val="single" w:color="auto" w:sz="8" w:space="0"/>
              <w:right w:val="single" w:color="auto" w:sz="8" w:space="0"/>
            </w:tcBorders>
            <w:vAlign w:val="center"/>
          </w:tcPr>
          <w:p w14:paraId="26F44CBC">
            <w:pPr>
              <w:jc w:val="center"/>
              <w:rPr>
                <w:rFonts w:ascii="宋体" w:hAnsi="宋体" w:cs="宋体"/>
                <w:color w:val="auto"/>
                <w:sz w:val="22"/>
                <w:szCs w:val="22"/>
                <w:highlight w:val="none"/>
              </w:rPr>
            </w:pPr>
            <w:r>
              <w:rPr>
                <w:rFonts w:hint="eastAsia" w:ascii="宋体" w:hAnsi="宋体" w:cs="宋体"/>
                <w:color w:val="auto"/>
                <w:sz w:val="22"/>
                <w:szCs w:val="22"/>
                <w:highlight w:val="none"/>
              </w:rPr>
              <w:t>套</w:t>
            </w:r>
          </w:p>
        </w:tc>
        <w:tc>
          <w:tcPr>
            <w:tcW w:w="2837" w:type="dxa"/>
            <w:tcBorders>
              <w:top w:val="nil"/>
              <w:left w:val="nil"/>
              <w:bottom w:val="single" w:color="auto" w:sz="8" w:space="0"/>
              <w:right w:val="single" w:color="auto" w:sz="8" w:space="0"/>
            </w:tcBorders>
            <w:vAlign w:val="center"/>
          </w:tcPr>
          <w:p w14:paraId="19C69AA7">
            <w:pPr>
              <w:jc w:val="center"/>
              <w:rPr>
                <w:rFonts w:ascii="宋体" w:hAnsi="宋体" w:cs="宋体"/>
                <w:color w:val="auto"/>
                <w:sz w:val="22"/>
                <w:szCs w:val="22"/>
                <w:highlight w:val="none"/>
              </w:rPr>
            </w:pPr>
            <w:r>
              <w:rPr>
                <w:rFonts w:hint="eastAsia" w:ascii="宋体" w:hAnsi="宋体" w:cs="宋体"/>
                <w:color w:val="auto"/>
                <w:sz w:val="22"/>
                <w:szCs w:val="22"/>
                <w:highlight w:val="none"/>
              </w:rPr>
              <w:t>详见指标要求</w:t>
            </w:r>
          </w:p>
        </w:tc>
      </w:tr>
      <w:tr w14:paraId="533EFBC0">
        <w:tblPrEx>
          <w:tblCellMar>
            <w:top w:w="0" w:type="dxa"/>
            <w:left w:w="108" w:type="dxa"/>
            <w:bottom w:w="0" w:type="dxa"/>
            <w:right w:w="108" w:type="dxa"/>
          </w:tblCellMar>
        </w:tblPrEx>
        <w:trPr>
          <w:trHeight w:val="272" w:hRule="atLeast"/>
        </w:trPr>
        <w:tc>
          <w:tcPr>
            <w:tcW w:w="1225" w:type="dxa"/>
            <w:tcBorders>
              <w:top w:val="nil"/>
              <w:left w:val="single" w:color="auto" w:sz="8" w:space="0"/>
              <w:bottom w:val="single" w:color="auto" w:sz="8" w:space="0"/>
              <w:right w:val="single" w:color="auto" w:sz="8" w:space="0"/>
            </w:tcBorders>
            <w:vAlign w:val="center"/>
          </w:tcPr>
          <w:p w14:paraId="02E2341E">
            <w:pPr>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3241" w:type="dxa"/>
            <w:tcBorders>
              <w:top w:val="nil"/>
              <w:left w:val="nil"/>
              <w:bottom w:val="single" w:color="auto" w:sz="8" w:space="0"/>
              <w:right w:val="single" w:color="auto" w:sz="8" w:space="0"/>
            </w:tcBorders>
            <w:vAlign w:val="center"/>
          </w:tcPr>
          <w:p w14:paraId="3A180E21">
            <w:pPr>
              <w:jc w:val="center"/>
              <w:rPr>
                <w:rFonts w:ascii="宋体" w:hAnsi="宋体" w:cs="宋体"/>
                <w:color w:val="auto"/>
                <w:sz w:val="22"/>
                <w:szCs w:val="22"/>
                <w:highlight w:val="none"/>
              </w:rPr>
            </w:pPr>
            <w:r>
              <w:rPr>
                <w:rFonts w:hint="eastAsia" w:ascii="宋体" w:hAnsi="宋体" w:cs="宋体"/>
                <w:color w:val="auto"/>
                <w:sz w:val="22"/>
                <w:szCs w:val="22"/>
                <w:highlight w:val="none"/>
              </w:rPr>
              <w:t>容灾管理软件</w:t>
            </w:r>
          </w:p>
        </w:tc>
        <w:tc>
          <w:tcPr>
            <w:tcW w:w="1226" w:type="dxa"/>
            <w:tcBorders>
              <w:top w:val="nil"/>
              <w:left w:val="nil"/>
              <w:bottom w:val="single" w:color="auto" w:sz="8" w:space="0"/>
              <w:right w:val="single" w:color="auto" w:sz="8" w:space="0"/>
            </w:tcBorders>
            <w:vAlign w:val="center"/>
          </w:tcPr>
          <w:p w14:paraId="72031D35">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1226" w:type="dxa"/>
            <w:tcBorders>
              <w:top w:val="nil"/>
              <w:left w:val="nil"/>
              <w:bottom w:val="single" w:color="auto" w:sz="8" w:space="0"/>
              <w:right w:val="single" w:color="auto" w:sz="8" w:space="0"/>
            </w:tcBorders>
            <w:vAlign w:val="center"/>
          </w:tcPr>
          <w:p w14:paraId="7259D0C6">
            <w:pPr>
              <w:jc w:val="center"/>
              <w:rPr>
                <w:rFonts w:ascii="宋体" w:hAnsi="宋体" w:cs="宋体"/>
                <w:color w:val="auto"/>
                <w:sz w:val="22"/>
                <w:szCs w:val="22"/>
                <w:highlight w:val="none"/>
              </w:rPr>
            </w:pPr>
            <w:r>
              <w:rPr>
                <w:rFonts w:hint="eastAsia" w:ascii="宋体" w:hAnsi="宋体" w:cs="宋体"/>
                <w:color w:val="auto"/>
                <w:sz w:val="22"/>
                <w:szCs w:val="22"/>
                <w:highlight w:val="none"/>
              </w:rPr>
              <w:t>套</w:t>
            </w:r>
          </w:p>
        </w:tc>
        <w:tc>
          <w:tcPr>
            <w:tcW w:w="2837" w:type="dxa"/>
            <w:tcBorders>
              <w:top w:val="nil"/>
              <w:left w:val="nil"/>
              <w:bottom w:val="single" w:color="auto" w:sz="8" w:space="0"/>
              <w:right w:val="single" w:color="auto" w:sz="8" w:space="0"/>
            </w:tcBorders>
            <w:vAlign w:val="center"/>
          </w:tcPr>
          <w:p w14:paraId="1923E203">
            <w:pPr>
              <w:jc w:val="center"/>
              <w:rPr>
                <w:rFonts w:ascii="宋体" w:hAnsi="宋体" w:cs="宋体"/>
                <w:color w:val="auto"/>
                <w:sz w:val="22"/>
                <w:szCs w:val="22"/>
                <w:highlight w:val="none"/>
              </w:rPr>
            </w:pPr>
            <w:r>
              <w:rPr>
                <w:rFonts w:hint="eastAsia" w:ascii="宋体" w:hAnsi="宋体" w:cs="宋体"/>
                <w:color w:val="auto"/>
                <w:sz w:val="22"/>
                <w:szCs w:val="22"/>
                <w:highlight w:val="none"/>
              </w:rPr>
              <w:t>详见指标要求</w:t>
            </w:r>
          </w:p>
        </w:tc>
      </w:tr>
    </w:tbl>
    <w:p w14:paraId="2BA820D5">
      <w:pPr>
        <w:ind w:left="360" w:firstLine="482" w:firstLineChars="200"/>
        <w:jc w:val="center"/>
        <w:rPr>
          <w:rFonts w:ascii="宋体" w:hAnsi="宋体" w:cs="宋体"/>
          <w:b/>
          <w:bCs/>
          <w:color w:val="auto"/>
          <w:sz w:val="24"/>
          <w:highlight w:val="none"/>
        </w:rPr>
      </w:pPr>
      <w:r>
        <w:rPr>
          <w:rFonts w:hint="eastAsia" w:ascii="宋体" w:hAnsi="宋体" w:cs="宋体"/>
          <w:b/>
          <w:bCs/>
          <w:color w:val="auto"/>
          <w:sz w:val="24"/>
          <w:highlight w:val="none"/>
        </w:rPr>
        <w:t>1.交通运输局双活存储</w:t>
      </w:r>
    </w:p>
    <w:tbl>
      <w:tblPr>
        <w:tblStyle w:val="63"/>
        <w:tblW w:w="9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334"/>
        <w:gridCol w:w="7596"/>
      </w:tblGrid>
      <w:tr w14:paraId="238C8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25" w:type="dxa"/>
            <w:tcBorders>
              <w:tl2br w:val="nil"/>
              <w:tr2bl w:val="nil"/>
            </w:tcBorders>
            <w:shd w:val="clear" w:color="000000" w:fill="FFFFFF"/>
            <w:vAlign w:val="center"/>
          </w:tcPr>
          <w:p w14:paraId="14A18127">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序号</w:t>
            </w:r>
          </w:p>
        </w:tc>
        <w:tc>
          <w:tcPr>
            <w:tcW w:w="1334" w:type="dxa"/>
            <w:tcBorders>
              <w:tl2br w:val="nil"/>
              <w:tr2bl w:val="nil"/>
            </w:tcBorders>
            <w:shd w:val="clear" w:color="000000" w:fill="FFFFFF"/>
            <w:vAlign w:val="center"/>
          </w:tcPr>
          <w:p w14:paraId="122DE844">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指标项</w:t>
            </w:r>
          </w:p>
        </w:tc>
        <w:tc>
          <w:tcPr>
            <w:tcW w:w="7596" w:type="dxa"/>
            <w:tcBorders>
              <w:tl2br w:val="nil"/>
              <w:tr2bl w:val="nil"/>
            </w:tcBorders>
            <w:shd w:val="clear" w:color="000000" w:fill="FFFFFF"/>
            <w:vAlign w:val="center"/>
          </w:tcPr>
          <w:p w14:paraId="7CA5A765">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指标要求</w:t>
            </w:r>
          </w:p>
        </w:tc>
      </w:tr>
      <w:tr w14:paraId="62BE4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61C72B9B">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1334" w:type="dxa"/>
            <w:tcBorders>
              <w:tl2br w:val="nil"/>
              <w:tr2bl w:val="nil"/>
            </w:tcBorders>
            <w:shd w:val="clear" w:color="000000" w:fill="FFFFFF"/>
            <w:vAlign w:val="center"/>
          </w:tcPr>
          <w:p w14:paraId="2869EE54">
            <w:pPr>
              <w:rPr>
                <w:rFonts w:ascii="宋体" w:hAnsi="宋体" w:cs="宋体"/>
                <w:color w:val="auto"/>
                <w:sz w:val="22"/>
                <w:szCs w:val="22"/>
                <w:highlight w:val="none"/>
              </w:rPr>
            </w:pPr>
            <w:r>
              <w:rPr>
                <w:rFonts w:hint="eastAsia" w:ascii="宋体" w:hAnsi="宋体" w:cs="宋体"/>
                <w:color w:val="auto"/>
                <w:sz w:val="22"/>
                <w:szCs w:val="22"/>
                <w:highlight w:val="none"/>
              </w:rPr>
              <w:t>体系架构</w:t>
            </w:r>
          </w:p>
        </w:tc>
        <w:tc>
          <w:tcPr>
            <w:tcW w:w="7596" w:type="dxa"/>
            <w:tcBorders>
              <w:tl2br w:val="nil"/>
              <w:tr2bl w:val="nil"/>
            </w:tcBorders>
            <w:shd w:val="clear" w:color="000000" w:fill="FFFFFF"/>
            <w:vAlign w:val="center"/>
          </w:tcPr>
          <w:p w14:paraId="77F2C9AD">
            <w:pPr>
              <w:rPr>
                <w:rFonts w:ascii="宋体" w:hAnsi="宋体" w:cs="宋体"/>
                <w:color w:val="auto"/>
                <w:sz w:val="22"/>
                <w:szCs w:val="22"/>
                <w:highlight w:val="none"/>
              </w:rPr>
            </w:pPr>
            <w:r>
              <w:rPr>
                <w:rFonts w:hint="eastAsia" w:ascii="宋体" w:hAnsi="宋体" w:cs="宋体"/>
                <w:color w:val="auto"/>
                <w:sz w:val="22"/>
                <w:szCs w:val="22"/>
                <w:highlight w:val="none"/>
              </w:rPr>
              <w:t>支持SAN与NAS统一存储，配置NAS协议（包括NFS和CIFS）、IP SAN和FC SAN协议，不需额外配置NAS网关，存储操作界面同时支持块存储和文件存储功能。</w:t>
            </w:r>
          </w:p>
        </w:tc>
      </w:tr>
      <w:tr w14:paraId="7D75D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24F10A9D">
            <w:pPr>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334" w:type="dxa"/>
            <w:tcBorders>
              <w:tl2br w:val="nil"/>
              <w:tr2bl w:val="nil"/>
            </w:tcBorders>
            <w:shd w:val="clear" w:color="000000" w:fill="FFFFFF"/>
            <w:vAlign w:val="center"/>
          </w:tcPr>
          <w:p w14:paraId="4840DBEF">
            <w:pPr>
              <w:jc w:val="center"/>
              <w:rPr>
                <w:rFonts w:ascii="宋体" w:hAnsi="宋体" w:cs="宋体"/>
                <w:color w:val="auto"/>
                <w:sz w:val="22"/>
                <w:szCs w:val="22"/>
                <w:highlight w:val="none"/>
              </w:rPr>
            </w:pPr>
            <w:r>
              <w:rPr>
                <w:rFonts w:hint="eastAsia" w:ascii="宋体" w:hAnsi="宋体" w:cs="宋体"/>
                <w:color w:val="auto"/>
                <w:sz w:val="22"/>
                <w:szCs w:val="22"/>
                <w:highlight w:val="none"/>
              </w:rPr>
              <w:t>控制器扩展能力</w:t>
            </w:r>
          </w:p>
        </w:tc>
        <w:tc>
          <w:tcPr>
            <w:tcW w:w="7596" w:type="dxa"/>
            <w:tcBorders>
              <w:tl2br w:val="nil"/>
              <w:tr2bl w:val="nil"/>
            </w:tcBorders>
            <w:shd w:val="clear" w:color="000000" w:fill="FFFFFF"/>
            <w:vAlign w:val="center"/>
          </w:tcPr>
          <w:p w14:paraId="7800C27B">
            <w:pPr>
              <w:rPr>
                <w:rFonts w:ascii="宋体" w:hAnsi="宋体" w:cs="宋体"/>
                <w:color w:val="auto"/>
                <w:sz w:val="22"/>
                <w:szCs w:val="22"/>
                <w:highlight w:val="none"/>
              </w:rPr>
            </w:pPr>
            <w:r>
              <w:rPr>
                <w:rFonts w:hint="eastAsia" w:ascii="宋体" w:hAnsi="宋体" w:cs="宋体"/>
                <w:color w:val="auto"/>
                <w:sz w:val="22"/>
                <w:szCs w:val="22"/>
                <w:highlight w:val="none"/>
              </w:rPr>
              <w:t>支持控制器扩展，最大支持≥8控。</w:t>
            </w:r>
          </w:p>
        </w:tc>
      </w:tr>
      <w:tr w14:paraId="43F45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25848AA3">
            <w:pPr>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1334" w:type="dxa"/>
            <w:tcBorders>
              <w:tl2br w:val="nil"/>
              <w:tr2bl w:val="nil"/>
            </w:tcBorders>
            <w:shd w:val="clear" w:color="000000" w:fill="FFFFFF"/>
            <w:vAlign w:val="center"/>
          </w:tcPr>
          <w:p w14:paraId="427CC279">
            <w:pPr>
              <w:jc w:val="center"/>
              <w:rPr>
                <w:rFonts w:ascii="宋体" w:hAnsi="宋体" w:cs="宋体"/>
                <w:color w:val="auto"/>
                <w:sz w:val="22"/>
                <w:szCs w:val="22"/>
                <w:highlight w:val="none"/>
              </w:rPr>
            </w:pPr>
            <w:r>
              <w:rPr>
                <w:rFonts w:hint="eastAsia" w:ascii="宋体" w:hAnsi="宋体" w:cs="宋体"/>
                <w:color w:val="auto"/>
                <w:sz w:val="22"/>
                <w:szCs w:val="22"/>
                <w:highlight w:val="none"/>
              </w:rPr>
              <w:t>控制器配置</w:t>
            </w:r>
          </w:p>
        </w:tc>
        <w:tc>
          <w:tcPr>
            <w:tcW w:w="7596" w:type="dxa"/>
            <w:tcBorders>
              <w:tl2br w:val="nil"/>
              <w:tr2bl w:val="nil"/>
            </w:tcBorders>
            <w:shd w:val="clear" w:color="000000" w:fill="FFFFFF"/>
            <w:vAlign w:val="center"/>
          </w:tcPr>
          <w:p w14:paraId="4A977B9A">
            <w:pPr>
              <w:rPr>
                <w:rFonts w:ascii="宋体" w:hAnsi="宋体" w:cs="宋体"/>
                <w:color w:val="auto"/>
                <w:sz w:val="22"/>
                <w:szCs w:val="22"/>
                <w:highlight w:val="none"/>
              </w:rPr>
            </w:pPr>
            <w:r>
              <w:rPr>
                <w:rFonts w:hint="eastAsia" w:ascii="宋体" w:hAnsi="宋体" w:cs="宋体"/>
                <w:color w:val="auto"/>
                <w:sz w:val="22"/>
                <w:szCs w:val="22"/>
                <w:highlight w:val="none"/>
              </w:rPr>
              <w:t>配置双Active-Active控制器；采用2U盘控一体架构，控制器框提供≥25个硬盘槽位。</w:t>
            </w:r>
          </w:p>
        </w:tc>
      </w:tr>
      <w:tr w14:paraId="73895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0DC3448E">
            <w:pPr>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1334" w:type="dxa"/>
            <w:tcBorders>
              <w:tl2br w:val="nil"/>
              <w:tr2bl w:val="nil"/>
            </w:tcBorders>
            <w:shd w:val="clear" w:color="000000" w:fill="FFFFFF"/>
            <w:vAlign w:val="center"/>
          </w:tcPr>
          <w:p w14:paraId="24503FA5">
            <w:pPr>
              <w:jc w:val="center"/>
              <w:rPr>
                <w:rFonts w:ascii="宋体" w:hAnsi="宋体" w:cs="宋体"/>
                <w:color w:val="auto"/>
                <w:sz w:val="22"/>
                <w:szCs w:val="22"/>
                <w:highlight w:val="none"/>
              </w:rPr>
            </w:pPr>
            <w:r>
              <w:rPr>
                <w:rFonts w:hint="eastAsia" w:ascii="宋体" w:hAnsi="宋体" w:cs="宋体"/>
                <w:color w:val="auto"/>
                <w:sz w:val="22"/>
                <w:szCs w:val="22"/>
                <w:highlight w:val="none"/>
              </w:rPr>
              <w:t>控制器处理器</w:t>
            </w:r>
          </w:p>
        </w:tc>
        <w:tc>
          <w:tcPr>
            <w:tcW w:w="7596" w:type="dxa"/>
            <w:tcBorders>
              <w:tl2br w:val="nil"/>
              <w:tr2bl w:val="nil"/>
            </w:tcBorders>
            <w:shd w:val="clear" w:color="000000" w:fill="FFFFFF"/>
            <w:vAlign w:val="center"/>
          </w:tcPr>
          <w:p w14:paraId="2E3CA2C5">
            <w:pPr>
              <w:rPr>
                <w:rFonts w:ascii="宋体" w:hAnsi="宋体" w:cs="宋体"/>
                <w:color w:val="auto"/>
                <w:sz w:val="22"/>
                <w:szCs w:val="22"/>
                <w:highlight w:val="none"/>
              </w:rPr>
            </w:pPr>
            <w:r>
              <w:rPr>
                <w:rFonts w:hint="eastAsia" w:ascii="宋体" w:hAnsi="宋体" w:cs="宋体"/>
                <w:color w:val="auto"/>
                <w:sz w:val="22"/>
                <w:szCs w:val="22"/>
                <w:highlight w:val="none"/>
              </w:rPr>
              <w:t>采用多核处理器，配置控制器处理器总物理核心数≥40核。</w:t>
            </w:r>
          </w:p>
        </w:tc>
      </w:tr>
      <w:tr w14:paraId="6BC3C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3415A5F1">
            <w:pPr>
              <w:jc w:val="center"/>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1334" w:type="dxa"/>
            <w:tcBorders>
              <w:tl2br w:val="nil"/>
              <w:tr2bl w:val="nil"/>
            </w:tcBorders>
            <w:shd w:val="clear" w:color="000000" w:fill="FFFFFF"/>
            <w:vAlign w:val="center"/>
          </w:tcPr>
          <w:p w14:paraId="4080E187">
            <w:pPr>
              <w:jc w:val="center"/>
              <w:rPr>
                <w:rFonts w:ascii="宋体" w:hAnsi="宋体" w:cs="宋体"/>
                <w:color w:val="auto"/>
                <w:sz w:val="22"/>
                <w:szCs w:val="22"/>
                <w:highlight w:val="none"/>
              </w:rPr>
            </w:pPr>
            <w:r>
              <w:rPr>
                <w:rFonts w:hint="eastAsia" w:ascii="宋体" w:hAnsi="宋体" w:cs="宋体"/>
                <w:color w:val="auto"/>
                <w:sz w:val="22"/>
                <w:szCs w:val="22"/>
                <w:highlight w:val="none"/>
              </w:rPr>
              <w:t>存储缓存容量</w:t>
            </w:r>
          </w:p>
        </w:tc>
        <w:tc>
          <w:tcPr>
            <w:tcW w:w="7596" w:type="dxa"/>
            <w:tcBorders>
              <w:tl2br w:val="nil"/>
              <w:tr2bl w:val="nil"/>
            </w:tcBorders>
            <w:shd w:val="clear" w:color="000000" w:fill="FFFFFF"/>
            <w:vAlign w:val="center"/>
          </w:tcPr>
          <w:p w14:paraId="4B43ADD1">
            <w:pPr>
              <w:rPr>
                <w:rFonts w:ascii="宋体" w:hAnsi="宋体" w:cs="宋体"/>
                <w:color w:val="auto"/>
                <w:sz w:val="22"/>
                <w:szCs w:val="22"/>
                <w:highlight w:val="none"/>
              </w:rPr>
            </w:pPr>
            <w:r>
              <w:rPr>
                <w:rFonts w:hint="eastAsia" w:ascii="宋体" w:hAnsi="宋体" w:cs="宋体"/>
                <w:color w:val="auto"/>
                <w:sz w:val="22"/>
                <w:szCs w:val="22"/>
                <w:highlight w:val="none"/>
              </w:rPr>
              <w:t>本次配置双控制器，缓存≥128G，且每控制器缓存≥64G（不含任何性能加速模块、FlashCache、PAM卡，SSD Cache、SCM等）。</w:t>
            </w:r>
          </w:p>
          <w:p w14:paraId="538EF145">
            <w:pPr>
              <w:rPr>
                <w:rFonts w:ascii="宋体" w:hAnsi="宋体" w:cs="宋体"/>
                <w:color w:val="auto"/>
                <w:sz w:val="22"/>
                <w:szCs w:val="22"/>
                <w:highlight w:val="none"/>
              </w:rPr>
            </w:pPr>
            <w:r>
              <w:rPr>
                <w:rFonts w:hint="eastAsia" w:ascii="宋体" w:hAnsi="宋体" w:cs="宋体"/>
                <w:color w:val="auto"/>
                <w:sz w:val="22"/>
                <w:szCs w:val="22"/>
                <w:highlight w:val="none"/>
              </w:rPr>
              <w:t>控制器缓存均具备断电保护功能， 在出现电源故障时，可提供充足的电源，将高速缓存内容转储至非易失性内部存储设备上（非通用服务器架构）。</w:t>
            </w:r>
          </w:p>
        </w:tc>
      </w:tr>
      <w:tr w14:paraId="46F00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5CA6AC09">
            <w:pPr>
              <w:jc w:val="center"/>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1334" w:type="dxa"/>
            <w:tcBorders>
              <w:tl2br w:val="nil"/>
              <w:tr2bl w:val="nil"/>
            </w:tcBorders>
            <w:shd w:val="clear" w:color="000000" w:fill="FFFFFF"/>
            <w:vAlign w:val="center"/>
          </w:tcPr>
          <w:p w14:paraId="72C8BACB">
            <w:pPr>
              <w:jc w:val="center"/>
              <w:rPr>
                <w:rFonts w:ascii="宋体" w:hAnsi="宋体" w:cs="宋体"/>
                <w:color w:val="auto"/>
                <w:sz w:val="22"/>
                <w:szCs w:val="22"/>
                <w:highlight w:val="none"/>
              </w:rPr>
            </w:pPr>
            <w:r>
              <w:rPr>
                <w:rFonts w:hint="eastAsia" w:ascii="宋体" w:hAnsi="宋体" w:cs="宋体"/>
                <w:color w:val="auto"/>
                <w:sz w:val="22"/>
                <w:szCs w:val="22"/>
                <w:highlight w:val="none"/>
              </w:rPr>
              <w:t>前端主机通道接口</w:t>
            </w:r>
          </w:p>
        </w:tc>
        <w:tc>
          <w:tcPr>
            <w:tcW w:w="7596" w:type="dxa"/>
            <w:tcBorders>
              <w:tl2br w:val="nil"/>
              <w:tr2bl w:val="nil"/>
            </w:tcBorders>
            <w:shd w:val="clear" w:color="000000" w:fill="FFFFFF"/>
            <w:vAlign w:val="center"/>
          </w:tcPr>
          <w:p w14:paraId="29C7ED08">
            <w:pPr>
              <w:rPr>
                <w:rFonts w:ascii="宋体" w:hAnsi="宋体" w:cs="宋体"/>
                <w:color w:val="auto"/>
                <w:sz w:val="22"/>
                <w:szCs w:val="22"/>
                <w:highlight w:val="none"/>
              </w:rPr>
            </w:pPr>
            <w:r>
              <w:rPr>
                <w:rFonts w:hint="eastAsia" w:ascii="宋体" w:hAnsi="宋体" w:cs="宋体"/>
                <w:color w:val="auto"/>
                <w:sz w:val="22"/>
                <w:szCs w:val="22"/>
                <w:highlight w:val="none"/>
              </w:rPr>
              <w:t>配置：≥8*1Gb ETH接口+4*10Gb ETH接口+8*1 6Gb FC接口（万兆和FC接口满配多模光模块）。</w:t>
            </w:r>
          </w:p>
        </w:tc>
      </w:tr>
      <w:tr w14:paraId="0D6AE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24388A34">
            <w:pPr>
              <w:jc w:val="center"/>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1334" w:type="dxa"/>
            <w:tcBorders>
              <w:tl2br w:val="nil"/>
              <w:tr2bl w:val="nil"/>
            </w:tcBorders>
            <w:shd w:val="clear" w:color="000000" w:fill="FFFFFF"/>
            <w:vAlign w:val="center"/>
          </w:tcPr>
          <w:p w14:paraId="5EAFE35C">
            <w:pPr>
              <w:jc w:val="center"/>
              <w:rPr>
                <w:rFonts w:ascii="宋体" w:hAnsi="宋体" w:cs="宋体"/>
                <w:color w:val="auto"/>
                <w:sz w:val="22"/>
                <w:szCs w:val="22"/>
                <w:highlight w:val="none"/>
              </w:rPr>
            </w:pPr>
            <w:r>
              <w:rPr>
                <w:rFonts w:hint="eastAsia" w:ascii="宋体" w:hAnsi="宋体" w:cs="宋体"/>
                <w:color w:val="auto"/>
                <w:sz w:val="22"/>
                <w:szCs w:val="22"/>
                <w:highlight w:val="none"/>
              </w:rPr>
              <w:t>主机接口卡</w:t>
            </w:r>
          </w:p>
        </w:tc>
        <w:tc>
          <w:tcPr>
            <w:tcW w:w="7596" w:type="dxa"/>
            <w:tcBorders>
              <w:tl2br w:val="nil"/>
              <w:tr2bl w:val="nil"/>
            </w:tcBorders>
            <w:shd w:val="clear" w:color="000000" w:fill="FFFFFF"/>
            <w:vAlign w:val="center"/>
          </w:tcPr>
          <w:p w14:paraId="3D173AD2">
            <w:pPr>
              <w:rPr>
                <w:rFonts w:ascii="宋体" w:hAnsi="宋体" w:cs="宋体"/>
                <w:color w:val="auto"/>
                <w:sz w:val="22"/>
                <w:szCs w:val="22"/>
                <w:highlight w:val="none"/>
              </w:rPr>
            </w:pPr>
            <w:r>
              <w:rPr>
                <w:rFonts w:hint="eastAsia" w:ascii="宋体" w:hAnsi="宋体" w:cs="宋体"/>
                <w:color w:val="auto"/>
                <w:sz w:val="22"/>
                <w:szCs w:val="22"/>
                <w:highlight w:val="none"/>
              </w:rPr>
              <w:t>双控制器最大提供≥4个PCIE插槽，用于主机接口扩展。</w:t>
            </w:r>
          </w:p>
        </w:tc>
      </w:tr>
      <w:tr w14:paraId="6BAA3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092311B4">
            <w:pPr>
              <w:jc w:val="center"/>
              <w:rPr>
                <w:rFonts w:ascii="宋体" w:hAnsi="宋体" w:cs="宋体"/>
                <w:color w:val="auto"/>
                <w:sz w:val="22"/>
                <w:szCs w:val="22"/>
                <w:highlight w:val="none"/>
              </w:rPr>
            </w:pPr>
            <w:r>
              <w:rPr>
                <w:rFonts w:hint="eastAsia" w:ascii="宋体" w:hAnsi="宋体" w:cs="宋体"/>
                <w:color w:val="auto"/>
                <w:sz w:val="22"/>
                <w:szCs w:val="22"/>
                <w:highlight w:val="none"/>
              </w:rPr>
              <w:t>8</w:t>
            </w:r>
          </w:p>
        </w:tc>
        <w:tc>
          <w:tcPr>
            <w:tcW w:w="1334" w:type="dxa"/>
            <w:tcBorders>
              <w:tl2br w:val="nil"/>
              <w:tr2bl w:val="nil"/>
            </w:tcBorders>
            <w:shd w:val="clear" w:color="000000" w:fill="FFFFFF"/>
            <w:vAlign w:val="center"/>
          </w:tcPr>
          <w:p w14:paraId="4447380A">
            <w:pPr>
              <w:jc w:val="center"/>
              <w:rPr>
                <w:rFonts w:ascii="宋体" w:hAnsi="宋体" w:cs="宋体"/>
                <w:color w:val="auto"/>
                <w:sz w:val="22"/>
                <w:szCs w:val="22"/>
                <w:highlight w:val="none"/>
              </w:rPr>
            </w:pPr>
            <w:r>
              <w:rPr>
                <w:rFonts w:hint="eastAsia" w:ascii="宋体" w:hAnsi="宋体" w:cs="宋体"/>
                <w:color w:val="auto"/>
                <w:sz w:val="22"/>
                <w:szCs w:val="22"/>
                <w:highlight w:val="none"/>
              </w:rPr>
              <w:t>后端磁盘通道</w:t>
            </w:r>
          </w:p>
        </w:tc>
        <w:tc>
          <w:tcPr>
            <w:tcW w:w="7596" w:type="dxa"/>
            <w:tcBorders>
              <w:tl2br w:val="nil"/>
              <w:tr2bl w:val="nil"/>
            </w:tcBorders>
            <w:shd w:val="clear" w:color="000000" w:fill="FFFFFF"/>
            <w:vAlign w:val="center"/>
          </w:tcPr>
          <w:p w14:paraId="5CAD47BA">
            <w:pPr>
              <w:rPr>
                <w:rFonts w:ascii="宋体" w:hAnsi="宋体" w:cs="宋体"/>
                <w:color w:val="auto"/>
                <w:sz w:val="22"/>
                <w:szCs w:val="22"/>
                <w:highlight w:val="none"/>
              </w:rPr>
            </w:pPr>
            <w:r>
              <w:rPr>
                <w:rFonts w:hint="eastAsia" w:ascii="宋体" w:hAnsi="宋体" w:cs="宋体"/>
                <w:color w:val="auto"/>
                <w:sz w:val="22"/>
                <w:szCs w:val="22"/>
                <w:highlight w:val="none"/>
              </w:rPr>
              <w:t>配置后端磁盘通道带宽≥192Gbps。</w:t>
            </w:r>
          </w:p>
        </w:tc>
      </w:tr>
      <w:tr w14:paraId="1BA75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3DEEF4F1">
            <w:pPr>
              <w:jc w:val="center"/>
              <w:rPr>
                <w:rFonts w:ascii="宋体" w:hAnsi="宋体" w:cs="宋体"/>
                <w:color w:val="auto"/>
                <w:sz w:val="22"/>
                <w:szCs w:val="22"/>
                <w:highlight w:val="none"/>
              </w:rPr>
            </w:pPr>
            <w:r>
              <w:rPr>
                <w:rFonts w:hint="eastAsia" w:ascii="宋体" w:hAnsi="宋体" w:cs="宋体"/>
                <w:color w:val="auto"/>
                <w:sz w:val="22"/>
                <w:szCs w:val="22"/>
                <w:highlight w:val="none"/>
              </w:rPr>
              <w:t>9</w:t>
            </w:r>
          </w:p>
        </w:tc>
        <w:tc>
          <w:tcPr>
            <w:tcW w:w="1334" w:type="dxa"/>
            <w:tcBorders>
              <w:tl2br w:val="nil"/>
              <w:tr2bl w:val="nil"/>
            </w:tcBorders>
            <w:shd w:val="clear" w:color="000000" w:fill="FFFFFF"/>
            <w:vAlign w:val="center"/>
          </w:tcPr>
          <w:p w14:paraId="30EBB3E0">
            <w:pPr>
              <w:jc w:val="center"/>
              <w:rPr>
                <w:rFonts w:ascii="宋体" w:hAnsi="宋体" w:cs="宋体"/>
                <w:color w:val="auto"/>
                <w:sz w:val="22"/>
                <w:szCs w:val="22"/>
                <w:highlight w:val="none"/>
              </w:rPr>
            </w:pPr>
            <w:r>
              <w:rPr>
                <w:rFonts w:hint="eastAsia" w:ascii="宋体" w:hAnsi="宋体" w:cs="宋体"/>
                <w:color w:val="auto"/>
                <w:sz w:val="22"/>
                <w:szCs w:val="22"/>
                <w:highlight w:val="none"/>
              </w:rPr>
              <w:t>支持硬盘类型</w:t>
            </w:r>
          </w:p>
        </w:tc>
        <w:tc>
          <w:tcPr>
            <w:tcW w:w="7596" w:type="dxa"/>
            <w:tcBorders>
              <w:tl2br w:val="nil"/>
              <w:tr2bl w:val="nil"/>
            </w:tcBorders>
            <w:shd w:val="clear" w:color="000000" w:fill="FFFFFF"/>
            <w:vAlign w:val="center"/>
          </w:tcPr>
          <w:p w14:paraId="177F22B7">
            <w:pPr>
              <w:rPr>
                <w:rFonts w:ascii="宋体" w:hAnsi="宋体" w:cs="宋体"/>
                <w:color w:val="auto"/>
                <w:sz w:val="22"/>
                <w:szCs w:val="22"/>
                <w:highlight w:val="none"/>
              </w:rPr>
            </w:pPr>
            <w:r>
              <w:rPr>
                <w:rFonts w:hint="eastAsia" w:ascii="宋体" w:hAnsi="宋体" w:cs="宋体"/>
                <w:color w:val="auto"/>
                <w:sz w:val="22"/>
                <w:szCs w:val="22"/>
                <w:highlight w:val="none"/>
              </w:rPr>
              <w:t>支持SAS SSD、SAS、NLSAS硬盘，并支持混插。</w:t>
            </w:r>
          </w:p>
        </w:tc>
      </w:tr>
      <w:tr w14:paraId="412A5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2EAC8556">
            <w:pPr>
              <w:jc w:val="center"/>
              <w:rPr>
                <w:rFonts w:ascii="宋体" w:hAnsi="宋体" w:cs="宋体"/>
                <w:color w:val="auto"/>
                <w:sz w:val="22"/>
                <w:szCs w:val="22"/>
                <w:highlight w:val="none"/>
              </w:rPr>
            </w:pPr>
            <w:r>
              <w:rPr>
                <w:rFonts w:hint="eastAsia" w:ascii="宋体" w:hAnsi="宋体" w:cs="宋体"/>
                <w:color w:val="auto"/>
                <w:sz w:val="22"/>
                <w:szCs w:val="22"/>
                <w:highlight w:val="none"/>
              </w:rPr>
              <w:t>10</w:t>
            </w:r>
          </w:p>
        </w:tc>
        <w:tc>
          <w:tcPr>
            <w:tcW w:w="1334" w:type="dxa"/>
            <w:tcBorders>
              <w:tl2br w:val="nil"/>
              <w:tr2bl w:val="nil"/>
            </w:tcBorders>
            <w:shd w:val="clear" w:color="000000" w:fill="FFFFFF"/>
            <w:vAlign w:val="center"/>
          </w:tcPr>
          <w:p w14:paraId="6892A719">
            <w:pPr>
              <w:jc w:val="center"/>
              <w:rPr>
                <w:rFonts w:ascii="宋体" w:hAnsi="宋体" w:cs="宋体"/>
                <w:color w:val="auto"/>
                <w:sz w:val="22"/>
                <w:szCs w:val="22"/>
                <w:highlight w:val="none"/>
              </w:rPr>
            </w:pPr>
            <w:r>
              <w:rPr>
                <w:rFonts w:hint="eastAsia" w:ascii="宋体" w:hAnsi="宋体" w:cs="宋体"/>
                <w:color w:val="auto"/>
                <w:sz w:val="22"/>
                <w:szCs w:val="22"/>
                <w:highlight w:val="none"/>
              </w:rPr>
              <w:t>配置硬盘</w:t>
            </w:r>
          </w:p>
        </w:tc>
        <w:tc>
          <w:tcPr>
            <w:tcW w:w="7596" w:type="dxa"/>
            <w:tcBorders>
              <w:tl2br w:val="nil"/>
              <w:tr2bl w:val="nil"/>
            </w:tcBorders>
            <w:shd w:val="clear" w:color="000000" w:fill="FFFFFF"/>
            <w:vAlign w:val="center"/>
          </w:tcPr>
          <w:p w14:paraId="1158EB91">
            <w:pPr>
              <w:rPr>
                <w:rFonts w:ascii="宋体" w:hAnsi="宋体" w:cs="宋体"/>
                <w:color w:val="auto"/>
                <w:sz w:val="22"/>
                <w:szCs w:val="22"/>
                <w:highlight w:val="none"/>
              </w:rPr>
            </w:pPr>
            <w:r>
              <w:rPr>
                <w:rFonts w:hint="eastAsia" w:ascii="宋体" w:hAnsi="宋体" w:cs="宋体"/>
                <w:color w:val="auto"/>
                <w:sz w:val="22"/>
                <w:szCs w:val="22"/>
                <w:highlight w:val="none"/>
              </w:rPr>
              <w:t>配置不少于4块SSD硬盘，单盘容量≥1.92TB；配置不少于35块SAS硬盘，单盘容量≥2.4TB；配置不少于24块NL SAS硬盘，单盘容量≥10TB。</w:t>
            </w:r>
          </w:p>
        </w:tc>
      </w:tr>
      <w:tr w14:paraId="58523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2E2CB35F">
            <w:pPr>
              <w:jc w:val="center"/>
              <w:rPr>
                <w:rFonts w:ascii="宋体" w:hAnsi="宋体" w:cs="宋体"/>
                <w:color w:val="auto"/>
                <w:sz w:val="22"/>
                <w:szCs w:val="22"/>
                <w:highlight w:val="none"/>
              </w:rPr>
            </w:pPr>
            <w:r>
              <w:rPr>
                <w:rFonts w:hint="eastAsia" w:ascii="宋体" w:hAnsi="宋体" w:cs="宋体"/>
                <w:color w:val="auto"/>
                <w:sz w:val="22"/>
                <w:szCs w:val="22"/>
                <w:highlight w:val="none"/>
              </w:rPr>
              <w:t>11</w:t>
            </w:r>
          </w:p>
        </w:tc>
        <w:tc>
          <w:tcPr>
            <w:tcW w:w="1334" w:type="dxa"/>
            <w:tcBorders>
              <w:tl2br w:val="nil"/>
              <w:tr2bl w:val="nil"/>
            </w:tcBorders>
            <w:shd w:val="clear" w:color="000000" w:fill="FFFFFF"/>
            <w:vAlign w:val="center"/>
          </w:tcPr>
          <w:p w14:paraId="4B85CE93">
            <w:pPr>
              <w:jc w:val="center"/>
              <w:rPr>
                <w:rFonts w:ascii="宋体" w:hAnsi="宋体" w:cs="宋体"/>
                <w:color w:val="auto"/>
                <w:sz w:val="22"/>
                <w:szCs w:val="22"/>
                <w:highlight w:val="none"/>
              </w:rPr>
            </w:pPr>
            <w:r>
              <w:rPr>
                <w:rFonts w:hint="eastAsia" w:ascii="宋体" w:hAnsi="宋体" w:cs="宋体"/>
                <w:color w:val="auto"/>
                <w:sz w:val="22"/>
                <w:szCs w:val="22"/>
                <w:highlight w:val="none"/>
              </w:rPr>
              <w:t>最大硬盘数</w:t>
            </w:r>
          </w:p>
        </w:tc>
        <w:tc>
          <w:tcPr>
            <w:tcW w:w="7596" w:type="dxa"/>
            <w:tcBorders>
              <w:tl2br w:val="nil"/>
              <w:tr2bl w:val="nil"/>
            </w:tcBorders>
            <w:shd w:val="clear" w:color="000000" w:fill="FFFFFF"/>
            <w:vAlign w:val="center"/>
          </w:tcPr>
          <w:p w14:paraId="2627AD5E">
            <w:pPr>
              <w:rPr>
                <w:rFonts w:ascii="宋体" w:hAnsi="宋体" w:cs="宋体"/>
                <w:color w:val="auto"/>
                <w:sz w:val="22"/>
                <w:szCs w:val="22"/>
                <w:highlight w:val="none"/>
              </w:rPr>
            </w:pPr>
            <w:r>
              <w:rPr>
                <w:rFonts w:hint="eastAsia" w:ascii="宋体" w:hAnsi="宋体" w:cs="宋体"/>
                <w:color w:val="auto"/>
                <w:sz w:val="22"/>
                <w:szCs w:val="22"/>
                <w:highlight w:val="none"/>
              </w:rPr>
              <w:t>最大支持磁盘插槽个数≥1000。</w:t>
            </w:r>
          </w:p>
        </w:tc>
      </w:tr>
      <w:tr w14:paraId="7BCD6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43C62E52">
            <w:pPr>
              <w:jc w:val="center"/>
              <w:rPr>
                <w:rFonts w:ascii="宋体" w:hAnsi="宋体" w:cs="宋体"/>
                <w:color w:val="auto"/>
                <w:sz w:val="22"/>
                <w:szCs w:val="22"/>
                <w:highlight w:val="none"/>
              </w:rPr>
            </w:pPr>
            <w:r>
              <w:rPr>
                <w:rFonts w:hint="eastAsia" w:ascii="宋体" w:hAnsi="宋体" w:cs="宋体"/>
                <w:color w:val="auto"/>
                <w:sz w:val="22"/>
                <w:szCs w:val="22"/>
                <w:highlight w:val="none"/>
              </w:rPr>
              <w:t>12</w:t>
            </w:r>
          </w:p>
        </w:tc>
        <w:tc>
          <w:tcPr>
            <w:tcW w:w="1334" w:type="dxa"/>
            <w:tcBorders>
              <w:tl2br w:val="nil"/>
              <w:tr2bl w:val="nil"/>
            </w:tcBorders>
            <w:shd w:val="clear" w:color="000000" w:fill="FFFFFF"/>
            <w:vAlign w:val="center"/>
          </w:tcPr>
          <w:p w14:paraId="67134CC7">
            <w:pPr>
              <w:jc w:val="center"/>
              <w:rPr>
                <w:rFonts w:ascii="宋体" w:hAnsi="宋体" w:cs="宋体"/>
                <w:color w:val="auto"/>
                <w:sz w:val="22"/>
                <w:szCs w:val="22"/>
                <w:highlight w:val="none"/>
              </w:rPr>
            </w:pPr>
            <w:r>
              <w:rPr>
                <w:rFonts w:hint="eastAsia" w:ascii="宋体" w:hAnsi="宋体" w:cs="宋体"/>
                <w:color w:val="auto"/>
                <w:sz w:val="22"/>
                <w:szCs w:val="22"/>
                <w:highlight w:val="none"/>
              </w:rPr>
              <w:t>支持RAID</w:t>
            </w:r>
          </w:p>
        </w:tc>
        <w:tc>
          <w:tcPr>
            <w:tcW w:w="7596" w:type="dxa"/>
            <w:tcBorders>
              <w:tl2br w:val="nil"/>
              <w:tr2bl w:val="nil"/>
            </w:tcBorders>
            <w:shd w:val="clear" w:color="000000" w:fill="FFFFFF"/>
            <w:vAlign w:val="center"/>
          </w:tcPr>
          <w:p w14:paraId="174E30C2">
            <w:pPr>
              <w:rPr>
                <w:rFonts w:ascii="宋体" w:hAnsi="宋体" w:cs="宋体"/>
                <w:color w:val="auto"/>
                <w:sz w:val="22"/>
                <w:szCs w:val="22"/>
                <w:highlight w:val="none"/>
              </w:rPr>
            </w:pPr>
            <w:r>
              <w:rPr>
                <w:rFonts w:hint="eastAsia" w:ascii="宋体" w:hAnsi="宋体" w:cs="宋体"/>
                <w:color w:val="auto"/>
                <w:sz w:val="22"/>
                <w:szCs w:val="22"/>
                <w:highlight w:val="none"/>
              </w:rPr>
              <w:t>支持RAID 1、RAID3、RAID 10、RAID50、RAID 5、RAID6等可选配置。</w:t>
            </w:r>
          </w:p>
        </w:tc>
      </w:tr>
      <w:tr w14:paraId="770F2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52F023C3">
            <w:pPr>
              <w:jc w:val="center"/>
              <w:rPr>
                <w:rFonts w:ascii="宋体" w:hAnsi="宋体" w:cs="宋体"/>
                <w:color w:val="auto"/>
                <w:sz w:val="22"/>
                <w:szCs w:val="22"/>
                <w:highlight w:val="none"/>
              </w:rPr>
            </w:pPr>
            <w:r>
              <w:rPr>
                <w:rFonts w:hint="eastAsia" w:ascii="宋体" w:hAnsi="宋体" w:cs="宋体"/>
                <w:color w:val="auto"/>
                <w:sz w:val="22"/>
                <w:szCs w:val="22"/>
                <w:highlight w:val="none"/>
              </w:rPr>
              <w:t>13</w:t>
            </w:r>
          </w:p>
        </w:tc>
        <w:tc>
          <w:tcPr>
            <w:tcW w:w="1334" w:type="dxa"/>
            <w:tcBorders>
              <w:tl2br w:val="nil"/>
              <w:tr2bl w:val="nil"/>
            </w:tcBorders>
            <w:shd w:val="clear" w:color="000000" w:fill="FFFFFF"/>
            <w:vAlign w:val="center"/>
          </w:tcPr>
          <w:p w14:paraId="24B46164">
            <w:pPr>
              <w:jc w:val="center"/>
              <w:rPr>
                <w:rFonts w:ascii="宋体" w:hAnsi="宋体" w:cs="宋体"/>
                <w:color w:val="auto"/>
                <w:sz w:val="22"/>
                <w:szCs w:val="22"/>
                <w:highlight w:val="none"/>
              </w:rPr>
            </w:pPr>
            <w:r>
              <w:rPr>
                <w:rFonts w:hint="eastAsia" w:ascii="宋体" w:hAnsi="宋体" w:cs="宋体"/>
                <w:color w:val="auto"/>
                <w:sz w:val="22"/>
                <w:szCs w:val="22"/>
                <w:highlight w:val="none"/>
              </w:rPr>
              <w:t>本地数据保护</w:t>
            </w:r>
          </w:p>
        </w:tc>
        <w:tc>
          <w:tcPr>
            <w:tcW w:w="7596" w:type="dxa"/>
            <w:tcBorders>
              <w:tl2br w:val="nil"/>
              <w:tr2bl w:val="nil"/>
            </w:tcBorders>
            <w:shd w:val="clear" w:color="000000" w:fill="FFFFFF"/>
            <w:vAlign w:val="center"/>
          </w:tcPr>
          <w:p w14:paraId="19BAA187">
            <w:pPr>
              <w:rPr>
                <w:rFonts w:ascii="宋体" w:hAnsi="宋体" w:cs="宋体"/>
                <w:color w:val="auto"/>
                <w:sz w:val="22"/>
                <w:szCs w:val="22"/>
                <w:highlight w:val="none"/>
              </w:rPr>
            </w:pPr>
            <w:r>
              <w:rPr>
                <w:rFonts w:hint="eastAsia" w:ascii="宋体" w:hAnsi="宋体" w:cs="宋体"/>
                <w:color w:val="auto"/>
                <w:sz w:val="22"/>
                <w:szCs w:val="22"/>
                <w:highlight w:val="none"/>
              </w:rPr>
              <w:t>支持并配置数据快照功能，恢复某个时间点的快照，其他时间点快照不丢失。</w:t>
            </w:r>
          </w:p>
        </w:tc>
      </w:tr>
      <w:tr w14:paraId="4731E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3D8E9D66">
            <w:pPr>
              <w:jc w:val="center"/>
              <w:rPr>
                <w:rFonts w:ascii="宋体" w:hAnsi="宋体" w:cs="宋体"/>
                <w:color w:val="auto"/>
                <w:sz w:val="22"/>
                <w:szCs w:val="22"/>
                <w:highlight w:val="none"/>
              </w:rPr>
            </w:pPr>
            <w:r>
              <w:rPr>
                <w:rFonts w:hint="eastAsia" w:ascii="宋体" w:hAnsi="宋体" w:cs="宋体"/>
                <w:color w:val="auto"/>
                <w:sz w:val="22"/>
                <w:szCs w:val="22"/>
                <w:highlight w:val="none"/>
              </w:rPr>
              <w:t>14</w:t>
            </w:r>
          </w:p>
        </w:tc>
        <w:tc>
          <w:tcPr>
            <w:tcW w:w="1334" w:type="dxa"/>
            <w:tcBorders>
              <w:tl2br w:val="nil"/>
              <w:tr2bl w:val="nil"/>
            </w:tcBorders>
            <w:shd w:val="clear" w:color="000000" w:fill="FFFFFF"/>
            <w:vAlign w:val="center"/>
          </w:tcPr>
          <w:p w14:paraId="7220AA73">
            <w:pPr>
              <w:jc w:val="center"/>
              <w:rPr>
                <w:rFonts w:ascii="宋体" w:hAnsi="宋体" w:cs="宋体"/>
                <w:color w:val="auto"/>
                <w:sz w:val="22"/>
                <w:szCs w:val="22"/>
                <w:highlight w:val="none"/>
              </w:rPr>
            </w:pPr>
            <w:r>
              <w:rPr>
                <w:rFonts w:hint="eastAsia" w:ascii="宋体" w:hAnsi="宋体" w:cs="宋体"/>
                <w:color w:val="auto"/>
                <w:sz w:val="22"/>
                <w:szCs w:val="22"/>
                <w:highlight w:val="none"/>
              </w:rPr>
              <w:t>智能数据迁移</w:t>
            </w:r>
          </w:p>
        </w:tc>
        <w:tc>
          <w:tcPr>
            <w:tcW w:w="7596" w:type="dxa"/>
            <w:tcBorders>
              <w:tl2br w:val="nil"/>
              <w:tr2bl w:val="nil"/>
            </w:tcBorders>
            <w:shd w:val="clear" w:color="000000" w:fill="FFFFFF"/>
            <w:vAlign w:val="center"/>
          </w:tcPr>
          <w:p w14:paraId="7EE4B960">
            <w:pPr>
              <w:rPr>
                <w:rFonts w:ascii="宋体" w:hAnsi="宋体" w:cs="宋体"/>
                <w:color w:val="auto"/>
                <w:sz w:val="22"/>
                <w:szCs w:val="22"/>
                <w:highlight w:val="none"/>
              </w:rPr>
            </w:pPr>
            <w:r>
              <w:rPr>
                <w:rFonts w:hint="eastAsia" w:ascii="宋体" w:hAnsi="宋体" w:cs="宋体"/>
                <w:color w:val="auto"/>
                <w:sz w:val="22"/>
                <w:szCs w:val="22"/>
                <w:highlight w:val="none"/>
              </w:rPr>
              <w:t>支持并配置数据迁移功能，能够在不中断主机业务的情况下实现源LUN上的业务完整地迁移至目标LUN，并在迁移结束后使目标LUN完全替代源LUN并承载业务，而用户无感知。</w:t>
            </w:r>
          </w:p>
        </w:tc>
      </w:tr>
      <w:tr w14:paraId="5BAF6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713BB49B">
            <w:pPr>
              <w:jc w:val="center"/>
              <w:rPr>
                <w:rFonts w:ascii="宋体" w:hAnsi="宋体" w:cs="宋体"/>
                <w:color w:val="auto"/>
                <w:sz w:val="22"/>
                <w:szCs w:val="22"/>
                <w:highlight w:val="none"/>
              </w:rPr>
            </w:pPr>
            <w:r>
              <w:rPr>
                <w:rFonts w:hint="eastAsia" w:ascii="宋体" w:hAnsi="宋体" w:cs="宋体"/>
                <w:color w:val="auto"/>
                <w:sz w:val="22"/>
                <w:szCs w:val="22"/>
                <w:highlight w:val="none"/>
              </w:rPr>
              <w:t>15</w:t>
            </w:r>
          </w:p>
        </w:tc>
        <w:tc>
          <w:tcPr>
            <w:tcW w:w="1334" w:type="dxa"/>
            <w:tcBorders>
              <w:tl2br w:val="nil"/>
              <w:tr2bl w:val="nil"/>
            </w:tcBorders>
            <w:shd w:val="clear" w:color="000000" w:fill="FFFFFF"/>
            <w:vAlign w:val="center"/>
          </w:tcPr>
          <w:p w14:paraId="7D98E58D">
            <w:pPr>
              <w:jc w:val="center"/>
              <w:rPr>
                <w:rFonts w:ascii="宋体" w:hAnsi="宋体" w:cs="宋体"/>
                <w:color w:val="auto"/>
                <w:sz w:val="22"/>
                <w:szCs w:val="22"/>
                <w:highlight w:val="none"/>
              </w:rPr>
            </w:pPr>
            <w:r>
              <w:rPr>
                <w:rFonts w:hint="eastAsia" w:ascii="宋体" w:hAnsi="宋体" w:cs="宋体"/>
                <w:color w:val="auto"/>
                <w:sz w:val="22"/>
                <w:szCs w:val="22"/>
                <w:highlight w:val="none"/>
              </w:rPr>
              <w:t>智能数据缓存</w:t>
            </w:r>
          </w:p>
        </w:tc>
        <w:tc>
          <w:tcPr>
            <w:tcW w:w="7596" w:type="dxa"/>
            <w:tcBorders>
              <w:tl2br w:val="nil"/>
              <w:tr2bl w:val="nil"/>
            </w:tcBorders>
            <w:shd w:val="clear" w:color="000000" w:fill="FFFFFF"/>
            <w:vAlign w:val="center"/>
          </w:tcPr>
          <w:p w14:paraId="11D8F30B">
            <w:pPr>
              <w:rPr>
                <w:rFonts w:ascii="宋体" w:hAnsi="宋体" w:cs="宋体"/>
                <w:color w:val="auto"/>
                <w:sz w:val="22"/>
                <w:szCs w:val="22"/>
                <w:highlight w:val="none"/>
              </w:rPr>
            </w:pPr>
            <w:r>
              <w:rPr>
                <w:rFonts w:hint="eastAsia" w:ascii="宋体" w:hAnsi="宋体" w:cs="宋体"/>
                <w:color w:val="auto"/>
                <w:sz w:val="22"/>
                <w:szCs w:val="22"/>
                <w:highlight w:val="none"/>
              </w:rPr>
              <w:t>支持并配置SSD Cache功能，使用SSD Cache对热点数据提升响应速度，支持SmarCache 资源池分区，最大支持≥8个分区</w:t>
            </w:r>
          </w:p>
        </w:tc>
      </w:tr>
      <w:tr w14:paraId="5E46B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1385C27D">
            <w:pPr>
              <w:jc w:val="center"/>
              <w:rPr>
                <w:rFonts w:ascii="宋体" w:hAnsi="宋体" w:cs="宋体"/>
                <w:color w:val="auto"/>
                <w:sz w:val="22"/>
                <w:szCs w:val="22"/>
                <w:highlight w:val="none"/>
              </w:rPr>
            </w:pPr>
            <w:r>
              <w:rPr>
                <w:rFonts w:hint="eastAsia" w:ascii="宋体" w:hAnsi="宋体" w:cs="宋体"/>
                <w:color w:val="auto"/>
                <w:sz w:val="22"/>
                <w:szCs w:val="22"/>
                <w:highlight w:val="none"/>
              </w:rPr>
              <w:t>16</w:t>
            </w:r>
          </w:p>
        </w:tc>
        <w:tc>
          <w:tcPr>
            <w:tcW w:w="1334" w:type="dxa"/>
            <w:tcBorders>
              <w:tl2br w:val="nil"/>
              <w:tr2bl w:val="nil"/>
            </w:tcBorders>
            <w:shd w:val="clear" w:color="000000" w:fill="FFFFFF"/>
            <w:vAlign w:val="center"/>
          </w:tcPr>
          <w:p w14:paraId="1525D2E6">
            <w:pPr>
              <w:jc w:val="center"/>
              <w:rPr>
                <w:rFonts w:ascii="宋体" w:hAnsi="宋体" w:cs="宋体"/>
                <w:color w:val="auto"/>
                <w:sz w:val="22"/>
                <w:szCs w:val="22"/>
                <w:highlight w:val="none"/>
              </w:rPr>
            </w:pPr>
            <w:r>
              <w:rPr>
                <w:rFonts w:hint="eastAsia" w:ascii="宋体" w:hAnsi="宋体" w:cs="宋体"/>
                <w:color w:val="auto"/>
                <w:sz w:val="22"/>
                <w:szCs w:val="22"/>
                <w:highlight w:val="none"/>
              </w:rPr>
              <w:t>自动分级</w:t>
            </w:r>
          </w:p>
        </w:tc>
        <w:tc>
          <w:tcPr>
            <w:tcW w:w="7596" w:type="dxa"/>
            <w:tcBorders>
              <w:tl2br w:val="nil"/>
              <w:tr2bl w:val="nil"/>
            </w:tcBorders>
            <w:shd w:val="clear" w:color="000000" w:fill="FFFFFF"/>
            <w:vAlign w:val="center"/>
          </w:tcPr>
          <w:p w14:paraId="34AD7590">
            <w:pPr>
              <w:rPr>
                <w:rFonts w:ascii="宋体" w:hAnsi="宋体" w:cs="宋体"/>
                <w:color w:val="auto"/>
                <w:sz w:val="22"/>
                <w:szCs w:val="22"/>
                <w:highlight w:val="none"/>
              </w:rPr>
            </w:pPr>
            <w:r>
              <w:rPr>
                <w:rFonts w:hint="eastAsia" w:ascii="宋体" w:hAnsi="宋体" w:cs="宋体"/>
                <w:color w:val="auto"/>
                <w:sz w:val="22"/>
                <w:szCs w:val="22"/>
                <w:highlight w:val="none"/>
              </w:rPr>
              <w:t>支持并配置自动分级存储，能够以512 KB～1MB的热点颗粒度为单位进行自动分级调整，提供图形化的自动分层策略调整工具，能够对数据分层的时间窗口和分层方式进行调整，提高存储资源利用效率，即支持在特定的时间段（定时），开启I/O监控热点数据，自动进行数据迁移。</w:t>
            </w:r>
          </w:p>
        </w:tc>
      </w:tr>
      <w:tr w14:paraId="1864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7D05C801">
            <w:pPr>
              <w:jc w:val="center"/>
              <w:rPr>
                <w:rFonts w:ascii="宋体" w:hAnsi="宋体" w:cs="宋体"/>
                <w:color w:val="auto"/>
                <w:sz w:val="22"/>
                <w:szCs w:val="22"/>
                <w:highlight w:val="none"/>
              </w:rPr>
            </w:pPr>
            <w:r>
              <w:rPr>
                <w:rFonts w:hint="eastAsia" w:ascii="宋体" w:hAnsi="宋体" w:cs="宋体"/>
                <w:color w:val="auto"/>
                <w:sz w:val="22"/>
                <w:szCs w:val="22"/>
                <w:highlight w:val="none"/>
              </w:rPr>
              <w:t>17</w:t>
            </w:r>
          </w:p>
        </w:tc>
        <w:tc>
          <w:tcPr>
            <w:tcW w:w="1334" w:type="dxa"/>
            <w:vMerge w:val="restart"/>
            <w:tcBorders>
              <w:tl2br w:val="nil"/>
              <w:tr2bl w:val="nil"/>
            </w:tcBorders>
            <w:shd w:val="clear" w:color="auto" w:fill="auto"/>
            <w:vAlign w:val="center"/>
          </w:tcPr>
          <w:p w14:paraId="1A5950CA">
            <w:pPr>
              <w:jc w:val="center"/>
              <w:rPr>
                <w:rFonts w:ascii="宋体" w:hAnsi="宋体" w:cs="宋体"/>
                <w:color w:val="auto"/>
                <w:sz w:val="22"/>
                <w:szCs w:val="22"/>
                <w:highlight w:val="none"/>
              </w:rPr>
            </w:pPr>
            <w:r>
              <w:rPr>
                <w:rFonts w:hint="eastAsia" w:ascii="宋体" w:hAnsi="宋体" w:cs="宋体"/>
                <w:color w:val="auto"/>
                <w:sz w:val="22"/>
                <w:szCs w:val="22"/>
                <w:highlight w:val="none"/>
              </w:rPr>
              <w:t>存储双活</w:t>
            </w:r>
          </w:p>
        </w:tc>
        <w:tc>
          <w:tcPr>
            <w:tcW w:w="7596" w:type="dxa"/>
            <w:tcBorders>
              <w:tl2br w:val="nil"/>
              <w:tr2bl w:val="nil"/>
            </w:tcBorders>
            <w:shd w:val="clear" w:color="000000" w:fill="FFFFFF"/>
            <w:vAlign w:val="center"/>
          </w:tcPr>
          <w:p w14:paraId="0EC60078">
            <w:pPr>
              <w:rPr>
                <w:rFonts w:ascii="宋体" w:hAnsi="宋体" w:cs="宋体"/>
                <w:color w:val="auto"/>
                <w:sz w:val="22"/>
                <w:szCs w:val="22"/>
                <w:highlight w:val="none"/>
              </w:rPr>
            </w:pPr>
            <w:r>
              <w:rPr>
                <w:rFonts w:hint="eastAsia" w:ascii="宋体" w:hAnsi="宋体" w:cs="宋体"/>
                <w:color w:val="auto"/>
                <w:sz w:val="22"/>
                <w:szCs w:val="22"/>
                <w:highlight w:val="none"/>
              </w:rPr>
              <w:t>配置A-A免网关双活许可，容量不少于实配硬盘。</w:t>
            </w:r>
          </w:p>
        </w:tc>
      </w:tr>
      <w:tr w14:paraId="491ED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7A80229B">
            <w:pPr>
              <w:jc w:val="center"/>
              <w:rPr>
                <w:rFonts w:ascii="宋体" w:hAnsi="宋体" w:cs="宋体"/>
                <w:color w:val="auto"/>
                <w:sz w:val="22"/>
                <w:szCs w:val="22"/>
                <w:highlight w:val="none"/>
              </w:rPr>
            </w:pPr>
            <w:r>
              <w:rPr>
                <w:rFonts w:hint="eastAsia" w:ascii="宋体" w:hAnsi="宋体" w:cs="宋体"/>
                <w:color w:val="auto"/>
                <w:sz w:val="22"/>
                <w:szCs w:val="22"/>
                <w:highlight w:val="none"/>
              </w:rPr>
              <w:t>18</w:t>
            </w:r>
          </w:p>
        </w:tc>
        <w:tc>
          <w:tcPr>
            <w:tcW w:w="1334" w:type="dxa"/>
            <w:vMerge w:val="continue"/>
            <w:tcBorders>
              <w:tl2br w:val="nil"/>
              <w:tr2bl w:val="nil"/>
            </w:tcBorders>
            <w:vAlign w:val="center"/>
          </w:tcPr>
          <w:p w14:paraId="353F0829">
            <w:pPr>
              <w:jc w:val="center"/>
              <w:rPr>
                <w:rFonts w:ascii="宋体" w:hAnsi="宋体" w:cs="宋体"/>
                <w:color w:val="auto"/>
                <w:sz w:val="22"/>
                <w:szCs w:val="22"/>
                <w:highlight w:val="none"/>
              </w:rPr>
            </w:pPr>
          </w:p>
        </w:tc>
        <w:tc>
          <w:tcPr>
            <w:tcW w:w="7596" w:type="dxa"/>
            <w:tcBorders>
              <w:tl2br w:val="nil"/>
              <w:tr2bl w:val="nil"/>
            </w:tcBorders>
            <w:shd w:val="clear" w:color="000000" w:fill="FFFFFF"/>
            <w:vAlign w:val="center"/>
          </w:tcPr>
          <w:p w14:paraId="6D6899C1">
            <w:pPr>
              <w:rPr>
                <w:rFonts w:ascii="宋体" w:hAnsi="宋体" w:cs="宋体"/>
                <w:color w:val="auto"/>
                <w:sz w:val="22"/>
                <w:szCs w:val="22"/>
                <w:highlight w:val="none"/>
              </w:rPr>
            </w:pPr>
            <w:r>
              <w:rPr>
                <w:rFonts w:hint="eastAsia" w:ascii="宋体" w:hAnsi="宋体" w:cs="宋体"/>
                <w:color w:val="auto"/>
                <w:sz w:val="22"/>
                <w:szCs w:val="22"/>
                <w:highlight w:val="none"/>
              </w:rPr>
              <w:t>提供A-A免网关双活架构，无需额外配置双活网关设备，实现两套存储设备数据双活（主机能够并发读写同一双活卷），任何一套设备宕机均不影响上层业务系统运行。</w:t>
            </w:r>
          </w:p>
        </w:tc>
      </w:tr>
      <w:tr w14:paraId="35A51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4B90CF49">
            <w:pPr>
              <w:jc w:val="center"/>
              <w:rPr>
                <w:rFonts w:ascii="宋体" w:hAnsi="宋体" w:cs="宋体"/>
                <w:color w:val="auto"/>
                <w:sz w:val="22"/>
                <w:szCs w:val="22"/>
                <w:highlight w:val="none"/>
              </w:rPr>
            </w:pPr>
            <w:r>
              <w:rPr>
                <w:rFonts w:hint="eastAsia" w:ascii="宋体" w:hAnsi="宋体" w:cs="宋体"/>
                <w:color w:val="auto"/>
                <w:sz w:val="22"/>
                <w:szCs w:val="22"/>
                <w:highlight w:val="none"/>
              </w:rPr>
              <w:t>19</w:t>
            </w:r>
          </w:p>
        </w:tc>
        <w:tc>
          <w:tcPr>
            <w:tcW w:w="1334" w:type="dxa"/>
            <w:vMerge w:val="continue"/>
            <w:tcBorders>
              <w:tl2br w:val="nil"/>
              <w:tr2bl w:val="nil"/>
            </w:tcBorders>
            <w:vAlign w:val="center"/>
          </w:tcPr>
          <w:p w14:paraId="403B417D">
            <w:pPr>
              <w:jc w:val="center"/>
              <w:rPr>
                <w:rFonts w:ascii="宋体" w:hAnsi="宋体" w:cs="宋体"/>
                <w:color w:val="auto"/>
                <w:sz w:val="22"/>
                <w:szCs w:val="22"/>
                <w:highlight w:val="none"/>
              </w:rPr>
            </w:pPr>
          </w:p>
        </w:tc>
        <w:tc>
          <w:tcPr>
            <w:tcW w:w="7596" w:type="dxa"/>
            <w:tcBorders>
              <w:tl2br w:val="nil"/>
              <w:tr2bl w:val="nil"/>
            </w:tcBorders>
            <w:shd w:val="clear" w:color="000000" w:fill="FFFFFF"/>
            <w:vAlign w:val="center"/>
          </w:tcPr>
          <w:p w14:paraId="3694A702">
            <w:pPr>
              <w:rPr>
                <w:rFonts w:ascii="宋体" w:hAnsi="宋体" w:cs="宋体"/>
                <w:color w:val="auto"/>
                <w:sz w:val="22"/>
                <w:szCs w:val="22"/>
                <w:highlight w:val="none"/>
              </w:rPr>
            </w:pPr>
            <w:r>
              <w:rPr>
                <w:rFonts w:hint="eastAsia" w:ascii="宋体" w:hAnsi="宋体" w:cs="宋体"/>
                <w:color w:val="auto"/>
                <w:sz w:val="22"/>
                <w:szCs w:val="22"/>
                <w:highlight w:val="none"/>
              </w:rPr>
              <w:t>双活引擎采用集群冗余架构，双活引擎数据传送必须采用FC/IP协议和链路双活。</w:t>
            </w:r>
          </w:p>
        </w:tc>
      </w:tr>
      <w:tr w14:paraId="62448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66E6EA92">
            <w:pPr>
              <w:jc w:val="center"/>
              <w:rPr>
                <w:rFonts w:ascii="宋体" w:hAnsi="宋体" w:cs="宋体"/>
                <w:color w:val="auto"/>
                <w:sz w:val="22"/>
                <w:szCs w:val="22"/>
                <w:highlight w:val="none"/>
              </w:rPr>
            </w:pPr>
            <w:r>
              <w:rPr>
                <w:rFonts w:hint="eastAsia" w:ascii="宋体" w:hAnsi="宋体" w:cs="宋体"/>
                <w:color w:val="auto"/>
                <w:sz w:val="22"/>
                <w:szCs w:val="22"/>
                <w:highlight w:val="none"/>
              </w:rPr>
              <w:t>20</w:t>
            </w:r>
          </w:p>
        </w:tc>
        <w:tc>
          <w:tcPr>
            <w:tcW w:w="1334" w:type="dxa"/>
            <w:vMerge w:val="continue"/>
            <w:tcBorders>
              <w:tl2br w:val="nil"/>
              <w:tr2bl w:val="nil"/>
            </w:tcBorders>
            <w:vAlign w:val="center"/>
          </w:tcPr>
          <w:p w14:paraId="362C37DC">
            <w:pPr>
              <w:jc w:val="center"/>
              <w:rPr>
                <w:rFonts w:ascii="宋体" w:hAnsi="宋体" w:cs="宋体"/>
                <w:color w:val="auto"/>
                <w:sz w:val="22"/>
                <w:szCs w:val="22"/>
                <w:highlight w:val="none"/>
              </w:rPr>
            </w:pPr>
          </w:p>
        </w:tc>
        <w:tc>
          <w:tcPr>
            <w:tcW w:w="7596" w:type="dxa"/>
            <w:tcBorders>
              <w:tl2br w:val="nil"/>
              <w:tr2bl w:val="nil"/>
            </w:tcBorders>
            <w:shd w:val="clear" w:color="000000" w:fill="FFFFFF"/>
            <w:vAlign w:val="center"/>
          </w:tcPr>
          <w:p w14:paraId="22F0A039">
            <w:pPr>
              <w:rPr>
                <w:rFonts w:ascii="宋体" w:hAnsi="宋体" w:cs="宋体"/>
                <w:color w:val="auto"/>
                <w:sz w:val="22"/>
                <w:szCs w:val="22"/>
                <w:highlight w:val="none"/>
              </w:rPr>
            </w:pPr>
            <w:r>
              <w:rPr>
                <w:rFonts w:hint="eastAsia" w:ascii="宋体" w:hAnsi="宋体" w:cs="宋体"/>
                <w:color w:val="auto"/>
                <w:sz w:val="22"/>
                <w:szCs w:val="22"/>
                <w:highlight w:val="none"/>
              </w:rPr>
              <w:t>支持在不暂停业务的情况下对LUN进行扩容，即LUN扩容不会导致容灾暂停。</w:t>
            </w:r>
          </w:p>
        </w:tc>
      </w:tr>
      <w:tr w14:paraId="3EF34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6FA76077">
            <w:pPr>
              <w:jc w:val="center"/>
              <w:rPr>
                <w:rFonts w:ascii="宋体" w:hAnsi="宋体" w:cs="宋体"/>
                <w:color w:val="auto"/>
                <w:sz w:val="22"/>
                <w:szCs w:val="22"/>
                <w:highlight w:val="none"/>
              </w:rPr>
            </w:pPr>
            <w:r>
              <w:rPr>
                <w:rFonts w:hint="eastAsia" w:ascii="宋体" w:hAnsi="宋体" w:cs="宋体"/>
                <w:color w:val="auto"/>
                <w:sz w:val="22"/>
                <w:szCs w:val="22"/>
                <w:highlight w:val="none"/>
              </w:rPr>
              <w:t>21</w:t>
            </w:r>
          </w:p>
        </w:tc>
        <w:tc>
          <w:tcPr>
            <w:tcW w:w="1334" w:type="dxa"/>
            <w:vMerge w:val="continue"/>
            <w:tcBorders>
              <w:tl2br w:val="nil"/>
              <w:tr2bl w:val="nil"/>
            </w:tcBorders>
            <w:vAlign w:val="center"/>
          </w:tcPr>
          <w:p w14:paraId="65A7001A">
            <w:pPr>
              <w:jc w:val="center"/>
              <w:rPr>
                <w:rFonts w:ascii="宋体" w:hAnsi="宋体" w:cs="宋体"/>
                <w:color w:val="auto"/>
                <w:sz w:val="22"/>
                <w:szCs w:val="22"/>
                <w:highlight w:val="none"/>
              </w:rPr>
            </w:pPr>
          </w:p>
        </w:tc>
        <w:tc>
          <w:tcPr>
            <w:tcW w:w="7596" w:type="dxa"/>
            <w:tcBorders>
              <w:tl2br w:val="nil"/>
              <w:tr2bl w:val="nil"/>
            </w:tcBorders>
            <w:shd w:val="clear" w:color="000000" w:fill="FFFFFF"/>
            <w:vAlign w:val="center"/>
          </w:tcPr>
          <w:p w14:paraId="0511C662">
            <w:pPr>
              <w:rPr>
                <w:rFonts w:ascii="宋体" w:hAnsi="宋体" w:cs="宋体"/>
                <w:color w:val="auto"/>
                <w:sz w:val="22"/>
                <w:szCs w:val="22"/>
                <w:highlight w:val="none"/>
              </w:rPr>
            </w:pPr>
            <w:r>
              <w:rPr>
                <w:rFonts w:hint="eastAsia" w:ascii="宋体" w:hAnsi="宋体" w:cs="宋体"/>
                <w:color w:val="auto"/>
                <w:sz w:val="22"/>
                <w:szCs w:val="22"/>
                <w:highlight w:val="none"/>
              </w:rPr>
              <w:t>双活特性故障后能自动恢复，如在阵列间所有链路故障后，主机业务不受影响；故障的链路恢复后，双活特性能立即恢复且不需要人工介入。</w:t>
            </w:r>
          </w:p>
        </w:tc>
      </w:tr>
      <w:tr w14:paraId="2945D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3B761D0E">
            <w:pPr>
              <w:jc w:val="center"/>
              <w:rPr>
                <w:rFonts w:ascii="宋体" w:hAnsi="宋体" w:cs="宋体"/>
                <w:color w:val="auto"/>
                <w:sz w:val="22"/>
                <w:szCs w:val="22"/>
                <w:highlight w:val="none"/>
              </w:rPr>
            </w:pPr>
            <w:r>
              <w:rPr>
                <w:rFonts w:hint="eastAsia" w:ascii="宋体" w:hAnsi="宋体" w:cs="宋体"/>
                <w:color w:val="auto"/>
                <w:sz w:val="22"/>
                <w:szCs w:val="22"/>
                <w:highlight w:val="none"/>
              </w:rPr>
              <w:t>22</w:t>
            </w:r>
          </w:p>
        </w:tc>
        <w:tc>
          <w:tcPr>
            <w:tcW w:w="1334" w:type="dxa"/>
            <w:vMerge w:val="restart"/>
            <w:tcBorders>
              <w:tl2br w:val="nil"/>
              <w:tr2bl w:val="nil"/>
            </w:tcBorders>
            <w:shd w:val="clear" w:color="auto" w:fill="auto"/>
            <w:vAlign w:val="center"/>
          </w:tcPr>
          <w:p w14:paraId="6AD50952">
            <w:pPr>
              <w:jc w:val="center"/>
              <w:rPr>
                <w:rFonts w:ascii="宋体" w:hAnsi="宋体" w:cs="宋体"/>
                <w:color w:val="auto"/>
                <w:sz w:val="22"/>
                <w:szCs w:val="22"/>
                <w:highlight w:val="none"/>
              </w:rPr>
            </w:pPr>
            <w:r>
              <w:rPr>
                <w:rFonts w:hint="eastAsia" w:ascii="宋体" w:hAnsi="宋体" w:cs="宋体"/>
                <w:color w:val="auto"/>
                <w:sz w:val="22"/>
                <w:szCs w:val="22"/>
                <w:highlight w:val="none"/>
              </w:rPr>
              <w:t>异构虚拟化</w:t>
            </w:r>
          </w:p>
        </w:tc>
        <w:tc>
          <w:tcPr>
            <w:tcW w:w="7596" w:type="dxa"/>
            <w:tcBorders>
              <w:tl2br w:val="nil"/>
              <w:tr2bl w:val="nil"/>
            </w:tcBorders>
            <w:shd w:val="clear" w:color="000000" w:fill="FFFFFF"/>
            <w:vAlign w:val="center"/>
          </w:tcPr>
          <w:p w14:paraId="5964E197">
            <w:pPr>
              <w:rPr>
                <w:rFonts w:ascii="宋体" w:hAnsi="宋体" w:cs="宋体"/>
                <w:color w:val="auto"/>
                <w:sz w:val="22"/>
                <w:szCs w:val="22"/>
                <w:highlight w:val="none"/>
              </w:rPr>
            </w:pPr>
            <w:r>
              <w:rPr>
                <w:rFonts w:hint="eastAsia" w:ascii="宋体" w:hAnsi="宋体" w:cs="宋体"/>
                <w:color w:val="auto"/>
                <w:sz w:val="22"/>
                <w:szCs w:val="22"/>
                <w:highlight w:val="none"/>
              </w:rPr>
              <w:t>支持并配置异构虚拟化许可</w:t>
            </w:r>
          </w:p>
          <w:p w14:paraId="3101316C">
            <w:pPr>
              <w:rPr>
                <w:rFonts w:ascii="宋体" w:hAnsi="宋体" w:cs="宋体"/>
                <w:color w:val="auto"/>
                <w:sz w:val="22"/>
                <w:szCs w:val="22"/>
                <w:highlight w:val="none"/>
              </w:rPr>
            </w:pPr>
            <w:r>
              <w:rPr>
                <w:rFonts w:hint="eastAsia" w:ascii="宋体" w:hAnsi="宋体" w:cs="宋体"/>
                <w:color w:val="auto"/>
                <w:sz w:val="22"/>
                <w:szCs w:val="22"/>
                <w:highlight w:val="none"/>
              </w:rPr>
              <w:t>1）提供异构虚拟化功能，能够提供异构存储虚拟化整合功能，能接管现网异构存储，无需破坏或者改变现有数据格式，构成异构资源池，进行统一的资源调配和管理。</w:t>
            </w:r>
          </w:p>
          <w:p w14:paraId="7D0BB18E">
            <w:pPr>
              <w:rPr>
                <w:rFonts w:ascii="宋体" w:hAnsi="宋体" w:cs="宋体"/>
                <w:color w:val="auto"/>
                <w:sz w:val="22"/>
                <w:szCs w:val="22"/>
                <w:highlight w:val="none"/>
              </w:rPr>
            </w:pPr>
            <w:r>
              <w:rPr>
                <w:rFonts w:hint="eastAsia" w:ascii="宋体" w:hAnsi="宋体" w:cs="宋体"/>
                <w:color w:val="auto"/>
                <w:sz w:val="22"/>
                <w:szCs w:val="22"/>
                <w:highlight w:val="none"/>
              </w:rPr>
              <w:t>2）异构虚拟化兼容业界主流存储（如EMC、HPE、Hitachi、IBM、Huawei、NetApp等多个厂家的阵列）</w:t>
            </w:r>
          </w:p>
          <w:p w14:paraId="593AA801">
            <w:pPr>
              <w:rPr>
                <w:rFonts w:ascii="宋体" w:hAnsi="宋体" w:cs="宋体"/>
                <w:color w:val="auto"/>
                <w:sz w:val="22"/>
                <w:szCs w:val="22"/>
                <w:highlight w:val="none"/>
              </w:rPr>
            </w:pPr>
            <w:r>
              <w:rPr>
                <w:rFonts w:hint="eastAsia" w:ascii="宋体" w:hAnsi="宋体" w:cs="宋体"/>
                <w:color w:val="auto"/>
                <w:sz w:val="22"/>
                <w:szCs w:val="22"/>
                <w:highlight w:val="none"/>
              </w:rPr>
              <w:t>3）提供快速回退功能，即被接管的阵列可直接映射给业务主机使用，防止由于虚拟化失败或者虚拟化不能快速回退造成的数据丢失，导致业务系统不可恢复；</w:t>
            </w:r>
          </w:p>
          <w:p w14:paraId="586B6F63">
            <w:pPr>
              <w:rPr>
                <w:rFonts w:ascii="宋体" w:hAnsi="宋体" w:cs="宋体"/>
                <w:color w:val="auto"/>
                <w:sz w:val="22"/>
                <w:szCs w:val="22"/>
                <w:highlight w:val="none"/>
              </w:rPr>
            </w:pPr>
            <w:r>
              <w:rPr>
                <w:rFonts w:hint="eastAsia" w:ascii="宋体" w:hAnsi="宋体" w:cs="宋体"/>
                <w:color w:val="auto"/>
                <w:sz w:val="22"/>
                <w:szCs w:val="22"/>
                <w:highlight w:val="none"/>
              </w:rPr>
              <w:t>4）异构虚拟化引擎配置容量许可，容量不少于1PB，阵列不少于1台；</w:t>
            </w:r>
          </w:p>
          <w:p w14:paraId="50B93E76">
            <w:pPr>
              <w:rPr>
                <w:rFonts w:ascii="宋体" w:hAnsi="宋体" w:cs="宋体"/>
                <w:color w:val="auto"/>
                <w:sz w:val="22"/>
                <w:szCs w:val="22"/>
                <w:highlight w:val="none"/>
              </w:rPr>
            </w:pPr>
            <w:r>
              <w:rPr>
                <w:rFonts w:hint="eastAsia" w:ascii="宋体" w:hAnsi="宋体" w:cs="宋体"/>
                <w:color w:val="auto"/>
                <w:sz w:val="22"/>
                <w:szCs w:val="22"/>
                <w:highlight w:val="none"/>
              </w:rPr>
              <w:t>5）异构虚拟化平台提供对异构存储的快照功能</w:t>
            </w:r>
          </w:p>
          <w:p w14:paraId="368C81BA">
            <w:pPr>
              <w:rPr>
                <w:rFonts w:ascii="宋体" w:hAnsi="宋体" w:cs="宋体"/>
                <w:color w:val="auto"/>
                <w:sz w:val="22"/>
                <w:szCs w:val="22"/>
                <w:highlight w:val="none"/>
              </w:rPr>
            </w:pPr>
            <w:r>
              <w:rPr>
                <w:rFonts w:hint="eastAsia" w:ascii="宋体" w:hAnsi="宋体" w:cs="宋体"/>
                <w:color w:val="auto"/>
                <w:sz w:val="22"/>
                <w:szCs w:val="22"/>
                <w:highlight w:val="none"/>
              </w:rPr>
              <w:t>6）异构虚拟化平台支持提供异构存储之间的数据镜像功能；</w:t>
            </w:r>
          </w:p>
          <w:p w14:paraId="7A477750">
            <w:pPr>
              <w:rPr>
                <w:rFonts w:ascii="宋体" w:hAnsi="宋体" w:cs="宋体"/>
                <w:color w:val="auto"/>
                <w:sz w:val="22"/>
                <w:szCs w:val="22"/>
                <w:highlight w:val="none"/>
              </w:rPr>
            </w:pPr>
            <w:r>
              <w:rPr>
                <w:rFonts w:hint="eastAsia" w:ascii="宋体" w:hAnsi="宋体" w:cs="宋体"/>
                <w:color w:val="auto"/>
                <w:sz w:val="22"/>
                <w:szCs w:val="22"/>
                <w:highlight w:val="none"/>
              </w:rPr>
              <w:t>7）异构虚拟化平台支持提供异构存储之间的双活应用；</w:t>
            </w:r>
          </w:p>
          <w:p w14:paraId="0C3FCEF2">
            <w:pPr>
              <w:rPr>
                <w:rFonts w:ascii="宋体" w:hAnsi="宋体" w:cs="宋体"/>
                <w:color w:val="auto"/>
                <w:sz w:val="22"/>
                <w:szCs w:val="22"/>
                <w:highlight w:val="none"/>
              </w:rPr>
            </w:pPr>
            <w:r>
              <w:rPr>
                <w:rFonts w:hint="eastAsia" w:ascii="宋体" w:hAnsi="宋体" w:cs="宋体"/>
                <w:color w:val="auto"/>
                <w:sz w:val="22"/>
                <w:szCs w:val="22"/>
                <w:highlight w:val="none"/>
              </w:rPr>
              <w:t>8）支持对异构存储创建FC和iSCSI链路，进行数据传输，并管理异构LUN；</w:t>
            </w:r>
          </w:p>
          <w:p w14:paraId="79EDF6C6">
            <w:pPr>
              <w:rPr>
                <w:rFonts w:ascii="宋体" w:hAnsi="宋体" w:cs="宋体"/>
                <w:color w:val="auto"/>
                <w:sz w:val="22"/>
                <w:szCs w:val="22"/>
                <w:highlight w:val="none"/>
              </w:rPr>
            </w:pPr>
            <w:r>
              <w:rPr>
                <w:rFonts w:hint="eastAsia" w:ascii="宋体" w:hAnsi="宋体" w:cs="宋体"/>
                <w:color w:val="auto"/>
                <w:sz w:val="22"/>
                <w:szCs w:val="22"/>
                <w:highlight w:val="none"/>
              </w:rPr>
              <w:t>具备异构虚拟化能力，并支持对异构存储的快照、复制、双活、卷镜像功能。</w:t>
            </w:r>
          </w:p>
        </w:tc>
      </w:tr>
      <w:tr w14:paraId="73C4D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705717B1">
            <w:pPr>
              <w:jc w:val="center"/>
              <w:rPr>
                <w:rFonts w:ascii="宋体" w:hAnsi="宋体" w:cs="宋体"/>
                <w:color w:val="auto"/>
                <w:sz w:val="22"/>
                <w:szCs w:val="22"/>
                <w:highlight w:val="none"/>
              </w:rPr>
            </w:pPr>
            <w:r>
              <w:rPr>
                <w:rFonts w:hint="eastAsia" w:ascii="宋体" w:hAnsi="宋体" w:cs="宋体"/>
                <w:color w:val="auto"/>
                <w:sz w:val="22"/>
                <w:szCs w:val="22"/>
                <w:highlight w:val="none"/>
              </w:rPr>
              <w:t>23</w:t>
            </w:r>
          </w:p>
        </w:tc>
        <w:tc>
          <w:tcPr>
            <w:tcW w:w="1334" w:type="dxa"/>
            <w:vMerge w:val="continue"/>
            <w:tcBorders>
              <w:tl2br w:val="nil"/>
              <w:tr2bl w:val="nil"/>
            </w:tcBorders>
            <w:vAlign w:val="center"/>
          </w:tcPr>
          <w:p w14:paraId="6B162793">
            <w:pPr>
              <w:jc w:val="center"/>
              <w:rPr>
                <w:rFonts w:ascii="宋体" w:hAnsi="宋体" w:cs="宋体"/>
                <w:color w:val="auto"/>
                <w:sz w:val="22"/>
                <w:szCs w:val="22"/>
                <w:highlight w:val="none"/>
              </w:rPr>
            </w:pPr>
          </w:p>
        </w:tc>
        <w:tc>
          <w:tcPr>
            <w:tcW w:w="7596" w:type="dxa"/>
            <w:tcBorders>
              <w:tl2br w:val="nil"/>
              <w:tr2bl w:val="nil"/>
            </w:tcBorders>
            <w:shd w:val="clear" w:color="000000" w:fill="FFFFFF"/>
            <w:vAlign w:val="center"/>
          </w:tcPr>
          <w:p w14:paraId="0D634242">
            <w:pPr>
              <w:rPr>
                <w:rFonts w:ascii="宋体" w:hAnsi="宋体" w:cs="宋体"/>
                <w:color w:val="auto"/>
                <w:sz w:val="22"/>
                <w:szCs w:val="22"/>
                <w:highlight w:val="none"/>
              </w:rPr>
            </w:pPr>
            <w:r>
              <w:rPr>
                <w:rFonts w:hint="eastAsia" w:ascii="宋体" w:hAnsi="宋体" w:cs="宋体"/>
                <w:color w:val="auto"/>
                <w:sz w:val="22"/>
                <w:szCs w:val="22"/>
                <w:highlight w:val="none"/>
              </w:rPr>
              <w:t>支持将接管的第三方存储的数据在线迁移至本地存储空间。</w:t>
            </w:r>
          </w:p>
        </w:tc>
      </w:tr>
      <w:tr w14:paraId="26C10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43EB8808">
            <w:pPr>
              <w:jc w:val="center"/>
              <w:rPr>
                <w:rFonts w:ascii="宋体" w:hAnsi="宋体" w:cs="宋体"/>
                <w:color w:val="auto"/>
                <w:sz w:val="22"/>
                <w:szCs w:val="22"/>
                <w:highlight w:val="none"/>
              </w:rPr>
            </w:pPr>
            <w:r>
              <w:rPr>
                <w:rFonts w:hint="eastAsia" w:ascii="宋体" w:hAnsi="宋体" w:cs="宋体"/>
                <w:color w:val="auto"/>
                <w:sz w:val="22"/>
                <w:szCs w:val="22"/>
                <w:highlight w:val="none"/>
              </w:rPr>
              <w:t>24</w:t>
            </w:r>
          </w:p>
        </w:tc>
        <w:tc>
          <w:tcPr>
            <w:tcW w:w="1334" w:type="dxa"/>
            <w:tcBorders>
              <w:tl2br w:val="nil"/>
              <w:tr2bl w:val="nil"/>
            </w:tcBorders>
            <w:shd w:val="clear" w:color="auto" w:fill="auto"/>
            <w:vAlign w:val="center"/>
          </w:tcPr>
          <w:p w14:paraId="3FB0A5E5">
            <w:pPr>
              <w:jc w:val="center"/>
              <w:rPr>
                <w:rFonts w:ascii="宋体" w:hAnsi="宋体" w:cs="宋体"/>
                <w:color w:val="auto"/>
                <w:sz w:val="22"/>
                <w:szCs w:val="22"/>
                <w:highlight w:val="none"/>
              </w:rPr>
            </w:pPr>
            <w:r>
              <w:rPr>
                <w:rFonts w:hint="eastAsia" w:ascii="宋体" w:hAnsi="宋体" w:cs="宋体"/>
                <w:color w:val="auto"/>
                <w:sz w:val="22"/>
                <w:szCs w:val="22"/>
                <w:highlight w:val="none"/>
              </w:rPr>
              <w:t>远程复制</w:t>
            </w:r>
          </w:p>
        </w:tc>
        <w:tc>
          <w:tcPr>
            <w:tcW w:w="7596" w:type="dxa"/>
            <w:tcBorders>
              <w:tl2br w:val="nil"/>
              <w:tr2bl w:val="nil"/>
            </w:tcBorders>
            <w:shd w:val="clear" w:color="auto" w:fill="auto"/>
            <w:vAlign w:val="center"/>
          </w:tcPr>
          <w:p w14:paraId="0AE45CD4">
            <w:pPr>
              <w:rPr>
                <w:rFonts w:ascii="宋体" w:hAnsi="宋体" w:cs="宋体"/>
                <w:color w:val="auto"/>
                <w:sz w:val="22"/>
                <w:szCs w:val="22"/>
                <w:highlight w:val="none"/>
              </w:rPr>
            </w:pPr>
            <w:r>
              <w:rPr>
                <w:rFonts w:hint="eastAsia" w:ascii="宋体" w:hAnsi="宋体" w:cs="宋体"/>
                <w:color w:val="auto"/>
                <w:sz w:val="22"/>
                <w:szCs w:val="22"/>
                <w:highlight w:val="none"/>
              </w:rPr>
              <w:t>配置基于存储产品自身的同步和异步复制软件许可，提供基于FC接口的同步复制功能，基于FC链路复制功能。</w:t>
            </w:r>
          </w:p>
        </w:tc>
      </w:tr>
      <w:tr w14:paraId="774CA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1123BC01">
            <w:pPr>
              <w:jc w:val="center"/>
              <w:rPr>
                <w:rFonts w:ascii="宋体" w:hAnsi="宋体" w:cs="宋体"/>
                <w:color w:val="auto"/>
                <w:sz w:val="22"/>
                <w:szCs w:val="22"/>
                <w:highlight w:val="none"/>
              </w:rPr>
            </w:pPr>
            <w:r>
              <w:rPr>
                <w:rFonts w:hint="eastAsia" w:ascii="宋体" w:hAnsi="宋体" w:cs="宋体"/>
                <w:color w:val="auto"/>
                <w:sz w:val="22"/>
                <w:szCs w:val="22"/>
                <w:highlight w:val="none"/>
              </w:rPr>
              <w:t>25</w:t>
            </w:r>
          </w:p>
        </w:tc>
        <w:tc>
          <w:tcPr>
            <w:tcW w:w="1334" w:type="dxa"/>
            <w:tcBorders>
              <w:tl2br w:val="nil"/>
              <w:tr2bl w:val="nil"/>
            </w:tcBorders>
            <w:shd w:val="clear" w:color="auto" w:fill="auto"/>
            <w:vAlign w:val="center"/>
          </w:tcPr>
          <w:p w14:paraId="03444AB3">
            <w:pPr>
              <w:jc w:val="center"/>
              <w:rPr>
                <w:rFonts w:ascii="宋体" w:hAnsi="宋体" w:cs="宋体"/>
                <w:color w:val="auto"/>
                <w:sz w:val="22"/>
                <w:szCs w:val="22"/>
                <w:highlight w:val="none"/>
              </w:rPr>
            </w:pPr>
            <w:r>
              <w:rPr>
                <w:rFonts w:hint="eastAsia" w:ascii="宋体" w:hAnsi="宋体" w:cs="宋体"/>
                <w:color w:val="auto"/>
                <w:sz w:val="22"/>
                <w:szCs w:val="22"/>
                <w:highlight w:val="none"/>
              </w:rPr>
              <w:t>容灾管理</w:t>
            </w:r>
          </w:p>
        </w:tc>
        <w:tc>
          <w:tcPr>
            <w:tcW w:w="7596" w:type="dxa"/>
            <w:tcBorders>
              <w:tl2br w:val="nil"/>
              <w:tr2bl w:val="nil"/>
            </w:tcBorders>
            <w:shd w:val="clear" w:color="auto" w:fill="auto"/>
            <w:vAlign w:val="center"/>
          </w:tcPr>
          <w:p w14:paraId="7FA3B1C6">
            <w:pPr>
              <w:rPr>
                <w:rFonts w:ascii="宋体" w:hAnsi="宋体" w:cs="宋体"/>
                <w:color w:val="auto"/>
                <w:sz w:val="22"/>
                <w:szCs w:val="22"/>
                <w:highlight w:val="none"/>
              </w:rPr>
            </w:pPr>
            <w:r>
              <w:rPr>
                <w:rFonts w:hint="eastAsia" w:ascii="宋体" w:hAnsi="宋体" w:cs="宋体"/>
                <w:color w:val="auto"/>
                <w:sz w:val="22"/>
                <w:szCs w:val="22"/>
                <w:highlight w:val="none"/>
              </w:rPr>
              <w:t>提供与双活存储设备相同品牌的容灾管理软件。</w:t>
            </w:r>
          </w:p>
        </w:tc>
      </w:tr>
      <w:tr w14:paraId="33B02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203D310A">
            <w:pPr>
              <w:jc w:val="center"/>
              <w:rPr>
                <w:rFonts w:ascii="宋体" w:hAnsi="宋体" w:cs="宋体"/>
                <w:color w:val="auto"/>
                <w:sz w:val="22"/>
                <w:szCs w:val="22"/>
                <w:highlight w:val="none"/>
              </w:rPr>
            </w:pPr>
            <w:r>
              <w:rPr>
                <w:rFonts w:hint="eastAsia" w:ascii="宋体" w:hAnsi="宋体" w:cs="宋体"/>
                <w:color w:val="auto"/>
                <w:sz w:val="22"/>
                <w:szCs w:val="22"/>
                <w:highlight w:val="none"/>
              </w:rPr>
              <w:t>26</w:t>
            </w:r>
          </w:p>
        </w:tc>
        <w:tc>
          <w:tcPr>
            <w:tcW w:w="1334" w:type="dxa"/>
            <w:tcBorders>
              <w:tl2br w:val="nil"/>
              <w:tr2bl w:val="nil"/>
            </w:tcBorders>
            <w:shd w:val="clear" w:color="auto" w:fill="auto"/>
            <w:vAlign w:val="center"/>
          </w:tcPr>
          <w:p w14:paraId="405C527C">
            <w:pPr>
              <w:jc w:val="center"/>
              <w:rPr>
                <w:rFonts w:ascii="宋体" w:hAnsi="宋体" w:cs="宋体"/>
                <w:color w:val="auto"/>
                <w:sz w:val="22"/>
                <w:szCs w:val="22"/>
                <w:highlight w:val="none"/>
              </w:rPr>
            </w:pPr>
            <w:r>
              <w:rPr>
                <w:rFonts w:hint="eastAsia" w:ascii="宋体" w:hAnsi="宋体" w:cs="宋体"/>
                <w:color w:val="auto"/>
                <w:sz w:val="22"/>
                <w:szCs w:val="22"/>
                <w:highlight w:val="none"/>
              </w:rPr>
              <w:t>多租户</w:t>
            </w:r>
          </w:p>
        </w:tc>
        <w:tc>
          <w:tcPr>
            <w:tcW w:w="7596" w:type="dxa"/>
            <w:tcBorders>
              <w:tl2br w:val="nil"/>
              <w:tr2bl w:val="nil"/>
            </w:tcBorders>
            <w:shd w:val="clear" w:color="auto" w:fill="auto"/>
            <w:vAlign w:val="center"/>
          </w:tcPr>
          <w:p w14:paraId="4EFC850A">
            <w:pPr>
              <w:rPr>
                <w:rFonts w:ascii="宋体" w:hAnsi="宋体" w:cs="宋体"/>
                <w:color w:val="auto"/>
                <w:sz w:val="22"/>
                <w:szCs w:val="22"/>
                <w:highlight w:val="none"/>
              </w:rPr>
            </w:pPr>
            <w:r>
              <w:rPr>
                <w:rFonts w:hint="eastAsia" w:ascii="宋体" w:hAnsi="宋体" w:cs="宋体"/>
                <w:color w:val="auto"/>
                <w:sz w:val="22"/>
                <w:szCs w:val="22"/>
                <w:highlight w:val="none"/>
              </w:rPr>
              <w:t>支持并配置文件系统多租户功能，实现隔离租户间的资源。</w:t>
            </w:r>
          </w:p>
        </w:tc>
      </w:tr>
      <w:tr w14:paraId="7F217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4AA11959">
            <w:pPr>
              <w:jc w:val="center"/>
              <w:rPr>
                <w:rFonts w:ascii="宋体" w:hAnsi="宋体" w:cs="宋体"/>
                <w:color w:val="auto"/>
                <w:sz w:val="22"/>
                <w:szCs w:val="22"/>
                <w:highlight w:val="none"/>
              </w:rPr>
            </w:pPr>
            <w:r>
              <w:rPr>
                <w:rFonts w:hint="eastAsia" w:ascii="宋体" w:hAnsi="宋体" w:cs="宋体"/>
                <w:color w:val="auto"/>
                <w:sz w:val="22"/>
                <w:szCs w:val="22"/>
                <w:highlight w:val="none"/>
              </w:rPr>
              <w:t>27</w:t>
            </w:r>
          </w:p>
        </w:tc>
        <w:tc>
          <w:tcPr>
            <w:tcW w:w="1334" w:type="dxa"/>
            <w:tcBorders>
              <w:tl2br w:val="nil"/>
              <w:tr2bl w:val="nil"/>
            </w:tcBorders>
            <w:shd w:val="clear" w:color="auto" w:fill="auto"/>
            <w:vAlign w:val="center"/>
          </w:tcPr>
          <w:p w14:paraId="10380316">
            <w:pPr>
              <w:jc w:val="center"/>
              <w:rPr>
                <w:rFonts w:ascii="宋体" w:hAnsi="宋体" w:cs="宋体"/>
                <w:color w:val="auto"/>
                <w:sz w:val="22"/>
                <w:szCs w:val="22"/>
                <w:highlight w:val="none"/>
              </w:rPr>
            </w:pPr>
            <w:r>
              <w:rPr>
                <w:rFonts w:hint="eastAsia" w:ascii="宋体" w:hAnsi="宋体" w:cs="宋体"/>
                <w:color w:val="auto"/>
                <w:sz w:val="22"/>
                <w:szCs w:val="22"/>
                <w:highlight w:val="none"/>
              </w:rPr>
              <w:t>存储专用多路径软件</w:t>
            </w:r>
          </w:p>
        </w:tc>
        <w:tc>
          <w:tcPr>
            <w:tcW w:w="7596" w:type="dxa"/>
            <w:tcBorders>
              <w:tl2br w:val="nil"/>
              <w:tr2bl w:val="nil"/>
            </w:tcBorders>
            <w:shd w:val="clear" w:color="auto" w:fill="auto"/>
            <w:vAlign w:val="center"/>
          </w:tcPr>
          <w:p w14:paraId="6D970CB3">
            <w:pPr>
              <w:rPr>
                <w:rFonts w:ascii="宋体" w:hAnsi="宋体" w:cs="宋体"/>
                <w:color w:val="auto"/>
                <w:sz w:val="22"/>
                <w:szCs w:val="22"/>
                <w:highlight w:val="none"/>
              </w:rPr>
            </w:pPr>
            <w:r>
              <w:rPr>
                <w:rFonts w:hint="eastAsia" w:ascii="宋体" w:hAnsi="宋体" w:cs="宋体"/>
                <w:color w:val="auto"/>
                <w:sz w:val="22"/>
                <w:szCs w:val="22"/>
                <w:highlight w:val="none"/>
              </w:rPr>
              <w:t>存储厂商提供专有多路径（非操作系统自带多路径）软件，提供故障切换和负载均衡功能，支持Windows/Linux。</w:t>
            </w:r>
          </w:p>
        </w:tc>
      </w:tr>
      <w:tr w14:paraId="6BEA5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5" w:type="dxa"/>
            <w:tcBorders>
              <w:tl2br w:val="nil"/>
              <w:tr2bl w:val="nil"/>
            </w:tcBorders>
            <w:shd w:val="clear" w:color="000000" w:fill="FFFFFF"/>
            <w:vAlign w:val="center"/>
          </w:tcPr>
          <w:p w14:paraId="5E0DC1A2">
            <w:pPr>
              <w:jc w:val="center"/>
              <w:rPr>
                <w:rFonts w:ascii="宋体" w:hAnsi="宋体" w:cs="宋体"/>
                <w:color w:val="auto"/>
                <w:sz w:val="22"/>
                <w:szCs w:val="22"/>
                <w:highlight w:val="none"/>
              </w:rPr>
            </w:pPr>
            <w:r>
              <w:rPr>
                <w:rFonts w:hint="eastAsia" w:ascii="宋体" w:hAnsi="宋体" w:cs="宋体"/>
                <w:color w:val="auto"/>
                <w:sz w:val="22"/>
                <w:szCs w:val="22"/>
                <w:highlight w:val="none"/>
              </w:rPr>
              <w:t>28</w:t>
            </w:r>
          </w:p>
        </w:tc>
        <w:tc>
          <w:tcPr>
            <w:tcW w:w="1334" w:type="dxa"/>
            <w:tcBorders>
              <w:tl2br w:val="nil"/>
              <w:tr2bl w:val="nil"/>
            </w:tcBorders>
            <w:shd w:val="clear" w:color="auto" w:fill="auto"/>
            <w:vAlign w:val="center"/>
          </w:tcPr>
          <w:p w14:paraId="0363A428">
            <w:pPr>
              <w:jc w:val="center"/>
              <w:rPr>
                <w:rFonts w:ascii="宋体" w:hAnsi="宋体" w:cs="宋体"/>
                <w:color w:val="auto"/>
                <w:sz w:val="22"/>
                <w:szCs w:val="22"/>
                <w:highlight w:val="none"/>
              </w:rPr>
            </w:pPr>
            <w:r>
              <w:rPr>
                <w:rFonts w:hint="eastAsia" w:ascii="宋体" w:hAnsi="宋体" w:cs="宋体"/>
                <w:color w:val="auto"/>
                <w:sz w:val="22"/>
                <w:szCs w:val="22"/>
                <w:highlight w:val="none"/>
              </w:rPr>
              <w:t>售后服务</w:t>
            </w:r>
          </w:p>
        </w:tc>
        <w:tc>
          <w:tcPr>
            <w:tcW w:w="7596" w:type="dxa"/>
            <w:tcBorders>
              <w:tl2br w:val="nil"/>
              <w:tr2bl w:val="nil"/>
            </w:tcBorders>
            <w:shd w:val="clear" w:color="auto" w:fill="auto"/>
            <w:vAlign w:val="center"/>
          </w:tcPr>
          <w:p w14:paraId="3F98F5A7">
            <w:pPr>
              <w:rPr>
                <w:rFonts w:ascii="宋体" w:hAnsi="宋体" w:cs="宋体"/>
                <w:color w:val="auto"/>
                <w:sz w:val="22"/>
                <w:szCs w:val="22"/>
                <w:highlight w:val="none"/>
              </w:rPr>
            </w:pPr>
            <w:r>
              <w:rPr>
                <w:rFonts w:hint="eastAsia" w:ascii="宋体" w:hAnsi="宋体" w:cs="宋体"/>
                <w:color w:val="auto"/>
                <w:sz w:val="22"/>
                <w:szCs w:val="22"/>
                <w:highlight w:val="none"/>
              </w:rPr>
              <w:t>提供3年原厂维保；设备生产厂商需在国内设有400技术服务热线。投标时提供原厂售后服务承诺函盖鲜章原件，最终用户为温州市交通运输管理局。</w:t>
            </w:r>
          </w:p>
        </w:tc>
      </w:tr>
    </w:tbl>
    <w:p w14:paraId="300DD038">
      <w:pPr>
        <w:rPr>
          <w:rFonts w:eastAsia="仿宋_GB2312"/>
          <w:color w:val="auto"/>
          <w:highlight w:val="none"/>
        </w:rPr>
      </w:pPr>
    </w:p>
    <w:p w14:paraId="6FDA1D0B">
      <w:pPr>
        <w:jc w:val="center"/>
        <w:rPr>
          <w:rFonts w:eastAsia="仿宋_GB2312"/>
          <w:b/>
          <w:bCs/>
          <w:color w:val="auto"/>
          <w:sz w:val="30"/>
          <w:szCs w:val="30"/>
          <w:highlight w:val="none"/>
        </w:rPr>
      </w:pPr>
      <w:r>
        <w:rPr>
          <w:rFonts w:hint="eastAsia" w:ascii="宋体" w:hAnsi="宋体" w:cs="宋体"/>
          <w:b/>
          <w:bCs/>
          <w:color w:val="auto"/>
          <w:sz w:val="24"/>
          <w:highlight w:val="none"/>
        </w:rPr>
        <w:t>2.容灾管理软件</w:t>
      </w:r>
    </w:p>
    <w:tbl>
      <w:tblPr>
        <w:tblStyle w:val="63"/>
        <w:tblW w:w="9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334"/>
        <w:gridCol w:w="7593"/>
      </w:tblGrid>
      <w:tr w14:paraId="1568E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828" w:type="dxa"/>
            <w:shd w:val="clear" w:color="000000" w:fill="FFFFFF"/>
            <w:vAlign w:val="center"/>
          </w:tcPr>
          <w:p w14:paraId="0CCFB1A0">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序号</w:t>
            </w:r>
          </w:p>
        </w:tc>
        <w:tc>
          <w:tcPr>
            <w:tcW w:w="1334" w:type="dxa"/>
            <w:shd w:val="clear" w:color="000000" w:fill="FFFFFF"/>
            <w:vAlign w:val="center"/>
          </w:tcPr>
          <w:p w14:paraId="1839D7DC">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指标项</w:t>
            </w:r>
          </w:p>
        </w:tc>
        <w:tc>
          <w:tcPr>
            <w:tcW w:w="7593" w:type="dxa"/>
            <w:shd w:val="clear" w:color="000000" w:fill="FFFFFF"/>
            <w:vAlign w:val="center"/>
          </w:tcPr>
          <w:p w14:paraId="7AD07223">
            <w:pPr>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指标要求</w:t>
            </w:r>
          </w:p>
        </w:tc>
      </w:tr>
      <w:tr w14:paraId="18792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3C73C9B8">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1334" w:type="dxa"/>
            <w:shd w:val="clear" w:color="000000" w:fill="FFFFFF"/>
            <w:vAlign w:val="center"/>
          </w:tcPr>
          <w:p w14:paraId="74202448">
            <w:pPr>
              <w:jc w:val="center"/>
              <w:rPr>
                <w:rFonts w:ascii="宋体" w:hAnsi="宋体" w:cs="宋体"/>
                <w:color w:val="auto"/>
                <w:sz w:val="22"/>
                <w:szCs w:val="22"/>
                <w:highlight w:val="none"/>
              </w:rPr>
            </w:pPr>
            <w:r>
              <w:rPr>
                <w:rFonts w:hint="eastAsia" w:ascii="宋体" w:hAnsi="宋体" w:cs="宋体"/>
                <w:color w:val="auto"/>
                <w:sz w:val="22"/>
                <w:szCs w:val="22"/>
                <w:highlight w:val="none"/>
              </w:rPr>
              <w:t>容灾场景</w:t>
            </w:r>
          </w:p>
        </w:tc>
        <w:tc>
          <w:tcPr>
            <w:tcW w:w="7593" w:type="dxa"/>
            <w:shd w:val="clear" w:color="000000" w:fill="FFFFFF"/>
            <w:vAlign w:val="center"/>
          </w:tcPr>
          <w:p w14:paraId="31C124AB">
            <w:pPr>
              <w:rPr>
                <w:rFonts w:ascii="宋体" w:hAnsi="宋体" w:cs="宋体"/>
                <w:color w:val="auto"/>
                <w:sz w:val="22"/>
                <w:szCs w:val="22"/>
                <w:highlight w:val="none"/>
              </w:rPr>
            </w:pPr>
            <w:r>
              <w:rPr>
                <w:rFonts w:hint="eastAsia" w:ascii="宋体" w:hAnsi="宋体" w:cs="宋体"/>
                <w:color w:val="auto"/>
                <w:sz w:val="22"/>
                <w:szCs w:val="22"/>
                <w:highlight w:val="none"/>
              </w:rPr>
              <w:t>满足对主备、ROBO、两地三中心、双活数据中心、本地保护、本地高可用等容灾场景等管理</w:t>
            </w:r>
          </w:p>
        </w:tc>
      </w:tr>
      <w:tr w14:paraId="7A207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0AD2EFA2">
            <w:pPr>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334" w:type="dxa"/>
            <w:shd w:val="clear" w:color="000000" w:fill="FFFFFF"/>
            <w:vAlign w:val="center"/>
          </w:tcPr>
          <w:p w14:paraId="697B836A">
            <w:pPr>
              <w:jc w:val="center"/>
              <w:rPr>
                <w:rFonts w:ascii="宋体" w:hAnsi="宋体" w:cs="宋体"/>
                <w:color w:val="auto"/>
                <w:sz w:val="22"/>
                <w:szCs w:val="22"/>
                <w:highlight w:val="none"/>
              </w:rPr>
            </w:pPr>
            <w:r>
              <w:rPr>
                <w:rFonts w:hint="eastAsia" w:ascii="宋体" w:hAnsi="宋体" w:cs="宋体"/>
                <w:color w:val="auto"/>
                <w:sz w:val="22"/>
                <w:szCs w:val="22"/>
                <w:highlight w:val="none"/>
              </w:rPr>
              <w:t>基于策略的自动化容灾保护</w:t>
            </w:r>
          </w:p>
        </w:tc>
        <w:tc>
          <w:tcPr>
            <w:tcW w:w="7593" w:type="dxa"/>
            <w:shd w:val="clear" w:color="000000" w:fill="FFFFFF"/>
            <w:vAlign w:val="center"/>
          </w:tcPr>
          <w:p w14:paraId="7270B7A2">
            <w:pPr>
              <w:rPr>
                <w:rFonts w:ascii="宋体" w:hAnsi="宋体" w:cs="宋体"/>
                <w:color w:val="auto"/>
                <w:sz w:val="22"/>
                <w:szCs w:val="22"/>
                <w:highlight w:val="none"/>
              </w:rPr>
            </w:pPr>
            <w:r>
              <w:rPr>
                <w:rFonts w:hint="eastAsia" w:ascii="宋体" w:hAnsi="宋体" w:cs="宋体"/>
                <w:color w:val="auto"/>
                <w:sz w:val="22"/>
                <w:szCs w:val="22"/>
                <w:highlight w:val="none"/>
              </w:rPr>
              <w:t xml:space="preserve">支持自定义容灾保护策略，可制定不同的保护策略自动完成应用保护 </w:t>
            </w:r>
          </w:p>
        </w:tc>
      </w:tr>
      <w:tr w14:paraId="652BA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5D71819F">
            <w:pPr>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1334" w:type="dxa"/>
            <w:shd w:val="clear" w:color="000000" w:fill="FFFFFF"/>
            <w:vAlign w:val="center"/>
          </w:tcPr>
          <w:p w14:paraId="3D1E9384">
            <w:pPr>
              <w:jc w:val="center"/>
              <w:rPr>
                <w:rFonts w:ascii="宋体" w:hAnsi="宋体" w:cs="宋体"/>
                <w:color w:val="auto"/>
                <w:sz w:val="22"/>
                <w:szCs w:val="22"/>
                <w:highlight w:val="none"/>
              </w:rPr>
            </w:pPr>
            <w:r>
              <w:rPr>
                <w:rFonts w:hint="eastAsia" w:ascii="宋体" w:hAnsi="宋体" w:cs="宋体"/>
                <w:color w:val="auto"/>
                <w:sz w:val="22"/>
                <w:szCs w:val="22"/>
                <w:highlight w:val="none"/>
              </w:rPr>
              <w:t>自定义容灾恢复策略</w:t>
            </w:r>
          </w:p>
        </w:tc>
        <w:tc>
          <w:tcPr>
            <w:tcW w:w="7593" w:type="dxa"/>
            <w:shd w:val="clear" w:color="000000" w:fill="FFFFFF"/>
            <w:vAlign w:val="center"/>
          </w:tcPr>
          <w:p w14:paraId="6550ECC0">
            <w:pPr>
              <w:rPr>
                <w:rFonts w:ascii="宋体" w:hAnsi="宋体" w:cs="宋体"/>
                <w:color w:val="auto"/>
                <w:sz w:val="22"/>
                <w:szCs w:val="22"/>
                <w:highlight w:val="none"/>
              </w:rPr>
            </w:pPr>
            <w:r>
              <w:rPr>
                <w:rFonts w:hint="eastAsia" w:ascii="宋体" w:hAnsi="宋体" w:cs="宋体"/>
                <w:color w:val="auto"/>
                <w:sz w:val="22"/>
                <w:szCs w:val="22"/>
                <w:highlight w:val="none"/>
              </w:rPr>
              <w:t xml:space="preserve">支持自定义恢复策略：恢复顺序、优先级、以及恢复步骤等 </w:t>
            </w:r>
          </w:p>
        </w:tc>
      </w:tr>
      <w:tr w14:paraId="18DD3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1FBF0178">
            <w:pPr>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1334" w:type="dxa"/>
            <w:shd w:val="clear" w:color="000000" w:fill="FFFFFF"/>
            <w:vAlign w:val="center"/>
          </w:tcPr>
          <w:p w14:paraId="45864789">
            <w:pPr>
              <w:jc w:val="center"/>
              <w:rPr>
                <w:rFonts w:ascii="宋体" w:hAnsi="宋体" w:cs="宋体"/>
                <w:color w:val="auto"/>
                <w:sz w:val="22"/>
                <w:szCs w:val="22"/>
                <w:highlight w:val="none"/>
              </w:rPr>
            </w:pPr>
            <w:r>
              <w:rPr>
                <w:rFonts w:hint="eastAsia" w:ascii="宋体" w:hAnsi="宋体" w:cs="宋体"/>
                <w:color w:val="auto"/>
                <w:sz w:val="22"/>
                <w:szCs w:val="22"/>
                <w:highlight w:val="none"/>
              </w:rPr>
              <w:t>容灾测试</w:t>
            </w:r>
          </w:p>
        </w:tc>
        <w:tc>
          <w:tcPr>
            <w:tcW w:w="7593" w:type="dxa"/>
            <w:shd w:val="clear" w:color="000000" w:fill="FFFFFF"/>
            <w:vAlign w:val="center"/>
          </w:tcPr>
          <w:p w14:paraId="22B60CC0">
            <w:pPr>
              <w:rPr>
                <w:rFonts w:ascii="宋体" w:hAnsi="宋体" w:cs="宋体"/>
                <w:color w:val="auto"/>
                <w:sz w:val="22"/>
                <w:szCs w:val="22"/>
                <w:highlight w:val="none"/>
              </w:rPr>
            </w:pPr>
            <w:r>
              <w:rPr>
                <w:rFonts w:hint="eastAsia" w:ascii="宋体" w:hAnsi="宋体" w:cs="宋体"/>
                <w:color w:val="auto"/>
                <w:sz w:val="22"/>
                <w:szCs w:val="22"/>
                <w:highlight w:val="none"/>
              </w:rPr>
              <w:t>支持一键式容灾测试与清理</w:t>
            </w:r>
          </w:p>
        </w:tc>
      </w:tr>
      <w:tr w14:paraId="7A2CA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2C29BC6E">
            <w:pPr>
              <w:jc w:val="center"/>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1334" w:type="dxa"/>
            <w:shd w:val="clear" w:color="000000" w:fill="FFFFFF"/>
            <w:vAlign w:val="center"/>
          </w:tcPr>
          <w:p w14:paraId="39597901">
            <w:pPr>
              <w:jc w:val="center"/>
              <w:rPr>
                <w:rFonts w:ascii="宋体" w:hAnsi="宋体" w:cs="宋体"/>
                <w:color w:val="auto"/>
                <w:sz w:val="22"/>
                <w:szCs w:val="22"/>
                <w:highlight w:val="none"/>
              </w:rPr>
            </w:pPr>
            <w:r>
              <w:rPr>
                <w:rFonts w:hint="eastAsia" w:ascii="宋体" w:hAnsi="宋体" w:cs="宋体"/>
                <w:color w:val="auto"/>
                <w:sz w:val="22"/>
                <w:szCs w:val="22"/>
                <w:highlight w:val="none"/>
              </w:rPr>
              <w:t>容灾切换</w:t>
            </w:r>
          </w:p>
        </w:tc>
        <w:tc>
          <w:tcPr>
            <w:tcW w:w="7593" w:type="dxa"/>
            <w:shd w:val="clear" w:color="000000" w:fill="FFFFFF"/>
            <w:vAlign w:val="center"/>
          </w:tcPr>
          <w:p w14:paraId="1ADBE5D5">
            <w:pPr>
              <w:rPr>
                <w:rFonts w:ascii="宋体" w:hAnsi="宋体" w:cs="宋体"/>
                <w:color w:val="auto"/>
                <w:sz w:val="22"/>
                <w:szCs w:val="22"/>
                <w:highlight w:val="none"/>
              </w:rPr>
            </w:pPr>
            <w:r>
              <w:rPr>
                <w:rFonts w:hint="eastAsia" w:ascii="宋体" w:hAnsi="宋体" w:cs="宋体"/>
                <w:color w:val="auto"/>
                <w:sz w:val="22"/>
                <w:szCs w:val="22"/>
                <w:highlight w:val="none"/>
              </w:rPr>
              <w:t>支持一键式计划性迁移与故障恢复</w:t>
            </w:r>
          </w:p>
        </w:tc>
      </w:tr>
      <w:tr w14:paraId="2EFEB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0867DEAF">
            <w:pPr>
              <w:jc w:val="center"/>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1334" w:type="dxa"/>
            <w:shd w:val="clear" w:color="000000" w:fill="FFFFFF"/>
            <w:vAlign w:val="center"/>
          </w:tcPr>
          <w:p w14:paraId="20F7F12E">
            <w:pPr>
              <w:jc w:val="center"/>
              <w:rPr>
                <w:rFonts w:ascii="宋体" w:hAnsi="宋体" w:cs="宋体"/>
                <w:color w:val="auto"/>
                <w:sz w:val="22"/>
                <w:szCs w:val="22"/>
                <w:highlight w:val="none"/>
              </w:rPr>
            </w:pPr>
            <w:r>
              <w:rPr>
                <w:rFonts w:hint="eastAsia" w:ascii="宋体" w:hAnsi="宋体" w:cs="宋体"/>
                <w:color w:val="auto"/>
                <w:sz w:val="22"/>
                <w:szCs w:val="22"/>
                <w:highlight w:val="none"/>
              </w:rPr>
              <w:t>重保护</w:t>
            </w:r>
          </w:p>
        </w:tc>
        <w:tc>
          <w:tcPr>
            <w:tcW w:w="7593" w:type="dxa"/>
            <w:shd w:val="clear" w:color="000000" w:fill="FFFFFF"/>
            <w:vAlign w:val="center"/>
          </w:tcPr>
          <w:p w14:paraId="5074DEA6">
            <w:pPr>
              <w:rPr>
                <w:rFonts w:ascii="宋体" w:hAnsi="宋体" w:cs="宋体"/>
                <w:color w:val="auto"/>
                <w:sz w:val="22"/>
                <w:szCs w:val="22"/>
                <w:highlight w:val="none"/>
              </w:rPr>
            </w:pPr>
            <w:r>
              <w:rPr>
                <w:rFonts w:hint="eastAsia" w:ascii="宋体" w:hAnsi="宋体" w:cs="宋体"/>
                <w:color w:val="auto"/>
                <w:sz w:val="22"/>
                <w:szCs w:val="22"/>
                <w:highlight w:val="none"/>
              </w:rPr>
              <w:t>支持容灾切换后，可对应用自动建立反向的容灾保护关系</w:t>
            </w:r>
          </w:p>
        </w:tc>
      </w:tr>
      <w:tr w14:paraId="3FE4F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563F5CD5">
            <w:pPr>
              <w:jc w:val="center"/>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1334" w:type="dxa"/>
            <w:shd w:val="clear" w:color="000000" w:fill="FFFFFF"/>
            <w:vAlign w:val="center"/>
          </w:tcPr>
          <w:p w14:paraId="64623BA1">
            <w:pPr>
              <w:jc w:val="center"/>
              <w:rPr>
                <w:rFonts w:ascii="宋体" w:hAnsi="宋体" w:cs="宋体"/>
                <w:color w:val="auto"/>
                <w:sz w:val="22"/>
                <w:szCs w:val="22"/>
                <w:highlight w:val="none"/>
              </w:rPr>
            </w:pPr>
            <w:r>
              <w:rPr>
                <w:rFonts w:hint="eastAsia" w:ascii="宋体" w:hAnsi="宋体" w:cs="宋体"/>
                <w:color w:val="auto"/>
                <w:sz w:val="22"/>
                <w:szCs w:val="22"/>
                <w:highlight w:val="none"/>
              </w:rPr>
              <w:t>可视化容灾监控</w:t>
            </w:r>
          </w:p>
        </w:tc>
        <w:tc>
          <w:tcPr>
            <w:tcW w:w="7593" w:type="dxa"/>
            <w:shd w:val="clear" w:color="000000" w:fill="FFFFFF"/>
            <w:vAlign w:val="center"/>
          </w:tcPr>
          <w:p w14:paraId="6E27DF30">
            <w:pPr>
              <w:rPr>
                <w:rFonts w:ascii="宋体" w:hAnsi="宋体" w:cs="宋体"/>
                <w:color w:val="auto"/>
                <w:sz w:val="22"/>
                <w:szCs w:val="22"/>
                <w:highlight w:val="none"/>
              </w:rPr>
            </w:pPr>
            <w:r>
              <w:rPr>
                <w:rFonts w:hint="eastAsia" w:ascii="宋体" w:hAnsi="宋体" w:cs="宋体"/>
                <w:color w:val="auto"/>
                <w:sz w:val="22"/>
                <w:szCs w:val="22"/>
                <w:highlight w:val="none"/>
              </w:rPr>
              <w:t xml:space="preserve">端到端的容灾拓扑：监控网元与组网故障点；容灾保护与恢复流程可视化 </w:t>
            </w:r>
          </w:p>
        </w:tc>
      </w:tr>
      <w:tr w14:paraId="44ED5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74A60008">
            <w:pPr>
              <w:jc w:val="center"/>
              <w:rPr>
                <w:rFonts w:ascii="宋体" w:hAnsi="宋体" w:cs="宋体"/>
                <w:color w:val="auto"/>
                <w:sz w:val="22"/>
                <w:szCs w:val="22"/>
                <w:highlight w:val="none"/>
              </w:rPr>
            </w:pPr>
            <w:r>
              <w:rPr>
                <w:rFonts w:hint="eastAsia" w:ascii="宋体" w:hAnsi="宋体" w:cs="宋体"/>
                <w:color w:val="auto"/>
                <w:sz w:val="22"/>
                <w:szCs w:val="22"/>
                <w:highlight w:val="none"/>
              </w:rPr>
              <w:t>8</w:t>
            </w:r>
          </w:p>
        </w:tc>
        <w:tc>
          <w:tcPr>
            <w:tcW w:w="1334" w:type="dxa"/>
            <w:shd w:val="clear" w:color="000000" w:fill="FFFFFF"/>
            <w:vAlign w:val="center"/>
          </w:tcPr>
          <w:p w14:paraId="2580B920">
            <w:pPr>
              <w:jc w:val="center"/>
              <w:rPr>
                <w:rFonts w:ascii="宋体" w:hAnsi="宋体" w:cs="宋体"/>
                <w:color w:val="auto"/>
                <w:sz w:val="22"/>
                <w:szCs w:val="22"/>
                <w:highlight w:val="none"/>
              </w:rPr>
            </w:pPr>
            <w:r>
              <w:rPr>
                <w:rFonts w:hint="eastAsia" w:ascii="宋体" w:hAnsi="宋体" w:cs="宋体"/>
                <w:color w:val="auto"/>
                <w:sz w:val="22"/>
                <w:szCs w:val="22"/>
                <w:highlight w:val="none"/>
              </w:rPr>
              <w:t>RPO满足度、RTO统计</w:t>
            </w:r>
          </w:p>
        </w:tc>
        <w:tc>
          <w:tcPr>
            <w:tcW w:w="7593" w:type="dxa"/>
            <w:shd w:val="clear" w:color="000000" w:fill="FFFFFF"/>
            <w:vAlign w:val="center"/>
          </w:tcPr>
          <w:p w14:paraId="238C614E">
            <w:pPr>
              <w:rPr>
                <w:rFonts w:ascii="宋体" w:hAnsi="宋体" w:cs="宋体"/>
                <w:color w:val="auto"/>
                <w:sz w:val="22"/>
                <w:szCs w:val="22"/>
                <w:highlight w:val="none"/>
              </w:rPr>
            </w:pPr>
            <w:r>
              <w:rPr>
                <w:rFonts w:hint="eastAsia" w:ascii="宋体" w:hAnsi="宋体" w:cs="宋体"/>
                <w:color w:val="auto"/>
                <w:sz w:val="22"/>
                <w:szCs w:val="22"/>
                <w:highlight w:val="none"/>
              </w:rPr>
              <w:t>能够实时监控应用RPO是否满足，支持RTO统计</w:t>
            </w:r>
          </w:p>
        </w:tc>
      </w:tr>
      <w:tr w14:paraId="1F3A9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43E52B06">
            <w:pPr>
              <w:jc w:val="center"/>
              <w:rPr>
                <w:rFonts w:ascii="宋体" w:hAnsi="宋体" w:cs="宋体"/>
                <w:color w:val="auto"/>
                <w:sz w:val="22"/>
                <w:szCs w:val="22"/>
                <w:highlight w:val="none"/>
              </w:rPr>
            </w:pPr>
            <w:r>
              <w:rPr>
                <w:rFonts w:hint="eastAsia" w:ascii="宋体" w:hAnsi="宋体" w:cs="宋体"/>
                <w:color w:val="auto"/>
                <w:sz w:val="22"/>
                <w:szCs w:val="22"/>
                <w:highlight w:val="none"/>
              </w:rPr>
              <w:t>9</w:t>
            </w:r>
          </w:p>
        </w:tc>
        <w:tc>
          <w:tcPr>
            <w:tcW w:w="1334" w:type="dxa"/>
            <w:shd w:val="clear" w:color="000000" w:fill="FFFFFF"/>
            <w:vAlign w:val="center"/>
          </w:tcPr>
          <w:p w14:paraId="0D62FB21">
            <w:pPr>
              <w:jc w:val="center"/>
              <w:rPr>
                <w:rFonts w:ascii="宋体" w:hAnsi="宋体" w:cs="宋体"/>
                <w:color w:val="auto"/>
                <w:sz w:val="22"/>
                <w:szCs w:val="22"/>
                <w:highlight w:val="none"/>
              </w:rPr>
            </w:pPr>
            <w:r>
              <w:rPr>
                <w:rFonts w:hint="eastAsia" w:ascii="宋体" w:hAnsi="宋体" w:cs="宋体"/>
                <w:color w:val="auto"/>
                <w:sz w:val="22"/>
                <w:szCs w:val="22"/>
                <w:highlight w:val="none"/>
              </w:rPr>
              <w:t>容灾报表</w:t>
            </w:r>
          </w:p>
        </w:tc>
        <w:tc>
          <w:tcPr>
            <w:tcW w:w="7593" w:type="dxa"/>
            <w:shd w:val="clear" w:color="000000" w:fill="FFFFFF"/>
            <w:vAlign w:val="center"/>
          </w:tcPr>
          <w:p w14:paraId="348D46B3">
            <w:pPr>
              <w:rPr>
                <w:rFonts w:ascii="宋体" w:hAnsi="宋体" w:cs="宋体"/>
                <w:color w:val="auto"/>
                <w:sz w:val="22"/>
                <w:szCs w:val="22"/>
                <w:highlight w:val="none"/>
              </w:rPr>
            </w:pPr>
            <w:r>
              <w:rPr>
                <w:rFonts w:hint="eastAsia" w:ascii="宋体" w:hAnsi="宋体" w:cs="宋体"/>
                <w:color w:val="auto"/>
                <w:sz w:val="22"/>
                <w:szCs w:val="22"/>
                <w:highlight w:val="none"/>
              </w:rPr>
              <w:t>支持RPO遵从性报表、容灾保护、恢复报表展示与导出</w:t>
            </w:r>
          </w:p>
        </w:tc>
      </w:tr>
      <w:tr w14:paraId="2F644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5259E9B9">
            <w:pPr>
              <w:jc w:val="center"/>
              <w:rPr>
                <w:rFonts w:ascii="宋体" w:hAnsi="宋体" w:cs="宋体"/>
                <w:color w:val="auto"/>
                <w:sz w:val="22"/>
                <w:szCs w:val="22"/>
                <w:highlight w:val="none"/>
              </w:rPr>
            </w:pPr>
            <w:r>
              <w:rPr>
                <w:rFonts w:hint="eastAsia" w:ascii="宋体" w:hAnsi="宋体" w:cs="宋体"/>
                <w:color w:val="auto"/>
                <w:sz w:val="22"/>
                <w:szCs w:val="22"/>
                <w:highlight w:val="none"/>
              </w:rPr>
              <w:t>10</w:t>
            </w:r>
          </w:p>
        </w:tc>
        <w:tc>
          <w:tcPr>
            <w:tcW w:w="1334" w:type="dxa"/>
            <w:shd w:val="clear" w:color="000000" w:fill="FFFFFF"/>
            <w:vAlign w:val="center"/>
          </w:tcPr>
          <w:p w14:paraId="09A043FA">
            <w:pPr>
              <w:jc w:val="center"/>
              <w:rPr>
                <w:rFonts w:ascii="宋体" w:hAnsi="宋体" w:cs="宋体"/>
                <w:color w:val="auto"/>
                <w:sz w:val="22"/>
                <w:szCs w:val="22"/>
                <w:highlight w:val="none"/>
              </w:rPr>
            </w:pPr>
            <w:r>
              <w:rPr>
                <w:rFonts w:hint="eastAsia" w:ascii="宋体" w:hAnsi="宋体" w:cs="宋体"/>
                <w:color w:val="auto"/>
                <w:sz w:val="22"/>
                <w:szCs w:val="22"/>
                <w:highlight w:val="none"/>
              </w:rPr>
              <w:t>系统架构</w:t>
            </w:r>
          </w:p>
        </w:tc>
        <w:tc>
          <w:tcPr>
            <w:tcW w:w="7593" w:type="dxa"/>
            <w:shd w:val="clear" w:color="000000" w:fill="FFFFFF"/>
            <w:vAlign w:val="center"/>
          </w:tcPr>
          <w:p w14:paraId="7BAEDDF2">
            <w:pPr>
              <w:rPr>
                <w:rFonts w:ascii="宋体" w:hAnsi="宋体" w:cs="宋体"/>
                <w:color w:val="auto"/>
                <w:sz w:val="22"/>
                <w:szCs w:val="22"/>
                <w:highlight w:val="none"/>
              </w:rPr>
            </w:pPr>
            <w:r>
              <w:rPr>
                <w:rFonts w:hint="eastAsia" w:ascii="宋体" w:hAnsi="宋体" w:cs="宋体"/>
                <w:color w:val="auto"/>
                <w:sz w:val="22"/>
                <w:szCs w:val="22"/>
                <w:highlight w:val="none"/>
              </w:rPr>
              <w:t xml:space="preserve">支持基于BS架构，可兼容多种浏览器；支持物理与虚拟化部署 </w:t>
            </w:r>
          </w:p>
        </w:tc>
      </w:tr>
      <w:tr w14:paraId="164C9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8" w:type="dxa"/>
            <w:shd w:val="clear" w:color="000000" w:fill="FFFFFF"/>
            <w:vAlign w:val="center"/>
          </w:tcPr>
          <w:p w14:paraId="738C7B48">
            <w:pPr>
              <w:jc w:val="center"/>
              <w:rPr>
                <w:rFonts w:ascii="宋体" w:hAnsi="宋体" w:cs="宋体"/>
                <w:color w:val="auto"/>
                <w:sz w:val="22"/>
                <w:szCs w:val="22"/>
                <w:highlight w:val="none"/>
              </w:rPr>
            </w:pPr>
            <w:r>
              <w:rPr>
                <w:rFonts w:hint="eastAsia" w:ascii="宋体" w:hAnsi="宋体" w:cs="宋体"/>
                <w:color w:val="auto"/>
                <w:sz w:val="22"/>
                <w:szCs w:val="22"/>
                <w:highlight w:val="none"/>
              </w:rPr>
              <w:t>11</w:t>
            </w:r>
          </w:p>
        </w:tc>
        <w:tc>
          <w:tcPr>
            <w:tcW w:w="1334" w:type="dxa"/>
            <w:shd w:val="clear" w:color="000000" w:fill="FFFFFF"/>
            <w:vAlign w:val="center"/>
          </w:tcPr>
          <w:p w14:paraId="6E93391C">
            <w:pPr>
              <w:jc w:val="center"/>
              <w:rPr>
                <w:rFonts w:ascii="宋体" w:hAnsi="宋体" w:cs="宋体"/>
                <w:color w:val="auto"/>
                <w:sz w:val="22"/>
                <w:szCs w:val="22"/>
                <w:highlight w:val="none"/>
              </w:rPr>
            </w:pPr>
            <w:r>
              <w:rPr>
                <w:rFonts w:hint="eastAsia" w:ascii="宋体" w:hAnsi="宋体" w:cs="宋体"/>
                <w:color w:val="auto"/>
                <w:sz w:val="22"/>
                <w:szCs w:val="22"/>
                <w:highlight w:val="none"/>
              </w:rPr>
              <w:t>分权分域</w:t>
            </w:r>
          </w:p>
        </w:tc>
        <w:tc>
          <w:tcPr>
            <w:tcW w:w="7593" w:type="dxa"/>
            <w:shd w:val="clear" w:color="000000" w:fill="FFFFFF"/>
            <w:vAlign w:val="center"/>
          </w:tcPr>
          <w:p w14:paraId="17FB9FFF">
            <w:pPr>
              <w:rPr>
                <w:rFonts w:ascii="宋体" w:hAnsi="宋体" w:cs="宋体"/>
                <w:color w:val="auto"/>
                <w:sz w:val="22"/>
                <w:szCs w:val="22"/>
                <w:highlight w:val="none"/>
              </w:rPr>
            </w:pPr>
            <w:r>
              <w:rPr>
                <w:rFonts w:hint="eastAsia" w:ascii="宋体" w:hAnsi="宋体" w:cs="宋体"/>
                <w:color w:val="auto"/>
                <w:sz w:val="22"/>
                <w:szCs w:val="22"/>
                <w:highlight w:val="none"/>
              </w:rPr>
              <w:t>支持自定义角色和权限，可以限制用户对资源的访问，实现基于角色的精细访问控制并增强安全性和灵活性。</w:t>
            </w:r>
          </w:p>
        </w:tc>
      </w:tr>
    </w:tbl>
    <w:p w14:paraId="21C00FE5">
      <w:pPr>
        <w:jc w:val="center"/>
        <w:rPr>
          <w:rFonts w:ascii="宋体" w:hAnsi="宋体" w:cs="宋体"/>
          <w:b/>
          <w:bCs/>
          <w:color w:val="auto"/>
          <w:sz w:val="24"/>
          <w:highlight w:val="none"/>
        </w:rPr>
      </w:pPr>
    </w:p>
    <w:p w14:paraId="08B007D1">
      <w:pPr>
        <w:jc w:val="center"/>
        <w:rPr>
          <w:rFonts w:ascii="宋体" w:hAnsi="宋体" w:cs="宋体"/>
          <w:b/>
          <w:bCs/>
          <w:color w:val="auto"/>
          <w:sz w:val="24"/>
          <w:highlight w:val="none"/>
        </w:rPr>
      </w:pPr>
      <w:r>
        <w:rPr>
          <w:rFonts w:hint="eastAsia" w:ascii="宋体" w:hAnsi="宋体" w:cs="宋体"/>
          <w:b/>
          <w:bCs/>
          <w:color w:val="auto"/>
          <w:sz w:val="24"/>
          <w:highlight w:val="none"/>
        </w:rPr>
        <w:t>3.备份软件</w:t>
      </w:r>
    </w:p>
    <w:tbl>
      <w:tblPr>
        <w:tblStyle w:val="63"/>
        <w:tblW w:w="9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334"/>
        <w:gridCol w:w="7593"/>
      </w:tblGrid>
      <w:tr w14:paraId="79865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28" w:type="dxa"/>
            <w:shd w:val="clear" w:color="auto" w:fill="auto"/>
            <w:vAlign w:val="center"/>
          </w:tcPr>
          <w:p w14:paraId="522B990F">
            <w:pPr>
              <w:jc w:val="center"/>
              <w:rPr>
                <w:rFonts w:ascii="宋体" w:hAnsi="宋体" w:cs="宋体"/>
                <w:color w:val="auto"/>
                <w:sz w:val="22"/>
                <w:szCs w:val="22"/>
                <w:highlight w:val="none"/>
              </w:rPr>
            </w:pPr>
            <w:r>
              <w:rPr>
                <w:rFonts w:hint="eastAsia" w:ascii="宋体" w:hAnsi="宋体" w:cs="宋体"/>
                <w:b/>
                <w:bCs/>
                <w:color w:val="auto"/>
                <w:sz w:val="22"/>
                <w:szCs w:val="22"/>
                <w:highlight w:val="none"/>
              </w:rPr>
              <w:t>序号</w:t>
            </w:r>
          </w:p>
        </w:tc>
        <w:tc>
          <w:tcPr>
            <w:tcW w:w="1334" w:type="dxa"/>
            <w:shd w:val="clear" w:color="auto" w:fill="auto"/>
            <w:vAlign w:val="center"/>
          </w:tcPr>
          <w:p w14:paraId="0ACAE61D">
            <w:pPr>
              <w:jc w:val="center"/>
              <w:rPr>
                <w:rFonts w:ascii="宋体" w:hAnsi="宋体" w:cs="宋体"/>
                <w:color w:val="auto"/>
                <w:sz w:val="22"/>
                <w:szCs w:val="22"/>
                <w:highlight w:val="none"/>
              </w:rPr>
            </w:pPr>
            <w:r>
              <w:rPr>
                <w:rFonts w:hint="eastAsia" w:ascii="宋体" w:hAnsi="宋体" w:cs="宋体"/>
                <w:b/>
                <w:bCs/>
                <w:color w:val="auto"/>
                <w:sz w:val="22"/>
                <w:szCs w:val="22"/>
                <w:highlight w:val="none"/>
              </w:rPr>
              <w:t>指标项</w:t>
            </w:r>
          </w:p>
        </w:tc>
        <w:tc>
          <w:tcPr>
            <w:tcW w:w="7593" w:type="dxa"/>
            <w:shd w:val="clear" w:color="auto" w:fill="auto"/>
            <w:vAlign w:val="center"/>
          </w:tcPr>
          <w:p w14:paraId="3D00A636">
            <w:pPr>
              <w:jc w:val="center"/>
              <w:rPr>
                <w:rFonts w:ascii="宋体" w:hAnsi="宋体" w:cs="宋体"/>
                <w:color w:val="auto"/>
                <w:sz w:val="22"/>
                <w:szCs w:val="22"/>
                <w:highlight w:val="none"/>
              </w:rPr>
            </w:pPr>
            <w:r>
              <w:rPr>
                <w:rFonts w:hint="eastAsia" w:ascii="宋体" w:hAnsi="宋体" w:cs="宋体"/>
                <w:b/>
                <w:bCs/>
                <w:color w:val="auto"/>
                <w:sz w:val="22"/>
                <w:szCs w:val="22"/>
                <w:highlight w:val="none"/>
              </w:rPr>
              <w:t>指标要求</w:t>
            </w:r>
          </w:p>
        </w:tc>
      </w:tr>
      <w:tr w14:paraId="708F2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28" w:type="dxa"/>
            <w:shd w:val="clear" w:color="auto" w:fill="auto"/>
            <w:vAlign w:val="center"/>
          </w:tcPr>
          <w:p w14:paraId="6FD118BB">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1334" w:type="dxa"/>
            <w:shd w:val="clear" w:color="auto" w:fill="auto"/>
            <w:vAlign w:val="center"/>
          </w:tcPr>
          <w:p w14:paraId="5A2A5F57">
            <w:pPr>
              <w:jc w:val="center"/>
              <w:rPr>
                <w:rFonts w:ascii="宋体" w:hAnsi="宋体" w:cs="宋体"/>
                <w:color w:val="auto"/>
                <w:sz w:val="22"/>
                <w:szCs w:val="22"/>
                <w:highlight w:val="none"/>
              </w:rPr>
            </w:pPr>
            <w:r>
              <w:rPr>
                <w:rFonts w:hint="eastAsia" w:ascii="宋体" w:hAnsi="宋体" w:cs="宋体"/>
                <w:color w:val="auto"/>
                <w:sz w:val="22"/>
                <w:szCs w:val="22"/>
                <w:highlight w:val="none"/>
              </w:rPr>
              <w:t>数据库及应用保护</w:t>
            </w:r>
          </w:p>
        </w:tc>
        <w:tc>
          <w:tcPr>
            <w:tcW w:w="7593" w:type="dxa"/>
            <w:shd w:val="clear" w:color="auto" w:fill="auto"/>
            <w:vAlign w:val="center"/>
          </w:tcPr>
          <w:p w14:paraId="0B7B7B9E">
            <w:pPr>
              <w:rPr>
                <w:rFonts w:ascii="宋体" w:hAnsi="宋体" w:cs="宋体"/>
                <w:color w:val="auto"/>
                <w:sz w:val="22"/>
                <w:szCs w:val="22"/>
                <w:highlight w:val="none"/>
              </w:rPr>
            </w:pPr>
            <w:r>
              <w:rPr>
                <w:rFonts w:hint="eastAsia" w:ascii="宋体" w:hAnsi="宋体" w:cs="宋体"/>
                <w:color w:val="auto"/>
                <w:sz w:val="22"/>
                <w:szCs w:val="22"/>
                <w:highlight w:val="none"/>
              </w:rPr>
              <w:t>支持对Oracle、SQL Server、DB2、MySQL、SAP HANA、Sybase、PostgreSQL、MangoDB、Gbase、达梦等数据库进行在线备份保护，备份任务配置过程全部图形化操作，无需编写脚本。</w:t>
            </w:r>
          </w:p>
        </w:tc>
      </w:tr>
      <w:tr w14:paraId="28181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28" w:type="dxa"/>
            <w:shd w:val="clear" w:color="auto" w:fill="auto"/>
            <w:vAlign w:val="center"/>
          </w:tcPr>
          <w:p w14:paraId="4FC1C87A">
            <w:pPr>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1334" w:type="dxa"/>
            <w:shd w:val="clear" w:color="auto" w:fill="auto"/>
            <w:vAlign w:val="center"/>
          </w:tcPr>
          <w:p w14:paraId="520670D5">
            <w:pPr>
              <w:jc w:val="center"/>
              <w:rPr>
                <w:rFonts w:ascii="宋体" w:hAnsi="宋体" w:cs="宋体"/>
                <w:color w:val="auto"/>
                <w:sz w:val="22"/>
                <w:szCs w:val="22"/>
                <w:highlight w:val="none"/>
              </w:rPr>
            </w:pPr>
            <w:r>
              <w:rPr>
                <w:rFonts w:hint="eastAsia" w:ascii="宋体" w:hAnsi="宋体" w:cs="宋体"/>
                <w:color w:val="auto"/>
                <w:sz w:val="22"/>
                <w:szCs w:val="22"/>
                <w:highlight w:val="none"/>
              </w:rPr>
              <w:t>文件系统备份</w:t>
            </w:r>
          </w:p>
        </w:tc>
        <w:tc>
          <w:tcPr>
            <w:tcW w:w="7593" w:type="dxa"/>
            <w:shd w:val="clear" w:color="auto" w:fill="auto"/>
            <w:vAlign w:val="center"/>
          </w:tcPr>
          <w:p w14:paraId="5870520C">
            <w:pPr>
              <w:rPr>
                <w:rFonts w:ascii="宋体" w:hAnsi="宋体" w:cs="宋体"/>
                <w:color w:val="auto"/>
                <w:sz w:val="22"/>
                <w:szCs w:val="22"/>
                <w:highlight w:val="none"/>
              </w:rPr>
            </w:pPr>
            <w:r>
              <w:rPr>
                <w:rFonts w:hint="eastAsia" w:ascii="宋体" w:hAnsi="宋体" w:cs="宋体"/>
                <w:color w:val="auto"/>
                <w:sz w:val="22"/>
                <w:szCs w:val="22"/>
                <w:highlight w:val="none"/>
              </w:rPr>
              <w:t>支持Windows、Redhat、SuSE、CentOS、Debian、Ubuntu、AIX、Solaris、HPUX、中标麒麟、银河麒麟、普华、统信、中科方德和红旗的文件系统备份恢复。</w:t>
            </w:r>
          </w:p>
        </w:tc>
      </w:tr>
      <w:tr w14:paraId="6DDE2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828" w:type="dxa"/>
            <w:shd w:val="clear" w:color="auto" w:fill="auto"/>
            <w:vAlign w:val="center"/>
          </w:tcPr>
          <w:p w14:paraId="25294DBC">
            <w:pPr>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1334" w:type="dxa"/>
            <w:shd w:val="clear" w:color="000000" w:fill="FFFFFF"/>
            <w:vAlign w:val="center"/>
          </w:tcPr>
          <w:p w14:paraId="1CF86383">
            <w:pPr>
              <w:jc w:val="center"/>
              <w:rPr>
                <w:rFonts w:ascii="宋体" w:hAnsi="宋体" w:cs="宋体"/>
                <w:color w:val="auto"/>
                <w:sz w:val="22"/>
                <w:szCs w:val="22"/>
                <w:highlight w:val="none"/>
              </w:rPr>
            </w:pPr>
            <w:r>
              <w:rPr>
                <w:rFonts w:hint="eastAsia" w:ascii="宋体" w:hAnsi="宋体" w:cs="宋体"/>
                <w:color w:val="auto"/>
                <w:sz w:val="22"/>
                <w:szCs w:val="22"/>
                <w:highlight w:val="none"/>
              </w:rPr>
              <w:t>国产化支持</w:t>
            </w:r>
          </w:p>
        </w:tc>
        <w:tc>
          <w:tcPr>
            <w:tcW w:w="7593" w:type="dxa"/>
            <w:shd w:val="clear" w:color="000000" w:fill="FFFFFF"/>
            <w:vAlign w:val="center"/>
          </w:tcPr>
          <w:p w14:paraId="5FCF2E0F">
            <w:pPr>
              <w:rPr>
                <w:rFonts w:ascii="宋体" w:hAnsi="宋体" w:cs="宋体"/>
                <w:color w:val="auto"/>
                <w:sz w:val="22"/>
                <w:szCs w:val="22"/>
                <w:highlight w:val="none"/>
              </w:rPr>
            </w:pPr>
            <w:r>
              <w:rPr>
                <w:rFonts w:hint="eastAsia" w:ascii="宋体" w:hAnsi="宋体" w:cs="宋体"/>
                <w:color w:val="auto"/>
                <w:sz w:val="22"/>
                <w:szCs w:val="22"/>
                <w:highlight w:val="none"/>
              </w:rPr>
              <w:t>支持对Windows、Linux操作系统进行在线备份和裸机还原。</w:t>
            </w:r>
          </w:p>
        </w:tc>
      </w:tr>
      <w:tr w14:paraId="47717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trPr>
        <w:tc>
          <w:tcPr>
            <w:tcW w:w="828" w:type="dxa"/>
            <w:shd w:val="clear" w:color="auto" w:fill="auto"/>
            <w:vAlign w:val="center"/>
          </w:tcPr>
          <w:p w14:paraId="4CF1032D">
            <w:pPr>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1334" w:type="dxa"/>
            <w:shd w:val="clear" w:color="000000" w:fill="FFFFFF"/>
            <w:vAlign w:val="center"/>
          </w:tcPr>
          <w:p w14:paraId="0C55F59F">
            <w:pPr>
              <w:jc w:val="center"/>
              <w:rPr>
                <w:rFonts w:ascii="宋体" w:hAnsi="宋体" w:cs="宋体"/>
                <w:color w:val="auto"/>
                <w:sz w:val="22"/>
                <w:szCs w:val="22"/>
                <w:highlight w:val="none"/>
              </w:rPr>
            </w:pPr>
            <w:r>
              <w:rPr>
                <w:rFonts w:hint="eastAsia" w:ascii="宋体" w:hAnsi="宋体" w:cs="宋体"/>
                <w:color w:val="auto"/>
                <w:sz w:val="22"/>
                <w:szCs w:val="22"/>
                <w:highlight w:val="none"/>
              </w:rPr>
              <w:t>虚拟化备份</w:t>
            </w:r>
          </w:p>
        </w:tc>
        <w:tc>
          <w:tcPr>
            <w:tcW w:w="7593" w:type="dxa"/>
            <w:shd w:val="clear" w:color="000000" w:fill="FFFFFF"/>
            <w:vAlign w:val="center"/>
          </w:tcPr>
          <w:p w14:paraId="0F240D8B">
            <w:pPr>
              <w:rPr>
                <w:rFonts w:ascii="宋体" w:hAnsi="宋体" w:cs="宋体"/>
                <w:color w:val="auto"/>
                <w:sz w:val="22"/>
                <w:szCs w:val="22"/>
                <w:highlight w:val="none"/>
              </w:rPr>
            </w:pPr>
            <w:r>
              <w:rPr>
                <w:rFonts w:hint="eastAsia" w:ascii="宋体" w:hAnsi="宋体" w:cs="宋体"/>
                <w:color w:val="auto"/>
                <w:sz w:val="22"/>
                <w:szCs w:val="22"/>
                <w:highlight w:val="none"/>
              </w:rPr>
              <w:t>支持对VMware vSphere、XenServer、Hyper-V、H3C CAS、华为Fusionsphere等主流虚拟化平台的无代理备份，支持单机和集群部署环境。以上虚拟化应用均支持以虚拟机、资源池和整个集群为单位进行备份保护保护，无需在虚拟机内部安装任何代理软件。</w:t>
            </w:r>
          </w:p>
          <w:p w14:paraId="301959CF">
            <w:pPr>
              <w:rPr>
                <w:rFonts w:ascii="宋体" w:hAnsi="宋体" w:cs="宋体"/>
                <w:color w:val="auto"/>
                <w:sz w:val="22"/>
                <w:szCs w:val="22"/>
                <w:highlight w:val="none"/>
              </w:rPr>
            </w:pPr>
            <w:r>
              <w:rPr>
                <w:rFonts w:hint="eastAsia" w:ascii="宋体" w:hAnsi="宋体" w:cs="宋体"/>
                <w:color w:val="auto"/>
                <w:sz w:val="22"/>
                <w:szCs w:val="22"/>
                <w:highlight w:val="none"/>
              </w:rPr>
              <w:t>支持虚拟机并发备份和恢复功能，支持在管理页面中设置单个备份和恢复任务中的虚拟机并发备份和恢复数量，可大幅提高备份恢复效率。</w:t>
            </w:r>
          </w:p>
        </w:tc>
      </w:tr>
      <w:tr w14:paraId="29E55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trPr>
        <w:tc>
          <w:tcPr>
            <w:tcW w:w="828" w:type="dxa"/>
            <w:shd w:val="clear" w:color="auto" w:fill="auto"/>
            <w:vAlign w:val="center"/>
          </w:tcPr>
          <w:p w14:paraId="777E0AB0">
            <w:pPr>
              <w:jc w:val="center"/>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1334" w:type="dxa"/>
            <w:shd w:val="clear" w:color="000000" w:fill="FFFFFF"/>
            <w:vAlign w:val="center"/>
          </w:tcPr>
          <w:p w14:paraId="6D296162">
            <w:pPr>
              <w:jc w:val="center"/>
              <w:rPr>
                <w:rFonts w:ascii="宋体" w:hAnsi="宋体" w:cs="宋体"/>
                <w:color w:val="auto"/>
                <w:sz w:val="22"/>
                <w:szCs w:val="22"/>
                <w:highlight w:val="none"/>
              </w:rPr>
            </w:pPr>
            <w:r>
              <w:rPr>
                <w:rFonts w:hint="eastAsia" w:ascii="宋体" w:hAnsi="宋体" w:cs="宋体"/>
                <w:color w:val="auto"/>
                <w:sz w:val="22"/>
                <w:szCs w:val="22"/>
                <w:highlight w:val="none"/>
              </w:rPr>
              <w:t>重复数据删除</w:t>
            </w:r>
          </w:p>
        </w:tc>
        <w:tc>
          <w:tcPr>
            <w:tcW w:w="7593" w:type="dxa"/>
            <w:shd w:val="clear" w:color="000000" w:fill="FFFFFF"/>
            <w:vAlign w:val="center"/>
          </w:tcPr>
          <w:p w14:paraId="418A849F">
            <w:pPr>
              <w:rPr>
                <w:rFonts w:ascii="宋体" w:hAnsi="宋体" w:cs="宋体"/>
                <w:color w:val="auto"/>
                <w:sz w:val="22"/>
                <w:szCs w:val="22"/>
                <w:highlight w:val="none"/>
              </w:rPr>
            </w:pPr>
            <w:r>
              <w:rPr>
                <w:rFonts w:hint="eastAsia" w:ascii="宋体" w:hAnsi="宋体" w:cs="宋体"/>
                <w:color w:val="auto"/>
                <w:sz w:val="22"/>
                <w:szCs w:val="22"/>
                <w:highlight w:val="none"/>
              </w:rPr>
              <w:t>支持基于源端的智能切片的重复数据删除技术，多个备份任务可以共享同一个重复数据删除指纹池，也可以根据数据的不同单独设置专属指纹池，最大限度的提升重复数据删除效率，减轻带宽压力，降低传输数据量和备份数据存储成本。</w:t>
            </w:r>
          </w:p>
          <w:p w14:paraId="45B880E0">
            <w:pPr>
              <w:rPr>
                <w:rFonts w:ascii="宋体" w:hAnsi="宋体" w:cs="宋体"/>
                <w:color w:val="auto"/>
                <w:sz w:val="22"/>
                <w:szCs w:val="22"/>
                <w:highlight w:val="none"/>
              </w:rPr>
            </w:pPr>
            <w:r>
              <w:rPr>
                <w:rFonts w:hint="eastAsia" w:ascii="宋体" w:hAnsi="宋体" w:cs="宋体"/>
                <w:color w:val="auto"/>
                <w:sz w:val="22"/>
                <w:szCs w:val="22"/>
                <w:highlight w:val="none"/>
              </w:rPr>
              <w:t>支持并行重复数据删除，通过在多个不同的节点上构建指纹池，并将指纹并行分布于多个节点，有效解决单点性能和存储空间压力问题。</w:t>
            </w:r>
          </w:p>
          <w:p w14:paraId="518DECFC">
            <w:pPr>
              <w:rPr>
                <w:rFonts w:ascii="宋体" w:hAnsi="宋体" w:cs="宋体"/>
                <w:color w:val="auto"/>
                <w:sz w:val="22"/>
                <w:szCs w:val="22"/>
                <w:highlight w:val="none"/>
              </w:rPr>
            </w:pPr>
            <w:r>
              <w:rPr>
                <w:rFonts w:hint="eastAsia" w:ascii="宋体" w:hAnsi="宋体" w:cs="宋体"/>
                <w:color w:val="auto"/>
                <w:sz w:val="22"/>
                <w:szCs w:val="22"/>
                <w:highlight w:val="none"/>
              </w:rPr>
              <w:t>支持基于内容的变长数据切分算法，能够达到更高的数据去重比率。</w:t>
            </w:r>
          </w:p>
        </w:tc>
      </w:tr>
      <w:tr w14:paraId="0D292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28" w:type="dxa"/>
            <w:shd w:val="clear" w:color="auto" w:fill="auto"/>
            <w:vAlign w:val="center"/>
          </w:tcPr>
          <w:p w14:paraId="27B3E5B2">
            <w:pPr>
              <w:jc w:val="center"/>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1334" w:type="dxa"/>
            <w:shd w:val="clear" w:color="000000" w:fill="FFFFFF"/>
            <w:vAlign w:val="center"/>
          </w:tcPr>
          <w:p w14:paraId="109A38C1">
            <w:pPr>
              <w:jc w:val="center"/>
              <w:rPr>
                <w:rFonts w:ascii="宋体" w:hAnsi="宋体" w:cs="宋体"/>
                <w:color w:val="auto"/>
                <w:sz w:val="22"/>
                <w:szCs w:val="22"/>
                <w:highlight w:val="none"/>
              </w:rPr>
            </w:pPr>
            <w:r>
              <w:rPr>
                <w:rFonts w:hint="eastAsia" w:ascii="宋体" w:hAnsi="宋体" w:cs="宋体"/>
                <w:color w:val="auto"/>
                <w:sz w:val="22"/>
                <w:szCs w:val="22"/>
                <w:highlight w:val="none"/>
              </w:rPr>
              <w:t>数据安全性</w:t>
            </w:r>
          </w:p>
        </w:tc>
        <w:tc>
          <w:tcPr>
            <w:tcW w:w="7593" w:type="dxa"/>
            <w:shd w:val="clear" w:color="000000" w:fill="FFFFFF"/>
            <w:vAlign w:val="center"/>
          </w:tcPr>
          <w:p w14:paraId="1BFB737D">
            <w:pPr>
              <w:rPr>
                <w:rFonts w:ascii="宋体" w:hAnsi="宋体" w:cs="宋体"/>
                <w:color w:val="auto"/>
                <w:sz w:val="22"/>
                <w:szCs w:val="22"/>
                <w:highlight w:val="none"/>
              </w:rPr>
            </w:pPr>
            <w:r>
              <w:rPr>
                <w:rFonts w:hint="eastAsia" w:ascii="宋体" w:hAnsi="宋体" w:cs="宋体"/>
                <w:color w:val="auto"/>
                <w:sz w:val="22"/>
                <w:szCs w:val="22"/>
                <w:highlight w:val="none"/>
              </w:rPr>
              <w:t>支持客户端加密，传输加密，存储加密等多种加密方式，确保数据安全；</w:t>
            </w:r>
          </w:p>
          <w:p w14:paraId="46C68E8C">
            <w:pPr>
              <w:rPr>
                <w:rFonts w:ascii="宋体" w:hAnsi="宋体" w:cs="宋体"/>
                <w:color w:val="auto"/>
                <w:sz w:val="22"/>
                <w:szCs w:val="22"/>
                <w:highlight w:val="none"/>
              </w:rPr>
            </w:pPr>
            <w:r>
              <w:rPr>
                <w:rFonts w:hint="eastAsia" w:ascii="宋体" w:hAnsi="宋体" w:cs="宋体"/>
                <w:color w:val="auto"/>
                <w:sz w:val="22"/>
                <w:szCs w:val="22"/>
                <w:highlight w:val="none"/>
              </w:rPr>
              <w:t>加密算法支持AES-256</w:t>
            </w:r>
          </w:p>
        </w:tc>
      </w:tr>
      <w:tr w14:paraId="3D322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28" w:type="dxa"/>
            <w:shd w:val="clear" w:color="auto" w:fill="auto"/>
            <w:vAlign w:val="center"/>
          </w:tcPr>
          <w:p w14:paraId="54D6D3D5">
            <w:pPr>
              <w:jc w:val="center"/>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1334" w:type="dxa"/>
            <w:shd w:val="clear" w:color="000000" w:fill="FFFFFF"/>
            <w:vAlign w:val="center"/>
          </w:tcPr>
          <w:p w14:paraId="6428A3F3">
            <w:pPr>
              <w:jc w:val="center"/>
              <w:rPr>
                <w:rFonts w:ascii="宋体" w:hAnsi="宋体" w:cs="宋体"/>
                <w:color w:val="auto"/>
                <w:sz w:val="22"/>
                <w:szCs w:val="22"/>
                <w:highlight w:val="none"/>
              </w:rPr>
            </w:pPr>
            <w:r>
              <w:rPr>
                <w:rFonts w:hint="eastAsia" w:ascii="宋体" w:hAnsi="宋体" w:cs="宋体"/>
                <w:color w:val="auto"/>
                <w:sz w:val="22"/>
                <w:szCs w:val="22"/>
                <w:highlight w:val="none"/>
              </w:rPr>
              <w:t>永久增量备份</w:t>
            </w:r>
          </w:p>
        </w:tc>
        <w:tc>
          <w:tcPr>
            <w:tcW w:w="7593" w:type="dxa"/>
            <w:shd w:val="clear" w:color="000000" w:fill="FFFFFF"/>
            <w:vAlign w:val="center"/>
          </w:tcPr>
          <w:p w14:paraId="65A71D6F">
            <w:pPr>
              <w:rPr>
                <w:rFonts w:ascii="宋体" w:hAnsi="宋体" w:cs="宋体"/>
                <w:color w:val="auto"/>
                <w:sz w:val="22"/>
                <w:szCs w:val="22"/>
                <w:highlight w:val="none"/>
              </w:rPr>
            </w:pPr>
            <w:r>
              <w:rPr>
                <w:rFonts w:hint="eastAsia" w:ascii="宋体" w:hAnsi="宋体" w:cs="宋体"/>
                <w:color w:val="auto"/>
                <w:sz w:val="22"/>
                <w:szCs w:val="22"/>
                <w:highlight w:val="none"/>
              </w:rPr>
              <w:t>支持永久增量备份技术，初次备份对所有数据进行完全备份，之后只对新增加或改动过的数据做增量备份。每个增量备份的数据副本将自动合成为完全副本，能够大幅度减少备份时间，节省备份数据所需的存储空间，且提升了恢复效率。</w:t>
            </w:r>
          </w:p>
        </w:tc>
      </w:tr>
      <w:tr w14:paraId="158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28" w:type="dxa"/>
            <w:shd w:val="clear" w:color="auto" w:fill="auto"/>
            <w:vAlign w:val="center"/>
          </w:tcPr>
          <w:p w14:paraId="373F750E">
            <w:pPr>
              <w:jc w:val="center"/>
              <w:rPr>
                <w:rFonts w:ascii="宋体" w:hAnsi="宋体" w:cs="宋体"/>
                <w:color w:val="auto"/>
                <w:sz w:val="22"/>
                <w:szCs w:val="22"/>
                <w:highlight w:val="none"/>
              </w:rPr>
            </w:pPr>
            <w:r>
              <w:rPr>
                <w:rFonts w:hint="eastAsia" w:ascii="宋体" w:hAnsi="宋体" w:cs="宋体"/>
                <w:color w:val="auto"/>
                <w:sz w:val="22"/>
                <w:szCs w:val="22"/>
                <w:highlight w:val="none"/>
              </w:rPr>
              <w:t>8</w:t>
            </w:r>
          </w:p>
        </w:tc>
        <w:tc>
          <w:tcPr>
            <w:tcW w:w="1334" w:type="dxa"/>
            <w:shd w:val="clear" w:color="000000" w:fill="FFFFFF"/>
            <w:vAlign w:val="center"/>
          </w:tcPr>
          <w:p w14:paraId="76496D6D">
            <w:pPr>
              <w:jc w:val="center"/>
              <w:rPr>
                <w:rFonts w:ascii="宋体" w:hAnsi="宋体" w:cs="宋体"/>
                <w:color w:val="auto"/>
                <w:sz w:val="22"/>
                <w:szCs w:val="22"/>
                <w:highlight w:val="none"/>
              </w:rPr>
            </w:pPr>
            <w:r>
              <w:rPr>
                <w:rFonts w:hint="eastAsia" w:ascii="宋体" w:hAnsi="宋体" w:cs="宋体"/>
                <w:color w:val="auto"/>
                <w:sz w:val="22"/>
                <w:szCs w:val="22"/>
                <w:highlight w:val="none"/>
              </w:rPr>
              <w:t>远程复制</w:t>
            </w:r>
          </w:p>
        </w:tc>
        <w:tc>
          <w:tcPr>
            <w:tcW w:w="7593" w:type="dxa"/>
            <w:shd w:val="clear" w:color="000000" w:fill="FFFFFF"/>
            <w:vAlign w:val="center"/>
          </w:tcPr>
          <w:p w14:paraId="3748BAC5">
            <w:pPr>
              <w:rPr>
                <w:rFonts w:ascii="宋体" w:hAnsi="宋体" w:cs="宋体"/>
                <w:color w:val="auto"/>
                <w:sz w:val="22"/>
                <w:szCs w:val="22"/>
                <w:highlight w:val="none"/>
              </w:rPr>
            </w:pPr>
            <w:r>
              <w:rPr>
                <w:rFonts w:hint="eastAsia" w:ascii="宋体" w:hAnsi="宋体" w:cs="宋体"/>
                <w:color w:val="auto"/>
                <w:sz w:val="22"/>
                <w:szCs w:val="22"/>
                <w:highlight w:val="none"/>
              </w:rPr>
              <w:t>支持远程复制，支持将本地备份数据1对1、1对多、多对1，级联方式进行远程复制，复制支持断点续传，流量限速及固定时段暂停传输，异地备份数据具有安全管理机制，异地备份存储系统需要得到本地授权许可后，才可以浏览、恢复本地传输过去的备份数据，最大限度避免备份数据的泄密可能。</w:t>
            </w:r>
          </w:p>
        </w:tc>
      </w:tr>
      <w:tr w14:paraId="18568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828" w:type="dxa"/>
            <w:shd w:val="clear" w:color="auto" w:fill="auto"/>
            <w:vAlign w:val="center"/>
          </w:tcPr>
          <w:p w14:paraId="5DA1A07E">
            <w:pPr>
              <w:jc w:val="center"/>
              <w:rPr>
                <w:rFonts w:ascii="宋体" w:hAnsi="宋体" w:cs="宋体"/>
                <w:color w:val="auto"/>
                <w:sz w:val="22"/>
                <w:szCs w:val="22"/>
                <w:highlight w:val="none"/>
              </w:rPr>
            </w:pPr>
            <w:r>
              <w:rPr>
                <w:rFonts w:hint="eastAsia" w:ascii="宋体" w:hAnsi="宋体" w:cs="宋体"/>
                <w:color w:val="auto"/>
                <w:sz w:val="22"/>
                <w:szCs w:val="22"/>
                <w:highlight w:val="none"/>
              </w:rPr>
              <w:t>9</w:t>
            </w:r>
          </w:p>
        </w:tc>
        <w:tc>
          <w:tcPr>
            <w:tcW w:w="1334" w:type="dxa"/>
            <w:shd w:val="clear" w:color="000000" w:fill="FFFFFF"/>
            <w:vAlign w:val="center"/>
          </w:tcPr>
          <w:p w14:paraId="3FA8D9AE">
            <w:pPr>
              <w:jc w:val="center"/>
              <w:rPr>
                <w:rFonts w:ascii="宋体" w:hAnsi="宋体" w:cs="宋体"/>
                <w:color w:val="auto"/>
                <w:sz w:val="22"/>
                <w:szCs w:val="22"/>
                <w:highlight w:val="none"/>
              </w:rPr>
            </w:pPr>
            <w:r>
              <w:rPr>
                <w:rFonts w:hint="eastAsia" w:ascii="宋体" w:hAnsi="宋体" w:cs="宋体"/>
                <w:color w:val="auto"/>
                <w:sz w:val="22"/>
                <w:szCs w:val="22"/>
                <w:highlight w:val="none"/>
              </w:rPr>
              <w:t>持续备份</w:t>
            </w:r>
          </w:p>
        </w:tc>
        <w:tc>
          <w:tcPr>
            <w:tcW w:w="7593" w:type="dxa"/>
            <w:shd w:val="clear" w:color="000000" w:fill="FFFFFF"/>
            <w:vAlign w:val="center"/>
          </w:tcPr>
          <w:p w14:paraId="7B874952">
            <w:pPr>
              <w:rPr>
                <w:rFonts w:ascii="宋体" w:hAnsi="宋体" w:cs="宋体"/>
                <w:color w:val="auto"/>
                <w:sz w:val="22"/>
                <w:szCs w:val="22"/>
                <w:highlight w:val="none"/>
              </w:rPr>
            </w:pPr>
            <w:r>
              <w:rPr>
                <w:rFonts w:hint="eastAsia" w:ascii="宋体" w:hAnsi="宋体" w:cs="宋体"/>
                <w:color w:val="auto"/>
                <w:sz w:val="22"/>
                <w:szCs w:val="22"/>
                <w:highlight w:val="none"/>
              </w:rPr>
              <w:t>支持Windows和Linux卷的持续数据备份功能，支持IO级备份和任意时间点恢复。</w:t>
            </w:r>
          </w:p>
        </w:tc>
      </w:tr>
    </w:tbl>
    <w:p w14:paraId="0FA78A4B">
      <w:pPr>
        <w:spacing w:line="400" w:lineRule="exact"/>
        <w:ind w:firstLine="1100" w:firstLineChars="500"/>
        <w:rPr>
          <w:rFonts w:ascii="宋体" w:hAnsi="宋体" w:cs="宋体"/>
          <w:color w:val="auto"/>
          <w:sz w:val="22"/>
          <w:szCs w:val="22"/>
          <w:highlight w:val="none"/>
        </w:rPr>
      </w:pPr>
    </w:p>
    <w:p w14:paraId="657C0D16">
      <w:pPr>
        <w:rPr>
          <w:b/>
          <w:bCs/>
          <w:color w:val="auto"/>
          <w:sz w:val="22"/>
          <w:szCs w:val="28"/>
          <w:highlight w:val="none"/>
        </w:rPr>
      </w:pPr>
      <w:r>
        <w:rPr>
          <w:rFonts w:hint="eastAsia"/>
          <w:b/>
          <w:bCs/>
          <w:color w:val="auto"/>
          <w:sz w:val="22"/>
          <w:szCs w:val="28"/>
          <w:highlight w:val="none"/>
        </w:rPr>
        <w:t>（二）服务内容</w:t>
      </w:r>
    </w:p>
    <w:p w14:paraId="1DE24C47">
      <w:pPr>
        <w:ind w:firstLine="220" w:firstLineChars="100"/>
        <w:rPr>
          <w:rFonts w:ascii="宋体" w:hAnsi="宋体" w:cs="宋体"/>
          <w:color w:val="auto"/>
          <w:sz w:val="22"/>
          <w:szCs w:val="22"/>
          <w:highlight w:val="none"/>
        </w:rPr>
      </w:pPr>
      <w:r>
        <w:rPr>
          <w:rFonts w:hint="eastAsia" w:ascii="宋体" w:hAnsi="宋体" w:cs="宋体"/>
          <w:color w:val="auto"/>
          <w:sz w:val="22"/>
          <w:szCs w:val="22"/>
          <w:highlight w:val="none"/>
        </w:rPr>
        <w:t>1.7×24小时电话服务</w:t>
      </w:r>
    </w:p>
    <w:p w14:paraId="43C5E423">
      <w:pPr>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提供7×24小时的免费技术支持。支持范围包括产品的功能、配置、安装、调试、客户使用中遇到的各种技术问题的一般性咨询，并随时准备处理各种突发事件，提供400或其它热线电话支持服务。若出现重大问题，技术人员可根据需求在6小时内赶赴现场处理。</w:t>
      </w:r>
    </w:p>
    <w:p w14:paraId="6151D24D">
      <w:pPr>
        <w:rPr>
          <w:rFonts w:ascii="宋体" w:hAnsi="宋体" w:cs="宋体"/>
          <w:color w:val="auto"/>
          <w:sz w:val="22"/>
          <w:szCs w:val="22"/>
          <w:highlight w:val="none"/>
        </w:rPr>
      </w:pPr>
      <w:r>
        <w:rPr>
          <w:rFonts w:hint="eastAsia" w:ascii="宋体" w:hAnsi="宋体" w:cs="宋体"/>
          <w:color w:val="auto"/>
          <w:sz w:val="22"/>
          <w:szCs w:val="22"/>
          <w:highlight w:val="none"/>
        </w:rPr>
        <w:t xml:space="preserve">  2.应急备件服务</w:t>
      </w:r>
      <w:r>
        <w:rPr>
          <w:rFonts w:hint="eastAsia" w:ascii="宋体" w:hAnsi="宋体" w:cs="宋体"/>
          <w:color w:val="auto"/>
          <w:sz w:val="22"/>
          <w:szCs w:val="22"/>
          <w:highlight w:val="none"/>
        </w:rPr>
        <w:tab/>
      </w:r>
    </w:p>
    <w:p w14:paraId="54824A2A">
      <w:pPr>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应急备件服务：提供如光交、光模块等易损件的备件服务，如出现问题及时更换易损件，保障设备正常稳定运行。</w:t>
      </w:r>
    </w:p>
    <w:p w14:paraId="5FEC8DCB">
      <w:pPr>
        <w:ind w:firstLine="220" w:firstLineChars="100"/>
        <w:rPr>
          <w:rFonts w:ascii="宋体" w:hAnsi="宋体" w:cs="宋体"/>
          <w:color w:val="auto"/>
          <w:sz w:val="22"/>
          <w:szCs w:val="22"/>
          <w:highlight w:val="none"/>
        </w:rPr>
      </w:pPr>
      <w:r>
        <w:rPr>
          <w:rFonts w:hint="eastAsia" w:ascii="宋体" w:hAnsi="宋体" w:cs="宋体"/>
          <w:color w:val="auto"/>
          <w:sz w:val="22"/>
          <w:szCs w:val="22"/>
          <w:highlight w:val="none"/>
        </w:rPr>
        <w:t>3.保证对灾备服务提供的灾备设备每月至少一次现场巡检，并出具巡检报告；遇重大活动和重要保障任务时，接通知后应立即安排技术人员现场或远程支持，并对灾备设备进行巡检。</w:t>
      </w:r>
    </w:p>
    <w:p w14:paraId="79A5D6B7">
      <w:pPr>
        <w:ind w:firstLine="220" w:firstLineChars="100"/>
        <w:rPr>
          <w:rFonts w:ascii="宋体" w:hAnsi="宋体" w:cs="宋体"/>
          <w:color w:val="auto"/>
          <w:sz w:val="22"/>
          <w:szCs w:val="22"/>
          <w:highlight w:val="none"/>
        </w:rPr>
      </w:pPr>
      <w:r>
        <w:rPr>
          <w:rFonts w:hint="eastAsia" w:ascii="宋体" w:hAnsi="宋体" w:cs="宋体"/>
          <w:color w:val="auto"/>
          <w:sz w:val="22"/>
          <w:szCs w:val="22"/>
          <w:highlight w:val="none"/>
        </w:rPr>
        <w:t>4.每月对提供的服务质量进行考核，输出服务质量考核表，考核表满分为100分，对服务质量要求不达标的每次扣一分，每分按照合同金额的千分之一扣款。</w:t>
      </w:r>
    </w:p>
    <w:p w14:paraId="099B8352">
      <w:pPr>
        <w:rPr>
          <w:rFonts w:ascii="宋体" w:hAnsi="宋体" w:cs="宋体"/>
          <w:color w:val="auto"/>
          <w:sz w:val="22"/>
          <w:szCs w:val="22"/>
          <w:highlight w:val="none"/>
        </w:rPr>
      </w:pPr>
      <w:r>
        <w:rPr>
          <w:rFonts w:hint="eastAsia" w:ascii="宋体" w:hAnsi="宋体" w:cs="宋体"/>
          <w:color w:val="auto"/>
          <w:sz w:val="22"/>
          <w:szCs w:val="22"/>
          <w:highlight w:val="none"/>
        </w:rPr>
        <w:t xml:space="preserve">  三、相应服务报表要求见下表：</w:t>
      </w:r>
    </w:p>
    <w:tbl>
      <w:tblPr>
        <w:tblStyle w:val="63"/>
        <w:tblW w:w="9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0"/>
        <w:gridCol w:w="3831"/>
        <w:gridCol w:w="3893"/>
        <w:gridCol w:w="1001"/>
      </w:tblGrid>
      <w:tr w14:paraId="31B47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 w:type="dxa"/>
          </w:tcPr>
          <w:p w14:paraId="2BD45198">
            <w:pPr>
              <w:jc w:val="center"/>
              <w:rPr>
                <w:rFonts w:ascii="宋体" w:hAnsi="宋体" w:cs="宋体"/>
                <w:color w:val="auto"/>
                <w:sz w:val="22"/>
                <w:szCs w:val="22"/>
                <w:highlight w:val="none"/>
              </w:rPr>
            </w:pPr>
            <w:r>
              <w:rPr>
                <w:rFonts w:hint="eastAsia" w:ascii="宋体" w:hAnsi="宋体" w:cs="宋体"/>
                <w:color w:val="auto"/>
                <w:sz w:val="22"/>
                <w:szCs w:val="22"/>
                <w:highlight w:val="none"/>
              </w:rPr>
              <w:t>序号</w:t>
            </w:r>
          </w:p>
        </w:tc>
        <w:tc>
          <w:tcPr>
            <w:tcW w:w="3831" w:type="dxa"/>
          </w:tcPr>
          <w:p w14:paraId="27E6B56D">
            <w:pPr>
              <w:jc w:val="center"/>
              <w:rPr>
                <w:rFonts w:ascii="宋体" w:hAnsi="宋体" w:cs="宋体"/>
                <w:color w:val="auto"/>
                <w:sz w:val="22"/>
                <w:szCs w:val="22"/>
                <w:highlight w:val="none"/>
              </w:rPr>
            </w:pPr>
            <w:r>
              <w:rPr>
                <w:rFonts w:hint="eastAsia" w:ascii="宋体" w:hAnsi="宋体" w:cs="宋体"/>
                <w:color w:val="auto"/>
                <w:sz w:val="22"/>
                <w:szCs w:val="22"/>
                <w:highlight w:val="none"/>
              </w:rPr>
              <w:t>服务内容</w:t>
            </w:r>
          </w:p>
        </w:tc>
        <w:tc>
          <w:tcPr>
            <w:tcW w:w="3893" w:type="dxa"/>
          </w:tcPr>
          <w:p w14:paraId="1BD7DCB8">
            <w:pPr>
              <w:jc w:val="center"/>
              <w:rPr>
                <w:rFonts w:ascii="宋体" w:hAnsi="宋体" w:cs="宋体"/>
                <w:color w:val="auto"/>
                <w:sz w:val="22"/>
                <w:szCs w:val="22"/>
                <w:highlight w:val="none"/>
              </w:rPr>
            </w:pPr>
            <w:r>
              <w:rPr>
                <w:rFonts w:hint="eastAsia" w:ascii="宋体" w:hAnsi="宋体" w:cs="宋体"/>
                <w:color w:val="auto"/>
                <w:sz w:val="22"/>
                <w:szCs w:val="22"/>
                <w:highlight w:val="none"/>
              </w:rPr>
              <w:t>输出台账</w:t>
            </w:r>
          </w:p>
        </w:tc>
        <w:tc>
          <w:tcPr>
            <w:tcW w:w="1001" w:type="dxa"/>
          </w:tcPr>
          <w:p w14:paraId="0839FA4A">
            <w:pPr>
              <w:jc w:val="center"/>
              <w:rPr>
                <w:rFonts w:ascii="宋体" w:hAnsi="宋体" w:cs="宋体"/>
                <w:color w:val="auto"/>
                <w:sz w:val="22"/>
                <w:szCs w:val="22"/>
                <w:highlight w:val="none"/>
              </w:rPr>
            </w:pPr>
            <w:r>
              <w:rPr>
                <w:rFonts w:hint="eastAsia" w:ascii="宋体" w:hAnsi="宋体" w:cs="宋体"/>
                <w:color w:val="auto"/>
                <w:sz w:val="22"/>
                <w:szCs w:val="22"/>
                <w:highlight w:val="none"/>
              </w:rPr>
              <w:t>备注</w:t>
            </w:r>
          </w:p>
        </w:tc>
      </w:tr>
      <w:tr w14:paraId="3E4EF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1030" w:type="dxa"/>
            <w:tcBorders>
              <w:top w:val="single" w:color="auto" w:sz="4" w:space="0"/>
              <w:left w:val="single" w:color="auto" w:sz="4" w:space="0"/>
              <w:right w:val="single" w:color="auto" w:sz="4" w:space="0"/>
            </w:tcBorders>
          </w:tcPr>
          <w:p w14:paraId="4EA0FF46">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3831" w:type="dxa"/>
            <w:tcBorders>
              <w:top w:val="single" w:color="auto" w:sz="4" w:space="0"/>
              <w:left w:val="single" w:color="auto" w:sz="4" w:space="0"/>
              <w:right w:val="single" w:color="auto" w:sz="4" w:space="0"/>
            </w:tcBorders>
          </w:tcPr>
          <w:p w14:paraId="35835E8B">
            <w:pPr>
              <w:jc w:val="center"/>
              <w:rPr>
                <w:rFonts w:ascii="宋体" w:hAnsi="宋体" w:cs="宋体"/>
                <w:color w:val="auto"/>
                <w:sz w:val="22"/>
                <w:szCs w:val="22"/>
                <w:highlight w:val="none"/>
              </w:rPr>
            </w:pPr>
            <w:r>
              <w:rPr>
                <w:rFonts w:hint="eastAsia" w:ascii="宋体" w:hAnsi="宋体" w:cs="宋体"/>
                <w:color w:val="auto"/>
                <w:sz w:val="22"/>
                <w:szCs w:val="22"/>
                <w:highlight w:val="none"/>
              </w:rPr>
              <w:t>数据容灾设备巡检</w:t>
            </w:r>
          </w:p>
        </w:tc>
        <w:tc>
          <w:tcPr>
            <w:tcW w:w="3893" w:type="dxa"/>
            <w:tcBorders>
              <w:top w:val="single" w:color="auto" w:sz="4" w:space="0"/>
              <w:left w:val="single" w:color="auto" w:sz="4" w:space="0"/>
              <w:right w:val="single" w:color="auto" w:sz="4" w:space="0"/>
            </w:tcBorders>
          </w:tcPr>
          <w:p w14:paraId="0DA89835">
            <w:pPr>
              <w:jc w:val="center"/>
              <w:rPr>
                <w:rFonts w:ascii="宋体" w:hAnsi="宋体" w:cs="宋体"/>
                <w:color w:val="auto"/>
                <w:sz w:val="22"/>
                <w:szCs w:val="22"/>
                <w:highlight w:val="none"/>
              </w:rPr>
            </w:pPr>
            <w:r>
              <w:rPr>
                <w:rFonts w:hint="eastAsia" w:ascii="宋体" w:hAnsi="宋体" w:cs="宋体"/>
                <w:color w:val="auto"/>
                <w:sz w:val="22"/>
                <w:szCs w:val="22"/>
                <w:highlight w:val="none"/>
              </w:rPr>
              <w:t>容灾设备巡检月报</w:t>
            </w:r>
          </w:p>
        </w:tc>
        <w:tc>
          <w:tcPr>
            <w:tcW w:w="1001" w:type="dxa"/>
            <w:tcBorders>
              <w:top w:val="single" w:color="auto" w:sz="4" w:space="0"/>
              <w:left w:val="single" w:color="auto" w:sz="4" w:space="0"/>
              <w:right w:val="single" w:color="auto" w:sz="4" w:space="0"/>
            </w:tcBorders>
          </w:tcPr>
          <w:p w14:paraId="447BDCFC">
            <w:pPr>
              <w:rPr>
                <w:rFonts w:ascii="宋体" w:hAnsi="宋体" w:cs="宋体"/>
                <w:color w:val="auto"/>
                <w:sz w:val="22"/>
                <w:szCs w:val="22"/>
                <w:highlight w:val="none"/>
              </w:rPr>
            </w:pPr>
          </w:p>
        </w:tc>
      </w:tr>
      <w:tr w14:paraId="309F5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1030" w:type="dxa"/>
            <w:tcBorders>
              <w:top w:val="single" w:color="auto" w:sz="4" w:space="0"/>
              <w:left w:val="single" w:color="auto" w:sz="4" w:space="0"/>
              <w:right w:val="single" w:color="auto" w:sz="4" w:space="0"/>
            </w:tcBorders>
          </w:tcPr>
          <w:p w14:paraId="39DE5CCD">
            <w:pPr>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3831" w:type="dxa"/>
            <w:tcBorders>
              <w:top w:val="single" w:color="auto" w:sz="4" w:space="0"/>
              <w:left w:val="single" w:color="auto" w:sz="4" w:space="0"/>
              <w:right w:val="single" w:color="auto" w:sz="4" w:space="0"/>
            </w:tcBorders>
          </w:tcPr>
          <w:p w14:paraId="22BAA196">
            <w:pPr>
              <w:jc w:val="center"/>
              <w:rPr>
                <w:rFonts w:ascii="宋体" w:hAnsi="宋体" w:cs="宋体"/>
                <w:color w:val="auto"/>
                <w:sz w:val="22"/>
                <w:szCs w:val="22"/>
                <w:highlight w:val="none"/>
              </w:rPr>
            </w:pPr>
            <w:r>
              <w:rPr>
                <w:rFonts w:hint="eastAsia" w:ascii="宋体" w:hAnsi="宋体" w:cs="宋体"/>
                <w:color w:val="auto"/>
                <w:sz w:val="22"/>
                <w:szCs w:val="22"/>
                <w:highlight w:val="none"/>
              </w:rPr>
              <w:t>数据灾备服务</w:t>
            </w:r>
          </w:p>
        </w:tc>
        <w:tc>
          <w:tcPr>
            <w:tcW w:w="3893" w:type="dxa"/>
            <w:tcBorders>
              <w:top w:val="single" w:color="auto" w:sz="4" w:space="0"/>
              <w:left w:val="single" w:color="auto" w:sz="4" w:space="0"/>
              <w:right w:val="single" w:color="auto" w:sz="4" w:space="0"/>
            </w:tcBorders>
          </w:tcPr>
          <w:p w14:paraId="426758E0">
            <w:pPr>
              <w:jc w:val="center"/>
              <w:rPr>
                <w:rFonts w:ascii="宋体" w:hAnsi="宋体" w:cs="宋体"/>
                <w:color w:val="auto"/>
                <w:sz w:val="22"/>
                <w:szCs w:val="22"/>
                <w:highlight w:val="none"/>
              </w:rPr>
            </w:pPr>
            <w:r>
              <w:rPr>
                <w:rFonts w:hint="eastAsia" w:ascii="宋体" w:hAnsi="宋体" w:cs="宋体"/>
                <w:color w:val="auto"/>
                <w:sz w:val="22"/>
                <w:szCs w:val="22"/>
                <w:highlight w:val="none"/>
              </w:rPr>
              <w:t>故障处理表</w:t>
            </w:r>
          </w:p>
        </w:tc>
        <w:tc>
          <w:tcPr>
            <w:tcW w:w="1001" w:type="dxa"/>
            <w:tcBorders>
              <w:top w:val="single" w:color="auto" w:sz="4" w:space="0"/>
              <w:left w:val="single" w:color="auto" w:sz="4" w:space="0"/>
              <w:right w:val="single" w:color="auto" w:sz="4" w:space="0"/>
            </w:tcBorders>
          </w:tcPr>
          <w:p w14:paraId="6C4FF14E">
            <w:pPr>
              <w:rPr>
                <w:rFonts w:ascii="宋体" w:hAnsi="宋体" w:cs="宋体"/>
                <w:color w:val="auto"/>
                <w:sz w:val="22"/>
                <w:szCs w:val="22"/>
                <w:highlight w:val="none"/>
              </w:rPr>
            </w:pPr>
          </w:p>
        </w:tc>
      </w:tr>
      <w:tr w14:paraId="38A41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 w:type="dxa"/>
            <w:tcBorders>
              <w:top w:val="single" w:color="auto" w:sz="4" w:space="0"/>
              <w:left w:val="single" w:color="auto" w:sz="4" w:space="0"/>
              <w:right w:val="single" w:color="auto" w:sz="4" w:space="0"/>
            </w:tcBorders>
          </w:tcPr>
          <w:p w14:paraId="2FC63341">
            <w:pPr>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3831" w:type="dxa"/>
            <w:tcBorders>
              <w:top w:val="single" w:color="auto" w:sz="4" w:space="0"/>
              <w:left w:val="single" w:color="auto" w:sz="4" w:space="0"/>
              <w:right w:val="single" w:color="auto" w:sz="4" w:space="0"/>
            </w:tcBorders>
          </w:tcPr>
          <w:p w14:paraId="748C3363">
            <w:pPr>
              <w:jc w:val="center"/>
              <w:rPr>
                <w:rFonts w:ascii="宋体" w:hAnsi="宋体" w:cs="宋体"/>
                <w:color w:val="auto"/>
                <w:sz w:val="22"/>
                <w:szCs w:val="22"/>
                <w:highlight w:val="none"/>
              </w:rPr>
            </w:pPr>
            <w:r>
              <w:rPr>
                <w:rFonts w:hint="eastAsia" w:ascii="宋体" w:hAnsi="宋体" w:cs="宋体"/>
                <w:color w:val="auto"/>
                <w:sz w:val="22"/>
                <w:szCs w:val="22"/>
                <w:highlight w:val="none"/>
              </w:rPr>
              <w:t>数据灾备服务</w:t>
            </w:r>
          </w:p>
        </w:tc>
        <w:tc>
          <w:tcPr>
            <w:tcW w:w="3893" w:type="dxa"/>
            <w:tcBorders>
              <w:top w:val="single" w:color="auto" w:sz="4" w:space="0"/>
              <w:left w:val="single" w:color="auto" w:sz="4" w:space="0"/>
              <w:right w:val="single" w:color="auto" w:sz="4" w:space="0"/>
            </w:tcBorders>
          </w:tcPr>
          <w:p w14:paraId="16B89E46">
            <w:pPr>
              <w:jc w:val="center"/>
              <w:rPr>
                <w:rFonts w:ascii="宋体" w:hAnsi="宋体" w:cs="宋体"/>
                <w:color w:val="auto"/>
                <w:sz w:val="22"/>
                <w:szCs w:val="22"/>
                <w:highlight w:val="none"/>
              </w:rPr>
            </w:pPr>
            <w:r>
              <w:rPr>
                <w:rFonts w:hint="eastAsia" w:ascii="宋体" w:hAnsi="宋体" w:cs="宋体"/>
                <w:color w:val="auto"/>
                <w:sz w:val="22"/>
                <w:szCs w:val="22"/>
                <w:highlight w:val="none"/>
              </w:rPr>
              <w:t>服务质量考核表</w:t>
            </w:r>
          </w:p>
        </w:tc>
        <w:tc>
          <w:tcPr>
            <w:tcW w:w="1001" w:type="dxa"/>
            <w:tcBorders>
              <w:top w:val="single" w:color="auto" w:sz="4" w:space="0"/>
              <w:left w:val="single" w:color="auto" w:sz="4" w:space="0"/>
              <w:right w:val="single" w:color="auto" w:sz="4" w:space="0"/>
            </w:tcBorders>
          </w:tcPr>
          <w:p w14:paraId="1B258F0F">
            <w:pPr>
              <w:rPr>
                <w:rFonts w:ascii="宋体" w:hAnsi="宋体" w:cs="宋体"/>
                <w:color w:val="auto"/>
                <w:sz w:val="22"/>
                <w:szCs w:val="22"/>
                <w:highlight w:val="none"/>
              </w:rPr>
            </w:pPr>
          </w:p>
        </w:tc>
      </w:tr>
      <w:tr w14:paraId="5B1CF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 w:type="dxa"/>
            <w:tcBorders>
              <w:top w:val="single" w:color="auto" w:sz="4" w:space="0"/>
              <w:left w:val="single" w:color="auto" w:sz="4" w:space="0"/>
              <w:right w:val="single" w:color="auto" w:sz="4" w:space="0"/>
            </w:tcBorders>
          </w:tcPr>
          <w:p w14:paraId="5A826354">
            <w:pPr>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3831" w:type="dxa"/>
            <w:tcBorders>
              <w:top w:val="single" w:color="auto" w:sz="4" w:space="0"/>
              <w:left w:val="single" w:color="auto" w:sz="4" w:space="0"/>
              <w:right w:val="single" w:color="auto" w:sz="4" w:space="0"/>
            </w:tcBorders>
          </w:tcPr>
          <w:p w14:paraId="1D3AE5F4">
            <w:pPr>
              <w:jc w:val="center"/>
              <w:rPr>
                <w:rFonts w:ascii="宋体" w:hAnsi="宋体" w:cs="宋体"/>
                <w:color w:val="auto"/>
                <w:sz w:val="22"/>
                <w:szCs w:val="22"/>
                <w:highlight w:val="none"/>
              </w:rPr>
            </w:pPr>
            <w:r>
              <w:rPr>
                <w:rFonts w:hint="eastAsia" w:ascii="宋体" w:hAnsi="宋体" w:cs="宋体"/>
                <w:color w:val="auto"/>
                <w:sz w:val="22"/>
                <w:szCs w:val="22"/>
                <w:highlight w:val="none"/>
              </w:rPr>
              <w:t>数据灾备服务</w:t>
            </w:r>
          </w:p>
        </w:tc>
        <w:tc>
          <w:tcPr>
            <w:tcW w:w="3893" w:type="dxa"/>
            <w:tcBorders>
              <w:top w:val="single" w:color="auto" w:sz="4" w:space="0"/>
              <w:left w:val="single" w:color="auto" w:sz="4" w:space="0"/>
              <w:right w:val="single" w:color="auto" w:sz="4" w:space="0"/>
            </w:tcBorders>
          </w:tcPr>
          <w:p w14:paraId="7ECB8D33">
            <w:pPr>
              <w:jc w:val="center"/>
              <w:rPr>
                <w:rFonts w:ascii="宋体" w:hAnsi="宋体" w:cs="宋体"/>
                <w:color w:val="auto"/>
                <w:sz w:val="22"/>
                <w:szCs w:val="22"/>
                <w:highlight w:val="none"/>
              </w:rPr>
            </w:pPr>
            <w:r>
              <w:rPr>
                <w:rFonts w:hint="eastAsia" w:ascii="宋体" w:hAnsi="宋体" w:cs="宋体"/>
                <w:color w:val="auto"/>
                <w:sz w:val="22"/>
                <w:szCs w:val="22"/>
                <w:highlight w:val="none"/>
              </w:rPr>
              <w:t>年度总结报告</w:t>
            </w:r>
          </w:p>
        </w:tc>
        <w:tc>
          <w:tcPr>
            <w:tcW w:w="1001" w:type="dxa"/>
            <w:tcBorders>
              <w:top w:val="single" w:color="auto" w:sz="4" w:space="0"/>
              <w:left w:val="single" w:color="auto" w:sz="4" w:space="0"/>
              <w:right w:val="single" w:color="auto" w:sz="4" w:space="0"/>
            </w:tcBorders>
          </w:tcPr>
          <w:p w14:paraId="734DE808">
            <w:pPr>
              <w:rPr>
                <w:rFonts w:ascii="宋体" w:hAnsi="宋体" w:cs="宋体"/>
                <w:color w:val="auto"/>
                <w:sz w:val="22"/>
                <w:szCs w:val="22"/>
                <w:highlight w:val="none"/>
              </w:rPr>
            </w:pPr>
          </w:p>
        </w:tc>
      </w:tr>
    </w:tbl>
    <w:p w14:paraId="1E95F74D">
      <w:pPr>
        <w:rPr>
          <w:color w:val="auto"/>
          <w:highlight w:val="none"/>
        </w:rPr>
      </w:pPr>
    </w:p>
    <w:p w14:paraId="4A58B54E">
      <w:pPr>
        <w:spacing w:line="360" w:lineRule="auto"/>
        <w:rPr>
          <w:rFonts w:ascii="宋体" w:hAnsi="宋体" w:cs="宋体"/>
          <w:color w:val="auto"/>
          <w:sz w:val="22"/>
          <w:szCs w:val="22"/>
          <w:highlight w:val="none"/>
        </w:rPr>
      </w:pPr>
    </w:p>
    <w:p w14:paraId="058A6F43">
      <w:pPr>
        <w:pStyle w:val="4"/>
        <w:rPr>
          <w:color w:val="auto"/>
          <w:highlight w:val="none"/>
        </w:rPr>
      </w:pPr>
    </w:p>
    <w:p w14:paraId="2C290808">
      <w:pPr>
        <w:rPr>
          <w:color w:val="auto"/>
          <w:highlight w:val="none"/>
        </w:rPr>
      </w:pPr>
      <w:r>
        <w:rPr>
          <w:color w:val="auto"/>
          <w:highlight w:val="none"/>
        </w:rPr>
        <w:br w:type="page"/>
      </w:r>
    </w:p>
    <w:p w14:paraId="5B5487AF">
      <w:pPr>
        <w:rPr>
          <w:color w:val="auto"/>
          <w:highlight w:val="none"/>
        </w:rPr>
      </w:pPr>
    </w:p>
    <w:p w14:paraId="300468D9">
      <w:pPr>
        <w:pStyle w:val="4"/>
        <w:rPr>
          <w:rFonts w:ascii="宋体" w:hAnsi="宋体" w:eastAsia="宋体" w:cs="Arial"/>
          <w:color w:val="auto"/>
          <w:sz w:val="36"/>
          <w:szCs w:val="36"/>
          <w:highlight w:val="none"/>
        </w:rPr>
      </w:pPr>
      <w:bookmarkStart w:id="203" w:name="_Toc10956"/>
      <w:r>
        <w:rPr>
          <w:rFonts w:hint="eastAsia" w:ascii="宋体" w:hAnsi="宋体" w:eastAsia="宋体" w:cs="Arial"/>
          <w:color w:val="auto"/>
          <w:sz w:val="36"/>
          <w:szCs w:val="36"/>
          <w:highlight w:val="none"/>
        </w:rPr>
        <w:t xml:space="preserve">第三部分   </w:t>
      </w:r>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r>
        <w:rPr>
          <w:rFonts w:hint="eastAsia" w:ascii="宋体" w:hAnsi="宋体" w:eastAsia="宋体" w:cs="Arial"/>
          <w:color w:val="auto"/>
          <w:sz w:val="36"/>
          <w:szCs w:val="36"/>
          <w:highlight w:val="none"/>
        </w:rPr>
        <w:t>评标原则及方法</w:t>
      </w:r>
      <w:bookmarkEnd w:id="203"/>
    </w:p>
    <w:p w14:paraId="4D950267">
      <w:pPr>
        <w:spacing w:line="420" w:lineRule="exact"/>
        <w:ind w:left="439" w:leftChars="209"/>
        <w:rPr>
          <w:rFonts w:ascii="宋体" w:hAnsi="宋体"/>
          <w:b/>
          <w:color w:val="auto"/>
          <w:sz w:val="22"/>
          <w:szCs w:val="22"/>
          <w:highlight w:val="none"/>
        </w:rPr>
      </w:pPr>
      <w:r>
        <w:rPr>
          <w:rFonts w:hint="eastAsia" w:ascii="宋体" w:hAnsi="宋体"/>
          <w:b/>
          <w:color w:val="auto"/>
          <w:sz w:val="22"/>
          <w:szCs w:val="22"/>
          <w:highlight w:val="none"/>
        </w:rPr>
        <w:t>据《中华人民共和国政府采购法》等相关法规特制定以下评标办法。</w:t>
      </w:r>
    </w:p>
    <w:p w14:paraId="7C0A4D05">
      <w:pPr>
        <w:pStyle w:val="25"/>
        <w:spacing w:before="120" w:beforeLines="50" w:afterLines="50"/>
        <w:rPr>
          <w:rFonts w:ascii="宋体" w:hAnsi="宋体" w:cs="Arial"/>
          <w:b/>
          <w:color w:val="auto"/>
          <w:highlight w:val="none"/>
        </w:rPr>
      </w:pPr>
      <w:bookmarkStart w:id="204" w:name="_Toc221356961"/>
      <w:bookmarkStart w:id="205" w:name="_Toc221356898"/>
      <w:r>
        <w:rPr>
          <w:rFonts w:hint="eastAsia" w:ascii="宋体" w:hAnsi="宋体" w:cs="Arial"/>
          <w:b/>
          <w:color w:val="auto"/>
          <w:highlight w:val="none"/>
        </w:rPr>
        <w:t>一. 总  则</w:t>
      </w:r>
      <w:bookmarkEnd w:id="204"/>
      <w:bookmarkEnd w:id="205"/>
    </w:p>
    <w:p w14:paraId="638E85D6">
      <w:pPr>
        <w:spacing w:line="420" w:lineRule="exact"/>
        <w:ind w:left="439" w:leftChars="209"/>
        <w:rPr>
          <w:rFonts w:ascii="宋体" w:hAnsi="宋体" w:cs="Arial"/>
          <w:color w:val="auto"/>
          <w:sz w:val="22"/>
          <w:szCs w:val="22"/>
          <w:highlight w:val="none"/>
        </w:rPr>
      </w:pPr>
      <w:r>
        <w:rPr>
          <w:rFonts w:hint="eastAsia" w:ascii="宋体" w:hAnsi="宋体" w:cs="Arial"/>
          <w:color w:val="auto"/>
          <w:sz w:val="22"/>
          <w:szCs w:val="22"/>
          <w:highlight w:val="none"/>
        </w:rPr>
        <w:t>评标工作遵循公平、公正、科学、择优原则和诚实、信誉、效率的服务原则。本着科学、严谨的态度，认真进行评标。择优选用，推进技术进步，确保工程质量、交货期，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14:paraId="447B4A10">
      <w:pPr>
        <w:spacing w:line="420" w:lineRule="exact"/>
        <w:rPr>
          <w:rFonts w:ascii="宋体" w:hAnsi="宋体" w:cs="Arial"/>
          <w:b/>
          <w:color w:val="auto"/>
          <w:sz w:val="22"/>
          <w:highlight w:val="none"/>
        </w:rPr>
      </w:pPr>
      <w:r>
        <w:rPr>
          <w:rFonts w:hint="eastAsia" w:ascii="宋体" w:hAnsi="宋体" w:cs="Arial"/>
          <w:b/>
          <w:color w:val="auto"/>
          <w:sz w:val="22"/>
          <w:highlight w:val="none"/>
        </w:rPr>
        <w:t>二、评标组织</w:t>
      </w:r>
    </w:p>
    <w:p w14:paraId="2090C693">
      <w:pPr>
        <w:spacing w:line="420" w:lineRule="exact"/>
        <w:ind w:left="439" w:leftChars="209"/>
        <w:rPr>
          <w:rFonts w:ascii="宋体" w:hAnsi="宋体" w:cs="Arial"/>
          <w:color w:val="auto"/>
          <w:sz w:val="22"/>
          <w:szCs w:val="22"/>
          <w:highlight w:val="none"/>
        </w:rPr>
      </w:pPr>
      <w:r>
        <w:rPr>
          <w:rFonts w:hint="eastAsia" w:ascii="宋体" w:hAnsi="宋体"/>
          <w:color w:val="auto"/>
          <w:sz w:val="22"/>
          <w:szCs w:val="22"/>
          <w:highlight w:val="none"/>
        </w:rPr>
        <w:t>评标工作由招标人依法组建的评标委员会负责，评标全过程由有关部门指导监督。</w:t>
      </w:r>
    </w:p>
    <w:p w14:paraId="3FD7F469">
      <w:pPr>
        <w:spacing w:line="420" w:lineRule="exact"/>
        <w:rPr>
          <w:rFonts w:ascii="宋体" w:hAnsi="宋体" w:cs="Arial"/>
          <w:b/>
          <w:color w:val="auto"/>
          <w:sz w:val="22"/>
          <w:highlight w:val="none"/>
        </w:rPr>
      </w:pPr>
      <w:r>
        <w:rPr>
          <w:rFonts w:hint="eastAsia" w:ascii="宋体" w:hAnsi="宋体" w:cs="Arial"/>
          <w:b/>
          <w:color w:val="auto"/>
          <w:sz w:val="22"/>
          <w:highlight w:val="none"/>
        </w:rPr>
        <w:t>三、评标办法</w:t>
      </w:r>
    </w:p>
    <w:p w14:paraId="5EBD1A2A">
      <w:pPr>
        <w:spacing w:line="400" w:lineRule="exact"/>
        <w:ind w:left="439" w:leftChars="209"/>
        <w:rPr>
          <w:rFonts w:ascii="宋体" w:hAnsi="宋体" w:cs="Arial"/>
          <w:b/>
          <w:color w:val="auto"/>
          <w:sz w:val="22"/>
          <w:highlight w:val="none"/>
        </w:rPr>
      </w:pPr>
      <w:r>
        <w:rPr>
          <w:rFonts w:hint="eastAsia" w:ascii="宋体" w:hAnsi="宋体" w:cs="Arial"/>
          <w:color w:val="auto"/>
          <w:sz w:val="22"/>
          <w:highlight w:val="none"/>
        </w:rPr>
        <w:t>本次采购采用综合评分法，即投标人最大限度地满足招标文件实质性要求的基础上，按照招标文件的各项因素进行综合评审后，以评标总得分最高的投标人和次高的投标人作为第一和第二排序的中标候选人的评标方法。根据采购要求，</w:t>
      </w:r>
      <w:r>
        <w:rPr>
          <w:rFonts w:hint="eastAsia" w:ascii="宋体" w:hAnsi="宋体" w:cs="Arial"/>
          <w:b/>
          <w:color w:val="auto"/>
          <w:sz w:val="22"/>
          <w:highlight w:val="none"/>
        </w:rPr>
        <w:t>总分设定为100分；其中商务技术文件80分，报价文件（报价）20分。</w:t>
      </w:r>
    </w:p>
    <w:p w14:paraId="5E8E255C">
      <w:pPr>
        <w:spacing w:line="420" w:lineRule="exact"/>
        <w:rPr>
          <w:rFonts w:ascii="宋体" w:hAnsi="宋体" w:cs="Arial"/>
          <w:b/>
          <w:color w:val="auto"/>
          <w:sz w:val="22"/>
          <w:highlight w:val="none"/>
        </w:rPr>
      </w:pPr>
      <w:bookmarkStart w:id="206" w:name="_Toc221356965"/>
      <w:bookmarkStart w:id="207" w:name="_Toc221356902"/>
      <w:r>
        <w:rPr>
          <w:rFonts w:hint="eastAsia" w:ascii="宋体" w:hAnsi="宋体" w:cs="Arial"/>
          <w:b/>
          <w:color w:val="auto"/>
          <w:sz w:val="22"/>
          <w:highlight w:val="none"/>
        </w:rPr>
        <w:t>四、评分细则</w:t>
      </w:r>
      <w:bookmarkEnd w:id="206"/>
      <w:bookmarkEnd w:id="207"/>
    </w:p>
    <w:p w14:paraId="25FD130C">
      <w:pPr>
        <w:spacing w:line="400" w:lineRule="exact"/>
        <w:rPr>
          <w:rFonts w:ascii="宋体" w:hAnsi="宋体" w:cs="Arial"/>
          <w:color w:val="auto"/>
          <w:sz w:val="22"/>
          <w:highlight w:val="none"/>
        </w:rPr>
      </w:pPr>
      <w:bookmarkStart w:id="208" w:name="_Toc221356903"/>
      <w:bookmarkStart w:id="209" w:name="_Toc221356966"/>
      <w:r>
        <w:rPr>
          <w:rFonts w:hint="eastAsia" w:ascii="宋体" w:hAnsi="宋体" w:cs="Arial"/>
          <w:color w:val="auto"/>
          <w:sz w:val="22"/>
          <w:highlight w:val="none"/>
        </w:rPr>
        <w:t>1、商务技术分的评定（80分）</w:t>
      </w:r>
    </w:p>
    <w:p w14:paraId="194F9816">
      <w:pPr>
        <w:spacing w:line="400" w:lineRule="exact"/>
        <w:ind w:left="439" w:leftChars="209"/>
        <w:rPr>
          <w:rFonts w:ascii="宋体" w:hAnsi="宋体" w:cs="Arial"/>
          <w:color w:val="auto"/>
          <w:sz w:val="22"/>
          <w:highlight w:val="none"/>
        </w:rPr>
      </w:pPr>
      <w:r>
        <w:rPr>
          <w:rFonts w:hint="eastAsia" w:ascii="宋体" w:hAnsi="宋体" w:cs="Arial"/>
          <w:color w:val="auto"/>
          <w:sz w:val="22"/>
          <w:highlight w:val="none"/>
        </w:rPr>
        <w:t>各评委成员按下列评分项目进行评定，每人一张评分计算表，由评标委员会成员各自评定打分并记实名。如任何一张表的一项评分内容分值超过规定的范围，则该张表无效。评标委员会成员对各投标人的各项评分内容评分的合计分的算术平均值为该投标人技术分的最终得分（四舍五入，保留小数点后二位）。</w:t>
      </w:r>
    </w:p>
    <w:tbl>
      <w:tblPr>
        <w:tblStyle w:val="63"/>
        <w:tblW w:w="9752" w:type="dxa"/>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
        <w:gridCol w:w="901"/>
        <w:gridCol w:w="768"/>
        <w:gridCol w:w="756"/>
        <w:gridCol w:w="6775"/>
      </w:tblGrid>
      <w:tr w14:paraId="3AD76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shd w:val="clear" w:color="auto" w:fill="auto"/>
            <w:vAlign w:val="center"/>
          </w:tcPr>
          <w:p w14:paraId="6571727B">
            <w:pPr>
              <w:jc w:val="center"/>
              <w:rPr>
                <w:b/>
                <w:bCs/>
                <w:color w:val="auto"/>
                <w:highlight w:val="none"/>
              </w:rPr>
            </w:pPr>
            <w:r>
              <w:rPr>
                <w:rFonts w:hint="eastAsia"/>
                <w:b/>
                <w:bCs/>
                <w:color w:val="auto"/>
                <w:highlight w:val="none"/>
              </w:rPr>
              <w:t>序号</w:t>
            </w:r>
          </w:p>
        </w:tc>
        <w:tc>
          <w:tcPr>
            <w:tcW w:w="1669" w:type="dxa"/>
            <w:gridSpan w:val="2"/>
            <w:shd w:val="clear" w:color="auto" w:fill="auto"/>
            <w:vAlign w:val="center"/>
          </w:tcPr>
          <w:p w14:paraId="082E9F41">
            <w:pPr>
              <w:jc w:val="center"/>
              <w:rPr>
                <w:b/>
                <w:bCs/>
                <w:color w:val="auto"/>
                <w:highlight w:val="none"/>
              </w:rPr>
            </w:pPr>
            <w:r>
              <w:rPr>
                <w:rFonts w:hint="eastAsia"/>
                <w:b/>
                <w:bCs/>
                <w:color w:val="auto"/>
                <w:highlight w:val="none"/>
              </w:rPr>
              <w:t>评分内容</w:t>
            </w:r>
          </w:p>
        </w:tc>
        <w:tc>
          <w:tcPr>
            <w:tcW w:w="756" w:type="dxa"/>
            <w:shd w:val="clear" w:color="auto" w:fill="auto"/>
            <w:vAlign w:val="center"/>
          </w:tcPr>
          <w:p w14:paraId="417BFE26">
            <w:pPr>
              <w:jc w:val="center"/>
              <w:rPr>
                <w:b/>
                <w:bCs/>
                <w:color w:val="auto"/>
                <w:highlight w:val="none"/>
              </w:rPr>
            </w:pPr>
            <w:r>
              <w:rPr>
                <w:rFonts w:hint="eastAsia"/>
                <w:b/>
                <w:bCs/>
                <w:color w:val="auto"/>
                <w:highlight w:val="none"/>
              </w:rPr>
              <w:t>分值</w:t>
            </w:r>
          </w:p>
        </w:tc>
        <w:tc>
          <w:tcPr>
            <w:tcW w:w="6775" w:type="dxa"/>
            <w:shd w:val="clear" w:color="auto" w:fill="FFFFFF"/>
            <w:vAlign w:val="center"/>
          </w:tcPr>
          <w:p w14:paraId="0462B5EB">
            <w:pPr>
              <w:jc w:val="center"/>
              <w:rPr>
                <w:b/>
                <w:bCs/>
                <w:color w:val="auto"/>
                <w:highlight w:val="none"/>
              </w:rPr>
            </w:pPr>
            <w:r>
              <w:rPr>
                <w:rFonts w:hint="eastAsia"/>
                <w:b/>
                <w:bCs/>
                <w:color w:val="auto"/>
                <w:highlight w:val="none"/>
              </w:rPr>
              <w:t>评分标准说明</w:t>
            </w:r>
          </w:p>
        </w:tc>
      </w:tr>
      <w:tr w14:paraId="5CE7D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9" w:hRule="atLeast"/>
        </w:trPr>
        <w:tc>
          <w:tcPr>
            <w:tcW w:w="552" w:type="dxa"/>
            <w:vMerge w:val="restart"/>
            <w:shd w:val="clear" w:color="auto" w:fill="auto"/>
            <w:vAlign w:val="center"/>
          </w:tcPr>
          <w:p w14:paraId="61162B68">
            <w:pPr>
              <w:rPr>
                <w:color w:val="auto"/>
                <w:highlight w:val="none"/>
              </w:rPr>
            </w:pPr>
            <w:r>
              <w:rPr>
                <w:rFonts w:hint="eastAsia"/>
                <w:color w:val="auto"/>
                <w:highlight w:val="none"/>
              </w:rPr>
              <w:t>1</w:t>
            </w:r>
          </w:p>
        </w:tc>
        <w:tc>
          <w:tcPr>
            <w:tcW w:w="901" w:type="dxa"/>
            <w:vMerge w:val="restart"/>
            <w:shd w:val="clear" w:color="auto" w:fill="auto"/>
            <w:vAlign w:val="center"/>
          </w:tcPr>
          <w:p w14:paraId="0CE00B94">
            <w:pPr>
              <w:jc w:val="center"/>
              <w:rPr>
                <w:color w:val="auto"/>
                <w:highlight w:val="none"/>
              </w:rPr>
            </w:pPr>
            <w:r>
              <w:rPr>
                <w:rFonts w:hint="eastAsia"/>
                <w:color w:val="auto"/>
                <w:highlight w:val="none"/>
              </w:rPr>
              <w:t>投标人实力</w:t>
            </w:r>
          </w:p>
        </w:tc>
        <w:tc>
          <w:tcPr>
            <w:tcW w:w="768" w:type="dxa"/>
            <w:shd w:val="clear" w:color="auto" w:fill="FFFFFF"/>
            <w:vAlign w:val="center"/>
          </w:tcPr>
          <w:p w14:paraId="2DFCB353">
            <w:pPr>
              <w:jc w:val="center"/>
              <w:rPr>
                <w:color w:val="auto"/>
                <w:highlight w:val="none"/>
              </w:rPr>
            </w:pPr>
            <w:r>
              <w:rPr>
                <w:rFonts w:hint="eastAsia"/>
                <w:color w:val="auto"/>
                <w:highlight w:val="none"/>
              </w:rPr>
              <w:t>综合实力</w:t>
            </w:r>
          </w:p>
        </w:tc>
        <w:tc>
          <w:tcPr>
            <w:tcW w:w="756" w:type="dxa"/>
            <w:shd w:val="clear" w:color="auto" w:fill="FFFFFF"/>
            <w:vAlign w:val="center"/>
          </w:tcPr>
          <w:p w14:paraId="10E8EDCE">
            <w:pPr>
              <w:jc w:val="center"/>
              <w:rPr>
                <w:color w:val="auto"/>
                <w:highlight w:val="none"/>
              </w:rPr>
            </w:pPr>
            <w:r>
              <w:rPr>
                <w:rFonts w:hint="eastAsia"/>
                <w:color w:val="auto"/>
                <w:highlight w:val="none"/>
              </w:rPr>
              <w:t>5</w:t>
            </w:r>
          </w:p>
        </w:tc>
        <w:tc>
          <w:tcPr>
            <w:tcW w:w="6775" w:type="dxa"/>
            <w:shd w:val="clear" w:color="auto" w:fill="FFFFFF"/>
            <w:vAlign w:val="center"/>
          </w:tcPr>
          <w:p w14:paraId="47ADB2E4">
            <w:pPr>
              <w:rPr>
                <w:color w:val="auto"/>
                <w:highlight w:val="none"/>
              </w:rPr>
            </w:pPr>
            <w:r>
              <w:rPr>
                <w:rFonts w:hint="eastAsia"/>
                <w:color w:val="auto"/>
                <w:highlight w:val="none"/>
              </w:rPr>
              <w:t>根据投标人在行业中的综合实力（含市场知名度、商业信誉、履约能力、获得荣誉等）情况，综合评分：</w:t>
            </w:r>
          </w:p>
          <w:p w14:paraId="1D4F054A">
            <w:pPr>
              <w:rPr>
                <w:color w:val="auto"/>
                <w:highlight w:val="none"/>
              </w:rPr>
            </w:pPr>
            <w:r>
              <w:rPr>
                <w:rFonts w:hint="eastAsia"/>
                <w:color w:val="auto"/>
                <w:highlight w:val="none"/>
              </w:rPr>
              <w:t>一档（5分）：市场知名度高、商业信誉良好、履约能力强、荣誉多；</w:t>
            </w:r>
          </w:p>
          <w:p w14:paraId="7FC27A9B">
            <w:pPr>
              <w:rPr>
                <w:color w:val="auto"/>
                <w:highlight w:val="none"/>
              </w:rPr>
            </w:pPr>
            <w:r>
              <w:rPr>
                <w:rFonts w:hint="eastAsia"/>
                <w:color w:val="auto"/>
                <w:highlight w:val="none"/>
              </w:rPr>
              <w:t>二档（</w:t>
            </w:r>
            <w:r>
              <w:rPr>
                <w:rFonts w:hint="eastAsia"/>
                <w:color w:val="auto"/>
                <w:highlight w:val="none"/>
                <w:lang w:val="en-US" w:eastAsia="zh-CN"/>
              </w:rPr>
              <w:t>3.5</w:t>
            </w:r>
            <w:r>
              <w:rPr>
                <w:rFonts w:hint="eastAsia"/>
                <w:color w:val="auto"/>
                <w:highlight w:val="none"/>
              </w:rPr>
              <w:t>分）：市场知名度较高、商业信誉良好、履约能力较强、荣誉较多；</w:t>
            </w:r>
          </w:p>
          <w:p w14:paraId="398EB61F">
            <w:pPr>
              <w:rPr>
                <w:rFonts w:hint="eastAsia"/>
                <w:color w:val="auto"/>
                <w:highlight w:val="none"/>
              </w:rPr>
            </w:pPr>
            <w:r>
              <w:rPr>
                <w:rFonts w:hint="eastAsia"/>
                <w:color w:val="auto"/>
                <w:highlight w:val="none"/>
              </w:rPr>
              <w:t>三档（2分）：市场知名度一般、履约能力一般、荣誉少</w:t>
            </w:r>
            <w:r>
              <w:rPr>
                <w:rFonts w:hint="eastAsia"/>
                <w:color w:val="auto"/>
                <w:highlight w:val="none"/>
                <w:lang w:eastAsia="zh-CN"/>
              </w:rPr>
              <w:t>；</w:t>
            </w:r>
          </w:p>
          <w:p w14:paraId="39202342">
            <w:pPr>
              <w:rPr>
                <w:color w:val="auto"/>
                <w:highlight w:val="none"/>
              </w:rPr>
            </w:pPr>
            <w:r>
              <w:rPr>
                <w:rFonts w:hint="eastAsia"/>
                <w:color w:val="auto"/>
                <w:highlight w:val="none"/>
                <w:lang w:val="en-US" w:eastAsia="zh-CN"/>
              </w:rPr>
              <w:t>四</w:t>
            </w:r>
            <w:r>
              <w:rPr>
                <w:rFonts w:hint="eastAsia"/>
                <w:color w:val="auto"/>
                <w:highlight w:val="none"/>
              </w:rPr>
              <w:t>档（</w:t>
            </w:r>
            <w:r>
              <w:rPr>
                <w:rFonts w:hint="eastAsia"/>
                <w:color w:val="auto"/>
                <w:highlight w:val="none"/>
                <w:lang w:val="en-US" w:eastAsia="zh-CN"/>
              </w:rPr>
              <w:t>0</w:t>
            </w:r>
            <w:r>
              <w:rPr>
                <w:rFonts w:hint="eastAsia"/>
                <w:color w:val="auto"/>
                <w:highlight w:val="none"/>
              </w:rPr>
              <w:t>分）：</w:t>
            </w:r>
            <w:r>
              <w:rPr>
                <w:rFonts w:hint="eastAsia"/>
                <w:color w:val="auto"/>
                <w:highlight w:val="none"/>
                <w:lang w:val="en-US" w:eastAsia="zh-CN"/>
              </w:rPr>
              <w:t>不提供不得分</w:t>
            </w:r>
            <w:r>
              <w:rPr>
                <w:rFonts w:hint="eastAsia"/>
                <w:color w:val="auto"/>
                <w:highlight w:val="none"/>
              </w:rPr>
              <w:t>。</w:t>
            </w:r>
          </w:p>
        </w:tc>
      </w:tr>
      <w:tr w14:paraId="65380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vMerge w:val="continue"/>
            <w:shd w:val="clear" w:color="auto" w:fill="auto"/>
            <w:vAlign w:val="center"/>
          </w:tcPr>
          <w:p w14:paraId="6844F264">
            <w:pPr>
              <w:rPr>
                <w:color w:val="auto"/>
                <w:highlight w:val="none"/>
              </w:rPr>
            </w:pPr>
          </w:p>
        </w:tc>
        <w:tc>
          <w:tcPr>
            <w:tcW w:w="901" w:type="dxa"/>
            <w:vMerge w:val="continue"/>
            <w:shd w:val="clear" w:color="auto" w:fill="auto"/>
            <w:vAlign w:val="center"/>
          </w:tcPr>
          <w:p w14:paraId="7F0A1597">
            <w:pPr>
              <w:jc w:val="center"/>
              <w:rPr>
                <w:color w:val="auto"/>
                <w:highlight w:val="none"/>
              </w:rPr>
            </w:pPr>
          </w:p>
        </w:tc>
        <w:tc>
          <w:tcPr>
            <w:tcW w:w="768" w:type="dxa"/>
            <w:shd w:val="clear" w:color="auto" w:fill="auto"/>
            <w:vAlign w:val="center"/>
          </w:tcPr>
          <w:p w14:paraId="6FB5E61F">
            <w:pPr>
              <w:jc w:val="center"/>
              <w:rPr>
                <w:color w:val="auto"/>
                <w:highlight w:val="none"/>
              </w:rPr>
            </w:pPr>
            <w:r>
              <w:rPr>
                <w:rFonts w:hint="eastAsia"/>
                <w:color w:val="auto"/>
                <w:highlight w:val="none"/>
              </w:rPr>
              <w:t>投标人认证</w:t>
            </w:r>
          </w:p>
        </w:tc>
        <w:tc>
          <w:tcPr>
            <w:tcW w:w="756" w:type="dxa"/>
            <w:shd w:val="clear" w:color="auto" w:fill="auto"/>
            <w:vAlign w:val="center"/>
          </w:tcPr>
          <w:p w14:paraId="4E152E8A">
            <w:pPr>
              <w:jc w:val="center"/>
              <w:rPr>
                <w:color w:val="auto"/>
                <w:highlight w:val="none"/>
              </w:rPr>
            </w:pPr>
            <w:r>
              <w:rPr>
                <w:rFonts w:hint="eastAsia"/>
                <w:color w:val="auto"/>
                <w:highlight w:val="none"/>
              </w:rPr>
              <w:t>12</w:t>
            </w:r>
          </w:p>
        </w:tc>
        <w:tc>
          <w:tcPr>
            <w:tcW w:w="6775" w:type="dxa"/>
            <w:shd w:val="clear" w:color="auto" w:fill="FFFFFF"/>
            <w:vAlign w:val="center"/>
          </w:tcPr>
          <w:p w14:paraId="234D67BF">
            <w:pPr>
              <w:rPr>
                <w:color w:val="auto"/>
                <w:highlight w:val="none"/>
              </w:rPr>
            </w:pPr>
            <w:r>
              <w:rPr>
                <w:rFonts w:hint="eastAsia"/>
                <w:color w:val="auto"/>
                <w:highlight w:val="none"/>
              </w:rPr>
              <w:t>1.投标人具有在有效期内的质量管理体系认证证书得2分；</w:t>
            </w:r>
          </w:p>
          <w:p w14:paraId="19848FA2">
            <w:pPr>
              <w:rPr>
                <w:color w:val="auto"/>
                <w:highlight w:val="none"/>
              </w:rPr>
            </w:pPr>
            <w:r>
              <w:rPr>
                <w:rFonts w:hint="eastAsia"/>
                <w:color w:val="auto"/>
                <w:highlight w:val="none"/>
              </w:rPr>
              <w:t>2.投标人具有在有效期内的环境管理体系认证证书得2分；</w:t>
            </w:r>
          </w:p>
          <w:p w14:paraId="240C93EB">
            <w:pPr>
              <w:rPr>
                <w:color w:val="auto"/>
                <w:highlight w:val="none"/>
              </w:rPr>
            </w:pPr>
            <w:r>
              <w:rPr>
                <w:rFonts w:hint="eastAsia"/>
                <w:color w:val="auto"/>
                <w:highlight w:val="none"/>
              </w:rPr>
              <w:t>3.投标人具有在有效期内的职业健康管理体系认证证书得2分；</w:t>
            </w:r>
          </w:p>
          <w:p w14:paraId="3FC33F95">
            <w:pPr>
              <w:rPr>
                <w:color w:val="auto"/>
                <w:highlight w:val="none"/>
              </w:rPr>
            </w:pPr>
            <w:r>
              <w:rPr>
                <w:rFonts w:hint="eastAsia"/>
                <w:color w:val="auto"/>
                <w:highlight w:val="none"/>
              </w:rPr>
              <w:t>4.投标人具有在有效期内的信息安全管理体系认证证书得2分；</w:t>
            </w:r>
          </w:p>
          <w:p w14:paraId="5D01742F">
            <w:pPr>
              <w:rPr>
                <w:color w:val="auto"/>
                <w:highlight w:val="none"/>
              </w:rPr>
            </w:pPr>
            <w:r>
              <w:rPr>
                <w:rFonts w:hint="eastAsia"/>
                <w:color w:val="auto"/>
                <w:highlight w:val="none"/>
              </w:rPr>
              <w:t>5.投标人具有在有效期内的信息技术服务管理体系认证证书得2分</w:t>
            </w:r>
            <w:r>
              <w:rPr>
                <w:rFonts w:hint="eastAsia"/>
                <w:color w:val="auto"/>
                <w:highlight w:val="none"/>
                <w:lang w:eastAsia="zh-CN"/>
              </w:rPr>
              <w:t>；</w:t>
            </w:r>
          </w:p>
          <w:p w14:paraId="3653D9C8">
            <w:pPr>
              <w:rPr>
                <w:color w:val="auto"/>
                <w:highlight w:val="none"/>
              </w:rPr>
            </w:pPr>
            <w:r>
              <w:rPr>
                <w:rFonts w:hint="eastAsia"/>
                <w:color w:val="auto"/>
                <w:highlight w:val="none"/>
              </w:rPr>
              <w:t>6.投标人具有在有效期内的信息技术服务运行维护符合性证书得2分；</w:t>
            </w:r>
          </w:p>
          <w:p w14:paraId="6A39A77D">
            <w:pPr>
              <w:rPr>
                <w:color w:val="auto"/>
                <w:highlight w:val="none"/>
              </w:rPr>
            </w:pPr>
            <w:r>
              <w:rPr>
                <w:rFonts w:hint="eastAsia"/>
                <w:color w:val="auto"/>
                <w:highlight w:val="none"/>
              </w:rPr>
              <w:t>注</w:t>
            </w:r>
            <w:r>
              <w:rPr>
                <w:rFonts w:hint="eastAsia"/>
                <w:color w:val="auto"/>
                <w:highlight w:val="none"/>
                <w:lang w:eastAsia="zh-CN"/>
              </w:rPr>
              <w:t>：</w:t>
            </w:r>
            <w:r>
              <w:rPr>
                <w:rFonts w:hint="eastAsia"/>
                <w:color w:val="auto"/>
                <w:highlight w:val="none"/>
              </w:rPr>
              <w:t>以上证书提供证书扫描件加盖公章，不提供不得分。</w:t>
            </w:r>
          </w:p>
        </w:tc>
      </w:tr>
      <w:tr w14:paraId="6540C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vMerge w:val="restart"/>
            <w:shd w:val="clear" w:color="auto" w:fill="auto"/>
            <w:vAlign w:val="center"/>
          </w:tcPr>
          <w:p w14:paraId="54C32D46">
            <w:pPr>
              <w:rPr>
                <w:color w:val="auto"/>
                <w:highlight w:val="none"/>
              </w:rPr>
            </w:pPr>
            <w:r>
              <w:rPr>
                <w:rFonts w:hint="eastAsia"/>
                <w:color w:val="auto"/>
                <w:highlight w:val="none"/>
              </w:rPr>
              <w:t>2</w:t>
            </w:r>
          </w:p>
        </w:tc>
        <w:tc>
          <w:tcPr>
            <w:tcW w:w="901" w:type="dxa"/>
            <w:vMerge w:val="restart"/>
            <w:shd w:val="clear" w:color="auto" w:fill="auto"/>
            <w:vAlign w:val="center"/>
          </w:tcPr>
          <w:p w14:paraId="3B28402C">
            <w:pPr>
              <w:jc w:val="center"/>
              <w:rPr>
                <w:color w:val="auto"/>
                <w:highlight w:val="none"/>
              </w:rPr>
            </w:pPr>
            <w:r>
              <w:rPr>
                <w:rFonts w:hint="eastAsia"/>
                <w:color w:val="auto"/>
                <w:highlight w:val="none"/>
              </w:rPr>
              <w:t>针对本项目的方案</w:t>
            </w:r>
          </w:p>
        </w:tc>
        <w:tc>
          <w:tcPr>
            <w:tcW w:w="768" w:type="dxa"/>
            <w:shd w:val="clear" w:color="auto" w:fill="FFFFFF"/>
            <w:vAlign w:val="center"/>
          </w:tcPr>
          <w:p w14:paraId="0A782694">
            <w:pPr>
              <w:jc w:val="center"/>
              <w:rPr>
                <w:color w:val="auto"/>
                <w:highlight w:val="none"/>
              </w:rPr>
            </w:pPr>
            <w:r>
              <w:rPr>
                <w:rFonts w:hint="eastAsia"/>
                <w:color w:val="auto"/>
                <w:highlight w:val="none"/>
              </w:rPr>
              <w:t>技术外包现有情况分析</w:t>
            </w:r>
          </w:p>
        </w:tc>
        <w:tc>
          <w:tcPr>
            <w:tcW w:w="756" w:type="dxa"/>
            <w:shd w:val="clear" w:color="auto" w:fill="FFFFFF"/>
            <w:vAlign w:val="center"/>
          </w:tcPr>
          <w:p w14:paraId="372FCAA0">
            <w:pPr>
              <w:jc w:val="center"/>
              <w:rPr>
                <w:color w:val="auto"/>
                <w:highlight w:val="none"/>
              </w:rPr>
            </w:pPr>
            <w:r>
              <w:rPr>
                <w:rFonts w:hint="eastAsia"/>
                <w:color w:val="auto"/>
                <w:highlight w:val="none"/>
              </w:rPr>
              <w:t>6</w:t>
            </w:r>
          </w:p>
        </w:tc>
        <w:tc>
          <w:tcPr>
            <w:tcW w:w="6775" w:type="dxa"/>
            <w:shd w:val="clear" w:color="auto" w:fill="FFFFFF"/>
            <w:vAlign w:val="center"/>
          </w:tcPr>
          <w:p w14:paraId="6AB5A377">
            <w:pPr>
              <w:rPr>
                <w:color w:val="auto"/>
                <w:highlight w:val="none"/>
              </w:rPr>
            </w:pPr>
            <w:r>
              <w:rPr>
                <w:rFonts w:hint="eastAsia"/>
                <w:color w:val="auto"/>
                <w:highlight w:val="none"/>
              </w:rPr>
              <w:t>根据投标人对信息化技术外包服务现有情况（交通运输局相关维护平台、系统、技术）的熟悉程度，综合评分：</w:t>
            </w:r>
          </w:p>
          <w:p w14:paraId="7401BDE3">
            <w:pPr>
              <w:rPr>
                <w:color w:val="auto"/>
                <w:highlight w:val="none"/>
              </w:rPr>
            </w:pPr>
            <w:r>
              <w:rPr>
                <w:rFonts w:hint="eastAsia"/>
                <w:color w:val="auto"/>
                <w:highlight w:val="none"/>
              </w:rPr>
              <w:t>一档（6分）：对交通运输局相关维护平台、系统、技术的现有情况非常熟悉；</w:t>
            </w:r>
          </w:p>
          <w:p w14:paraId="23479FB3">
            <w:pPr>
              <w:rPr>
                <w:color w:val="auto"/>
                <w:highlight w:val="none"/>
              </w:rPr>
            </w:pPr>
            <w:r>
              <w:rPr>
                <w:rFonts w:hint="eastAsia"/>
                <w:color w:val="auto"/>
                <w:highlight w:val="none"/>
              </w:rPr>
              <w:t>二档（4分）：对交通运输局相关维护平台、系统、技术的现有情况较为熟悉；</w:t>
            </w:r>
          </w:p>
          <w:p w14:paraId="523A0E5E">
            <w:pPr>
              <w:rPr>
                <w:rFonts w:hint="eastAsia"/>
                <w:color w:val="auto"/>
                <w:highlight w:val="none"/>
              </w:rPr>
            </w:pPr>
            <w:r>
              <w:rPr>
                <w:rFonts w:hint="eastAsia"/>
                <w:color w:val="auto"/>
                <w:highlight w:val="none"/>
              </w:rPr>
              <w:t>三档（2分）：对交通运输局相关维护平台、系统、技术的现有情况不熟悉</w:t>
            </w:r>
            <w:r>
              <w:rPr>
                <w:rFonts w:hint="eastAsia"/>
                <w:color w:val="auto"/>
                <w:highlight w:val="none"/>
                <w:lang w:eastAsia="zh-CN"/>
              </w:rPr>
              <w:t>；</w:t>
            </w:r>
          </w:p>
          <w:p w14:paraId="406726AB">
            <w:pPr>
              <w:rPr>
                <w:color w:val="auto"/>
                <w:highlight w:val="none"/>
              </w:rPr>
            </w:pPr>
            <w:r>
              <w:rPr>
                <w:rFonts w:hint="eastAsia"/>
                <w:color w:val="auto"/>
                <w:highlight w:val="none"/>
                <w:lang w:val="en-US" w:eastAsia="zh-CN"/>
              </w:rPr>
              <w:t>四</w:t>
            </w:r>
            <w:r>
              <w:rPr>
                <w:rFonts w:hint="eastAsia"/>
                <w:color w:val="auto"/>
                <w:highlight w:val="none"/>
              </w:rPr>
              <w:t>档（</w:t>
            </w:r>
            <w:r>
              <w:rPr>
                <w:rFonts w:hint="eastAsia"/>
                <w:color w:val="auto"/>
                <w:highlight w:val="none"/>
                <w:lang w:val="en-US" w:eastAsia="zh-CN"/>
              </w:rPr>
              <w:t>0</w:t>
            </w:r>
            <w:r>
              <w:rPr>
                <w:rFonts w:hint="eastAsia"/>
                <w:color w:val="auto"/>
                <w:highlight w:val="none"/>
              </w:rPr>
              <w:t>分）：</w:t>
            </w:r>
            <w:r>
              <w:rPr>
                <w:rFonts w:hint="eastAsia"/>
                <w:color w:val="auto"/>
                <w:highlight w:val="none"/>
                <w:lang w:val="en-US" w:eastAsia="zh-CN"/>
              </w:rPr>
              <w:t>不提供不得分</w:t>
            </w:r>
            <w:r>
              <w:rPr>
                <w:rFonts w:hint="eastAsia"/>
                <w:color w:val="auto"/>
                <w:highlight w:val="none"/>
              </w:rPr>
              <w:t>。</w:t>
            </w:r>
          </w:p>
        </w:tc>
      </w:tr>
      <w:tr w14:paraId="04A22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vMerge w:val="continue"/>
            <w:shd w:val="clear" w:color="auto" w:fill="auto"/>
            <w:vAlign w:val="center"/>
          </w:tcPr>
          <w:p w14:paraId="02492C44">
            <w:pPr>
              <w:rPr>
                <w:color w:val="auto"/>
                <w:highlight w:val="none"/>
              </w:rPr>
            </w:pPr>
          </w:p>
        </w:tc>
        <w:tc>
          <w:tcPr>
            <w:tcW w:w="901" w:type="dxa"/>
            <w:vMerge w:val="continue"/>
            <w:shd w:val="clear" w:color="auto" w:fill="auto"/>
            <w:vAlign w:val="center"/>
          </w:tcPr>
          <w:p w14:paraId="1745E061">
            <w:pPr>
              <w:jc w:val="center"/>
              <w:rPr>
                <w:color w:val="auto"/>
                <w:highlight w:val="none"/>
              </w:rPr>
            </w:pPr>
          </w:p>
        </w:tc>
        <w:tc>
          <w:tcPr>
            <w:tcW w:w="768" w:type="dxa"/>
            <w:shd w:val="clear" w:color="auto" w:fill="FFFFFF"/>
            <w:vAlign w:val="center"/>
          </w:tcPr>
          <w:p w14:paraId="1BC03313">
            <w:pPr>
              <w:jc w:val="center"/>
              <w:rPr>
                <w:color w:val="auto"/>
                <w:highlight w:val="none"/>
              </w:rPr>
            </w:pPr>
            <w:r>
              <w:rPr>
                <w:rFonts w:hint="eastAsia"/>
                <w:color w:val="auto"/>
                <w:highlight w:val="none"/>
              </w:rPr>
              <w:t>技术外包服务方案内容</w:t>
            </w:r>
          </w:p>
        </w:tc>
        <w:tc>
          <w:tcPr>
            <w:tcW w:w="756" w:type="dxa"/>
            <w:shd w:val="clear" w:color="auto" w:fill="FFFFFF"/>
            <w:vAlign w:val="center"/>
          </w:tcPr>
          <w:p w14:paraId="3BA9BA63">
            <w:pPr>
              <w:jc w:val="center"/>
              <w:rPr>
                <w:color w:val="auto"/>
                <w:highlight w:val="none"/>
              </w:rPr>
            </w:pPr>
            <w:r>
              <w:rPr>
                <w:rFonts w:hint="eastAsia"/>
                <w:color w:val="auto"/>
                <w:highlight w:val="none"/>
              </w:rPr>
              <w:t>6</w:t>
            </w:r>
          </w:p>
        </w:tc>
        <w:tc>
          <w:tcPr>
            <w:tcW w:w="6775" w:type="dxa"/>
            <w:shd w:val="clear" w:color="auto" w:fill="FFFFFF"/>
            <w:vAlign w:val="center"/>
          </w:tcPr>
          <w:p w14:paraId="185DAA1C">
            <w:pPr>
              <w:rPr>
                <w:color w:val="auto"/>
                <w:highlight w:val="none"/>
              </w:rPr>
            </w:pPr>
            <w:r>
              <w:rPr>
                <w:rFonts w:hint="eastAsia"/>
                <w:color w:val="auto"/>
                <w:highlight w:val="none"/>
              </w:rPr>
              <w:t>根据投标人所提供的信息化技术外包服务方案内容，综合评分：</w:t>
            </w:r>
          </w:p>
          <w:p w14:paraId="6774AF9F">
            <w:pPr>
              <w:rPr>
                <w:color w:val="auto"/>
                <w:highlight w:val="none"/>
              </w:rPr>
            </w:pPr>
            <w:r>
              <w:rPr>
                <w:rFonts w:hint="eastAsia"/>
                <w:color w:val="auto"/>
                <w:highlight w:val="none"/>
              </w:rPr>
              <w:t>一档（6分）：技术外包服务方案内容完整、严密、合理；</w:t>
            </w:r>
          </w:p>
          <w:p w14:paraId="01EFE0EE">
            <w:pPr>
              <w:rPr>
                <w:color w:val="auto"/>
                <w:highlight w:val="none"/>
              </w:rPr>
            </w:pPr>
            <w:r>
              <w:rPr>
                <w:rFonts w:hint="eastAsia"/>
                <w:color w:val="auto"/>
                <w:highlight w:val="none"/>
              </w:rPr>
              <w:t>二档（4分）：技术外包服务方案内容较为完整、严密、合理；</w:t>
            </w:r>
          </w:p>
          <w:p w14:paraId="01A5F241">
            <w:pPr>
              <w:rPr>
                <w:rFonts w:hint="eastAsia"/>
                <w:color w:val="auto"/>
                <w:highlight w:val="none"/>
              </w:rPr>
            </w:pPr>
            <w:r>
              <w:rPr>
                <w:rFonts w:hint="eastAsia"/>
                <w:color w:val="auto"/>
                <w:highlight w:val="none"/>
              </w:rPr>
              <w:t>三档（2分）：技术外包服务方案内容不完整、不合理。</w:t>
            </w:r>
          </w:p>
          <w:p w14:paraId="456268B5">
            <w:pPr>
              <w:rPr>
                <w:color w:val="auto"/>
                <w:highlight w:val="none"/>
              </w:rPr>
            </w:pPr>
            <w:r>
              <w:rPr>
                <w:rFonts w:hint="eastAsia" w:ascii="Times New Roman" w:hAnsi="Times New Roman" w:eastAsia="宋体" w:cs="Times New Roman"/>
                <w:color w:val="auto"/>
                <w:highlight w:val="none"/>
                <w:lang w:val="en-US" w:eastAsia="zh-CN"/>
              </w:rPr>
              <w:t>四</w:t>
            </w:r>
            <w:r>
              <w:rPr>
                <w:rFonts w:hint="eastAsia" w:ascii="Times New Roman" w:hAnsi="Times New Roman" w:eastAsia="宋体" w:cs="Times New Roman"/>
                <w:color w:val="auto"/>
                <w:highlight w:val="none"/>
              </w:rPr>
              <w:t>档（</w:t>
            </w:r>
            <w:r>
              <w:rPr>
                <w:rFonts w:hint="eastAsia" w:ascii="Times New Roman" w:hAnsi="Times New Roman" w:eastAsia="宋体" w:cs="Times New Roman"/>
                <w:color w:val="auto"/>
                <w:highlight w:val="none"/>
                <w:lang w:val="en-US" w:eastAsia="zh-CN"/>
              </w:rPr>
              <w:t>0</w:t>
            </w:r>
            <w:r>
              <w:rPr>
                <w:rFonts w:hint="eastAsia" w:ascii="Times New Roman" w:hAnsi="Times New Roman" w:eastAsia="宋体" w:cs="Times New Roman"/>
                <w:color w:val="auto"/>
                <w:highlight w:val="none"/>
              </w:rPr>
              <w:t>分）：</w:t>
            </w:r>
            <w:r>
              <w:rPr>
                <w:rFonts w:hint="eastAsia" w:ascii="Times New Roman" w:hAnsi="Times New Roman" w:eastAsia="宋体" w:cs="Times New Roman"/>
                <w:color w:val="auto"/>
                <w:highlight w:val="none"/>
                <w:lang w:val="en-US" w:eastAsia="zh-CN"/>
              </w:rPr>
              <w:t>不提供不得分</w:t>
            </w:r>
            <w:r>
              <w:rPr>
                <w:rFonts w:hint="eastAsia" w:ascii="Times New Roman" w:hAnsi="Times New Roman" w:eastAsia="宋体" w:cs="Times New Roman"/>
                <w:color w:val="auto"/>
                <w:highlight w:val="none"/>
              </w:rPr>
              <w:t>。</w:t>
            </w:r>
          </w:p>
        </w:tc>
      </w:tr>
      <w:tr w14:paraId="4EB48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vMerge w:val="continue"/>
            <w:shd w:val="clear" w:color="auto" w:fill="auto"/>
            <w:vAlign w:val="center"/>
          </w:tcPr>
          <w:p w14:paraId="0ADEE6A6">
            <w:pPr>
              <w:rPr>
                <w:color w:val="auto"/>
                <w:highlight w:val="none"/>
              </w:rPr>
            </w:pPr>
          </w:p>
        </w:tc>
        <w:tc>
          <w:tcPr>
            <w:tcW w:w="901" w:type="dxa"/>
            <w:vMerge w:val="continue"/>
            <w:shd w:val="clear" w:color="auto" w:fill="auto"/>
            <w:vAlign w:val="center"/>
          </w:tcPr>
          <w:p w14:paraId="1FA8DBFD">
            <w:pPr>
              <w:jc w:val="center"/>
              <w:rPr>
                <w:color w:val="auto"/>
                <w:highlight w:val="none"/>
              </w:rPr>
            </w:pPr>
          </w:p>
        </w:tc>
        <w:tc>
          <w:tcPr>
            <w:tcW w:w="768" w:type="dxa"/>
            <w:shd w:val="clear" w:color="auto" w:fill="auto"/>
            <w:vAlign w:val="center"/>
          </w:tcPr>
          <w:p w14:paraId="0DE4F4DB">
            <w:pPr>
              <w:jc w:val="center"/>
              <w:rPr>
                <w:color w:val="auto"/>
                <w:highlight w:val="none"/>
              </w:rPr>
            </w:pPr>
            <w:r>
              <w:rPr>
                <w:rFonts w:hint="eastAsia"/>
                <w:color w:val="auto"/>
                <w:highlight w:val="none"/>
              </w:rPr>
              <w:t>技术外包服务管理制度</w:t>
            </w:r>
          </w:p>
        </w:tc>
        <w:tc>
          <w:tcPr>
            <w:tcW w:w="756" w:type="dxa"/>
            <w:shd w:val="clear" w:color="auto" w:fill="auto"/>
            <w:vAlign w:val="center"/>
          </w:tcPr>
          <w:p w14:paraId="7F5D5DD3">
            <w:pPr>
              <w:jc w:val="center"/>
              <w:rPr>
                <w:color w:val="auto"/>
                <w:highlight w:val="none"/>
              </w:rPr>
            </w:pPr>
            <w:r>
              <w:rPr>
                <w:rFonts w:hint="eastAsia"/>
                <w:color w:val="auto"/>
                <w:highlight w:val="none"/>
              </w:rPr>
              <w:t>6</w:t>
            </w:r>
          </w:p>
        </w:tc>
        <w:tc>
          <w:tcPr>
            <w:tcW w:w="6775" w:type="dxa"/>
            <w:shd w:val="clear" w:color="auto" w:fill="FFFFFF"/>
            <w:vAlign w:val="center"/>
          </w:tcPr>
          <w:p w14:paraId="14EAE12C">
            <w:pPr>
              <w:rPr>
                <w:color w:val="auto"/>
                <w:highlight w:val="none"/>
              </w:rPr>
            </w:pPr>
            <w:r>
              <w:rPr>
                <w:rFonts w:hint="eastAsia"/>
                <w:color w:val="auto"/>
                <w:highlight w:val="none"/>
              </w:rPr>
              <w:t>根据投标人提供的技术外包服务管理制度、维保操作规程、考核办法、维护文档管理，综合评分：</w:t>
            </w:r>
          </w:p>
          <w:p w14:paraId="126E3CB6">
            <w:pPr>
              <w:rPr>
                <w:color w:val="auto"/>
                <w:highlight w:val="none"/>
              </w:rPr>
            </w:pPr>
            <w:r>
              <w:rPr>
                <w:rFonts w:hint="eastAsia"/>
                <w:color w:val="auto"/>
                <w:highlight w:val="none"/>
              </w:rPr>
              <w:t>一档（6分）：服务管理制度完善、维保操作规程完善、考核办法切实可行、文档管理规范；</w:t>
            </w:r>
          </w:p>
          <w:p w14:paraId="2AD738C5">
            <w:pPr>
              <w:rPr>
                <w:rFonts w:hint="eastAsia"/>
                <w:color w:val="auto"/>
                <w:highlight w:val="none"/>
              </w:rPr>
            </w:pPr>
            <w:r>
              <w:rPr>
                <w:rFonts w:hint="eastAsia"/>
                <w:color w:val="auto"/>
                <w:highlight w:val="none"/>
              </w:rPr>
              <w:t>二档（4分）：服务管理制度较为完善、维保操作规程较为完善、考核办法可行、文档管理较为规范；</w:t>
            </w:r>
          </w:p>
          <w:p w14:paraId="3D241B0A">
            <w:pPr>
              <w:rPr>
                <w:rFonts w:hint="eastAsia"/>
                <w:color w:val="auto"/>
                <w:highlight w:val="none"/>
              </w:rPr>
            </w:pPr>
            <w:r>
              <w:rPr>
                <w:rFonts w:hint="eastAsia"/>
                <w:color w:val="auto"/>
                <w:highlight w:val="none"/>
              </w:rPr>
              <w:t>三档（2分）：服务管理制度不完善、维保操作规程不完善、考核办法不合理、文档管理不规范。</w:t>
            </w:r>
          </w:p>
          <w:p w14:paraId="4BE9C8D6">
            <w:pPr>
              <w:rPr>
                <w:color w:val="auto"/>
                <w:highlight w:val="none"/>
              </w:rPr>
            </w:pPr>
            <w:r>
              <w:rPr>
                <w:rFonts w:hint="eastAsia" w:ascii="Times New Roman" w:hAnsi="Times New Roman" w:eastAsia="宋体" w:cs="Times New Roman"/>
                <w:color w:val="auto"/>
                <w:highlight w:val="none"/>
                <w:lang w:val="en-US" w:eastAsia="zh-CN"/>
              </w:rPr>
              <w:t>四</w:t>
            </w:r>
            <w:r>
              <w:rPr>
                <w:rFonts w:hint="eastAsia" w:ascii="Times New Roman" w:hAnsi="Times New Roman" w:eastAsia="宋体" w:cs="Times New Roman"/>
                <w:color w:val="auto"/>
                <w:highlight w:val="none"/>
              </w:rPr>
              <w:t>档（</w:t>
            </w:r>
            <w:r>
              <w:rPr>
                <w:rFonts w:hint="eastAsia" w:ascii="Times New Roman" w:hAnsi="Times New Roman" w:eastAsia="宋体" w:cs="Times New Roman"/>
                <w:color w:val="auto"/>
                <w:highlight w:val="none"/>
                <w:lang w:val="en-US" w:eastAsia="zh-CN"/>
              </w:rPr>
              <w:t>0</w:t>
            </w:r>
            <w:r>
              <w:rPr>
                <w:rFonts w:hint="eastAsia" w:ascii="Times New Roman" w:hAnsi="Times New Roman" w:eastAsia="宋体" w:cs="Times New Roman"/>
                <w:color w:val="auto"/>
                <w:highlight w:val="none"/>
              </w:rPr>
              <w:t>分）：</w:t>
            </w:r>
            <w:r>
              <w:rPr>
                <w:rFonts w:hint="eastAsia" w:ascii="Times New Roman" w:hAnsi="Times New Roman" w:eastAsia="宋体" w:cs="Times New Roman"/>
                <w:color w:val="auto"/>
                <w:highlight w:val="none"/>
                <w:lang w:val="en-US" w:eastAsia="zh-CN"/>
              </w:rPr>
              <w:t>不提供不得分</w:t>
            </w:r>
            <w:r>
              <w:rPr>
                <w:rFonts w:hint="eastAsia" w:ascii="Times New Roman" w:hAnsi="Times New Roman" w:eastAsia="宋体" w:cs="Times New Roman"/>
                <w:color w:val="auto"/>
                <w:highlight w:val="none"/>
              </w:rPr>
              <w:t>。</w:t>
            </w:r>
          </w:p>
        </w:tc>
      </w:tr>
      <w:tr w14:paraId="38B6A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vMerge w:val="continue"/>
            <w:shd w:val="clear" w:color="auto" w:fill="auto"/>
            <w:vAlign w:val="center"/>
          </w:tcPr>
          <w:p w14:paraId="6D9B5CE6">
            <w:pPr>
              <w:rPr>
                <w:color w:val="auto"/>
                <w:highlight w:val="none"/>
              </w:rPr>
            </w:pPr>
          </w:p>
        </w:tc>
        <w:tc>
          <w:tcPr>
            <w:tcW w:w="901" w:type="dxa"/>
            <w:vMerge w:val="continue"/>
            <w:shd w:val="clear" w:color="auto" w:fill="auto"/>
            <w:vAlign w:val="center"/>
          </w:tcPr>
          <w:p w14:paraId="2C8AB36D">
            <w:pPr>
              <w:jc w:val="center"/>
              <w:rPr>
                <w:color w:val="auto"/>
                <w:highlight w:val="none"/>
              </w:rPr>
            </w:pPr>
          </w:p>
        </w:tc>
        <w:tc>
          <w:tcPr>
            <w:tcW w:w="768" w:type="dxa"/>
            <w:shd w:val="clear" w:color="auto" w:fill="auto"/>
            <w:vAlign w:val="center"/>
          </w:tcPr>
          <w:p w14:paraId="63D21501">
            <w:pPr>
              <w:jc w:val="center"/>
              <w:rPr>
                <w:color w:val="auto"/>
                <w:highlight w:val="none"/>
              </w:rPr>
            </w:pPr>
            <w:r>
              <w:rPr>
                <w:rFonts w:hint="eastAsia"/>
                <w:color w:val="auto"/>
                <w:highlight w:val="none"/>
              </w:rPr>
              <w:t>智慧交通专网租用</w:t>
            </w:r>
          </w:p>
        </w:tc>
        <w:tc>
          <w:tcPr>
            <w:tcW w:w="756" w:type="dxa"/>
            <w:shd w:val="clear" w:color="auto" w:fill="auto"/>
            <w:vAlign w:val="center"/>
          </w:tcPr>
          <w:p w14:paraId="28CA00B3">
            <w:pPr>
              <w:jc w:val="center"/>
              <w:rPr>
                <w:color w:val="auto"/>
                <w:highlight w:val="none"/>
              </w:rPr>
            </w:pPr>
            <w:r>
              <w:rPr>
                <w:rFonts w:hint="eastAsia"/>
                <w:color w:val="auto"/>
                <w:highlight w:val="none"/>
              </w:rPr>
              <w:t>8</w:t>
            </w:r>
          </w:p>
        </w:tc>
        <w:tc>
          <w:tcPr>
            <w:tcW w:w="6775" w:type="dxa"/>
            <w:shd w:val="clear" w:color="auto" w:fill="FFFFFF"/>
            <w:vAlign w:val="center"/>
          </w:tcPr>
          <w:p w14:paraId="5620ED55">
            <w:pPr>
              <w:rPr>
                <w:rFonts w:hint="eastAsia"/>
                <w:color w:val="auto"/>
                <w:highlight w:val="none"/>
              </w:rPr>
            </w:pPr>
            <w:r>
              <w:rPr>
                <w:rFonts w:hint="eastAsia"/>
                <w:color w:val="auto"/>
                <w:highlight w:val="none"/>
              </w:rPr>
              <w:t>1、根据投标人光纤资源提供能力情况打分，</w:t>
            </w:r>
            <w:r>
              <w:rPr>
                <w:rFonts w:hint="eastAsia" w:ascii="Times New Roman" w:hAnsi="Times New Roman" w:cs="Times New Roman"/>
                <w:color w:val="auto"/>
                <w:kern w:val="2"/>
                <w:sz w:val="21"/>
                <w:szCs w:val="24"/>
                <w:highlight w:val="none"/>
              </w:rPr>
              <w:t>供应商</w:t>
            </w:r>
            <w:r>
              <w:rPr>
                <w:rFonts w:hint="eastAsia"/>
                <w:color w:val="auto"/>
                <w:highlight w:val="none"/>
              </w:rPr>
              <w:t>具备自有光纤资源能力，提供相应证明文件得3分；租赁第三方光纤网络资源的，提供租赁协议得1分；没提供证明文件或协议不得分。</w:t>
            </w:r>
          </w:p>
          <w:p w14:paraId="68331BC6">
            <w:pPr>
              <w:rPr>
                <w:rFonts w:hint="eastAsia" w:ascii="Times New Roman" w:hAnsi="Times New Roman" w:eastAsia="宋体" w:cs="Times New Roman"/>
                <w:color w:val="auto"/>
                <w:highlight w:val="none"/>
                <w:lang w:eastAsia="zh-CN"/>
              </w:rPr>
            </w:pPr>
            <w:r>
              <w:rPr>
                <w:rFonts w:hint="eastAsia"/>
                <w:color w:val="auto"/>
                <w:highlight w:val="none"/>
              </w:rPr>
              <w:t>2、针对项目网络链路维护、移机、故障处置、应急保障等，提出应急解决方案；横向比较综合打分</w:t>
            </w:r>
            <w:r>
              <w:rPr>
                <w:rFonts w:hint="eastAsia" w:ascii="Times New Roman" w:hAnsi="Times New Roman" w:eastAsia="宋体" w:cs="Times New Roman"/>
                <w:color w:val="auto"/>
                <w:highlight w:val="none"/>
                <w:lang w:eastAsia="zh-CN"/>
              </w:rPr>
              <w:t>：</w:t>
            </w:r>
          </w:p>
          <w:p w14:paraId="180951B3">
            <w:pPr>
              <w:rPr>
                <w:rFonts w:hint="eastAsia" w:ascii="Times New Roman" w:hAnsi="Times New Roman" w:eastAsia="宋体" w:cs="Times New Roman"/>
                <w:color w:val="auto"/>
                <w:highlight w:val="none"/>
              </w:rPr>
            </w:pPr>
            <w:r>
              <w:rPr>
                <w:rFonts w:hint="eastAsia"/>
                <w:color w:val="auto"/>
                <w:highlight w:val="none"/>
              </w:rPr>
              <w:t>一档（5分）</w:t>
            </w:r>
            <w:r>
              <w:rPr>
                <w:rFonts w:hint="eastAsia" w:ascii="Times New Roman" w:hAnsi="Times New Roman" w:eastAsia="宋体" w:cs="Times New Roman"/>
                <w:color w:val="auto"/>
                <w:highlight w:val="none"/>
                <w:lang w:eastAsia="zh-CN"/>
              </w:rPr>
              <w:t>：</w:t>
            </w:r>
            <w:r>
              <w:rPr>
                <w:rFonts w:hint="eastAsia"/>
                <w:color w:val="auto"/>
                <w:highlight w:val="none"/>
              </w:rPr>
              <w:t>针对性、可行性强的、科学合理的；</w:t>
            </w:r>
          </w:p>
          <w:p w14:paraId="40E949D3">
            <w:pPr>
              <w:rPr>
                <w:rFonts w:hint="eastAsia" w:ascii="Times New Roman" w:hAnsi="Times New Roman" w:eastAsia="宋体" w:cs="Times New Roman"/>
                <w:color w:val="auto"/>
                <w:szCs w:val="24"/>
                <w:highlight w:val="none"/>
                <w:lang w:eastAsia="zh-CN"/>
              </w:rPr>
            </w:pPr>
            <w:r>
              <w:rPr>
                <w:rFonts w:hint="eastAsia"/>
                <w:color w:val="auto"/>
                <w:highlight w:val="none"/>
              </w:rPr>
              <w:t>二档（3</w:t>
            </w:r>
            <w:r>
              <w:rPr>
                <w:rFonts w:hint="eastAsia" w:ascii="Times New Roman" w:hAnsi="Times New Roman" w:eastAsia="宋体" w:cs="Times New Roman"/>
                <w:color w:val="auto"/>
                <w:highlight w:val="none"/>
                <w:lang w:val="en-US" w:eastAsia="zh-CN"/>
              </w:rPr>
              <w:t>.5</w:t>
            </w:r>
            <w:r>
              <w:rPr>
                <w:rFonts w:hint="eastAsia"/>
                <w:color w:val="auto"/>
                <w:highlight w:val="none"/>
              </w:rPr>
              <w:t>分）</w:t>
            </w:r>
            <w:r>
              <w:rPr>
                <w:rFonts w:hint="eastAsia" w:ascii="Times New Roman" w:hAnsi="Times New Roman" w:eastAsia="宋体" w:cs="Times New Roman"/>
                <w:color w:val="auto"/>
                <w:highlight w:val="none"/>
                <w:lang w:eastAsia="zh-CN"/>
              </w:rPr>
              <w:t>：</w:t>
            </w:r>
            <w:r>
              <w:rPr>
                <w:rFonts w:hint="eastAsia" w:ascii="Times New Roman" w:hAnsi="Times New Roman" w:cs="Times New Roman"/>
                <w:color w:val="auto"/>
                <w:szCs w:val="24"/>
                <w:highlight w:val="none"/>
              </w:rPr>
              <w:t>针对性、可行性尚可、较为科学合理的得</w:t>
            </w:r>
            <w:r>
              <w:rPr>
                <w:rFonts w:hint="eastAsia" w:ascii="Times New Roman" w:hAnsi="Times New Roman" w:eastAsia="宋体" w:cs="Times New Roman"/>
                <w:color w:val="auto"/>
                <w:szCs w:val="24"/>
                <w:highlight w:val="none"/>
                <w:lang w:eastAsia="zh-CN"/>
              </w:rPr>
              <w:t>；</w:t>
            </w:r>
          </w:p>
          <w:p w14:paraId="201F3EFF">
            <w:pPr>
              <w:rPr>
                <w:rFonts w:hint="eastAsia" w:ascii="Times New Roman" w:hAnsi="Times New Roman" w:eastAsia="宋体" w:cs="Times New Roman"/>
                <w:color w:val="auto"/>
                <w:highlight w:val="none"/>
                <w:lang w:eastAsia="zh-CN"/>
              </w:rPr>
            </w:pPr>
            <w:r>
              <w:rPr>
                <w:rFonts w:hint="eastAsia"/>
                <w:color w:val="auto"/>
                <w:highlight w:val="none"/>
              </w:rPr>
              <w:t>三档（2分）</w:t>
            </w:r>
            <w:r>
              <w:rPr>
                <w:rFonts w:hint="eastAsia" w:ascii="Times New Roman" w:hAnsi="Times New Roman" w:eastAsia="宋体" w:cs="Times New Roman"/>
                <w:color w:val="auto"/>
                <w:highlight w:val="none"/>
                <w:lang w:eastAsia="zh-CN"/>
              </w:rPr>
              <w:t>：</w:t>
            </w:r>
            <w:r>
              <w:rPr>
                <w:rFonts w:hint="eastAsia"/>
                <w:color w:val="auto"/>
                <w:highlight w:val="none"/>
              </w:rPr>
              <w:t>缺项或针对性、可行性低的</w:t>
            </w:r>
            <w:r>
              <w:rPr>
                <w:rFonts w:hint="eastAsia" w:ascii="Times New Roman" w:hAnsi="Times New Roman" w:eastAsia="宋体" w:cs="Times New Roman"/>
                <w:color w:val="auto"/>
                <w:highlight w:val="none"/>
                <w:lang w:eastAsia="zh-CN"/>
              </w:rPr>
              <w:t>；</w:t>
            </w:r>
          </w:p>
          <w:p w14:paraId="00A412F8">
            <w:pPr>
              <w:rPr>
                <w:color w:val="auto"/>
                <w:highlight w:val="none"/>
              </w:rPr>
            </w:pPr>
            <w:r>
              <w:rPr>
                <w:rFonts w:hint="eastAsia"/>
                <w:color w:val="auto"/>
                <w:highlight w:val="none"/>
                <w:lang w:val="en-US" w:eastAsia="zh-CN"/>
              </w:rPr>
              <w:t>四</w:t>
            </w:r>
            <w:r>
              <w:rPr>
                <w:rFonts w:hint="eastAsia"/>
                <w:color w:val="auto"/>
                <w:highlight w:val="none"/>
              </w:rPr>
              <w:t>档（</w:t>
            </w:r>
            <w:r>
              <w:rPr>
                <w:rFonts w:hint="eastAsia"/>
                <w:color w:val="auto"/>
                <w:highlight w:val="none"/>
                <w:lang w:val="en-US" w:eastAsia="zh-CN"/>
              </w:rPr>
              <w:t>0</w:t>
            </w:r>
            <w:r>
              <w:rPr>
                <w:rFonts w:hint="eastAsia"/>
                <w:color w:val="auto"/>
                <w:highlight w:val="none"/>
              </w:rPr>
              <w:t>分）：</w:t>
            </w:r>
            <w:r>
              <w:rPr>
                <w:rFonts w:hint="eastAsia"/>
                <w:color w:val="auto"/>
                <w:highlight w:val="none"/>
                <w:lang w:val="en-US" w:eastAsia="zh-CN"/>
              </w:rPr>
              <w:t>不提供不得分</w:t>
            </w:r>
            <w:r>
              <w:rPr>
                <w:rFonts w:hint="eastAsia"/>
                <w:color w:val="auto"/>
                <w:highlight w:val="none"/>
              </w:rPr>
              <w:t>。</w:t>
            </w:r>
          </w:p>
        </w:tc>
      </w:tr>
      <w:tr w14:paraId="77741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trPr>
        <w:tc>
          <w:tcPr>
            <w:tcW w:w="552" w:type="dxa"/>
            <w:vMerge w:val="continue"/>
            <w:shd w:val="clear" w:color="auto" w:fill="auto"/>
            <w:vAlign w:val="center"/>
          </w:tcPr>
          <w:p w14:paraId="696188F1">
            <w:pPr>
              <w:rPr>
                <w:color w:val="auto"/>
                <w:highlight w:val="none"/>
              </w:rPr>
            </w:pPr>
          </w:p>
        </w:tc>
        <w:tc>
          <w:tcPr>
            <w:tcW w:w="901" w:type="dxa"/>
            <w:vMerge w:val="continue"/>
            <w:shd w:val="clear" w:color="auto" w:fill="auto"/>
            <w:vAlign w:val="center"/>
          </w:tcPr>
          <w:p w14:paraId="229C7F79">
            <w:pPr>
              <w:jc w:val="center"/>
              <w:rPr>
                <w:color w:val="auto"/>
                <w:highlight w:val="none"/>
              </w:rPr>
            </w:pPr>
          </w:p>
        </w:tc>
        <w:tc>
          <w:tcPr>
            <w:tcW w:w="768" w:type="dxa"/>
            <w:shd w:val="clear" w:color="auto" w:fill="auto"/>
            <w:vAlign w:val="center"/>
          </w:tcPr>
          <w:p w14:paraId="2526F197">
            <w:pPr>
              <w:jc w:val="center"/>
              <w:rPr>
                <w:color w:val="auto"/>
                <w:highlight w:val="none"/>
              </w:rPr>
            </w:pPr>
            <w:r>
              <w:rPr>
                <w:rFonts w:hint="eastAsia"/>
                <w:color w:val="auto"/>
                <w:highlight w:val="none"/>
              </w:rPr>
              <w:t>数据中心灾备服务</w:t>
            </w:r>
          </w:p>
        </w:tc>
        <w:tc>
          <w:tcPr>
            <w:tcW w:w="756" w:type="dxa"/>
            <w:shd w:val="clear" w:color="auto" w:fill="auto"/>
            <w:vAlign w:val="center"/>
          </w:tcPr>
          <w:p w14:paraId="6062FF9B">
            <w:pPr>
              <w:jc w:val="center"/>
              <w:rPr>
                <w:color w:val="auto"/>
                <w:highlight w:val="none"/>
              </w:rPr>
            </w:pPr>
            <w:r>
              <w:rPr>
                <w:rFonts w:hint="eastAsia"/>
                <w:color w:val="auto"/>
                <w:highlight w:val="none"/>
              </w:rPr>
              <w:t>6</w:t>
            </w:r>
          </w:p>
        </w:tc>
        <w:tc>
          <w:tcPr>
            <w:tcW w:w="6775" w:type="dxa"/>
            <w:shd w:val="clear" w:color="auto" w:fill="FFFFFF"/>
            <w:vAlign w:val="center"/>
          </w:tcPr>
          <w:p w14:paraId="664CB4CD">
            <w:pPr>
              <w:rPr>
                <w:color w:val="auto"/>
                <w:highlight w:val="none"/>
              </w:rPr>
            </w:pPr>
            <w:r>
              <w:rPr>
                <w:rFonts w:hint="eastAsia"/>
                <w:color w:val="auto"/>
                <w:highlight w:val="none"/>
              </w:rPr>
              <w:t>根据投标人所提供的数据中心灾备服务方案内容，综合评分：</w:t>
            </w:r>
          </w:p>
          <w:p w14:paraId="3CD05273">
            <w:pPr>
              <w:rPr>
                <w:color w:val="auto"/>
                <w:highlight w:val="none"/>
              </w:rPr>
            </w:pPr>
            <w:r>
              <w:rPr>
                <w:rFonts w:hint="eastAsia"/>
                <w:color w:val="auto"/>
                <w:highlight w:val="none"/>
              </w:rPr>
              <w:t>一档（6分）：数据中心灾备服务方案内容完整、严密、合理；</w:t>
            </w:r>
          </w:p>
          <w:p w14:paraId="7BC39A23">
            <w:pPr>
              <w:rPr>
                <w:color w:val="auto"/>
                <w:highlight w:val="none"/>
              </w:rPr>
            </w:pPr>
            <w:r>
              <w:rPr>
                <w:rFonts w:hint="eastAsia"/>
                <w:color w:val="auto"/>
                <w:highlight w:val="none"/>
              </w:rPr>
              <w:t>二档（4分）：数据中心灾备服务内容较为完整、严密、合理；</w:t>
            </w:r>
          </w:p>
          <w:p w14:paraId="6FD050D4">
            <w:pPr>
              <w:rPr>
                <w:rFonts w:hint="eastAsia"/>
                <w:color w:val="auto"/>
                <w:highlight w:val="none"/>
                <w:lang w:eastAsia="zh-CN"/>
              </w:rPr>
            </w:pPr>
            <w:r>
              <w:rPr>
                <w:rFonts w:hint="eastAsia"/>
                <w:color w:val="auto"/>
                <w:highlight w:val="none"/>
              </w:rPr>
              <w:t>三档（2分）：数据中心灾备服务方案内容不完整、不合理</w:t>
            </w:r>
            <w:r>
              <w:rPr>
                <w:rFonts w:hint="eastAsia"/>
                <w:color w:val="auto"/>
                <w:highlight w:val="none"/>
                <w:lang w:eastAsia="zh-CN"/>
              </w:rPr>
              <w:t>；</w:t>
            </w:r>
          </w:p>
          <w:p w14:paraId="2D6F93FD">
            <w:pPr>
              <w:rPr>
                <w:color w:val="auto"/>
                <w:highlight w:val="none"/>
              </w:rPr>
            </w:pPr>
            <w:r>
              <w:rPr>
                <w:rFonts w:hint="eastAsia" w:ascii="Times New Roman" w:hAnsi="Times New Roman" w:eastAsia="宋体" w:cs="Times New Roman"/>
                <w:color w:val="auto"/>
                <w:highlight w:val="none"/>
                <w:lang w:val="en-US" w:eastAsia="zh-CN"/>
              </w:rPr>
              <w:t>四</w:t>
            </w:r>
            <w:r>
              <w:rPr>
                <w:rFonts w:hint="eastAsia" w:ascii="Times New Roman" w:hAnsi="Times New Roman" w:eastAsia="宋体" w:cs="Times New Roman"/>
                <w:color w:val="auto"/>
                <w:highlight w:val="none"/>
              </w:rPr>
              <w:t>档（</w:t>
            </w:r>
            <w:r>
              <w:rPr>
                <w:rFonts w:hint="eastAsia" w:ascii="Times New Roman" w:hAnsi="Times New Roman" w:eastAsia="宋体" w:cs="Times New Roman"/>
                <w:color w:val="auto"/>
                <w:highlight w:val="none"/>
                <w:lang w:val="en-US" w:eastAsia="zh-CN"/>
              </w:rPr>
              <w:t>0</w:t>
            </w:r>
            <w:r>
              <w:rPr>
                <w:rFonts w:hint="eastAsia" w:ascii="Times New Roman" w:hAnsi="Times New Roman" w:eastAsia="宋体" w:cs="Times New Roman"/>
                <w:color w:val="auto"/>
                <w:highlight w:val="none"/>
              </w:rPr>
              <w:t>分）：</w:t>
            </w:r>
            <w:r>
              <w:rPr>
                <w:rFonts w:hint="eastAsia" w:ascii="Times New Roman" w:hAnsi="Times New Roman" w:eastAsia="宋体" w:cs="Times New Roman"/>
                <w:color w:val="auto"/>
                <w:highlight w:val="none"/>
                <w:lang w:val="en-US" w:eastAsia="zh-CN"/>
              </w:rPr>
              <w:t>不提供不得分</w:t>
            </w:r>
            <w:r>
              <w:rPr>
                <w:rFonts w:hint="eastAsia" w:ascii="Times New Roman" w:hAnsi="Times New Roman" w:eastAsia="宋体" w:cs="Times New Roman"/>
                <w:color w:val="auto"/>
                <w:highlight w:val="none"/>
              </w:rPr>
              <w:t>。</w:t>
            </w:r>
          </w:p>
        </w:tc>
      </w:tr>
      <w:tr w14:paraId="7DCD2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shd w:val="clear" w:color="auto" w:fill="auto"/>
            <w:vAlign w:val="center"/>
          </w:tcPr>
          <w:p w14:paraId="2DEC8874">
            <w:pPr>
              <w:rPr>
                <w:color w:val="auto"/>
                <w:highlight w:val="none"/>
              </w:rPr>
            </w:pPr>
            <w:r>
              <w:rPr>
                <w:rFonts w:hint="eastAsia"/>
                <w:color w:val="auto"/>
                <w:highlight w:val="none"/>
              </w:rPr>
              <w:t>3</w:t>
            </w:r>
          </w:p>
        </w:tc>
        <w:tc>
          <w:tcPr>
            <w:tcW w:w="1669" w:type="dxa"/>
            <w:gridSpan w:val="2"/>
            <w:shd w:val="clear" w:color="auto" w:fill="FFFFFF"/>
            <w:vAlign w:val="center"/>
          </w:tcPr>
          <w:p w14:paraId="00AE2628">
            <w:pPr>
              <w:jc w:val="center"/>
              <w:rPr>
                <w:color w:val="auto"/>
                <w:highlight w:val="none"/>
              </w:rPr>
            </w:pPr>
            <w:r>
              <w:rPr>
                <w:rFonts w:hint="eastAsia"/>
                <w:color w:val="auto"/>
                <w:highlight w:val="none"/>
              </w:rPr>
              <w:t>技术服务及力量保障</w:t>
            </w:r>
          </w:p>
        </w:tc>
        <w:tc>
          <w:tcPr>
            <w:tcW w:w="756" w:type="dxa"/>
            <w:shd w:val="clear" w:color="auto" w:fill="FFFFFF"/>
            <w:vAlign w:val="center"/>
          </w:tcPr>
          <w:p w14:paraId="37CC683F">
            <w:pPr>
              <w:jc w:val="center"/>
              <w:rPr>
                <w:color w:val="auto"/>
                <w:highlight w:val="none"/>
              </w:rPr>
            </w:pPr>
            <w:r>
              <w:rPr>
                <w:rFonts w:hint="eastAsia"/>
                <w:color w:val="auto"/>
                <w:highlight w:val="none"/>
              </w:rPr>
              <w:t>14</w:t>
            </w:r>
          </w:p>
        </w:tc>
        <w:tc>
          <w:tcPr>
            <w:tcW w:w="6775" w:type="dxa"/>
            <w:shd w:val="clear" w:color="auto" w:fill="FFFFFF"/>
            <w:vAlign w:val="center"/>
          </w:tcPr>
          <w:p w14:paraId="17985ABD">
            <w:pPr>
              <w:rPr>
                <w:color w:val="auto"/>
                <w:highlight w:val="none"/>
              </w:rPr>
            </w:pPr>
            <w:r>
              <w:rPr>
                <w:rFonts w:hint="eastAsia"/>
                <w:color w:val="auto"/>
                <w:highlight w:val="none"/>
              </w:rPr>
              <w:t>根据投标人提供的项目组实施人员专业人员素质、技术能力、专业分布、经验等情况等进行打分：</w:t>
            </w:r>
          </w:p>
          <w:p w14:paraId="7567E7F7">
            <w:pPr>
              <w:rPr>
                <w:color w:val="auto"/>
                <w:highlight w:val="none"/>
              </w:rPr>
            </w:pPr>
            <w:r>
              <w:rPr>
                <w:rFonts w:hint="eastAsia"/>
                <w:color w:val="auto"/>
                <w:highlight w:val="none"/>
              </w:rPr>
              <w:t>1.项目技术负责人（1名）：具有高级工程师</w:t>
            </w:r>
            <w:r>
              <w:rPr>
                <w:rFonts w:hint="eastAsia"/>
                <w:color w:val="auto"/>
                <w:highlight w:val="none"/>
                <w:lang w:eastAsia="zh-CN"/>
              </w:rPr>
              <w:t>（</w:t>
            </w:r>
            <w:r>
              <w:rPr>
                <w:rFonts w:hint="eastAsia"/>
                <w:color w:val="auto"/>
                <w:highlight w:val="none"/>
              </w:rPr>
              <w:t>信息技术系统集成专业</w:t>
            </w:r>
            <w:r>
              <w:rPr>
                <w:rFonts w:hint="eastAsia"/>
                <w:color w:val="auto"/>
                <w:highlight w:val="none"/>
                <w:lang w:eastAsia="zh-CN"/>
              </w:rPr>
              <w:t>）</w:t>
            </w:r>
            <w:r>
              <w:rPr>
                <w:rFonts w:hint="eastAsia"/>
                <w:color w:val="auto"/>
                <w:highlight w:val="none"/>
              </w:rPr>
              <w:t>、信息安全保障人员认证证书（安全集成方向）、信息系统项目管理师</w:t>
            </w:r>
            <w:r>
              <w:rPr>
                <w:rFonts w:hint="eastAsia"/>
                <w:color w:val="auto"/>
                <w:highlight w:val="none"/>
                <w:lang w:eastAsia="zh-CN"/>
              </w:rPr>
              <w:t>，</w:t>
            </w:r>
            <w:r>
              <w:rPr>
                <w:rFonts w:hint="eastAsia"/>
                <w:color w:val="auto"/>
                <w:highlight w:val="none"/>
              </w:rPr>
              <w:t>每提供一个证书得1分，最高得3分（0-3分）；</w:t>
            </w:r>
          </w:p>
          <w:p w14:paraId="45EB0E0F">
            <w:pPr>
              <w:rPr>
                <w:color w:val="auto"/>
                <w:highlight w:val="none"/>
              </w:rPr>
            </w:pPr>
            <w:r>
              <w:rPr>
                <w:rFonts w:hint="eastAsia"/>
                <w:color w:val="auto"/>
                <w:highlight w:val="none"/>
              </w:rPr>
              <w:t>2.项目安全负责人（1名）具有CISA信息系统审计师、CISP（注册信息安全专业人员）证书、信息系统监理师证书，每个得1分，最高得</w:t>
            </w:r>
            <w:r>
              <w:rPr>
                <w:rFonts w:hint="eastAsia"/>
                <w:color w:val="auto"/>
                <w:highlight w:val="none"/>
                <w:lang w:val="en-US" w:eastAsia="zh-CN"/>
              </w:rPr>
              <w:t>3</w:t>
            </w:r>
            <w:r>
              <w:rPr>
                <w:rFonts w:hint="eastAsia"/>
                <w:color w:val="auto"/>
                <w:highlight w:val="none"/>
              </w:rPr>
              <w:t>分（0-3分）；</w:t>
            </w:r>
          </w:p>
          <w:p w14:paraId="516DD5E5">
            <w:pPr>
              <w:rPr>
                <w:color w:val="auto"/>
                <w:highlight w:val="none"/>
              </w:rPr>
            </w:pPr>
            <w:r>
              <w:rPr>
                <w:rFonts w:hint="eastAsia"/>
                <w:color w:val="auto"/>
                <w:highlight w:val="none"/>
              </w:rPr>
              <w:t>3.项目组成员能提供持有RHCA</w:t>
            </w:r>
            <w:r>
              <w:rPr>
                <w:rFonts w:hint="eastAsia"/>
                <w:color w:val="auto"/>
                <w:highlight w:val="none"/>
                <w:lang w:eastAsia="zh-CN"/>
              </w:rPr>
              <w:t>（</w:t>
            </w:r>
            <w:r>
              <w:rPr>
                <w:rFonts w:hint="eastAsia"/>
                <w:color w:val="auto"/>
                <w:highlight w:val="none"/>
              </w:rPr>
              <w:t>红帽认证架构师</w:t>
            </w:r>
            <w:r>
              <w:rPr>
                <w:rFonts w:hint="eastAsia"/>
                <w:color w:val="auto"/>
                <w:highlight w:val="none"/>
                <w:lang w:eastAsia="zh-CN"/>
              </w:rPr>
              <w:t>）</w:t>
            </w:r>
            <w:r>
              <w:rPr>
                <w:rFonts w:hint="eastAsia"/>
                <w:color w:val="auto"/>
                <w:highlight w:val="none"/>
              </w:rPr>
              <w:t>证书的工程师，每提供一名得2分</w:t>
            </w:r>
            <w:r>
              <w:rPr>
                <w:rFonts w:hint="eastAsia"/>
                <w:color w:val="auto"/>
                <w:highlight w:val="none"/>
                <w:lang w:eastAsia="zh-CN"/>
              </w:rPr>
              <w:t>，</w:t>
            </w:r>
            <w:r>
              <w:rPr>
                <w:rFonts w:hint="eastAsia"/>
                <w:color w:val="auto"/>
                <w:highlight w:val="none"/>
              </w:rPr>
              <w:t>没有不得分（0-2分）；</w:t>
            </w:r>
          </w:p>
          <w:p w14:paraId="7EB776D9">
            <w:pPr>
              <w:rPr>
                <w:color w:val="auto"/>
                <w:highlight w:val="none"/>
              </w:rPr>
            </w:pPr>
            <w:r>
              <w:rPr>
                <w:rFonts w:hint="eastAsia"/>
                <w:color w:val="auto"/>
                <w:highlight w:val="none"/>
              </w:rPr>
              <w:t>4.项目组成员能提供持有OCM证书的工程师，得2分</w:t>
            </w:r>
            <w:r>
              <w:rPr>
                <w:rFonts w:hint="eastAsia"/>
                <w:color w:val="auto"/>
                <w:highlight w:val="none"/>
                <w:lang w:eastAsia="zh-CN"/>
              </w:rPr>
              <w:t>，</w:t>
            </w:r>
            <w:r>
              <w:rPr>
                <w:rFonts w:hint="eastAsia"/>
                <w:color w:val="auto"/>
                <w:highlight w:val="none"/>
              </w:rPr>
              <w:t xml:space="preserve"> 没有不得分（0-2分）；</w:t>
            </w:r>
          </w:p>
          <w:p w14:paraId="657BA637">
            <w:pPr>
              <w:rPr>
                <w:color w:val="auto"/>
                <w:highlight w:val="none"/>
              </w:rPr>
            </w:pPr>
            <w:r>
              <w:rPr>
                <w:rFonts w:hint="eastAsia"/>
                <w:color w:val="auto"/>
                <w:highlight w:val="none"/>
              </w:rPr>
              <w:t>5.项目组成员具备项目管理相关认证或网络工程师认证证书，每个得1分，最高得4分（0-4分）。</w:t>
            </w:r>
          </w:p>
          <w:p w14:paraId="07908EE4">
            <w:pPr>
              <w:rPr>
                <w:color w:val="auto"/>
                <w:highlight w:val="none"/>
              </w:rPr>
            </w:pPr>
            <w:r>
              <w:rPr>
                <w:rFonts w:hint="eastAsia"/>
                <w:color w:val="auto"/>
                <w:highlight w:val="none"/>
              </w:rPr>
              <w:t>注：以上人员需提供相关证书扫描件及所在投标人单位的近三个月社保证明。</w:t>
            </w:r>
          </w:p>
        </w:tc>
      </w:tr>
      <w:tr w14:paraId="47576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shd w:val="clear" w:color="auto" w:fill="auto"/>
            <w:vAlign w:val="center"/>
          </w:tcPr>
          <w:p w14:paraId="545AD585">
            <w:pPr>
              <w:rPr>
                <w:color w:val="auto"/>
                <w:highlight w:val="none"/>
              </w:rPr>
            </w:pPr>
            <w:r>
              <w:rPr>
                <w:rFonts w:hint="eastAsia"/>
                <w:color w:val="auto"/>
                <w:highlight w:val="none"/>
              </w:rPr>
              <w:t>4</w:t>
            </w:r>
          </w:p>
        </w:tc>
        <w:tc>
          <w:tcPr>
            <w:tcW w:w="1669" w:type="dxa"/>
            <w:gridSpan w:val="2"/>
            <w:shd w:val="clear" w:color="auto" w:fill="FFFFFF"/>
            <w:vAlign w:val="center"/>
          </w:tcPr>
          <w:p w14:paraId="2902EAE0">
            <w:pPr>
              <w:jc w:val="center"/>
              <w:rPr>
                <w:color w:val="auto"/>
                <w:highlight w:val="none"/>
              </w:rPr>
            </w:pPr>
            <w:r>
              <w:rPr>
                <w:rFonts w:hint="eastAsia"/>
                <w:color w:val="auto"/>
                <w:highlight w:val="none"/>
              </w:rPr>
              <w:t>同类项目业绩</w:t>
            </w:r>
          </w:p>
        </w:tc>
        <w:tc>
          <w:tcPr>
            <w:tcW w:w="756" w:type="dxa"/>
            <w:shd w:val="clear" w:color="auto" w:fill="FFFFFF"/>
            <w:vAlign w:val="center"/>
          </w:tcPr>
          <w:p w14:paraId="7E71C12D">
            <w:pPr>
              <w:jc w:val="center"/>
              <w:rPr>
                <w:color w:val="auto"/>
                <w:highlight w:val="none"/>
              </w:rPr>
            </w:pPr>
            <w:r>
              <w:rPr>
                <w:rFonts w:hint="eastAsia"/>
                <w:color w:val="auto"/>
                <w:highlight w:val="none"/>
              </w:rPr>
              <w:t>2</w:t>
            </w:r>
          </w:p>
        </w:tc>
        <w:tc>
          <w:tcPr>
            <w:tcW w:w="6775" w:type="dxa"/>
            <w:shd w:val="clear" w:color="auto" w:fill="FFFFFF"/>
            <w:vAlign w:val="center"/>
          </w:tcPr>
          <w:p w14:paraId="6383ABB2">
            <w:pPr>
              <w:rPr>
                <w:color w:val="auto"/>
                <w:highlight w:val="none"/>
              </w:rPr>
            </w:pPr>
            <w:r>
              <w:rPr>
                <w:rFonts w:hint="eastAsia"/>
                <w:color w:val="auto"/>
                <w:highlight w:val="none"/>
              </w:rPr>
              <w:t>提供信息化技术外包服务类项目案例</w:t>
            </w:r>
            <w:r>
              <w:rPr>
                <w:rFonts w:hint="eastAsia"/>
                <w:color w:val="auto"/>
                <w:highlight w:val="none"/>
                <w:lang w:eastAsia="zh-CN"/>
              </w:rPr>
              <w:t>（</w:t>
            </w:r>
            <w:r>
              <w:rPr>
                <w:rFonts w:hint="eastAsia"/>
                <w:color w:val="auto"/>
                <w:highlight w:val="none"/>
              </w:rPr>
              <w:t>驻点服务</w:t>
            </w:r>
            <w:r>
              <w:rPr>
                <w:rFonts w:hint="eastAsia"/>
                <w:color w:val="auto"/>
                <w:highlight w:val="none"/>
                <w:lang w:eastAsia="zh-CN"/>
              </w:rPr>
              <w:t>）</w:t>
            </w:r>
            <w:r>
              <w:rPr>
                <w:rFonts w:hint="eastAsia"/>
                <w:color w:val="auto"/>
                <w:highlight w:val="none"/>
              </w:rPr>
              <w:t>，每提供一个有效业绩得</w:t>
            </w:r>
            <w:r>
              <w:rPr>
                <w:color w:val="auto"/>
                <w:highlight w:val="none"/>
              </w:rPr>
              <w:t>1</w:t>
            </w:r>
            <w:r>
              <w:rPr>
                <w:rFonts w:hint="eastAsia"/>
                <w:color w:val="auto"/>
                <w:highlight w:val="none"/>
              </w:rPr>
              <w:t>分，最高得</w:t>
            </w:r>
            <w:r>
              <w:rPr>
                <w:color w:val="auto"/>
                <w:highlight w:val="none"/>
              </w:rPr>
              <w:t>2</w:t>
            </w:r>
            <w:r>
              <w:rPr>
                <w:rFonts w:hint="eastAsia"/>
                <w:color w:val="auto"/>
                <w:highlight w:val="none"/>
              </w:rPr>
              <w:t>分。</w:t>
            </w:r>
          </w:p>
          <w:p w14:paraId="4B803034">
            <w:pPr>
              <w:rPr>
                <w:color w:val="auto"/>
                <w:highlight w:val="none"/>
              </w:rPr>
            </w:pPr>
            <w:r>
              <w:rPr>
                <w:rFonts w:hint="eastAsia"/>
                <w:color w:val="auto"/>
                <w:highlight w:val="none"/>
              </w:rPr>
              <w:t>须提供合同扫描件为证明材料，合同内需体现相关信息，未按要求提供证明材料的不予认可。</w:t>
            </w:r>
          </w:p>
        </w:tc>
      </w:tr>
      <w:tr w14:paraId="771FA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shd w:val="clear" w:color="auto" w:fill="auto"/>
            <w:vAlign w:val="center"/>
          </w:tcPr>
          <w:p w14:paraId="3A715D11">
            <w:pPr>
              <w:rPr>
                <w:color w:val="auto"/>
                <w:highlight w:val="none"/>
              </w:rPr>
            </w:pPr>
            <w:r>
              <w:rPr>
                <w:rFonts w:hint="eastAsia"/>
                <w:color w:val="auto"/>
                <w:highlight w:val="none"/>
              </w:rPr>
              <w:t>5</w:t>
            </w:r>
          </w:p>
        </w:tc>
        <w:tc>
          <w:tcPr>
            <w:tcW w:w="1669" w:type="dxa"/>
            <w:gridSpan w:val="2"/>
            <w:shd w:val="clear" w:color="auto" w:fill="auto"/>
            <w:vAlign w:val="center"/>
          </w:tcPr>
          <w:p w14:paraId="2BE9C0B7">
            <w:pPr>
              <w:jc w:val="center"/>
              <w:rPr>
                <w:color w:val="auto"/>
                <w:highlight w:val="none"/>
              </w:rPr>
            </w:pPr>
            <w:r>
              <w:rPr>
                <w:rFonts w:hint="eastAsia"/>
                <w:color w:val="auto"/>
                <w:highlight w:val="none"/>
              </w:rPr>
              <w:t>培训方案</w:t>
            </w:r>
          </w:p>
        </w:tc>
        <w:tc>
          <w:tcPr>
            <w:tcW w:w="756" w:type="dxa"/>
            <w:shd w:val="clear" w:color="auto" w:fill="FFFFFF"/>
            <w:vAlign w:val="center"/>
          </w:tcPr>
          <w:p w14:paraId="63244663">
            <w:pPr>
              <w:jc w:val="center"/>
              <w:rPr>
                <w:color w:val="auto"/>
                <w:highlight w:val="none"/>
              </w:rPr>
            </w:pPr>
            <w:r>
              <w:rPr>
                <w:rFonts w:hint="eastAsia"/>
                <w:color w:val="auto"/>
                <w:highlight w:val="none"/>
              </w:rPr>
              <w:t>5</w:t>
            </w:r>
          </w:p>
        </w:tc>
        <w:tc>
          <w:tcPr>
            <w:tcW w:w="6775" w:type="dxa"/>
            <w:shd w:val="clear" w:color="auto" w:fill="FFFFFF"/>
            <w:vAlign w:val="center"/>
          </w:tcPr>
          <w:p w14:paraId="1DE5C0C7">
            <w:pPr>
              <w:rPr>
                <w:color w:val="auto"/>
                <w:highlight w:val="none"/>
              </w:rPr>
            </w:pPr>
            <w:r>
              <w:rPr>
                <w:rFonts w:hint="eastAsia"/>
                <w:color w:val="auto"/>
                <w:highlight w:val="none"/>
              </w:rPr>
              <w:t>是否有针对本次项目建立专业的培训计划及培训质量：</w:t>
            </w:r>
          </w:p>
          <w:p w14:paraId="2ED7D735">
            <w:pPr>
              <w:rPr>
                <w:color w:val="auto"/>
                <w:highlight w:val="none"/>
              </w:rPr>
            </w:pPr>
            <w:r>
              <w:rPr>
                <w:rFonts w:hint="eastAsia"/>
                <w:color w:val="auto"/>
                <w:highlight w:val="none"/>
              </w:rPr>
              <w:t>充分了解项目需求，非常合理5分；对项目比较了解，比较合理</w:t>
            </w:r>
            <w:r>
              <w:rPr>
                <w:rFonts w:hint="eastAsia"/>
                <w:color w:val="auto"/>
                <w:highlight w:val="none"/>
                <w:lang w:val="en-US" w:eastAsia="zh-CN"/>
              </w:rPr>
              <w:t>3.5</w:t>
            </w:r>
            <w:r>
              <w:rPr>
                <w:rFonts w:hint="eastAsia"/>
                <w:color w:val="auto"/>
                <w:highlight w:val="none"/>
              </w:rPr>
              <w:t>分；对项目了解一般，合理性一般2分</w:t>
            </w:r>
            <w:r>
              <w:rPr>
                <w:rFonts w:hint="eastAsia"/>
                <w:color w:val="auto"/>
                <w:highlight w:val="none"/>
                <w:lang w:eastAsia="zh-CN"/>
              </w:rPr>
              <w:t>；</w:t>
            </w:r>
            <w:r>
              <w:rPr>
                <w:rFonts w:hint="eastAsia" w:ascii="Times New Roman" w:hAnsi="Times New Roman" w:eastAsia="宋体" w:cs="Times New Roman"/>
                <w:color w:val="auto"/>
                <w:highlight w:val="none"/>
                <w:lang w:val="en-US" w:eastAsia="zh-CN"/>
              </w:rPr>
              <w:t>不提供不得分。</w:t>
            </w:r>
          </w:p>
        </w:tc>
      </w:tr>
      <w:tr w14:paraId="78FD3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52" w:type="dxa"/>
            <w:shd w:val="clear" w:color="auto" w:fill="auto"/>
            <w:vAlign w:val="center"/>
          </w:tcPr>
          <w:p w14:paraId="7A8B8925">
            <w:pPr>
              <w:rPr>
                <w:color w:val="auto"/>
                <w:highlight w:val="none"/>
              </w:rPr>
            </w:pPr>
            <w:r>
              <w:rPr>
                <w:rFonts w:hint="eastAsia"/>
                <w:color w:val="auto"/>
                <w:highlight w:val="none"/>
              </w:rPr>
              <w:t>6</w:t>
            </w:r>
          </w:p>
        </w:tc>
        <w:tc>
          <w:tcPr>
            <w:tcW w:w="1669" w:type="dxa"/>
            <w:gridSpan w:val="2"/>
            <w:shd w:val="clear" w:color="auto" w:fill="auto"/>
            <w:vAlign w:val="center"/>
          </w:tcPr>
          <w:p w14:paraId="7FD6A082">
            <w:pPr>
              <w:jc w:val="center"/>
              <w:rPr>
                <w:color w:val="auto"/>
                <w:highlight w:val="none"/>
              </w:rPr>
            </w:pPr>
            <w:r>
              <w:rPr>
                <w:rFonts w:hint="eastAsia"/>
                <w:color w:val="auto"/>
                <w:highlight w:val="none"/>
              </w:rPr>
              <w:t>服务质量保障</w:t>
            </w:r>
          </w:p>
        </w:tc>
        <w:tc>
          <w:tcPr>
            <w:tcW w:w="756" w:type="dxa"/>
            <w:shd w:val="clear" w:color="auto" w:fill="FFFFFF"/>
            <w:vAlign w:val="center"/>
          </w:tcPr>
          <w:p w14:paraId="71D5607E">
            <w:pPr>
              <w:jc w:val="center"/>
              <w:rPr>
                <w:color w:val="auto"/>
                <w:highlight w:val="none"/>
              </w:rPr>
            </w:pPr>
            <w:r>
              <w:rPr>
                <w:rFonts w:hint="eastAsia"/>
                <w:color w:val="auto"/>
                <w:highlight w:val="none"/>
              </w:rPr>
              <w:t>5</w:t>
            </w:r>
          </w:p>
        </w:tc>
        <w:tc>
          <w:tcPr>
            <w:tcW w:w="6775" w:type="dxa"/>
            <w:shd w:val="clear" w:color="auto" w:fill="FFFFFF"/>
            <w:vAlign w:val="center"/>
          </w:tcPr>
          <w:p w14:paraId="3EC6490B">
            <w:pPr>
              <w:rPr>
                <w:color w:val="auto"/>
                <w:highlight w:val="none"/>
              </w:rPr>
            </w:pPr>
            <w:r>
              <w:rPr>
                <w:rFonts w:hint="eastAsia"/>
                <w:color w:val="auto"/>
                <w:highlight w:val="none"/>
              </w:rPr>
              <w:t>本地化服务能力配置情况。根据投标人本地化服务能力及相关配置情况等综合比较打分。</w:t>
            </w:r>
          </w:p>
          <w:p w14:paraId="5021C570">
            <w:pPr>
              <w:rPr>
                <w:rFonts w:hint="eastAsia"/>
                <w:color w:val="auto"/>
                <w:highlight w:val="none"/>
              </w:rPr>
            </w:pPr>
            <w:r>
              <w:rPr>
                <w:rFonts w:hint="eastAsia"/>
                <w:color w:val="auto"/>
                <w:highlight w:val="none"/>
              </w:rPr>
              <w:t>一档（5分）：服务保障能力优的得；</w:t>
            </w:r>
          </w:p>
          <w:p w14:paraId="249C30FF">
            <w:pPr>
              <w:rPr>
                <w:rFonts w:hint="eastAsia"/>
                <w:color w:val="auto"/>
                <w:highlight w:val="none"/>
              </w:rPr>
            </w:pPr>
            <w:r>
              <w:rPr>
                <w:rFonts w:hint="eastAsia"/>
                <w:color w:val="auto"/>
                <w:highlight w:val="none"/>
              </w:rPr>
              <w:t>二档（</w:t>
            </w:r>
            <w:r>
              <w:rPr>
                <w:rFonts w:hint="eastAsia"/>
                <w:color w:val="auto"/>
                <w:highlight w:val="none"/>
                <w:lang w:val="en-US" w:eastAsia="zh-CN"/>
              </w:rPr>
              <w:t>3.5</w:t>
            </w:r>
            <w:r>
              <w:rPr>
                <w:rFonts w:hint="eastAsia"/>
                <w:color w:val="auto"/>
                <w:highlight w:val="none"/>
              </w:rPr>
              <w:t>分）：服务保障能力尚可的得；</w:t>
            </w:r>
          </w:p>
          <w:p w14:paraId="2BF53A64">
            <w:pPr>
              <w:rPr>
                <w:rFonts w:hint="eastAsia"/>
                <w:color w:val="auto"/>
                <w:highlight w:val="none"/>
                <w:lang w:eastAsia="zh-CN"/>
              </w:rPr>
            </w:pPr>
            <w:r>
              <w:rPr>
                <w:rFonts w:hint="eastAsia"/>
                <w:color w:val="auto"/>
                <w:highlight w:val="none"/>
              </w:rPr>
              <w:t>三档（2分）：缺项或服务保障能力低的</w:t>
            </w:r>
            <w:r>
              <w:rPr>
                <w:rFonts w:hint="eastAsia"/>
                <w:color w:val="auto"/>
                <w:highlight w:val="none"/>
                <w:lang w:eastAsia="zh-CN"/>
              </w:rPr>
              <w:t>；</w:t>
            </w:r>
          </w:p>
          <w:p w14:paraId="451CA532">
            <w:pPr>
              <w:rPr>
                <w:color w:val="auto"/>
                <w:highlight w:val="none"/>
              </w:rPr>
            </w:pPr>
            <w:r>
              <w:rPr>
                <w:rFonts w:hint="eastAsia"/>
                <w:color w:val="auto"/>
                <w:highlight w:val="none"/>
                <w:lang w:val="en-US" w:eastAsia="zh-CN"/>
              </w:rPr>
              <w:t>四</w:t>
            </w:r>
            <w:r>
              <w:rPr>
                <w:rFonts w:hint="eastAsia"/>
                <w:color w:val="auto"/>
                <w:highlight w:val="none"/>
              </w:rPr>
              <w:t>档（</w:t>
            </w:r>
            <w:r>
              <w:rPr>
                <w:rFonts w:hint="eastAsia"/>
                <w:color w:val="auto"/>
                <w:highlight w:val="none"/>
                <w:lang w:val="en-US" w:eastAsia="zh-CN"/>
              </w:rPr>
              <w:t>0</w:t>
            </w:r>
            <w:r>
              <w:rPr>
                <w:rFonts w:hint="eastAsia"/>
                <w:color w:val="auto"/>
                <w:highlight w:val="none"/>
              </w:rPr>
              <w:t>分）：</w:t>
            </w:r>
            <w:r>
              <w:rPr>
                <w:rFonts w:hint="eastAsia"/>
                <w:color w:val="auto"/>
                <w:highlight w:val="none"/>
                <w:lang w:val="en-US" w:eastAsia="zh-CN"/>
              </w:rPr>
              <w:t>不提供不得分</w:t>
            </w:r>
            <w:r>
              <w:rPr>
                <w:rFonts w:hint="eastAsia"/>
                <w:color w:val="auto"/>
                <w:highlight w:val="none"/>
              </w:rPr>
              <w:t>。</w:t>
            </w:r>
          </w:p>
        </w:tc>
      </w:tr>
      <w:tr w14:paraId="2F673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2" w:type="dxa"/>
            <w:shd w:val="clear" w:color="auto" w:fill="auto"/>
            <w:vAlign w:val="center"/>
          </w:tcPr>
          <w:p w14:paraId="1AEEBED6">
            <w:pPr>
              <w:rPr>
                <w:color w:val="auto"/>
                <w:highlight w:val="none"/>
              </w:rPr>
            </w:pPr>
            <w:r>
              <w:rPr>
                <w:rFonts w:hint="eastAsia"/>
                <w:color w:val="auto"/>
                <w:highlight w:val="none"/>
              </w:rPr>
              <w:t>7</w:t>
            </w:r>
          </w:p>
        </w:tc>
        <w:tc>
          <w:tcPr>
            <w:tcW w:w="1669" w:type="dxa"/>
            <w:gridSpan w:val="2"/>
            <w:shd w:val="clear" w:color="auto" w:fill="auto"/>
            <w:vAlign w:val="center"/>
          </w:tcPr>
          <w:p w14:paraId="6917DDFB">
            <w:pPr>
              <w:jc w:val="center"/>
              <w:rPr>
                <w:color w:val="auto"/>
                <w:highlight w:val="none"/>
              </w:rPr>
            </w:pPr>
            <w:r>
              <w:rPr>
                <w:rFonts w:hint="eastAsia"/>
                <w:color w:val="auto"/>
                <w:highlight w:val="none"/>
              </w:rPr>
              <w:t>售后服务</w:t>
            </w:r>
          </w:p>
        </w:tc>
        <w:tc>
          <w:tcPr>
            <w:tcW w:w="756" w:type="dxa"/>
            <w:shd w:val="clear" w:color="auto" w:fill="FFFFFF"/>
            <w:vAlign w:val="center"/>
          </w:tcPr>
          <w:p w14:paraId="3D06172E">
            <w:pPr>
              <w:jc w:val="center"/>
              <w:rPr>
                <w:color w:val="auto"/>
                <w:highlight w:val="none"/>
              </w:rPr>
            </w:pPr>
            <w:r>
              <w:rPr>
                <w:rFonts w:hint="eastAsia"/>
                <w:color w:val="auto"/>
                <w:highlight w:val="none"/>
              </w:rPr>
              <w:t>5</w:t>
            </w:r>
          </w:p>
        </w:tc>
        <w:tc>
          <w:tcPr>
            <w:tcW w:w="6775" w:type="dxa"/>
            <w:shd w:val="clear" w:color="auto" w:fill="FFFFFF"/>
            <w:vAlign w:val="center"/>
          </w:tcPr>
          <w:p w14:paraId="393DC14A">
            <w:pPr>
              <w:rPr>
                <w:color w:val="auto"/>
                <w:highlight w:val="none"/>
              </w:rPr>
            </w:pPr>
            <w:r>
              <w:rPr>
                <w:rFonts w:hint="eastAsia"/>
                <w:color w:val="auto"/>
                <w:highlight w:val="none"/>
              </w:rPr>
              <w:t>根据售后服务承诺的范围和完善程度（包括服务人员配备，及保障措施综合打分：</w:t>
            </w:r>
          </w:p>
          <w:p w14:paraId="665A9804">
            <w:pPr>
              <w:rPr>
                <w:rFonts w:hint="eastAsia"/>
                <w:color w:val="auto"/>
                <w:highlight w:val="none"/>
                <w:lang w:eastAsia="zh-CN"/>
              </w:rPr>
            </w:pPr>
            <w:r>
              <w:rPr>
                <w:rFonts w:hint="eastAsia"/>
                <w:color w:val="auto"/>
                <w:highlight w:val="none"/>
              </w:rPr>
              <w:t>一档（5分）：充分了解项目需求，非常合理</w:t>
            </w:r>
            <w:r>
              <w:rPr>
                <w:rFonts w:hint="eastAsia"/>
                <w:color w:val="auto"/>
                <w:highlight w:val="none"/>
                <w:lang w:eastAsia="zh-CN"/>
              </w:rPr>
              <w:t>；</w:t>
            </w:r>
          </w:p>
          <w:p w14:paraId="408557E9">
            <w:pPr>
              <w:rPr>
                <w:rFonts w:hint="eastAsia"/>
                <w:color w:val="auto"/>
                <w:highlight w:val="none"/>
                <w:lang w:eastAsia="zh-CN"/>
              </w:rPr>
            </w:pPr>
            <w:r>
              <w:rPr>
                <w:rFonts w:hint="eastAsia"/>
                <w:color w:val="auto"/>
                <w:highlight w:val="none"/>
              </w:rPr>
              <w:t>二档（</w:t>
            </w:r>
            <w:r>
              <w:rPr>
                <w:rFonts w:hint="eastAsia"/>
                <w:color w:val="auto"/>
                <w:highlight w:val="none"/>
                <w:lang w:val="en-US" w:eastAsia="zh-CN"/>
              </w:rPr>
              <w:t>3.5</w:t>
            </w:r>
            <w:r>
              <w:rPr>
                <w:rFonts w:hint="eastAsia"/>
                <w:color w:val="auto"/>
                <w:highlight w:val="none"/>
              </w:rPr>
              <w:t>分）：对项目比较了解，比较合理</w:t>
            </w:r>
            <w:r>
              <w:rPr>
                <w:rFonts w:hint="eastAsia"/>
                <w:color w:val="auto"/>
                <w:highlight w:val="none"/>
                <w:lang w:eastAsia="zh-CN"/>
              </w:rPr>
              <w:t>；</w:t>
            </w:r>
          </w:p>
          <w:p w14:paraId="3AF237F3">
            <w:pPr>
              <w:rPr>
                <w:rFonts w:hint="eastAsia"/>
                <w:color w:val="auto"/>
                <w:highlight w:val="none"/>
                <w:lang w:eastAsia="zh-CN"/>
              </w:rPr>
            </w:pPr>
            <w:r>
              <w:rPr>
                <w:rFonts w:hint="eastAsia"/>
                <w:color w:val="auto"/>
                <w:highlight w:val="none"/>
              </w:rPr>
              <w:t>三档（2分）：对项目了解一般，合理性一般</w:t>
            </w:r>
            <w:r>
              <w:rPr>
                <w:rFonts w:hint="eastAsia"/>
                <w:color w:val="auto"/>
                <w:highlight w:val="none"/>
                <w:lang w:eastAsia="zh-CN"/>
              </w:rPr>
              <w:t>；</w:t>
            </w:r>
          </w:p>
          <w:p w14:paraId="18C35AE9">
            <w:pPr>
              <w:rPr>
                <w:color w:val="auto"/>
                <w:highlight w:val="none"/>
              </w:rPr>
            </w:pPr>
            <w:r>
              <w:rPr>
                <w:rFonts w:hint="eastAsia"/>
                <w:color w:val="auto"/>
                <w:highlight w:val="none"/>
                <w:lang w:val="en-US" w:eastAsia="zh-CN"/>
              </w:rPr>
              <w:t>四</w:t>
            </w:r>
            <w:r>
              <w:rPr>
                <w:rFonts w:hint="eastAsia"/>
                <w:color w:val="auto"/>
                <w:highlight w:val="none"/>
              </w:rPr>
              <w:t>档（</w:t>
            </w:r>
            <w:r>
              <w:rPr>
                <w:rFonts w:hint="eastAsia"/>
                <w:color w:val="auto"/>
                <w:highlight w:val="none"/>
                <w:lang w:val="en-US" w:eastAsia="zh-CN"/>
              </w:rPr>
              <w:t>0</w:t>
            </w:r>
            <w:r>
              <w:rPr>
                <w:rFonts w:hint="eastAsia"/>
                <w:color w:val="auto"/>
                <w:highlight w:val="none"/>
              </w:rPr>
              <w:t>分）：</w:t>
            </w:r>
            <w:r>
              <w:rPr>
                <w:rFonts w:hint="eastAsia"/>
                <w:color w:val="auto"/>
                <w:highlight w:val="none"/>
                <w:lang w:val="en-US" w:eastAsia="zh-CN"/>
              </w:rPr>
              <w:t>不提供不得分</w:t>
            </w:r>
            <w:r>
              <w:rPr>
                <w:rFonts w:hint="eastAsia"/>
                <w:color w:val="auto"/>
                <w:highlight w:val="none"/>
              </w:rPr>
              <w:t>。</w:t>
            </w:r>
          </w:p>
        </w:tc>
      </w:tr>
    </w:tbl>
    <w:p w14:paraId="447EDE2F">
      <w:pPr>
        <w:pStyle w:val="4"/>
        <w:rPr>
          <w:rFonts w:ascii="宋体" w:hAnsi="宋体" w:cs="Arial"/>
          <w:color w:val="auto"/>
          <w:sz w:val="22"/>
          <w:highlight w:val="none"/>
        </w:rPr>
      </w:pPr>
    </w:p>
    <w:p w14:paraId="002BB687">
      <w:pPr>
        <w:spacing w:line="400" w:lineRule="exact"/>
        <w:rPr>
          <w:rFonts w:ascii="宋体" w:hAnsi="宋体" w:cs="Arial"/>
          <w:color w:val="auto"/>
          <w:sz w:val="22"/>
          <w:highlight w:val="none"/>
        </w:rPr>
      </w:pPr>
      <w:r>
        <w:rPr>
          <w:rFonts w:hint="eastAsia" w:ascii="宋体" w:hAnsi="宋体" w:cs="Arial"/>
          <w:color w:val="auto"/>
          <w:sz w:val="22"/>
          <w:highlight w:val="none"/>
        </w:rPr>
        <w:t>2、</w:t>
      </w:r>
      <w:r>
        <w:rPr>
          <w:rFonts w:hint="eastAsia" w:ascii="宋体" w:hAnsi="宋体" w:cs="Arial"/>
          <w:b/>
          <w:color w:val="auto"/>
          <w:sz w:val="22"/>
          <w:highlight w:val="none"/>
        </w:rPr>
        <w:t>商务评分（20分）</w:t>
      </w:r>
      <w:r>
        <w:rPr>
          <w:rFonts w:hint="eastAsia" w:ascii="宋体" w:hAnsi="宋体" w:cs="Arial"/>
          <w:color w:val="auto"/>
          <w:sz w:val="22"/>
          <w:highlight w:val="none"/>
        </w:rPr>
        <w:t>：</w:t>
      </w:r>
    </w:p>
    <w:p w14:paraId="69C7450D">
      <w:pPr>
        <w:spacing w:line="400" w:lineRule="exact"/>
        <w:ind w:left="328" w:leftChars="156"/>
        <w:rPr>
          <w:rFonts w:ascii="宋体" w:hAnsi="宋体" w:cs="Arial"/>
          <w:color w:val="auto"/>
          <w:sz w:val="22"/>
          <w:highlight w:val="none"/>
        </w:rPr>
      </w:pPr>
      <w:r>
        <w:rPr>
          <w:rFonts w:hint="eastAsia" w:ascii="宋体" w:hAnsi="宋体" w:cs="Arial"/>
          <w:color w:val="auto"/>
          <w:sz w:val="22"/>
          <w:highlight w:val="none"/>
        </w:rPr>
        <w:t>满足招标文件要求且报价最低的投标报价为评标基准价。</w:t>
      </w:r>
    </w:p>
    <w:p w14:paraId="0FA82C68">
      <w:pPr>
        <w:spacing w:line="400" w:lineRule="exact"/>
        <w:ind w:firstLine="330" w:firstLineChars="150"/>
        <w:rPr>
          <w:rFonts w:ascii="宋体" w:hAnsi="宋体" w:cs="Arial"/>
          <w:color w:val="auto"/>
          <w:sz w:val="22"/>
          <w:highlight w:val="none"/>
        </w:rPr>
      </w:pPr>
      <w:r>
        <w:rPr>
          <w:rFonts w:hint="eastAsia" w:ascii="宋体" w:hAnsi="宋体" w:cs="Arial"/>
          <w:color w:val="auto"/>
          <w:sz w:val="22"/>
          <w:highlight w:val="none"/>
        </w:rPr>
        <w:t>1）有效投标人的投标报价等于评标基准价时其商务分为满分20分；</w:t>
      </w:r>
    </w:p>
    <w:p w14:paraId="0148C975">
      <w:pPr>
        <w:spacing w:line="400" w:lineRule="exact"/>
        <w:ind w:firstLine="330" w:firstLineChars="150"/>
        <w:rPr>
          <w:rFonts w:ascii="宋体" w:hAnsi="宋体" w:cs="Arial"/>
          <w:color w:val="auto"/>
          <w:sz w:val="22"/>
          <w:highlight w:val="none"/>
        </w:rPr>
      </w:pPr>
      <w:r>
        <w:rPr>
          <w:rFonts w:hint="eastAsia" w:ascii="宋体" w:hAnsi="宋体" w:cs="Arial"/>
          <w:color w:val="auto"/>
          <w:sz w:val="22"/>
          <w:highlight w:val="none"/>
        </w:rPr>
        <w:t>2）其他投标人的价格分按以下公式计算：</w:t>
      </w:r>
    </w:p>
    <w:p w14:paraId="2AB04681">
      <w:pPr>
        <w:spacing w:line="400" w:lineRule="exact"/>
        <w:ind w:left="657" w:leftChars="313"/>
        <w:rPr>
          <w:rFonts w:ascii="宋体" w:hAnsi="宋体" w:cs="Arial"/>
          <w:color w:val="auto"/>
          <w:sz w:val="22"/>
          <w:highlight w:val="none"/>
        </w:rPr>
      </w:pPr>
      <w:r>
        <w:rPr>
          <w:rFonts w:hint="eastAsia" w:ascii="宋体" w:hAnsi="宋体" w:cs="Arial"/>
          <w:color w:val="auto"/>
          <w:sz w:val="22"/>
          <w:highlight w:val="none"/>
        </w:rPr>
        <w:t>商务分得分=（评标基准价/投标人投标总价）×20% ×100（四舍五入后保留小数2位）</w:t>
      </w:r>
    </w:p>
    <w:p w14:paraId="6809B8AD">
      <w:pPr>
        <w:spacing w:line="400" w:lineRule="exact"/>
        <w:ind w:firstLine="221" w:firstLineChars="100"/>
        <w:rPr>
          <w:rFonts w:ascii="宋体" w:hAnsi="宋体" w:cs="宋体"/>
          <w:b/>
          <w:color w:val="auto"/>
          <w:sz w:val="22"/>
          <w:szCs w:val="22"/>
          <w:highlight w:val="none"/>
        </w:rPr>
      </w:pPr>
      <w:r>
        <w:rPr>
          <w:rFonts w:hint="eastAsia" w:ascii="宋体" w:hAnsi="宋体" w:cs="宋体"/>
          <w:b/>
          <w:color w:val="auto"/>
          <w:sz w:val="22"/>
          <w:szCs w:val="22"/>
          <w:highlight w:val="none"/>
        </w:rPr>
        <w:t>3）本项目为对应的中小企业划分标准所属行业：</w:t>
      </w:r>
      <w:r>
        <w:rPr>
          <w:rFonts w:hint="eastAsia" w:ascii="宋体" w:hAnsi="宋体" w:cs="新宋体"/>
          <w:b/>
          <w:bCs/>
          <w:color w:val="auto"/>
          <w:kern w:val="0"/>
          <w:sz w:val="22"/>
          <w:highlight w:val="none"/>
          <w:u w:val="single"/>
          <w:lang w:val="zh-CN"/>
        </w:rPr>
        <w:t>软件和信息技术服务业</w:t>
      </w:r>
      <w:r>
        <w:rPr>
          <w:rFonts w:hint="eastAsia" w:ascii="宋体" w:hAnsi="宋体" w:cs="宋体"/>
          <w:b/>
          <w:color w:val="auto"/>
          <w:sz w:val="22"/>
          <w:szCs w:val="22"/>
          <w:highlight w:val="none"/>
        </w:rPr>
        <w:t>。对于符合招标文件规定的小、微企业（或监狱企业、残疾人福利单位），对其投标报价给予10%的扣除，用扣除后的价格（即价格的 90% ）参与评审。</w:t>
      </w:r>
    </w:p>
    <w:p w14:paraId="4A5DED6B">
      <w:pPr>
        <w:spacing w:line="400" w:lineRule="exact"/>
        <w:ind w:firstLine="221" w:firstLineChars="100"/>
        <w:rPr>
          <w:rFonts w:ascii="宋体" w:hAnsi="宋体" w:cs="Arial"/>
          <w:color w:val="auto"/>
          <w:sz w:val="22"/>
          <w:highlight w:val="none"/>
        </w:rPr>
      </w:pPr>
      <w:r>
        <w:rPr>
          <w:rFonts w:hint="eastAsia" w:ascii="宋体" w:hAnsi="宋体" w:cs="宋体"/>
          <w:b/>
          <w:color w:val="auto"/>
          <w:sz w:val="22"/>
          <w:szCs w:val="22"/>
          <w:highlight w:val="none"/>
        </w:rPr>
        <w:t>4）对于联合体协议或者分包意向协议约定小微企业合同份额占到合同总金额30%以上的，对其投标报价给予6%的扣除，用扣除后的价格（即价格的 94% ）参与评审。</w:t>
      </w:r>
    </w:p>
    <w:p w14:paraId="3A5C9239">
      <w:pPr>
        <w:spacing w:line="400" w:lineRule="exact"/>
        <w:rPr>
          <w:rFonts w:ascii="宋体" w:hAnsi="宋体" w:cs="Arial"/>
          <w:color w:val="auto"/>
          <w:sz w:val="22"/>
          <w:highlight w:val="none"/>
        </w:rPr>
      </w:pPr>
      <w:r>
        <w:rPr>
          <w:rFonts w:hint="eastAsia" w:ascii="宋体" w:hAnsi="宋体" w:cs="Arial"/>
          <w:color w:val="auto"/>
          <w:sz w:val="22"/>
          <w:highlight w:val="none"/>
        </w:rPr>
        <w:t xml:space="preserve">  5）</w:t>
      </w:r>
      <w:r>
        <w:rPr>
          <w:rFonts w:hint="eastAsia" w:ascii="宋体" w:hAnsi="宋体"/>
          <w:b/>
          <w:bCs/>
          <w:color w:val="auto"/>
          <w:sz w:val="22"/>
          <w:szCs w:val="22"/>
          <w:highlight w:val="none"/>
        </w:rPr>
        <w:t>▲</w:t>
      </w:r>
      <w:r>
        <w:rPr>
          <w:rFonts w:hint="eastAsia" w:ascii="宋体" w:hAnsi="宋体" w:cs="Arial"/>
          <w:b/>
          <w:color w:val="auto"/>
          <w:sz w:val="22"/>
          <w:szCs w:val="22"/>
          <w:highlight w:val="none"/>
          <w:u w:val="single"/>
        </w:rPr>
        <w:t>本项目采购预算为2579500元，其中信息化技术外包服务1540000元</w:t>
      </w:r>
      <w:r>
        <w:rPr>
          <w:rFonts w:hint="eastAsia" w:ascii="宋体" w:hAnsi="宋体" w:cs="Arial"/>
          <w:b/>
          <w:color w:val="auto"/>
          <w:sz w:val="22"/>
          <w:szCs w:val="22"/>
          <w:highlight w:val="none"/>
          <w:u w:val="single"/>
          <w:lang w:eastAsia="zh-CN"/>
        </w:rPr>
        <w:t>、</w:t>
      </w:r>
      <w:r>
        <w:rPr>
          <w:rFonts w:hint="eastAsia" w:ascii="宋体" w:hAnsi="宋体" w:cs="Arial"/>
          <w:b/>
          <w:color w:val="auto"/>
          <w:sz w:val="22"/>
          <w:szCs w:val="22"/>
          <w:highlight w:val="none"/>
          <w:u w:val="single"/>
        </w:rPr>
        <w:t>智慧交通专网租用389500元、数据中心灾备服务650000元，</w:t>
      </w:r>
      <w:r>
        <w:rPr>
          <w:rFonts w:hint="eastAsia" w:ascii="宋体" w:hAnsi="宋体"/>
          <w:b/>
          <w:color w:val="auto"/>
          <w:sz w:val="22"/>
          <w:szCs w:val="22"/>
          <w:highlight w:val="none"/>
          <w:u w:val="single"/>
        </w:rPr>
        <w:t>如投标人报价超过采购预算，其投标文件作无效标处理</w:t>
      </w:r>
      <w:r>
        <w:rPr>
          <w:rFonts w:hint="eastAsia" w:ascii="宋体" w:hAnsi="宋体" w:cs="Arial"/>
          <w:color w:val="auto"/>
          <w:sz w:val="22"/>
          <w:highlight w:val="none"/>
        </w:rPr>
        <w:t>。</w:t>
      </w:r>
    </w:p>
    <w:p w14:paraId="4B61B659">
      <w:pPr>
        <w:spacing w:line="400" w:lineRule="exact"/>
        <w:ind w:firstLine="220" w:firstLineChars="100"/>
        <w:rPr>
          <w:rFonts w:ascii="宋体" w:hAnsi="宋体" w:cs="Arial"/>
          <w:b/>
          <w:color w:val="auto"/>
          <w:sz w:val="22"/>
          <w:szCs w:val="22"/>
          <w:highlight w:val="none"/>
          <w:u w:val="single"/>
        </w:rPr>
      </w:pPr>
      <w:r>
        <w:rPr>
          <w:rFonts w:hint="eastAsia" w:ascii="宋体" w:hAnsi="宋体" w:cs="Arial"/>
          <w:color w:val="auto"/>
          <w:sz w:val="22"/>
          <w:highlight w:val="none"/>
        </w:rPr>
        <w:t>6）</w:t>
      </w:r>
      <w:r>
        <w:rPr>
          <w:rFonts w:hint="eastAsia" w:ascii="宋体" w:hAnsi="宋体" w:cs="Arial"/>
          <w:color w:val="auto"/>
          <w:sz w:val="22"/>
          <w:szCs w:val="22"/>
          <w:highlight w:val="none"/>
        </w:rPr>
        <w:t>所有投标人商务报价均超采购预算，</w:t>
      </w:r>
      <w:r>
        <w:rPr>
          <w:rFonts w:hint="eastAsia" w:ascii="宋体" w:hAnsi="宋体"/>
          <w:color w:val="auto"/>
          <w:sz w:val="22"/>
          <w:szCs w:val="22"/>
          <w:highlight w:val="none"/>
        </w:rPr>
        <w:t>采购人无法支付的,</w:t>
      </w:r>
      <w:r>
        <w:rPr>
          <w:rFonts w:hint="eastAsia" w:ascii="宋体" w:hAnsi="宋体" w:cs="Arial"/>
          <w:color w:val="auto"/>
          <w:sz w:val="22"/>
          <w:szCs w:val="22"/>
          <w:highlight w:val="none"/>
        </w:rPr>
        <w:t>重新组织招标</w:t>
      </w:r>
      <w:r>
        <w:rPr>
          <w:rFonts w:hint="eastAsia" w:ascii="宋体" w:hAnsi="宋体" w:cs="Arial"/>
          <w:color w:val="auto"/>
          <w:sz w:val="22"/>
          <w:highlight w:val="none"/>
        </w:rPr>
        <w:t>。</w:t>
      </w:r>
    </w:p>
    <w:p w14:paraId="203C8385">
      <w:pPr>
        <w:spacing w:line="400" w:lineRule="exact"/>
        <w:rPr>
          <w:rFonts w:ascii="宋体" w:hAnsi="宋体" w:cs="Arial"/>
          <w:color w:val="auto"/>
          <w:sz w:val="22"/>
          <w:highlight w:val="none"/>
        </w:rPr>
      </w:pPr>
      <w:r>
        <w:rPr>
          <w:rFonts w:hint="eastAsia" w:ascii="宋体" w:hAnsi="宋体" w:cs="Arial"/>
          <w:color w:val="auto"/>
          <w:sz w:val="22"/>
          <w:highlight w:val="none"/>
        </w:rPr>
        <w:t>3、 有效投标人的综合得分为技术资信分和商务（报价）分的总和。</w:t>
      </w:r>
    </w:p>
    <w:p w14:paraId="3959708E">
      <w:pPr>
        <w:rPr>
          <w:rFonts w:ascii="宋体" w:hAnsi="宋体" w:cs="Arial"/>
          <w:color w:val="auto"/>
          <w:sz w:val="22"/>
          <w:highlight w:val="none"/>
        </w:rPr>
      </w:pPr>
      <w:r>
        <w:rPr>
          <w:rFonts w:hint="eastAsia" w:ascii="宋体" w:hAnsi="宋体" w:cs="Arial"/>
          <w:color w:val="auto"/>
          <w:sz w:val="22"/>
          <w:highlight w:val="none"/>
        </w:rPr>
        <w:br w:type="page"/>
      </w:r>
    </w:p>
    <w:p w14:paraId="6CD36206">
      <w:pPr>
        <w:pStyle w:val="25"/>
        <w:rPr>
          <w:color w:val="auto"/>
          <w:highlight w:val="none"/>
        </w:rPr>
      </w:pPr>
    </w:p>
    <w:bookmarkEnd w:id="208"/>
    <w:bookmarkEnd w:id="209"/>
    <w:p w14:paraId="17860D7F">
      <w:pPr>
        <w:pStyle w:val="4"/>
        <w:rPr>
          <w:rFonts w:ascii="宋体" w:hAnsi="宋体" w:eastAsia="宋体" w:cs="Arial"/>
          <w:color w:val="auto"/>
          <w:sz w:val="36"/>
          <w:szCs w:val="36"/>
          <w:highlight w:val="none"/>
        </w:rPr>
      </w:pPr>
      <w:bookmarkStart w:id="210" w:name="_Toc10781"/>
      <w:bookmarkStart w:id="211" w:name="_Toc222114885"/>
      <w:bookmarkStart w:id="212" w:name="_Toc221423625"/>
      <w:bookmarkStart w:id="213" w:name="_Toc221356894"/>
      <w:bookmarkStart w:id="214" w:name="_Toc249758721"/>
      <w:bookmarkStart w:id="215" w:name="_Toc246261271"/>
      <w:bookmarkStart w:id="216" w:name="_Toc245722287"/>
      <w:bookmarkStart w:id="217" w:name="_Toc245191320"/>
      <w:bookmarkStart w:id="218" w:name="_Toc249758871"/>
      <w:bookmarkStart w:id="219" w:name="_Toc241404208"/>
      <w:bookmarkStart w:id="220" w:name="_Toc239145360"/>
      <w:bookmarkStart w:id="221" w:name="_Toc262049425"/>
      <w:bookmarkStart w:id="222" w:name="_Toc221374632"/>
      <w:bookmarkStart w:id="223" w:name="_Toc221356957"/>
      <w:bookmarkStart w:id="224" w:name="_Toc262105510"/>
      <w:bookmarkStart w:id="225" w:name="_Toc223716004"/>
      <w:r>
        <w:rPr>
          <w:rFonts w:hint="eastAsia" w:ascii="宋体" w:hAnsi="宋体" w:eastAsia="宋体" w:cs="Arial"/>
          <w:color w:val="auto"/>
          <w:sz w:val="36"/>
          <w:szCs w:val="36"/>
          <w:highlight w:val="none"/>
        </w:rPr>
        <w:t>第四部分   合同主要条款</w:t>
      </w:r>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p>
    <w:p w14:paraId="74BFD82A">
      <w:pPr>
        <w:rPr>
          <w:color w:val="auto"/>
          <w:highlight w:val="none"/>
        </w:rPr>
      </w:pPr>
      <w:bookmarkStart w:id="226" w:name="_Toc221356960"/>
      <w:bookmarkStart w:id="227" w:name="_Toc221356897"/>
      <w:bookmarkStart w:id="228" w:name="_Toc221374633"/>
    </w:p>
    <w:p w14:paraId="6D65563E">
      <w:pPr>
        <w:snapToGrid w:val="0"/>
        <w:spacing w:line="360" w:lineRule="auto"/>
        <w:jc w:val="left"/>
        <w:rPr>
          <w:rFonts w:ascii="宋体" w:hAnsi="宋体" w:cs="Arial"/>
          <w:color w:val="auto"/>
          <w:sz w:val="22"/>
          <w:szCs w:val="22"/>
          <w:highlight w:val="none"/>
        </w:rPr>
      </w:pPr>
    </w:p>
    <w:p w14:paraId="3BFAA615">
      <w:pPr>
        <w:spacing w:line="40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本条款为甲乙双方必须遵守的基本条款，也可根据实际情况另签合同条款，正式合同以双方签字盖章的文本为准。</w:t>
      </w:r>
    </w:p>
    <w:p w14:paraId="25666769">
      <w:pPr>
        <w:spacing w:line="400" w:lineRule="exact"/>
        <w:ind w:firstLine="440" w:firstLineChars="200"/>
        <w:rPr>
          <w:rFonts w:ascii="宋体" w:hAnsi="宋体" w:cs="Arial"/>
          <w:color w:val="auto"/>
          <w:sz w:val="22"/>
          <w:szCs w:val="22"/>
          <w:highlight w:val="none"/>
        </w:rPr>
      </w:pPr>
    </w:p>
    <w:p w14:paraId="48110B4A">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为了明确甲、乙双方的权利和义务，履行各自的职责，高效优质地完成本项目方案。按照《中华人民共和国民法典》的有关规定，经甲乙双方在平等、自愿的基础上共同协商一致，现签订合同如下。</w:t>
      </w:r>
    </w:p>
    <w:p w14:paraId="06E50CDC">
      <w:pPr>
        <w:spacing w:line="460" w:lineRule="exact"/>
        <w:rPr>
          <w:rFonts w:ascii="宋体" w:hAnsi="宋体" w:cs="宋体"/>
          <w:b/>
          <w:color w:val="auto"/>
          <w:sz w:val="22"/>
          <w:szCs w:val="22"/>
          <w:highlight w:val="none"/>
        </w:rPr>
      </w:pPr>
      <w:r>
        <w:rPr>
          <w:rFonts w:hint="eastAsia" w:ascii="宋体" w:hAnsi="宋体" w:cs="宋体"/>
          <w:b/>
          <w:color w:val="auto"/>
          <w:sz w:val="22"/>
          <w:szCs w:val="22"/>
          <w:highlight w:val="none"/>
        </w:rPr>
        <w:t>第一条  合同名称</w:t>
      </w:r>
    </w:p>
    <w:p w14:paraId="778A39B7">
      <w:pPr>
        <w:spacing w:line="460" w:lineRule="exact"/>
        <w:ind w:firstLine="539" w:firstLineChars="245"/>
        <w:rPr>
          <w:rFonts w:ascii="宋体" w:hAnsi="宋体" w:cs="宋体"/>
          <w:bCs/>
          <w:color w:val="auto"/>
          <w:sz w:val="22"/>
          <w:szCs w:val="22"/>
          <w:highlight w:val="none"/>
        </w:rPr>
      </w:pPr>
    </w:p>
    <w:p w14:paraId="53A0896E">
      <w:pPr>
        <w:spacing w:line="460" w:lineRule="exact"/>
        <w:rPr>
          <w:rFonts w:ascii="宋体" w:hAnsi="宋体" w:cs="宋体"/>
          <w:b/>
          <w:color w:val="auto"/>
          <w:sz w:val="22"/>
          <w:szCs w:val="22"/>
          <w:highlight w:val="none"/>
        </w:rPr>
      </w:pPr>
      <w:r>
        <w:rPr>
          <w:rFonts w:hint="eastAsia" w:ascii="宋体" w:hAnsi="宋体" w:cs="宋体"/>
          <w:b/>
          <w:color w:val="auto"/>
          <w:sz w:val="22"/>
          <w:szCs w:val="22"/>
          <w:highlight w:val="none"/>
        </w:rPr>
        <w:t>第二条 合同方案项目主要服务内容</w:t>
      </w:r>
    </w:p>
    <w:p w14:paraId="27C9D278">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乙方为甲方提供</w:t>
      </w:r>
      <w:r>
        <w:rPr>
          <w:rFonts w:hint="eastAsia" w:ascii="宋体" w:hAnsi="宋体" w:cs="宋体"/>
          <w:color w:val="auto"/>
          <w:sz w:val="22"/>
          <w:szCs w:val="22"/>
          <w:highlight w:val="none"/>
        </w:rPr>
        <w:t>温州市交通运输局交通技术服务运维</w:t>
      </w:r>
      <w:r>
        <w:rPr>
          <w:rFonts w:hint="eastAsia" w:ascii="宋体" w:hAnsi="宋体" w:cs="宋体"/>
          <w:bCs/>
          <w:color w:val="auto"/>
          <w:sz w:val="22"/>
          <w:szCs w:val="22"/>
          <w:highlight w:val="none"/>
        </w:rPr>
        <w:t>（见招标文件）。</w:t>
      </w:r>
    </w:p>
    <w:p w14:paraId="7F1863DB">
      <w:pPr>
        <w:spacing w:line="460" w:lineRule="exact"/>
        <w:rPr>
          <w:rFonts w:ascii="宋体" w:hAnsi="宋体" w:cs="宋体"/>
          <w:b/>
          <w:color w:val="auto"/>
          <w:sz w:val="22"/>
          <w:szCs w:val="22"/>
          <w:highlight w:val="none"/>
        </w:rPr>
      </w:pPr>
      <w:r>
        <w:rPr>
          <w:rFonts w:hint="eastAsia" w:ascii="宋体" w:hAnsi="宋体" w:cs="宋体"/>
          <w:b/>
          <w:color w:val="auto"/>
          <w:sz w:val="22"/>
          <w:szCs w:val="22"/>
          <w:highlight w:val="none"/>
        </w:rPr>
        <w:t>第三条  本合同承包期限:</w:t>
      </w:r>
    </w:p>
    <w:p w14:paraId="710AF242">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信息化技术服务外包时间为 年 月 日至 年 月 日。</w:t>
      </w:r>
    </w:p>
    <w:p w14:paraId="0E6D2AFA">
      <w:pPr>
        <w:spacing w:line="460" w:lineRule="exact"/>
        <w:ind w:firstLine="539" w:firstLineChars="245"/>
        <w:rPr>
          <w:rFonts w:ascii="宋体" w:hAnsi="宋体" w:cs="宋体"/>
          <w:color w:val="auto"/>
          <w:sz w:val="22"/>
          <w:szCs w:val="22"/>
          <w:highlight w:val="none"/>
        </w:rPr>
      </w:pPr>
      <w:r>
        <w:rPr>
          <w:rFonts w:hint="eastAsia" w:ascii="宋体" w:hAnsi="宋体" w:cs="宋体"/>
          <w:color w:val="auto"/>
          <w:sz w:val="22"/>
          <w:szCs w:val="22"/>
          <w:highlight w:val="none"/>
        </w:rPr>
        <w:t>2.由于上一年度项目截止后，财政预算未下达，自2025年1月1日至乙方接手时止这段时间的运维费用由乙方支付（该运维费用金额=（该时间月数/12）*2025年中标运维金额）。</w:t>
      </w:r>
    </w:p>
    <w:p w14:paraId="6465E890">
      <w:pPr>
        <w:spacing w:line="460" w:lineRule="exact"/>
        <w:rPr>
          <w:rFonts w:ascii="宋体" w:hAnsi="宋体" w:cs="宋体"/>
          <w:b/>
          <w:color w:val="auto"/>
          <w:sz w:val="22"/>
          <w:szCs w:val="22"/>
          <w:highlight w:val="none"/>
        </w:rPr>
      </w:pPr>
      <w:r>
        <w:rPr>
          <w:rFonts w:hint="eastAsia" w:ascii="宋体" w:hAnsi="宋体" w:cs="宋体"/>
          <w:b/>
          <w:color w:val="auto"/>
          <w:sz w:val="22"/>
          <w:szCs w:val="22"/>
          <w:highlight w:val="none"/>
        </w:rPr>
        <w:t>第四条：结算及付款方式：</w:t>
      </w:r>
    </w:p>
    <w:p w14:paraId="7CD31D9A">
      <w:pPr>
        <w:numPr>
          <w:ilvl w:val="0"/>
          <w:numId w:val="49"/>
        </w:numPr>
        <w:tabs>
          <w:tab w:val="clear" w:pos="860"/>
        </w:tabs>
        <w:spacing w:line="460" w:lineRule="exact"/>
        <w:ind w:left="959"/>
        <w:rPr>
          <w:rFonts w:ascii="宋体" w:hAnsi="宋体" w:cs="宋体"/>
          <w:color w:val="auto"/>
          <w:sz w:val="22"/>
          <w:szCs w:val="22"/>
          <w:highlight w:val="none"/>
        </w:rPr>
      </w:pPr>
      <w:r>
        <w:rPr>
          <w:rFonts w:hint="eastAsia" w:ascii="宋体" w:hAnsi="宋体" w:cs="宋体"/>
          <w:color w:val="auto"/>
          <w:sz w:val="22"/>
          <w:szCs w:val="22"/>
          <w:highlight w:val="none"/>
        </w:rPr>
        <w:t xml:space="preserve">本项目合同价款为 </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元；</w:t>
      </w:r>
    </w:p>
    <w:p w14:paraId="5B5519CF">
      <w:pPr>
        <w:numPr>
          <w:ilvl w:val="0"/>
          <w:numId w:val="49"/>
        </w:numPr>
        <w:tabs>
          <w:tab w:val="clear" w:pos="860"/>
        </w:tabs>
        <w:spacing w:line="460" w:lineRule="exact"/>
        <w:ind w:left="959"/>
        <w:rPr>
          <w:rFonts w:ascii="宋体" w:hAnsi="宋体" w:cs="宋体"/>
          <w:color w:val="auto"/>
          <w:sz w:val="22"/>
          <w:szCs w:val="22"/>
          <w:highlight w:val="none"/>
        </w:rPr>
      </w:pPr>
      <w:r>
        <w:rPr>
          <w:rFonts w:hint="eastAsia" w:ascii="宋体" w:hAnsi="宋体" w:cs="宋体"/>
          <w:color w:val="auto"/>
          <w:sz w:val="22"/>
          <w:szCs w:val="22"/>
          <w:highlight w:val="none"/>
        </w:rPr>
        <w:t>合同签订后7个工作日内，甲方向乙方支付合同总额50%（乙方需出具相应金额的发票）；</w:t>
      </w:r>
    </w:p>
    <w:p w14:paraId="57F68527">
      <w:pPr>
        <w:numPr>
          <w:ilvl w:val="0"/>
          <w:numId w:val="49"/>
        </w:numPr>
        <w:tabs>
          <w:tab w:val="clear" w:pos="860"/>
        </w:tabs>
        <w:spacing w:line="460" w:lineRule="exact"/>
        <w:ind w:left="959"/>
        <w:rPr>
          <w:rFonts w:ascii="宋体" w:hAnsi="宋体" w:cs="宋体"/>
          <w:color w:val="auto"/>
          <w:sz w:val="22"/>
          <w:szCs w:val="22"/>
          <w:highlight w:val="none"/>
        </w:rPr>
      </w:pPr>
      <w:r>
        <w:rPr>
          <w:rFonts w:hint="eastAsia" w:ascii="宋体" w:hAnsi="宋体" w:cs="宋体"/>
          <w:color w:val="auto"/>
          <w:sz w:val="22"/>
          <w:szCs w:val="22"/>
          <w:highlight w:val="none"/>
        </w:rPr>
        <w:t>服务期至2025年6月30日后7个工作日内，甲方向乙方支付合同总额40%（乙方需出具相应金额的发票）；</w:t>
      </w:r>
    </w:p>
    <w:p w14:paraId="4E099251">
      <w:pPr>
        <w:numPr>
          <w:ilvl w:val="0"/>
          <w:numId w:val="49"/>
        </w:numPr>
        <w:tabs>
          <w:tab w:val="clear" w:pos="860"/>
        </w:tabs>
        <w:spacing w:line="460" w:lineRule="exact"/>
        <w:ind w:left="959"/>
        <w:rPr>
          <w:rFonts w:ascii="宋体" w:hAnsi="宋体" w:cs="宋体"/>
          <w:color w:val="auto"/>
          <w:sz w:val="22"/>
          <w:szCs w:val="22"/>
          <w:highlight w:val="none"/>
        </w:rPr>
      </w:pPr>
      <w:r>
        <w:rPr>
          <w:rFonts w:hint="eastAsia" w:ascii="宋体" w:hAnsi="宋体" w:cs="宋体"/>
          <w:color w:val="auto"/>
          <w:sz w:val="22"/>
          <w:szCs w:val="22"/>
          <w:highlight w:val="none"/>
        </w:rPr>
        <w:t>服务期至2025年11月1日后7个工作日内，甲方向乙方支付合同总额10%（乙方需出具相应金额的发票）。</w:t>
      </w:r>
    </w:p>
    <w:p w14:paraId="79E929EF">
      <w:pPr>
        <w:numPr>
          <w:ilvl w:val="0"/>
          <w:numId w:val="49"/>
        </w:numPr>
        <w:tabs>
          <w:tab w:val="clear" w:pos="860"/>
        </w:tabs>
        <w:spacing w:line="460" w:lineRule="exact"/>
        <w:ind w:left="959"/>
        <w:rPr>
          <w:rFonts w:ascii="宋体" w:hAnsi="宋体" w:cs="宋体"/>
          <w:color w:val="auto"/>
          <w:sz w:val="22"/>
          <w:szCs w:val="22"/>
          <w:highlight w:val="none"/>
        </w:rPr>
      </w:pPr>
      <w:r>
        <w:rPr>
          <w:rFonts w:hint="eastAsia" w:ascii="宋体" w:hAnsi="宋体" w:cs="宋体"/>
          <w:color w:val="auto"/>
          <w:sz w:val="22"/>
          <w:szCs w:val="22"/>
          <w:highlight w:val="none"/>
        </w:rPr>
        <w:t>合同价款介入乙方指定银行账户，银行账户信息为：</w:t>
      </w:r>
    </w:p>
    <w:p w14:paraId="2F7B581E">
      <w:pPr>
        <w:pStyle w:val="152"/>
        <w:spacing w:line="400" w:lineRule="exact"/>
        <w:ind w:firstLine="1058" w:firstLineChars="481"/>
        <w:rPr>
          <w:rFonts w:hAnsi="宋体" w:eastAsia="宋体"/>
          <w:color w:val="auto"/>
          <w:sz w:val="22"/>
          <w:szCs w:val="22"/>
          <w:highlight w:val="none"/>
        </w:rPr>
      </w:pPr>
      <w:r>
        <w:rPr>
          <w:rFonts w:hint="eastAsia" w:hAnsi="宋体" w:eastAsia="宋体"/>
          <w:color w:val="auto"/>
          <w:sz w:val="22"/>
          <w:szCs w:val="22"/>
          <w:highlight w:val="none"/>
        </w:rPr>
        <w:t>账户名称：</w:t>
      </w:r>
    </w:p>
    <w:p w14:paraId="6401A887">
      <w:pPr>
        <w:pStyle w:val="152"/>
        <w:spacing w:line="400" w:lineRule="exact"/>
        <w:ind w:firstLine="1058" w:firstLineChars="481"/>
        <w:rPr>
          <w:rFonts w:hAnsi="宋体" w:eastAsia="宋体"/>
          <w:color w:val="auto"/>
          <w:sz w:val="22"/>
          <w:szCs w:val="22"/>
          <w:highlight w:val="none"/>
        </w:rPr>
      </w:pPr>
      <w:r>
        <w:rPr>
          <w:rFonts w:hint="eastAsia" w:hAnsi="宋体" w:eastAsia="宋体"/>
          <w:color w:val="auto"/>
          <w:sz w:val="22"/>
          <w:szCs w:val="22"/>
          <w:highlight w:val="none"/>
        </w:rPr>
        <w:t>开户行：</w:t>
      </w:r>
    </w:p>
    <w:p w14:paraId="2FE18811">
      <w:pPr>
        <w:pStyle w:val="152"/>
        <w:spacing w:line="400" w:lineRule="exact"/>
        <w:ind w:firstLine="1058" w:firstLineChars="481"/>
        <w:rPr>
          <w:color w:val="auto"/>
          <w:highlight w:val="none"/>
        </w:rPr>
      </w:pPr>
      <w:r>
        <w:rPr>
          <w:rFonts w:hint="eastAsia" w:hAnsi="宋体" w:eastAsia="宋体"/>
          <w:color w:val="auto"/>
          <w:sz w:val="22"/>
          <w:szCs w:val="22"/>
          <w:highlight w:val="none"/>
        </w:rPr>
        <w:t>银行账号：</w:t>
      </w:r>
    </w:p>
    <w:p w14:paraId="5FBF2809">
      <w:pPr>
        <w:spacing w:line="460" w:lineRule="exact"/>
        <w:rPr>
          <w:rFonts w:ascii="宋体" w:hAnsi="宋体" w:cs="宋体"/>
          <w:b/>
          <w:color w:val="auto"/>
          <w:sz w:val="22"/>
          <w:szCs w:val="22"/>
          <w:highlight w:val="none"/>
        </w:rPr>
      </w:pPr>
      <w:r>
        <w:rPr>
          <w:rFonts w:hint="eastAsia" w:ascii="宋体" w:hAnsi="宋体" w:cs="宋体"/>
          <w:b/>
          <w:color w:val="auto"/>
          <w:sz w:val="22"/>
          <w:szCs w:val="22"/>
          <w:highlight w:val="none"/>
        </w:rPr>
        <w:t>第五条  考评办法</w:t>
      </w:r>
    </w:p>
    <w:p w14:paraId="1B6FA90D">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乙方应严格按照甲方具体要求及《招标文件》的规定，认真实施本项目，同时，甲方按《招标文件》要求及乙方在《投标文件》中做出的承诺性条款对乙方的项目实施质量及人员安全作业、工资、岗位津贴、福利待遇、社会保险和公积金落实进行检查考评。</w:t>
      </w:r>
    </w:p>
    <w:p w14:paraId="302AF307">
      <w:pPr>
        <w:spacing w:line="460" w:lineRule="exact"/>
        <w:rPr>
          <w:rFonts w:ascii="宋体" w:hAnsi="宋体" w:cs="宋体"/>
          <w:b/>
          <w:color w:val="auto"/>
          <w:sz w:val="22"/>
          <w:szCs w:val="22"/>
          <w:highlight w:val="none"/>
        </w:rPr>
      </w:pPr>
      <w:r>
        <w:rPr>
          <w:rFonts w:hint="eastAsia" w:ascii="宋体" w:hAnsi="宋体" w:cs="宋体"/>
          <w:b/>
          <w:color w:val="auto"/>
          <w:sz w:val="22"/>
          <w:szCs w:val="22"/>
          <w:highlight w:val="none"/>
        </w:rPr>
        <w:t>第六条  权利和义务</w:t>
      </w:r>
    </w:p>
    <w:p w14:paraId="45826F85">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（一）甲方权利与义务</w:t>
      </w:r>
    </w:p>
    <w:p w14:paraId="0FB64032">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1、甲方有权对乙方的项目实施业务进行全面的技术指导、检查、管理和监督，对检查中发现的问题及时向乙方提出书面或口头改进意见。乙方每季度应将所属人员的工资、岗位津贴、福利待遇、社会保险和公积金等待遇由银行支付并盖章的清单提供给甲方，甲方对乙方落实情况进行检查和监督，对检查中如发现未落实以上待遇的问题有权要求乙方限期予以整改，一个月内未完成整改的甲方有权单方终止本合同而不承担任何违约责任，由乙方承担一切经济损失和法律责任。</w:t>
      </w:r>
    </w:p>
    <w:p w14:paraId="0D2973AD">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2、甲方有权对乙方不符合本项目要求（见招标文件）规定的行为进行处罚。</w:t>
      </w:r>
    </w:p>
    <w:p w14:paraId="35ADFFD6">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3、甲方监督检查乙方对员工进行培训的情况，以提高</w:t>
      </w:r>
      <w:r>
        <w:rPr>
          <w:rFonts w:hint="eastAsia" w:ascii="宋体" w:hAnsi="宋体" w:cs="宋体"/>
          <w:color w:val="auto"/>
          <w:sz w:val="22"/>
          <w:szCs w:val="22"/>
          <w:highlight w:val="none"/>
        </w:rPr>
        <w:t>温州市交通运输局信息化服务外包(2021)</w:t>
      </w:r>
      <w:r>
        <w:rPr>
          <w:rFonts w:hint="eastAsia" w:ascii="宋体" w:hAnsi="宋体" w:cs="宋体"/>
          <w:bCs/>
          <w:color w:val="auto"/>
          <w:sz w:val="22"/>
          <w:szCs w:val="22"/>
          <w:highlight w:val="none"/>
        </w:rPr>
        <w:t>的技术水平。</w:t>
      </w:r>
    </w:p>
    <w:p w14:paraId="5074711D">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4、甲方应按项目实施质量和考核结果计算经费，扣除乙方因检查不合格应扣款后，将经费按期支付给乙方。</w:t>
      </w:r>
    </w:p>
    <w:p w14:paraId="0B14A175">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5、甲方可要求乙方调整不合格员工，并于15日内调整到位。</w:t>
      </w:r>
    </w:p>
    <w:p w14:paraId="0C92298A">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6、甲方应当向乙方提供必要的工作条件，包括必要的技术资料、技术准备、工作空间，协助乙方做好维护服务。</w:t>
      </w:r>
    </w:p>
    <w:p w14:paraId="5C11135A">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（二）乙方权利和义务</w:t>
      </w:r>
    </w:p>
    <w:p w14:paraId="1F7F3D75">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1、乙方保证维护工作的过程未侵犯第三方合法权益。</w:t>
      </w:r>
    </w:p>
    <w:p w14:paraId="79780F19">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2、经乙方维护更新后的软件，其任何部分如被依法认定为侵犯第三方合法权利，或者任何由乙方授予的权利被认定为侵权，乙方应当承担相应的责任，并尽力用相等功能的合法软件替换软件，或者取得相关授权，以使甲方能够继续享有本合同所规定的各项权利，并且乙方应当赔偿甲方由此而造成的损失。</w:t>
      </w:r>
    </w:p>
    <w:p w14:paraId="66740C25">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3、乙方有权对管理工作提出建议。</w:t>
      </w:r>
    </w:p>
    <w:p w14:paraId="6D4A61E2">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4、乙方有履行承诺的义务（包括按照投标文件的承诺，安排实际上岗人数和人员福利待遇等），并参加由甲方组织的检查和综合考评。</w:t>
      </w:r>
    </w:p>
    <w:p w14:paraId="633C19D9">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5、乙方应接受甲方的检查监督及指导，完成甲方交办的各类工作任务。</w:t>
      </w:r>
    </w:p>
    <w:p w14:paraId="5C4AF9F3">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6、按甲方的要求开展工作，如有改变，乙方应提出书面申请，并征得甲方的书面同意。</w:t>
      </w:r>
    </w:p>
    <w:p w14:paraId="7C78890F">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7、乙方根据本合同所承担的服务内容，按实际上岗人数自行到有关部门申办用工手续、员工劳动保险手续和暂住证手续等。乙方应严格按照劳工法律各条规定逐条落实派驻人员工资、岗位津贴、福利待遇、社会保险和公积金等要求，安排好属下人员的住宿和教育管理工作，如发生违纪违法事件，由乙方承担一切经济责任和法律责任。</w:t>
      </w:r>
    </w:p>
    <w:p w14:paraId="5A708BDB">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8、必须按相关规定为员工购买社会保险。</w:t>
      </w:r>
    </w:p>
    <w:p w14:paraId="754C655A">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9、乙方负责项目实施过程中的事故处理和一切费用。</w:t>
      </w:r>
    </w:p>
    <w:p w14:paraId="13C30CEC">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10、乙方应遵守法律、法规和政策的规定，因以上原因使合同性质发生改变，甲方不负赔偿责任。</w:t>
      </w:r>
    </w:p>
    <w:p w14:paraId="40472E23">
      <w:pPr>
        <w:spacing w:line="460" w:lineRule="exact"/>
        <w:rPr>
          <w:rFonts w:ascii="宋体" w:hAnsi="宋体" w:cs="宋体"/>
          <w:b/>
          <w:color w:val="auto"/>
          <w:sz w:val="22"/>
          <w:szCs w:val="22"/>
          <w:highlight w:val="none"/>
        </w:rPr>
      </w:pPr>
      <w:r>
        <w:rPr>
          <w:rFonts w:hint="eastAsia" w:ascii="宋体" w:hAnsi="宋体" w:cs="宋体"/>
          <w:b/>
          <w:color w:val="auto"/>
          <w:sz w:val="22"/>
          <w:szCs w:val="22"/>
          <w:highlight w:val="none"/>
        </w:rPr>
        <w:t>第七条  违约责任</w:t>
      </w:r>
    </w:p>
    <w:p w14:paraId="25CC9360">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一）乙方未能履行以上义务，未遵守《投标文件》中所承诺的服务内容，违反甲方具体要求及《投标文件》规定的行为均属违约行为。甲方根据上述规定条款，视乙方违约行为的情节轻重，做出批评教育、警告、扣罚经费等处理，情节严重者，甲方有权单方终止本合同而不承担任何违约责任，由乙方承担一切经济损失和法律责任。因乙方违约造成甲方损失的，甲方有权向乙方要求补偿。</w:t>
      </w:r>
    </w:p>
    <w:p w14:paraId="34975121">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（二）乙方因人员，技术等跟不上管理需要影响工作，未达到质量标准，连续3个月出现月评分不达标的，甲方有权单方终止本合同，由乙方承担一切经济损失和法律责任。</w:t>
      </w:r>
    </w:p>
    <w:p w14:paraId="79783D06">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（三）乙方不能保质保量完成合同规定业务，除承担相关责任外，甲方可相应扣减合同尾款；</w:t>
      </w:r>
    </w:p>
    <w:p w14:paraId="0902A0AC">
      <w:pPr>
        <w:spacing w:line="46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第八条  争议的解决</w:t>
      </w:r>
    </w:p>
    <w:p w14:paraId="2C5E4F97">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合同未尽事宜，应双方友好协调解决。协商不一致，任何一方均可提起仲裁或诉讼，仲裁或诉讼按合同履行地原则。</w:t>
      </w:r>
    </w:p>
    <w:p w14:paraId="2144FF1E">
      <w:pPr>
        <w:spacing w:line="46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第十条  合同生效及终止</w:t>
      </w:r>
    </w:p>
    <w:p w14:paraId="48BE909C">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（一）合同生效：本合同自甲乙双方法定代表人签字、盖章之日起生效。</w:t>
      </w:r>
    </w:p>
    <w:p w14:paraId="739A1ED0">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（二）合同终止：本合同出现以下情况时终止。</w:t>
      </w:r>
    </w:p>
    <w:p w14:paraId="13F35184">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1、期限届满时自行终止。</w:t>
      </w:r>
    </w:p>
    <w:p w14:paraId="1EF3E540">
      <w:pPr>
        <w:spacing w:line="460" w:lineRule="exact"/>
        <w:ind w:firstLine="541" w:firstLineChars="245"/>
        <w:rPr>
          <w:rFonts w:ascii="宋体" w:hAnsi="宋体" w:cs="宋体"/>
          <w:b/>
          <w:bCs/>
          <w:color w:val="auto"/>
          <w:sz w:val="22"/>
          <w:szCs w:val="22"/>
          <w:highlight w:val="none"/>
        </w:rPr>
      </w:pPr>
      <w:r>
        <w:rPr>
          <w:rFonts w:hint="eastAsia" w:ascii="宋体" w:hAnsi="宋体" w:cs="宋体"/>
          <w:b/>
          <w:bCs/>
          <w:color w:val="auto"/>
          <w:sz w:val="22"/>
          <w:szCs w:val="22"/>
          <w:highlight w:val="none"/>
        </w:rPr>
        <w:t>2、乙方在签定合同15日内，未能按照投标文件的要求，完成组建温州市交通运输局信息化服务团队上岗，甲方有权单方终止合同。</w:t>
      </w:r>
    </w:p>
    <w:p w14:paraId="5A41EC46">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3、有以下行为之一的：</w:t>
      </w:r>
    </w:p>
    <w:p w14:paraId="52C6260E">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（1）违反管理规定，造成重大伤亡或重大损失。</w:t>
      </w:r>
    </w:p>
    <w:p w14:paraId="7929CB4D">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（2）因管理不善造成恶劣影响。</w:t>
      </w:r>
    </w:p>
    <w:p w14:paraId="5732F803">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（3）擅自将合同转包给第三者。</w:t>
      </w:r>
    </w:p>
    <w:p w14:paraId="57A10684">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（4）违反劳动法或其他相关法律法规，造成恶劣影响。</w:t>
      </w:r>
    </w:p>
    <w:p w14:paraId="3BBD171B">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（5）《投标文件》承诺项目未落实到位的，弄虚作假及其他不正当行为。</w:t>
      </w:r>
    </w:p>
    <w:p w14:paraId="1CCFB3EA">
      <w:pPr>
        <w:spacing w:line="46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第九条  合同的解释</w:t>
      </w:r>
    </w:p>
    <w:p w14:paraId="68B09372">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本合同的解释权在温州市交通运输局.</w:t>
      </w:r>
    </w:p>
    <w:p w14:paraId="4CAE3A90">
      <w:pPr>
        <w:spacing w:line="46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第十条  合同的份数</w:t>
      </w:r>
    </w:p>
    <w:p w14:paraId="7E08974E">
      <w:pPr>
        <w:spacing w:line="460" w:lineRule="exact"/>
        <w:ind w:firstLine="539" w:firstLineChars="245"/>
        <w:rPr>
          <w:rFonts w:ascii="宋体" w:hAnsi="宋体" w:cs="宋体"/>
          <w:bCs/>
          <w:color w:val="auto"/>
          <w:sz w:val="22"/>
          <w:szCs w:val="22"/>
          <w:highlight w:val="none"/>
        </w:rPr>
      </w:pPr>
      <w:r>
        <w:rPr>
          <w:rFonts w:hint="eastAsia" w:ascii="宋体" w:hAnsi="宋体" w:cs="宋体"/>
          <w:bCs/>
          <w:color w:val="auto"/>
          <w:sz w:val="22"/>
          <w:szCs w:val="22"/>
          <w:highlight w:val="none"/>
        </w:rPr>
        <w:t>本合同一式四份，双方各执贰份，具有同等法律效力。自双方法定代表人或代表人签字并加盖公章之日起生效。</w:t>
      </w:r>
    </w:p>
    <w:p w14:paraId="38ED4BA7">
      <w:pPr>
        <w:snapToGrid w:val="0"/>
        <w:spacing w:line="400" w:lineRule="exact"/>
        <w:ind w:left="420" w:hanging="420"/>
        <w:rPr>
          <w:rFonts w:ascii="宋体" w:hAnsi="宋体"/>
          <w:bCs/>
          <w:color w:val="auto"/>
          <w:sz w:val="22"/>
          <w:szCs w:val="22"/>
          <w:highlight w:val="none"/>
        </w:rPr>
      </w:pPr>
    </w:p>
    <w:p w14:paraId="192B4E2B">
      <w:pPr>
        <w:snapToGrid w:val="0"/>
        <w:spacing w:line="400" w:lineRule="exact"/>
        <w:ind w:left="420" w:hanging="420"/>
        <w:rPr>
          <w:rFonts w:ascii="宋体" w:hAnsi="宋体" w:cs="宋体"/>
          <w:color w:val="auto"/>
          <w:sz w:val="22"/>
          <w:szCs w:val="22"/>
          <w:highlight w:val="none"/>
        </w:rPr>
      </w:pPr>
      <w:r>
        <w:rPr>
          <w:rFonts w:hint="eastAsia" w:ascii="宋体" w:hAnsi="宋体" w:cs="宋体"/>
          <w:color w:val="auto"/>
          <w:sz w:val="22"/>
          <w:szCs w:val="22"/>
          <w:highlight w:val="none"/>
        </w:rPr>
        <w:t>（本行以下无正文）</w:t>
      </w:r>
    </w:p>
    <w:p w14:paraId="39459465">
      <w:pPr>
        <w:spacing w:line="400" w:lineRule="exact"/>
        <w:rPr>
          <w:rFonts w:ascii="宋体" w:hAnsi="宋体"/>
          <w:color w:val="auto"/>
          <w:sz w:val="22"/>
          <w:szCs w:val="22"/>
          <w:highlight w:val="none"/>
        </w:rPr>
      </w:pPr>
    </w:p>
    <w:p w14:paraId="349DD857">
      <w:pPr>
        <w:spacing w:line="400" w:lineRule="exact"/>
        <w:ind w:left="540"/>
        <w:rPr>
          <w:rFonts w:ascii="宋体" w:hAnsi="宋体"/>
          <w:b/>
          <w:color w:val="auto"/>
          <w:sz w:val="22"/>
          <w:szCs w:val="22"/>
          <w:highlight w:val="none"/>
        </w:rPr>
      </w:pPr>
      <w:r>
        <w:rPr>
          <w:rFonts w:hint="eastAsia" w:ascii="宋体" w:hAnsi="宋体"/>
          <w:b/>
          <w:color w:val="auto"/>
          <w:sz w:val="22"/>
          <w:szCs w:val="22"/>
          <w:highlight w:val="none"/>
        </w:rPr>
        <w:t>下列文件构成本合同的组成部分：</w:t>
      </w:r>
    </w:p>
    <w:p w14:paraId="4BE307AC">
      <w:pPr>
        <w:spacing w:line="40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 xml:space="preserve">  （1）合同主要条款                 （2）合同的特殊条款</w:t>
      </w:r>
    </w:p>
    <w:p w14:paraId="1BD42139">
      <w:pPr>
        <w:spacing w:line="40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 xml:space="preserve">  （3）售后服务条款                 （4）中标通知书</w:t>
      </w:r>
    </w:p>
    <w:p w14:paraId="3A5107EE">
      <w:pPr>
        <w:spacing w:line="40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 xml:space="preserve">   (5) 投标分项报价表                (6) 技术规格、商务条款偏离表</w:t>
      </w:r>
    </w:p>
    <w:p w14:paraId="1EFA855B">
      <w:pPr>
        <w:spacing w:line="40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 xml:space="preserve">   (7) 招标内容及要求               （8）合同补充条款或说明（如有的话）</w:t>
      </w:r>
    </w:p>
    <w:p w14:paraId="0C9F6C03">
      <w:pPr>
        <w:spacing w:line="40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 xml:space="preserve">   (9)承诺书 （含询标记录和优惠条件）</w:t>
      </w:r>
    </w:p>
    <w:p w14:paraId="22887F1A">
      <w:pPr>
        <w:pStyle w:val="34"/>
        <w:tabs>
          <w:tab w:val="left" w:pos="7935"/>
        </w:tabs>
        <w:snapToGrid w:val="0"/>
        <w:spacing w:line="400" w:lineRule="exact"/>
        <w:rPr>
          <w:rFonts w:hAnsi="宋体" w:cs="Arial"/>
          <w:color w:val="auto"/>
          <w:sz w:val="22"/>
          <w:szCs w:val="22"/>
          <w:highlight w:val="none"/>
        </w:rPr>
      </w:pPr>
    </w:p>
    <w:p w14:paraId="70C74184">
      <w:pPr>
        <w:pStyle w:val="34"/>
        <w:tabs>
          <w:tab w:val="left" w:pos="7935"/>
        </w:tabs>
        <w:snapToGrid w:val="0"/>
        <w:spacing w:line="400" w:lineRule="exact"/>
        <w:rPr>
          <w:rFonts w:hAnsi="宋体" w:cs="Arial"/>
          <w:color w:val="auto"/>
          <w:sz w:val="22"/>
          <w:szCs w:val="22"/>
          <w:highlight w:val="none"/>
        </w:rPr>
      </w:pPr>
      <w:r>
        <w:rPr>
          <w:rFonts w:hint="eastAsia" w:hAnsi="宋体" w:cs="Arial"/>
          <w:color w:val="auto"/>
          <w:sz w:val="22"/>
          <w:szCs w:val="22"/>
          <w:highlight w:val="none"/>
        </w:rPr>
        <w:t>甲方：                                                 乙方：</w:t>
      </w:r>
      <w:r>
        <w:rPr>
          <w:rFonts w:hint="eastAsia" w:hAnsi="宋体" w:cs="Arial"/>
          <w:color w:val="auto"/>
          <w:sz w:val="22"/>
          <w:szCs w:val="22"/>
          <w:highlight w:val="none"/>
        </w:rPr>
        <w:tab/>
      </w:r>
    </w:p>
    <w:p w14:paraId="4EE3372F">
      <w:pPr>
        <w:pStyle w:val="34"/>
        <w:snapToGrid w:val="0"/>
        <w:spacing w:line="400" w:lineRule="exact"/>
        <w:rPr>
          <w:rFonts w:hAnsi="宋体" w:cs="Arial"/>
          <w:color w:val="auto"/>
          <w:sz w:val="22"/>
          <w:szCs w:val="22"/>
          <w:highlight w:val="none"/>
        </w:rPr>
      </w:pPr>
      <w:r>
        <w:rPr>
          <w:rFonts w:hint="eastAsia" w:hAnsi="宋体" w:cs="Arial"/>
          <w:color w:val="auto"/>
          <w:sz w:val="22"/>
          <w:szCs w:val="22"/>
          <w:highlight w:val="none"/>
        </w:rPr>
        <w:t>（盖章）                                              （盖章）</w:t>
      </w:r>
    </w:p>
    <w:p w14:paraId="24F4344E">
      <w:pPr>
        <w:pStyle w:val="34"/>
        <w:snapToGrid w:val="0"/>
        <w:spacing w:line="400" w:lineRule="exact"/>
        <w:rPr>
          <w:rFonts w:hAnsi="宋体" w:cs="Arial"/>
          <w:color w:val="auto"/>
          <w:sz w:val="22"/>
          <w:szCs w:val="22"/>
          <w:highlight w:val="none"/>
        </w:rPr>
      </w:pPr>
      <w:r>
        <w:rPr>
          <w:rFonts w:hint="eastAsia" w:hAnsi="宋体" w:cs="Arial"/>
          <w:color w:val="auto"/>
          <w:sz w:val="22"/>
          <w:szCs w:val="22"/>
          <w:highlight w:val="none"/>
        </w:rPr>
        <w:t>授权代表（签字）：                                     授权代表（签字）：</w:t>
      </w:r>
    </w:p>
    <w:p w14:paraId="3BC8F3F2">
      <w:pPr>
        <w:pStyle w:val="34"/>
        <w:snapToGrid w:val="0"/>
        <w:spacing w:line="400" w:lineRule="exact"/>
        <w:rPr>
          <w:rFonts w:hAnsi="宋体" w:cs="Arial"/>
          <w:color w:val="auto"/>
          <w:sz w:val="22"/>
          <w:szCs w:val="22"/>
          <w:highlight w:val="none"/>
        </w:rPr>
      </w:pPr>
      <w:r>
        <w:rPr>
          <w:rFonts w:hint="eastAsia" w:hAnsi="宋体" w:cs="Arial"/>
          <w:color w:val="auto"/>
          <w:sz w:val="22"/>
          <w:szCs w:val="22"/>
          <w:highlight w:val="none"/>
        </w:rPr>
        <w:t>地址：                                                 地址：</w:t>
      </w:r>
    </w:p>
    <w:p w14:paraId="0A6BAE4F">
      <w:pPr>
        <w:spacing w:line="400" w:lineRule="exact"/>
        <w:rPr>
          <w:rFonts w:ascii="宋体" w:hAnsi="宋体" w:cs="Arial"/>
          <w:color w:val="auto"/>
          <w:sz w:val="22"/>
          <w:szCs w:val="22"/>
          <w:highlight w:val="none"/>
        </w:rPr>
      </w:pPr>
    </w:p>
    <w:p w14:paraId="3EF4B7B6">
      <w:pPr>
        <w:spacing w:line="400" w:lineRule="exact"/>
        <w:rPr>
          <w:rFonts w:ascii="宋体" w:hAnsi="宋体" w:cs="Arial"/>
          <w:color w:val="auto"/>
          <w:sz w:val="22"/>
          <w:szCs w:val="22"/>
          <w:highlight w:val="none"/>
        </w:rPr>
      </w:pPr>
    </w:p>
    <w:p w14:paraId="63D97A3B">
      <w:pPr>
        <w:spacing w:line="400" w:lineRule="exact"/>
        <w:rPr>
          <w:rFonts w:ascii="宋体" w:hAnsi="宋体" w:cs="Arial"/>
          <w:color w:val="auto"/>
          <w:sz w:val="22"/>
          <w:szCs w:val="22"/>
          <w:highlight w:val="none"/>
        </w:rPr>
      </w:pPr>
    </w:p>
    <w:p w14:paraId="38C44F93">
      <w:pPr>
        <w:snapToGrid w:val="0"/>
        <w:spacing w:line="360" w:lineRule="auto"/>
        <w:jc w:val="left"/>
        <w:rPr>
          <w:rFonts w:ascii="仿宋_GB2312" w:hAnsi="宋体"/>
          <w:b/>
          <w:bCs/>
          <w:color w:val="auto"/>
          <w:sz w:val="24"/>
          <w:highlight w:val="none"/>
          <w:u w:val="single"/>
        </w:rPr>
      </w:pPr>
      <w:r>
        <w:rPr>
          <w:rFonts w:hint="eastAsia" w:ascii="仿宋_GB2312" w:hAnsi="宋体"/>
          <w:b/>
          <w:bCs/>
          <w:color w:val="auto"/>
          <w:sz w:val="24"/>
          <w:highlight w:val="none"/>
          <w:u w:val="single"/>
        </w:rPr>
        <w:t>注：本合同作为示范文本，具体以中标人与招标人所签定正式合同为准。</w:t>
      </w:r>
    </w:p>
    <w:p w14:paraId="029D0B1D">
      <w:pPr>
        <w:spacing w:line="440" w:lineRule="exact"/>
        <w:ind w:firstLine="440" w:firstLineChars="200"/>
        <w:rPr>
          <w:rFonts w:ascii="宋体" w:hAnsi="宋体" w:cs="Arial"/>
          <w:b/>
          <w:color w:val="auto"/>
          <w:sz w:val="36"/>
          <w:szCs w:val="36"/>
          <w:highlight w:val="none"/>
        </w:rPr>
      </w:pPr>
      <w:r>
        <w:rPr>
          <w:rFonts w:ascii="宋体" w:hAnsi="宋体" w:cs="Arial"/>
          <w:color w:val="auto"/>
          <w:sz w:val="22"/>
          <w:szCs w:val="22"/>
          <w:highlight w:val="none"/>
        </w:rPr>
        <w:br w:type="page"/>
      </w:r>
      <w:bookmarkStart w:id="229" w:name="_Toc249758872"/>
      <w:bookmarkStart w:id="230" w:name="_Toc245722288"/>
      <w:bookmarkStart w:id="231" w:name="_Toc249758722"/>
      <w:bookmarkStart w:id="232" w:name="_Toc241404209"/>
      <w:bookmarkStart w:id="233" w:name="_Toc222114886"/>
      <w:bookmarkStart w:id="234" w:name="_Toc245191321"/>
      <w:bookmarkStart w:id="235" w:name="_Toc221423626"/>
      <w:bookmarkStart w:id="236" w:name="_Toc239145361"/>
      <w:bookmarkStart w:id="237" w:name="_Toc223716005"/>
      <w:bookmarkStart w:id="238" w:name="_Toc246261272"/>
      <w:bookmarkStart w:id="239" w:name="_Toc262049426"/>
      <w:bookmarkStart w:id="240" w:name="_Toc262105511"/>
    </w:p>
    <w:p w14:paraId="5A228D6C">
      <w:pPr>
        <w:pStyle w:val="4"/>
        <w:rPr>
          <w:rFonts w:ascii="宋体" w:hAnsi="宋体" w:eastAsia="宋体" w:cs="Arial"/>
          <w:color w:val="auto"/>
          <w:sz w:val="36"/>
          <w:szCs w:val="36"/>
          <w:highlight w:val="none"/>
        </w:rPr>
      </w:pPr>
      <w:bookmarkStart w:id="241" w:name="_Toc22293"/>
      <w:r>
        <w:rPr>
          <w:rFonts w:hint="eastAsia" w:ascii="宋体" w:hAnsi="宋体" w:eastAsia="宋体" w:cs="Arial"/>
          <w:color w:val="auto"/>
          <w:sz w:val="36"/>
          <w:szCs w:val="36"/>
          <w:highlight w:val="none"/>
        </w:rPr>
        <w:t xml:space="preserve">第五部分   </w:t>
      </w:r>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r>
        <w:rPr>
          <w:rFonts w:hint="eastAsia" w:ascii="宋体" w:hAnsi="宋体" w:eastAsia="宋体" w:cs="Arial"/>
          <w:color w:val="auto"/>
          <w:sz w:val="36"/>
          <w:szCs w:val="36"/>
          <w:highlight w:val="none"/>
        </w:rPr>
        <w:t>附件</w:t>
      </w:r>
      <w:bookmarkEnd w:id="241"/>
    </w:p>
    <w:p w14:paraId="1DDCB033">
      <w:pPr>
        <w:rPr>
          <w:rFonts w:ascii="宋体" w:hAnsi="宋体"/>
          <w:color w:val="auto"/>
          <w:highlight w:val="none"/>
        </w:rPr>
      </w:pPr>
    </w:p>
    <w:p w14:paraId="0989E758">
      <w:pPr>
        <w:spacing w:line="460" w:lineRule="exact"/>
        <w:rPr>
          <w:rFonts w:ascii="宋体" w:hAnsi="宋体"/>
          <w:b/>
          <w:bCs/>
          <w:color w:val="auto"/>
          <w:sz w:val="22"/>
          <w:szCs w:val="22"/>
          <w:highlight w:val="none"/>
        </w:rPr>
      </w:pPr>
      <w:r>
        <w:rPr>
          <w:rFonts w:hint="eastAsia" w:ascii="宋体" w:hAnsi="宋体"/>
          <w:b/>
          <w:bCs/>
          <w:color w:val="auto"/>
          <w:sz w:val="22"/>
          <w:szCs w:val="22"/>
          <w:highlight w:val="none"/>
        </w:rPr>
        <w:t>附件一</w:t>
      </w:r>
    </w:p>
    <w:p w14:paraId="5777D386">
      <w:pPr>
        <w:spacing w:line="460" w:lineRule="exact"/>
        <w:jc w:val="center"/>
        <w:rPr>
          <w:rFonts w:ascii="宋体" w:hAnsi="宋体" w:cs="仿宋"/>
          <w:b/>
          <w:bCs/>
          <w:color w:val="auto"/>
          <w:sz w:val="28"/>
          <w:szCs w:val="28"/>
          <w:highlight w:val="none"/>
        </w:rPr>
      </w:pPr>
      <w:r>
        <w:rPr>
          <w:rFonts w:hint="eastAsia" w:ascii="宋体" w:hAnsi="宋体" w:cs="仿宋"/>
          <w:b/>
          <w:bCs/>
          <w:color w:val="auto"/>
          <w:sz w:val="28"/>
          <w:szCs w:val="28"/>
          <w:highlight w:val="none"/>
        </w:rPr>
        <w:t>资格审查料</w:t>
      </w:r>
    </w:p>
    <w:p w14:paraId="322FCFB8">
      <w:pPr>
        <w:spacing w:line="460" w:lineRule="exact"/>
        <w:jc w:val="center"/>
        <w:rPr>
          <w:rFonts w:ascii="宋体" w:hAnsi="宋体" w:cs="仿宋"/>
          <w:color w:val="auto"/>
          <w:sz w:val="28"/>
          <w:szCs w:val="28"/>
          <w:highlight w:val="none"/>
        </w:rPr>
      </w:pPr>
    </w:p>
    <w:p w14:paraId="052BBDFB">
      <w:pPr>
        <w:spacing w:line="380" w:lineRule="exact"/>
        <w:jc w:val="center"/>
        <w:rPr>
          <w:rFonts w:ascii="宋体" w:hAnsi="宋体" w:cs="仿宋"/>
          <w:b/>
          <w:color w:val="auto"/>
          <w:sz w:val="22"/>
          <w:szCs w:val="22"/>
          <w:highlight w:val="none"/>
        </w:rPr>
      </w:pPr>
      <w:r>
        <w:rPr>
          <w:rFonts w:hint="eastAsia" w:ascii="宋体" w:hAnsi="宋体" w:cs="仿宋"/>
          <w:b/>
          <w:color w:val="auto"/>
          <w:sz w:val="22"/>
          <w:szCs w:val="22"/>
          <w:highlight w:val="none"/>
        </w:rPr>
        <w:t>（1-1）法定代表人声明书</w:t>
      </w:r>
    </w:p>
    <w:p w14:paraId="2CD1B4F2">
      <w:pPr>
        <w:spacing w:line="400" w:lineRule="exact"/>
        <w:rPr>
          <w:rFonts w:ascii="宋体" w:hAnsi="宋体"/>
          <w:color w:val="auto"/>
          <w:highlight w:val="none"/>
        </w:rPr>
      </w:pPr>
    </w:p>
    <w:p w14:paraId="2691D20B">
      <w:pPr>
        <w:spacing w:line="420" w:lineRule="exact"/>
        <w:rPr>
          <w:rFonts w:ascii="宋体" w:hAnsi="宋体"/>
          <w:color w:val="auto"/>
          <w:sz w:val="22"/>
          <w:szCs w:val="22"/>
          <w:highlight w:val="none"/>
        </w:rPr>
      </w:pPr>
      <w:r>
        <w:rPr>
          <w:rFonts w:hint="eastAsia" w:ascii="宋体" w:hAnsi="宋体"/>
          <w:bCs/>
          <w:color w:val="auto"/>
          <w:sz w:val="22"/>
          <w:szCs w:val="22"/>
          <w:highlight w:val="none"/>
        </w:rPr>
        <w:t>温州市交通运输局</w:t>
      </w:r>
      <w:r>
        <w:rPr>
          <w:rFonts w:hint="eastAsia" w:ascii="宋体" w:hAnsi="宋体"/>
          <w:color w:val="auto"/>
          <w:sz w:val="22"/>
          <w:szCs w:val="22"/>
          <w:highlight w:val="none"/>
        </w:rPr>
        <w:t>：</w:t>
      </w:r>
    </w:p>
    <w:p w14:paraId="0F5132D9">
      <w:pPr>
        <w:spacing w:line="420" w:lineRule="exact"/>
        <w:rPr>
          <w:rFonts w:ascii="宋体" w:hAnsi="宋体"/>
          <w:color w:val="auto"/>
          <w:sz w:val="22"/>
          <w:szCs w:val="22"/>
          <w:highlight w:val="none"/>
        </w:rPr>
      </w:pPr>
      <w:r>
        <w:rPr>
          <w:rFonts w:hint="eastAsia" w:ascii="宋体" w:hAnsi="宋体"/>
          <w:color w:val="auto"/>
          <w:sz w:val="22"/>
          <w:szCs w:val="22"/>
          <w:highlight w:val="none"/>
          <w:lang w:eastAsia="zh-CN"/>
        </w:rPr>
        <w:t>浙江欣力工程管理有限公司</w:t>
      </w:r>
      <w:r>
        <w:rPr>
          <w:rFonts w:hint="eastAsia" w:ascii="宋体" w:hAnsi="宋体"/>
          <w:color w:val="auto"/>
          <w:sz w:val="22"/>
          <w:szCs w:val="22"/>
          <w:highlight w:val="none"/>
        </w:rPr>
        <w:t>：</w:t>
      </w:r>
    </w:p>
    <w:p w14:paraId="76AB4B8F">
      <w:pPr>
        <w:spacing w:line="460" w:lineRule="exact"/>
        <w:rPr>
          <w:rFonts w:ascii="宋体" w:hAnsi="宋体"/>
          <w:color w:val="auto"/>
          <w:sz w:val="22"/>
          <w:szCs w:val="22"/>
          <w:highlight w:val="none"/>
          <w:u w:val="single"/>
        </w:rPr>
      </w:pPr>
    </w:p>
    <w:p w14:paraId="3DC49367">
      <w:pPr>
        <w:spacing w:line="460" w:lineRule="exact"/>
        <w:ind w:firstLine="220" w:firstLineChars="100"/>
        <w:rPr>
          <w:rFonts w:ascii="宋体" w:hAnsi="宋体"/>
          <w:color w:val="auto"/>
          <w:sz w:val="22"/>
          <w:szCs w:val="22"/>
          <w:highlight w:val="none"/>
        </w:rPr>
      </w:pPr>
      <w:r>
        <w:rPr>
          <w:rFonts w:hint="eastAsia" w:ascii="宋体" w:hAnsi="宋体"/>
          <w:color w:val="auto"/>
          <w:sz w:val="22"/>
          <w:szCs w:val="22"/>
          <w:highlight w:val="none"/>
        </w:rPr>
        <w:t>本人</w:t>
      </w:r>
      <w:r>
        <w:rPr>
          <w:rFonts w:hint="eastAsia" w:ascii="宋体" w:hAnsi="宋体"/>
          <w:color w:val="auto"/>
          <w:sz w:val="22"/>
          <w:szCs w:val="22"/>
          <w:highlight w:val="none"/>
          <w:u w:val="single"/>
        </w:rPr>
        <w:t>（法定代表人姓名）</w:t>
      </w:r>
      <w:r>
        <w:rPr>
          <w:rFonts w:hint="eastAsia" w:ascii="宋体" w:hAnsi="宋体"/>
          <w:color w:val="auto"/>
          <w:sz w:val="22"/>
          <w:szCs w:val="22"/>
          <w:highlight w:val="none"/>
        </w:rPr>
        <w:t>为</w:t>
      </w:r>
      <w:r>
        <w:rPr>
          <w:rFonts w:hint="eastAsia" w:ascii="宋体" w:hAnsi="宋体"/>
          <w:color w:val="auto"/>
          <w:sz w:val="22"/>
          <w:szCs w:val="22"/>
          <w:highlight w:val="none"/>
          <w:u w:val="single"/>
        </w:rPr>
        <w:t>（投标人全称）</w:t>
      </w:r>
      <w:r>
        <w:rPr>
          <w:rFonts w:hint="eastAsia" w:ascii="宋体" w:hAnsi="宋体"/>
          <w:color w:val="auto"/>
          <w:sz w:val="22"/>
          <w:szCs w:val="22"/>
          <w:highlight w:val="none"/>
        </w:rPr>
        <w:t>的法定代表人。我公司参加贵处组织的</w:t>
      </w:r>
      <w:r>
        <w:rPr>
          <w:rFonts w:hint="eastAsia" w:ascii="宋体" w:hAnsi="宋体"/>
          <w:color w:val="auto"/>
          <w:sz w:val="22"/>
          <w:szCs w:val="22"/>
          <w:highlight w:val="none"/>
          <w:u w:val="single"/>
        </w:rPr>
        <w:t>（招标项目名称、招标编号）</w:t>
      </w:r>
      <w:r>
        <w:rPr>
          <w:rFonts w:hint="eastAsia" w:ascii="宋体" w:hAnsi="宋体"/>
          <w:color w:val="auto"/>
          <w:sz w:val="22"/>
          <w:szCs w:val="22"/>
          <w:highlight w:val="none"/>
        </w:rPr>
        <w:t>的招标活动，由我本人全权代表我方处理招标活动中的一切事宜。联系方式如下：</w:t>
      </w:r>
      <w:r>
        <w:rPr>
          <w:rFonts w:hint="eastAsia" w:ascii="宋体" w:hAnsi="宋体"/>
          <w:color w:val="auto"/>
          <w:sz w:val="22"/>
          <w:szCs w:val="22"/>
          <w:highlight w:val="none"/>
          <w:u w:val="single"/>
        </w:rPr>
        <w:t xml:space="preserve">手机号码：       联系邮箱:         详细通讯地址：             </w:t>
      </w:r>
      <w:r>
        <w:rPr>
          <w:rFonts w:hint="eastAsia" w:ascii="宋体" w:hAnsi="宋体"/>
          <w:color w:val="auto"/>
          <w:sz w:val="22"/>
          <w:szCs w:val="22"/>
          <w:highlight w:val="none"/>
        </w:rPr>
        <w:t xml:space="preserve"> 。  </w:t>
      </w:r>
    </w:p>
    <w:p w14:paraId="4B226823">
      <w:pPr>
        <w:spacing w:line="400" w:lineRule="exact"/>
        <w:rPr>
          <w:rFonts w:ascii="宋体" w:hAnsi="宋体"/>
          <w:color w:val="auto"/>
          <w:highlight w:val="none"/>
        </w:rPr>
      </w:pPr>
    </w:p>
    <w:p w14:paraId="36346E60">
      <w:pPr>
        <w:spacing w:line="400" w:lineRule="exact"/>
        <w:rPr>
          <w:rFonts w:ascii="宋体" w:hAnsi="宋体"/>
          <w:color w:val="auto"/>
          <w:highlight w:val="none"/>
        </w:rPr>
      </w:pPr>
    </w:p>
    <w:p w14:paraId="3DA74EFD">
      <w:pPr>
        <w:spacing w:line="400" w:lineRule="exact"/>
        <w:rPr>
          <w:rFonts w:ascii="宋体" w:hAnsi="宋体"/>
          <w:color w:val="auto"/>
          <w:highlight w:val="none"/>
        </w:rPr>
      </w:pPr>
    </w:p>
    <w:p w14:paraId="2155D5C5">
      <w:pPr>
        <w:spacing w:line="460" w:lineRule="exact"/>
        <w:ind w:firstLine="3971" w:firstLineChars="1805"/>
        <w:rPr>
          <w:rFonts w:ascii="宋体" w:hAnsi="宋体"/>
          <w:color w:val="auto"/>
          <w:sz w:val="22"/>
          <w:szCs w:val="22"/>
          <w:highlight w:val="none"/>
        </w:rPr>
      </w:pPr>
    </w:p>
    <w:p w14:paraId="0D7C7D54">
      <w:pPr>
        <w:spacing w:line="460" w:lineRule="exact"/>
        <w:ind w:firstLine="2955"/>
        <w:rPr>
          <w:rFonts w:ascii="宋体" w:hAnsi="宋体"/>
          <w:color w:val="auto"/>
          <w:sz w:val="22"/>
          <w:szCs w:val="22"/>
          <w:highlight w:val="none"/>
        </w:rPr>
      </w:pPr>
      <w:r>
        <w:rPr>
          <w:rFonts w:hint="eastAsia" w:ascii="宋体" w:hAnsi="宋体"/>
          <w:color w:val="auto"/>
          <w:sz w:val="22"/>
          <w:szCs w:val="22"/>
          <w:highlight w:val="none"/>
        </w:rPr>
        <w:t xml:space="preserve">         投标人全称（公章）：</w:t>
      </w:r>
    </w:p>
    <w:p w14:paraId="612CA270">
      <w:pPr>
        <w:spacing w:line="460" w:lineRule="exact"/>
        <w:ind w:firstLine="2955"/>
        <w:rPr>
          <w:rFonts w:ascii="宋体" w:hAnsi="宋体"/>
          <w:color w:val="auto"/>
          <w:sz w:val="22"/>
          <w:szCs w:val="22"/>
          <w:highlight w:val="none"/>
        </w:rPr>
      </w:pPr>
      <w:r>
        <w:rPr>
          <w:rFonts w:hint="eastAsia" w:ascii="宋体" w:hAnsi="宋体"/>
          <w:color w:val="auto"/>
          <w:sz w:val="22"/>
          <w:szCs w:val="22"/>
          <w:highlight w:val="none"/>
        </w:rPr>
        <w:t xml:space="preserve">         日期：     年    月   日</w:t>
      </w:r>
    </w:p>
    <w:p w14:paraId="2AA3DB72">
      <w:pPr>
        <w:spacing w:line="460" w:lineRule="exact"/>
        <w:rPr>
          <w:rFonts w:ascii="宋体" w:hAnsi="宋体"/>
          <w:color w:val="auto"/>
          <w:sz w:val="22"/>
          <w:szCs w:val="22"/>
          <w:highlight w:val="none"/>
        </w:rPr>
      </w:pPr>
    </w:p>
    <w:p w14:paraId="5D181747">
      <w:pPr>
        <w:widowControl/>
        <w:jc w:val="left"/>
        <w:rPr>
          <w:rFonts w:ascii="Arial" w:hAnsi="Arial" w:cs="Arial"/>
          <w:color w:val="auto"/>
          <w:szCs w:val="21"/>
          <w:highlight w:val="none"/>
        </w:rPr>
      </w:pPr>
    </w:p>
    <w:p w14:paraId="637B5078">
      <w:pPr>
        <w:widowControl/>
        <w:jc w:val="left"/>
        <w:rPr>
          <w:rFonts w:ascii="Arial" w:hAnsi="Arial" w:cs="Arial"/>
          <w:color w:val="auto"/>
          <w:szCs w:val="21"/>
          <w:highlight w:val="none"/>
        </w:rPr>
      </w:pPr>
    </w:p>
    <w:p w14:paraId="738D7C63">
      <w:pPr>
        <w:widowControl/>
        <w:jc w:val="left"/>
        <w:rPr>
          <w:rFonts w:ascii="Arial" w:hAnsi="Arial" w:cs="Arial"/>
          <w:color w:val="auto"/>
          <w:szCs w:val="21"/>
          <w:highlight w:val="none"/>
        </w:rPr>
      </w:pPr>
      <w:r>
        <w:rPr>
          <w:rFonts w:hint="eastAsia" w:ascii="宋体" w:hAnsi="宋体"/>
          <w:b/>
          <w:color w:val="auto"/>
          <w:sz w:val="22"/>
          <w:szCs w:val="22"/>
          <w:highlight w:val="none"/>
        </w:rPr>
        <w:t>附：法定代表人</w:t>
      </w:r>
      <w:r>
        <w:rPr>
          <w:rFonts w:ascii="宋体" w:hAnsi="宋体"/>
          <w:b/>
          <w:color w:val="auto"/>
          <w:sz w:val="22"/>
          <w:szCs w:val="22"/>
          <w:highlight w:val="none"/>
        </w:rPr>
        <w:t>身</w:t>
      </w:r>
      <w:r>
        <w:rPr>
          <w:rFonts w:ascii="宋体" w:hAnsi="宋体" w:cs="Courier New"/>
          <w:b/>
          <w:color w:val="auto"/>
          <w:sz w:val="22"/>
          <w:szCs w:val="22"/>
          <w:highlight w:val="none"/>
        </w:rPr>
        <w:t>份证正反面复印件</w:t>
      </w:r>
      <w:r>
        <w:rPr>
          <w:rFonts w:ascii="Arial" w:hAnsi="Arial" w:cs="Arial"/>
          <w:color w:val="auto"/>
          <w:szCs w:val="21"/>
          <w:highlight w:val="none"/>
        </w:rPr>
        <w:br w:type="page"/>
      </w:r>
    </w:p>
    <w:p w14:paraId="517BC75C">
      <w:pPr>
        <w:spacing w:line="360" w:lineRule="exact"/>
        <w:rPr>
          <w:rFonts w:ascii="Arial" w:hAnsi="Arial" w:cs="Arial"/>
          <w:color w:val="auto"/>
          <w:szCs w:val="21"/>
          <w:highlight w:val="none"/>
        </w:rPr>
      </w:pPr>
    </w:p>
    <w:p w14:paraId="347ACA10">
      <w:pPr>
        <w:spacing w:line="380" w:lineRule="exact"/>
        <w:jc w:val="center"/>
        <w:rPr>
          <w:rFonts w:ascii="宋体" w:hAnsi="宋体" w:cs="仿宋"/>
          <w:b/>
          <w:color w:val="auto"/>
          <w:sz w:val="22"/>
          <w:szCs w:val="22"/>
          <w:highlight w:val="none"/>
        </w:rPr>
      </w:pPr>
    </w:p>
    <w:p w14:paraId="7B3C603C">
      <w:pPr>
        <w:spacing w:line="380" w:lineRule="exact"/>
        <w:jc w:val="center"/>
        <w:rPr>
          <w:rFonts w:ascii="宋体" w:hAnsi="宋体" w:cs="仿宋"/>
          <w:b/>
          <w:color w:val="auto"/>
          <w:sz w:val="22"/>
          <w:szCs w:val="22"/>
          <w:highlight w:val="none"/>
        </w:rPr>
      </w:pPr>
      <w:r>
        <w:rPr>
          <w:rFonts w:hint="eastAsia" w:ascii="宋体" w:hAnsi="宋体" w:cs="仿宋"/>
          <w:b/>
          <w:color w:val="auto"/>
          <w:sz w:val="22"/>
          <w:szCs w:val="22"/>
          <w:highlight w:val="none"/>
        </w:rPr>
        <w:t>（1-2）法定代表人授权书</w:t>
      </w:r>
    </w:p>
    <w:p w14:paraId="5DC01242">
      <w:pPr>
        <w:spacing w:line="400" w:lineRule="exact"/>
        <w:jc w:val="center"/>
        <w:rPr>
          <w:rFonts w:ascii="宋体" w:hAnsi="宋体"/>
          <w:b/>
          <w:bCs/>
          <w:color w:val="auto"/>
          <w:sz w:val="28"/>
          <w:szCs w:val="28"/>
          <w:highlight w:val="none"/>
        </w:rPr>
      </w:pPr>
    </w:p>
    <w:p w14:paraId="7B57252A">
      <w:pPr>
        <w:spacing w:line="420" w:lineRule="exact"/>
        <w:rPr>
          <w:rFonts w:ascii="宋体" w:hAnsi="宋体"/>
          <w:color w:val="auto"/>
          <w:sz w:val="22"/>
          <w:szCs w:val="22"/>
          <w:highlight w:val="none"/>
        </w:rPr>
      </w:pPr>
      <w:r>
        <w:rPr>
          <w:rFonts w:hint="eastAsia" w:ascii="宋体" w:hAnsi="宋体"/>
          <w:bCs/>
          <w:color w:val="auto"/>
          <w:sz w:val="22"/>
          <w:szCs w:val="22"/>
          <w:highlight w:val="none"/>
        </w:rPr>
        <w:t>温州市交通运输局</w:t>
      </w:r>
      <w:r>
        <w:rPr>
          <w:rFonts w:hint="eastAsia" w:ascii="宋体" w:hAnsi="宋体"/>
          <w:color w:val="auto"/>
          <w:sz w:val="22"/>
          <w:szCs w:val="22"/>
          <w:highlight w:val="none"/>
        </w:rPr>
        <w:t>：</w:t>
      </w:r>
    </w:p>
    <w:p w14:paraId="59D65997">
      <w:pPr>
        <w:spacing w:line="420" w:lineRule="exact"/>
        <w:rPr>
          <w:rFonts w:ascii="宋体" w:hAnsi="宋体"/>
          <w:color w:val="auto"/>
          <w:sz w:val="22"/>
          <w:szCs w:val="22"/>
          <w:highlight w:val="none"/>
        </w:rPr>
      </w:pPr>
      <w:r>
        <w:rPr>
          <w:rFonts w:hint="eastAsia" w:ascii="宋体" w:hAnsi="宋体"/>
          <w:color w:val="auto"/>
          <w:sz w:val="22"/>
          <w:szCs w:val="22"/>
          <w:highlight w:val="none"/>
          <w:lang w:eastAsia="zh-CN"/>
        </w:rPr>
        <w:t>浙江欣力工程管理有限公司</w:t>
      </w:r>
      <w:r>
        <w:rPr>
          <w:rFonts w:hint="eastAsia" w:ascii="宋体" w:hAnsi="宋体"/>
          <w:color w:val="auto"/>
          <w:sz w:val="22"/>
          <w:szCs w:val="22"/>
          <w:highlight w:val="none"/>
        </w:rPr>
        <w:t>：</w:t>
      </w:r>
    </w:p>
    <w:p w14:paraId="0F590230">
      <w:pPr>
        <w:spacing w:line="460" w:lineRule="exact"/>
        <w:rPr>
          <w:rFonts w:ascii="宋体" w:hAnsi="宋体"/>
          <w:color w:val="auto"/>
          <w:sz w:val="22"/>
          <w:szCs w:val="22"/>
          <w:highlight w:val="none"/>
          <w:u w:val="single"/>
        </w:rPr>
      </w:pPr>
    </w:p>
    <w:p w14:paraId="71893A1B">
      <w:pPr>
        <w:spacing w:line="460" w:lineRule="exact"/>
        <w:ind w:firstLine="220" w:firstLineChars="100"/>
        <w:rPr>
          <w:rFonts w:ascii="宋体" w:hAnsi="宋体"/>
          <w:color w:val="auto"/>
          <w:sz w:val="22"/>
          <w:szCs w:val="22"/>
          <w:highlight w:val="none"/>
        </w:rPr>
      </w:pPr>
      <w:r>
        <w:rPr>
          <w:rFonts w:hint="eastAsia" w:ascii="宋体" w:hAnsi="宋体"/>
          <w:color w:val="auto"/>
          <w:sz w:val="22"/>
          <w:szCs w:val="22"/>
          <w:highlight w:val="none"/>
          <w:u w:val="single"/>
        </w:rPr>
        <w:t>（投标人全称）</w:t>
      </w:r>
      <w:r>
        <w:rPr>
          <w:rFonts w:hint="eastAsia" w:ascii="宋体" w:hAnsi="宋体"/>
          <w:color w:val="auto"/>
          <w:sz w:val="22"/>
          <w:szCs w:val="22"/>
          <w:highlight w:val="none"/>
        </w:rPr>
        <w:t xml:space="preserve">法定代表人 </w:t>
      </w:r>
      <w:r>
        <w:rPr>
          <w:rFonts w:hint="eastAsia" w:ascii="宋体" w:hAnsi="宋体"/>
          <w:color w:val="auto"/>
          <w:sz w:val="22"/>
          <w:szCs w:val="22"/>
          <w:highlight w:val="none"/>
          <w:u w:val="single"/>
        </w:rPr>
        <w:t>（法定代表人姓名）</w:t>
      </w:r>
      <w:r>
        <w:rPr>
          <w:rFonts w:hint="eastAsia" w:ascii="宋体" w:hAnsi="宋体"/>
          <w:color w:val="auto"/>
          <w:sz w:val="22"/>
          <w:szCs w:val="22"/>
          <w:highlight w:val="none"/>
        </w:rPr>
        <w:t xml:space="preserve"> 授权</w:t>
      </w:r>
      <w:r>
        <w:rPr>
          <w:rFonts w:hint="eastAsia" w:ascii="宋体" w:hAnsi="宋体"/>
          <w:color w:val="auto"/>
          <w:sz w:val="22"/>
          <w:szCs w:val="22"/>
          <w:highlight w:val="none"/>
          <w:u w:val="single"/>
        </w:rPr>
        <w:t>（全权代表姓名）</w:t>
      </w:r>
      <w:r>
        <w:rPr>
          <w:rFonts w:hint="eastAsia" w:ascii="宋体" w:hAnsi="宋体"/>
          <w:color w:val="auto"/>
          <w:sz w:val="22"/>
          <w:szCs w:val="22"/>
          <w:highlight w:val="none"/>
        </w:rPr>
        <w:t>为本项目全权代表，参加贵处组织的</w:t>
      </w:r>
      <w:r>
        <w:rPr>
          <w:rFonts w:hint="eastAsia" w:ascii="宋体" w:hAnsi="宋体"/>
          <w:color w:val="auto"/>
          <w:sz w:val="22"/>
          <w:szCs w:val="22"/>
          <w:highlight w:val="none"/>
          <w:u w:val="single"/>
        </w:rPr>
        <w:t>（招标项目名称、招标编号）</w:t>
      </w:r>
      <w:r>
        <w:rPr>
          <w:rFonts w:hint="eastAsia" w:ascii="宋体" w:hAnsi="宋体"/>
          <w:color w:val="auto"/>
          <w:sz w:val="22"/>
          <w:szCs w:val="22"/>
          <w:highlight w:val="none"/>
        </w:rPr>
        <w:t>的招标活动，全权代表我方处理招标活动中的一切事宜。联系方式如下：</w:t>
      </w:r>
      <w:r>
        <w:rPr>
          <w:rFonts w:hint="eastAsia" w:ascii="宋体" w:hAnsi="宋体"/>
          <w:color w:val="auto"/>
          <w:sz w:val="22"/>
          <w:szCs w:val="22"/>
          <w:highlight w:val="none"/>
          <w:u w:val="single"/>
        </w:rPr>
        <w:t xml:space="preserve">手机号码：       联系邮箱:         详细通讯地址：             </w:t>
      </w:r>
      <w:r>
        <w:rPr>
          <w:rFonts w:hint="eastAsia" w:ascii="宋体" w:hAnsi="宋体"/>
          <w:color w:val="auto"/>
          <w:sz w:val="22"/>
          <w:szCs w:val="22"/>
          <w:highlight w:val="none"/>
        </w:rPr>
        <w:t xml:space="preserve"> 。  </w:t>
      </w:r>
    </w:p>
    <w:p w14:paraId="421EA40B">
      <w:pPr>
        <w:spacing w:line="460" w:lineRule="exact"/>
        <w:ind w:firstLine="220" w:firstLineChars="100"/>
        <w:rPr>
          <w:rFonts w:ascii="宋体" w:hAnsi="宋体"/>
          <w:color w:val="auto"/>
          <w:sz w:val="22"/>
          <w:szCs w:val="22"/>
          <w:highlight w:val="none"/>
        </w:rPr>
      </w:pPr>
    </w:p>
    <w:p w14:paraId="6421677C">
      <w:pPr>
        <w:spacing w:line="460" w:lineRule="exact"/>
        <w:ind w:firstLine="550" w:firstLineChars="250"/>
        <w:rPr>
          <w:rFonts w:ascii="宋体" w:hAnsi="宋体"/>
          <w:color w:val="auto"/>
          <w:sz w:val="22"/>
          <w:szCs w:val="22"/>
          <w:highlight w:val="none"/>
        </w:rPr>
      </w:pPr>
    </w:p>
    <w:p w14:paraId="2CB19644">
      <w:pPr>
        <w:spacing w:line="460" w:lineRule="exact"/>
        <w:ind w:firstLine="2955"/>
        <w:rPr>
          <w:rFonts w:ascii="宋体" w:hAnsi="宋体"/>
          <w:color w:val="auto"/>
          <w:sz w:val="22"/>
          <w:szCs w:val="22"/>
          <w:highlight w:val="none"/>
        </w:rPr>
      </w:pPr>
    </w:p>
    <w:p w14:paraId="59A43D5B">
      <w:pPr>
        <w:spacing w:line="460" w:lineRule="exact"/>
        <w:ind w:firstLine="3971" w:firstLineChars="1805"/>
        <w:rPr>
          <w:rFonts w:ascii="宋体" w:hAnsi="宋体"/>
          <w:color w:val="auto"/>
          <w:sz w:val="22"/>
          <w:szCs w:val="22"/>
          <w:highlight w:val="none"/>
        </w:rPr>
      </w:pPr>
      <w:r>
        <w:rPr>
          <w:rFonts w:hint="eastAsia" w:ascii="宋体" w:hAnsi="宋体"/>
          <w:color w:val="auto"/>
          <w:sz w:val="22"/>
          <w:szCs w:val="22"/>
          <w:highlight w:val="none"/>
        </w:rPr>
        <w:t>法定代表人 (签字或盖章)：</w:t>
      </w:r>
    </w:p>
    <w:p w14:paraId="5B269293">
      <w:pPr>
        <w:spacing w:line="460" w:lineRule="exact"/>
        <w:ind w:firstLine="2955"/>
        <w:rPr>
          <w:rFonts w:ascii="宋体" w:hAnsi="宋体"/>
          <w:color w:val="auto"/>
          <w:sz w:val="22"/>
          <w:szCs w:val="22"/>
          <w:highlight w:val="none"/>
        </w:rPr>
      </w:pPr>
      <w:r>
        <w:rPr>
          <w:rFonts w:hint="eastAsia" w:ascii="宋体" w:hAnsi="宋体"/>
          <w:color w:val="auto"/>
          <w:sz w:val="22"/>
          <w:szCs w:val="22"/>
          <w:highlight w:val="none"/>
        </w:rPr>
        <w:t xml:space="preserve">         投标人全称（公章）：</w:t>
      </w:r>
    </w:p>
    <w:p w14:paraId="70B46B43">
      <w:pPr>
        <w:spacing w:line="460" w:lineRule="exact"/>
        <w:ind w:firstLine="2955"/>
        <w:rPr>
          <w:rFonts w:ascii="宋体" w:hAnsi="宋体"/>
          <w:color w:val="auto"/>
          <w:sz w:val="22"/>
          <w:szCs w:val="22"/>
          <w:highlight w:val="none"/>
        </w:rPr>
      </w:pPr>
      <w:r>
        <w:rPr>
          <w:rFonts w:hint="eastAsia" w:ascii="宋体" w:hAnsi="宋体"/>
          <w:color w:val="auto"/>
          <w:sz w:val="22"/>
          <w:szCs w:val="22"/>
          <w:highlight w:val="none"/>
        </w:rPr>
        <w:t xml:space="preserve">         日期：     年    月   日</w:t>
      </w:r>
    </w:p>
    <w:p w14:paraId="66128DB3">
      <w:pPr>
        <w:spacing w:line="460" w:lineRule="exact"/>
        <w:rPr>
          <w:rFonts w:ascii="宋体" w:hAnsi="宋体"/>
          <w:color w:val="auto"/>
          <w:sz w:val="22"/>
          <w:szCs w:val="22"/>
          <w:highlight w:val="none"/>
        </w:rPr>
      </w:pPr>
    </w:p>
    <w:p w14:paraId="37B608EB">
      <w:pPr>
        <w:spacing w:line="460" w:lineRule="exact"/>
        <w:rPr>
          <w:rFonts w:ascii="宋体" w:hAnsi="宋体"/>
          <w:color w:val="auto"/>
          <w:sz w:val="22"/>
          <w:szCs w:val="22"/>
          <w:highlight w:val="none"/>
        </w:rPr>
      </w:pPr>
    </w:p>
    <w:p w14:paraId="351AE22E">
      <w:pPr>
        <w:spacing w:line="460" w:lineRule="exact"/>
        <w:rPr>
          <w:rFonts w:ascii="宋体" w:hAnsi="宋体"/>
          <w:color w:val="auto"/>
          <w:sz w:val="22"/>
          <w:szCs w:val="22"/>
          <w:highlight w:val="none"/>
        </w:rPr>
      </w:pPr>
      <w:r>
        <w:rPr>
          <w:rFonts w:hint="eastAsia" w:ascii="宋体" w:hAnsi="宋体"/>
          <w:b/>
          <w:color w:val="auto"/>
          <w:sz w:val="22"/>
          <w:szCs w:val="22"/>
          <w:highlight w:val="none"/>
        </w:rPr>
        <w:t>附：法定代表人及授权代表的</w:t>
      </w:r>
      <w:r>
        <w:rPr>
          <w:rFonts w:ascii="宋体" w:hAnsi="宋体" w:cs="Courier New"/>
          <w:b/>
          <w:color w:val="auto"/>
          <w:sz w:val="22"/>
          <w:szCs w:val="22"/>
          <w:highlight w:val="none"/>
        </w:rPr>
        <w:t>身份证</w:t>
      </w:r>
      <w:r>
        <w:rPr>
          <w:rFonts w:hint="eastAsia" w:ascii="宋体" w:hAnsi="宋体"/>
          <w:b/>
          <w:color w:val="auto"/>
          <w:sz w:val="22"/>
          <w:szCs w:val="22"/>
          <w:highlight w:val="none"/>
        </w:rPr>
        <w:t>正反面复印件</w:t>
      </w:r>
    </w:p>
    <w:p w14:paraId="1C0669BE">
      <w:pPr>
        <w:widowControl/>
        <w:jc w:val="left"/>
        <w:rPr>
          <w:rFonts w:ascii="宋体" w:hAnsi="宋体"/>
          <w:b/>
          <w:bCs/>
          <w:color w:val="auto"/>
          <w:highlight w:val="none"/>
        </w:rPr>
      </w:pPr>
    </w:p>
    <w:p w14:paraId="3B53DB83">
      <w:pPr>
        <w:widowControl/>
        <w:jc w:val="left"/>
        <w:rPr>
          <w:rFonts w:ascii="宋体" w:hAnsi="宋体"/>
          <w:b/>
          <w:bCs/>
          <w:color w:val="auto"/>
          <w:highlight w:val="none"/>
        </w:rPr>
      </w:pPr>
    </w:p>
    <w:p w14:paraId="614EC1BA">
      <w:pPr>
        <w:widowControl/>
        <w:jc w:val="left"/>
        <w:rPr>
          <w:rFonts w:ascii="宋体" w:hAnsi="宋体"/>
          <w:b/>
          <w:bCs/>
          <w:color w:val="auto"/>
          <w:highlight w:val="none"/>
        </w:rPr>
      </w:pPr>
    </w:p>
    <w:p w14:paraId="4AC0FBC1">
      <w:pPr>
        <w:widowControl/>
        <w:jc w:val="left"/>
        <w:rPr>
          <w:rFonts w:ascii="宋体" w:hAnsi="宋体"/>
          <w:b/>
          <w:bCs/>
          <w:color w:val="auto"/>
          <w:highlight w:val="none"/>
        </w:rPr>
      </w:pPr>
    </w:p>
    <w:p w14:paraId="382072BF">
      <w:pPr>
        <w:widowControl/>
        <w:jc w:val="left"/>
        <w:rPr>
          <w:rFonts w:ascii="宋体" w:hAnsi="宋体"/>
          <w:b/>
          <w:bCs/>
          <w:color w:val="auto"/>
          <w:highlight w:val="none"/>
        </w:rPr>
      </w:pPr>
    </w:p>
    <w:p w14:paraId="186C2185">
      <w:pPr>
        <w:widowControl/>
        <w:jc w:val="left"/>
        <w:rPr>
          <w:rFonts w:ascii="宋体" w:hAnsi="宋体"/>
          <w:b/>
          <w:bCs/>
          <w:color w:val="auto"/>
          <w:highlight w:val="none"/>
        </w:rPr>
      </w:pPr>
    </w:p>
    <w:p w14:paraId="31AD99E3">
      <w:pPr>
        <w:widowControl/>
        <w:jc w:val="left"/>
        <w:rPr>
          <w:rFonts w:ascii="宋体" w:hAnsi="宋体"/>
          <w:b/>
          <w:bCs/>
          <w:color w:val="auto"/>
          <w:highlight w:val="none"/>
        </w:rPr>
      </w:pPr>
    </w:p>
    <w:p w14:paraId="52D9D201">
      <w:pPr>
        <w:widowControl/>
        <w:jc w:val="left"/>
        <w:rPr>
          <w:rFonts w:ascii="宋体" w:hAnsi="宋体"/>
          <w:b/>
          <w:bCs/>
          <w:color w:val="auto"/>
          <w:highlight w:val="none"/>
        </w:rPr>
      </w:pPr>
    </w:p>
    <w:p w14:paraId="24F4DFC7">
      <w:pPr>
        <w:spacing w:line="460" w:lineRule="exact"/>
        <w:rPr>
          <w:rFonts w:ascii="宋体" w:hAnsi="宋体"/>
          <w:color w:val="auto"/>
          <w:sz w:val="22"/>
          <w:szCs w:val="22"/>
          <w:highlight w:val="none"/>
        </w:rPr>
      </w:pPr>
      <w:r>
        <w:rPr>
          <w:rFonts w:hint="eastAsia" w:ascii="宋体" w:hAnsi="宋体"/>
          <w:color w:val="auto"/>
          <w:sz w:val="22"/>
          <w:szCs w:val="22"/>
          <w:highlight w:val="none"/>
        </w:rPr>
        <w:t>说明：</w:t>
      </w:r>
    </w:p>
    <w:p w14:paraId="01F8DE0C">
      <w:pPr>
        <w:spacing w:line="460" w:lineRule="exact"/>
        <w:rPr>
          <w:rFonts w:ascii="宋体" w:hAnsi="宋体"/>
          <w:color w:val="auto"/>
          <w:sz w:val="22"/>
          <w:szCs w:val="22"/>
          <w:highlight w:val="none"/>
        </w:rPr>
      </w:pPr>
      <w:r>
        <w:rPr>
          <w:rFonts w:hint="eastAsia" w:ascii="宋体" w:hAnsi="宋体" w:cs="Courier New"/>
          <w:b/>
          <w:color w:val="auto"/>
          <w:sz w:val="22"/>
          <w:szCs w:val="22"/>
          <w:highlight w:val="none"/>
        </w:rPr>
        <w:t>1、</w:t>
      </w:r>
      <w:r>
        <w:rPr>
          <w:rFonts w:ascii="宋体" w:hAnsi="宋体" w:cs="Courier New"/>
          <w:b/>
          <w:color w:val="auto"/>
          <w:sz w:val="22"/>
          <w:szCs w:val="22"/>
          <w:highlight w:val="none"/>
        </w:rPr>
        <w:t>若投标人代表为</w:t>
      </w:r>
      <w:r>
        <w:rPr>
          <w:rFonts w:hint="eastAsia" w:ascii="宋体" w:hAnsi="宋体"/>
          <w:b/>
          <w:color w:val="auto"/>
          <w:sz w:val="22"/>
          <w:szCs w:val="22"/>
          <w:highlight w:val="none"/>
        </w:rPr>
        <w:t>法定代表人</w:t>
      </w:r>
      <w:r>
        <w:rPr>
          <w:rFonts w:ascii="宋体" w:hAnsi="宋体" w:cs="Courier New"/>
          <w:b/>
          <w:color w:val="auto"/>
          <w:sz w:val="22"/>
          <w:szCs w:val="22"/>
          <w:highlight w:val="none"/>
        </w:rPr>
        <w:t>，应提供</w:t>
      </w:r>
      <w:r>
        <w:rPr>
          <w:rFonts w:hint="eastAsia" w:ascii="宋体" w:hAnsi="宋体" w:cs="Courier New"/>
          <w:b/>
          <w:color w:val="auto"/>
          <w:sz w:val="22"/>
          <w:szCs w:val="22"/>
          <w:highlight w:val="none"/>
        </w:rPr>
        <w:t>声明</w:t>
      </w:r>
      <w:r>
        <w:rPr>
          <w:rFonts w:ascii="宋体" w:hAnsi="宋体" w:cs="Courier New"/>
          <w:b/>
          <w:color w:val="auto"/>
          <w:sz w:val="22"/>
          <w:szCs w:val="22"/>
          <w:highlight w:val="none"/>
        </w:rPr>
        <w:t>书（1-1）</w:t>
      </w:r>
      <w:r>
        <w:rPr>
          <w:rFonts w:hint="eastAsia" w:ascii="宋体" w:hAnsi="宋体" w:cs="Courier New"/>
          <w:b/>
          <w:color w:val="auto"/>
          <w:sz w:val="22"/>
          <w:szCs w:val="22"/>
          <w:highlight w:val="none"/>
        </w:rPr>
        <w:t>并提</w:t>
      </w:r>
      <w:r>
        <w:rPr>
          <w:rFonts w:ascii="宋体" w:hAnsi="宋体" w:cs="Courier New"/>
          <w:b/>
          <w:color w:val="auto"/>
          <w:sz w:val="22"/>
          <w:szCs w:val="22"/>
          <w:highlight w:val="none"/>
        </w:rPr>
        <w:t>交</w:t>
      </w:r>
      <w:r>
        <w:rPr>
          <w:rFonts w:hint="eastAsia" w:ascii="宋体" w:hAnsi="宋体"/>
          <w:b/>
          <w:color w:val="auto"/>
          <w:sz w:val="22"/>
          <w:szCs w:val="22"/>
          <w:highlight w:val="none"/>
        </w:rPr>
        <w:t>法定代表人</w:t>
      </w:r>
      <w:r>
        <w:rPr>
          <w:rFonts w:ascii="宋体" w:hAnsi="宋体" w:cs="Courier New"/>
          <w:b/>
          <w:color w:val="auto"/>
          <w:sz w:val="22"/>
          <w:szCs w:val="22"/>
          <w:highlight w:val="none"/>
        </w:rPr>
        <w:t>身份证正反面复印件</w:t>
      </w:r>
      <w:r>
        <w:rPr>
          <w:rFonts w:hint="eastAsia" w:ascii="宋体" w:hAnsi="宋体"/>
          <w:b/>
          <w:color w:val="auto"/>
          <w:sz w:val="22"/>
          <w:szCs w:val="22"/>
          <w:highlight w:val="none"/>
        </w:rPr>
        <w:t>；</w:t>
      </w:r>
    </w:p>
    <w:p w14:paraId="22F49BF3">
      <w:pPr>
        <w:spacing w:line="460" w:lineRule="exact"/>
        <w:rPr>
          <w:rFonts w:ascii="宋体" w:hAnsi="宋体"/>
          <w:color w:val="auto"/>
          <w:sz w:val="22"/>
          <w:szCs w:val="22"/>
          <w:highlight w:val="none"/>
        </w:rPr>
      </w:pPr>
      <w:r>
        <w:rPr>
          <w:rFonts w:ascii="宋体" w:hAnsi="宋体" w:cs="Courier New"/>
          <w:b/>
          <w:color w:val="auto"/>
          <w:sz w:val="22"/>
          <w:szCs w:val="22"/>
          <w:highlight w:val="none"/>
        </w:rPr>
        <w:t>2</w:t>
      </w:r>
      <w:r>
        <w:rPr>
          <w:rFonts w:hint="eastAsia" w:ascii="宋体" w:hAnsi="宋体" w:cs="Courier New"/>
          <w:b/>
          <w:color w:val="auto"/>
          <w:sz w:val="22"/>
          <w:szCs w:val="22"/>
          <w:highlight w:val="none"/>
        </w:rPr>
        <w:t>、</w:t>
      </w:r>
      <w:r>
        <w:rPr>
          <w:rFonts w:ascii="宋体" w:hAnsi="宋体" w:cs="Courier New"/>
          <w:b/>
          <w:color w:val="auto"/>
          <w:sz w:val="22"/>
          <w:szCs w:val="22"/>
          <w:highlight w:val="none"/>
        </w:rPr>
        <w:t>若投标人代表为</w:t>
      </w:r>
      <w:r>
        <w:rPr>
          <w:rFonts w:hint="eastAsia" w:ascii="宋体" w:hAnsi="宋体"/>
          <w:b/>
          <w:color w:val="auto"/>
          <w:sz w:val="22"/>
          <w:szCs w:val="22"/>
          <w:highlight w:val="none"/>
        </w:rPr>
        <w:t>法定代表人</w:t>
      </w:r>
      <w:r>
        <w:rPr>
          <w:rFonts w:ascii="宋体" w:hAnsi="宋体" w:cs="Courier New"/>
          <w:b/>
          <w:color w:val="auto"/>
          <w:sz w:val="22"/>
          <w:szCs w:val="22"/>
          <w:highlight w:val="none"/>
        </w:rPr>
        <w:t>授权的委托代理人，应提供授权书（1-2）</w:t>
      </w:r>
      <w:r>
        <w:rPr>
          <w:rFonts w:hint="eastAsia" w:ascii="宋体" w:hAnsi="宋体" w:cs="Courier New"/>
          <w:b/>
          <w:color w:val="auto"/>
          <w:sz w:val="22"/>
          <w:szCs w:val="22"/>
          <w:highlight w:val="none"/>
        </w:rPr>
        <w:t>，并附</w:t>
      </w:r>
      <w:r>
        <w:rPr>
          <w:rFonts w:hint="eastAsia" w:ascii="宋体" w:hAnsi="宋体"/>
          <w:b/>
          <w:color w:val="auto"/>
          <w:sz w:val="22"/>
          <w:szCs w:val="22"/>
          <w:highlight w:val="none"/>
        </w:rPr>
        <w:t>法定代表人及授权代表的</w:t>
      </w:r>
      <w:r>
        <w:rPr>
          <w:rFonts w:ascii="宋体" w:hAnsi="宋体" w:cs="Courier New"/>
          <w:b/>
          <w:color w:val="auto"/>
          <w:sz w:val="22"/>
          <w:szCs w:val="22"/>
          <w:highlight w:val="none"/>
        </w:rPr>
        <w:t>身份证</w:t>
      </w:r>
      <w:r>
        <w:rPr>
          <w:rFonts w:hint="eastAsia" w:ascii="宋体" w:hAnsi="宋体"/>
          <w:b/>
          <w:color w:val="auto"/>
          <w:sz w:val="22"/>
          <w:szCs w:val="22"/>
          <w:highlight w:val="none"/>
        </w:rPr>
        <w:t>正反面复印件</w:t>
      </w:r>
      <w:r>
        <w:rPr>
          <w:rFonts w:hint="eastAsia" w:ascii="宋体" w:hAnsi="宋体" w:cs="Courier New"/>
          <w:b/>
          <w:color w:val="auto"/>
          <w:sz w:val="22"/>
          <w:szCs w:val="22"/>
          <w:highlight w:val="none"/>
        </w:rPr>
        <w:t>。</w:t>
      </w:r>
    </w:p>
    <w:p w14:paraId="59D23724">
      <w:pPr>
        <w:spacing w:line="460" w:lineRule="exact"/>
        <w:rPr>
          <w:rFonts w:ascii="宋体" w:hAnsi="宋体"/>
          <w:color w:val="auto"/>
          <w:sz w:val="22"/>
          <w:szCs w:val="22"/>
          <w:highlight w:val="none"/>
        </w:rPr>
      </w:pPr>
    </w:p>
    <w:p w14:paraId="1AE9D0B0">
      <w:pPr>
        <w:spacing w:line="380" w:lineRule="exact"/>
        <w:jc w:val="center"/>
        <w:rPr>
          <w:rFonts w:ascii="宋体" w:hAnsi="宋体"/>
          <w:b/>
          <w:bCs/>
          <w:color w:val="auto"/>
          <w:sz w:val="32"/>
          <w:highlight w:val="none"/>
        </w:rPr>
      </w:pPr>
      <w:r>
        <w:rPr>
          <w:rFonts w:hint="eastAsia" w:ascii="宋体" w:hAnsi="宋体"/>
          <w:b/>
          <w:bCs/>
          <w:color w:val="auto"/>
          <w:sz w:val="32"/>
          <w:highlight w:val="none"/>
        </w:rPr>
        <w:br w:type="page"/>
      </w:r>
    </w:p>
    <w:p w14:paraId="5BFA1124">
      <w:pPr>
        <w:spacing w:line="380" w:lineRule="exact"/>
        <w:jc w:val="center"/>
        <w:rPr>
          <w:rFonts w:ascii="宋体" w:hAnsi="宋体"/>
          <w:b/>
          <w:bCs/>
          <w:color w:val="auto"/>
          <w:sz w:val="32"/>
          <w:highlight w:val="none"/>
        </w:rPr>
      </w:pPr>
    </w:p>
    <w:p w14:paraId="65F924A7">
      <w:pPr>
        <w:widowControl/>
        <w:adjustRightInd w:val="0"/>
        <w:snapToGrid w:val="0"/>
        <w:spacing w:line="360" w:lineRule="auto"/>
        <w:jc w:val="center"/>
        <w:rPr>
          <w:rFonts w:ascii="宋体" w:hAnsi="宋体"/>
          <w:b/>
          <w:color w:val="auto"/>
          <w:sz w:val="22"/>
          <w:szCs w:val="22"/>
          <w:highlight w:val="none"/>
        </w:rPr>
      </w:pPr>
      <w:r>
        <w:rPr>
          <w:rFonts w:hint="eastAsia" w:ascii="宋体" w:hAnsi="宋体"/>
          <w:b/>
          <w:color w:val="auto"/>
          <w:sz w:val="22"/>
          <w:szCs w:val="22"/>
          <w:highlight w:val="none"/>
        </w:rPr>
        <w:t>（</w:t>
      </w:r>
      <w:r>
        <w:rPr>
          <w:rFonts w:ascii="宋体" w:hAnsi="宋体"/>
          <w:b/>
          <w:color w:val="auto"/>
          <w:sz w:val="22"/>
          <w:szCs w:val="22"/>
          <w:highlight w:val="none"/>
        </w:rPr>
        <w:t>2</w:t>
      </w:r>
      <w:r>
        <w:rPr>
          <w:rFonts w:hint="eastAsia" w:ascii="宋体" w:hAnsi="宋体"/>
          <w:b/>
          <w:color w:val="auto"/>
          <w:sz w:val="22"/>
          <w:szCs w:val="22"/>
          <w:highlight w:val="none"/>
        </w:rPr>
        <w:t>）投标人参与政府采购活动投标资格声明函</w:t>
      </w:r>
    </w:p>
    <w:p w14:paraId="0B4402D1">
      <w:pPr>
        <w:widowControl/>
        <w:adjustRightInd w:val="0"/>
        <w:snapToGrid w:val="0"/>
        <w:spacing w:line="360" w:lineRule="auto"/>
        <w:jc w:val="left"/>
        <w:rPr>
          <w:rFonts w:ascii="宋体" w:hAnsi="宋体" w:cs="新宋体"/>
          <w:color w:val="auto"/>
          <w:kern w:val="0"/>
          <w:sz w:val="22"/>
          <w:szCs w:val="22"/>
          <w:highlight w:val="none"/>
        </w:rPr>
      </w:pPr>
    </w:p>
    <w:p w14:paraId="728604D4">
      <w:pPr>
        <w:widowControl/>
        <w:adjustRightInd w:val="0"/>
        <w:snapToGrid w:val="0"/>
        <w:spacing w:line="360" w:lineRule="auto"/>
        <w:jc w:val="left"/>
        <w:rPr>
          <w:rFonts w:ascii="宋体" w:hAnsi="宋体" w:cs="宋体"/>
          <w:color w:val="auto"/>
          <w:kern w:val="0"/>
          <w:sz w:val="22"/>
          <w:szCs w:val="22"/>
          <w:highlight w:val="none"/>
        </w:rPr>
      </w:pPr>
      <w:r>
        <w:rPr>
          <w:rFonts w:hint="eastAsia" w:ascii="宋体" w:hAnsi="宋体"/>
          <w:color w:val="auto"/>
          <w:sz w:val="22"/>
          <w:szCs w:val="22"/>
          <w:highlight w:val="none"/>
        </w:rPr>
        <w:t>温州市交通运输局</w:t>
      </w:r>
      <w:r>
        <w:rPr>
          <w:rFonts w:hint="eastAsia" w:ascii="宋体" w:hAnsi="宋体" w:cs="宋体"/>
          <w:color w:val="auto"/>
          <w:kern w:val="0"/>
          <w:sz w:val="22"/>
          <w:szCs w:val="22"/>
          <w:highlight w:val="none"/>
        </w:rPr>
        <w:t>：</w:t>
      </w:r>
    </w:p>
    <w:p w14:paraId="09DC5672">
      <w:pPr>
        <w:widowControl/>
        <w:adjustRightInd w:val="0"/>
        <w:snapToGrid w:val="0"/>
        <w:spacing w:line="360" w:lineRule="auto"/>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lang w:eastAsia="zh-CN"/>
        </w:rPr>
        <w:t>浙江欣力工程管理有限公司</w:t>
      </w:r>
      <w:r>
        <w:rPr>
          <w:rFonts w:hint="eastAsia" w:ascii="宋体" w:hAnsi="宋体" w:cs="宋体"/>
          <w:color w:val="auto"/>
          <w:kern w:val="0"/>
          <w:sz w:val="22"/>
          <w:szCs w:val="22"/>
          <w:highlight w:val="none"/>
        </w:rPr>
        <w:t>：</w:t>
      </w:r>
    </w:p>
    <w:p w14:paraId="1B698C70">
      <w:pPr>
        <w:widowControl/>
        <w:adjustRightInd w:val="0"/>
        <w:snapToGrid w:val="0"/>
        <w:spacing w:line="360" w:lineRule="auto"/>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我单位参与</w:t>
      </w:r>
      <w:r>
        <w:rPr>
          <w:rFonts w:hint="eastAsia" w:ascii="宋体" w:hAnsi="宋体"/>
          <w:color w:val="auto"/>
          <w:sz w:val="22"/>
          <w:szCs w:val="22"/>
          <w:highlight w:val="none"/>
          <w:u w:val="single"/>
        </w:rPr>
        <w:t xml:space="preserve">（项目名称） </w:t>
      </w:r>
      <w:r>
        <w:rPr>
          <w:rFonts w:hint="eastAsia" w:ascii="宋体" w:hAnsi="宋体" w:cs="宋体"/>
          <w:color w:val="auto"/>
          <w:kern w:val="0"/>
          <w:sz w:val="22"/>
          <w:szCs w:val="22"/>
          <w:highlight w:val="none"/>
        </w:rPr>
        <w:t>项目的采购活动，现声明如下：</w:t>
      </w:r>
    </w:p>
    <w:p w14:paraId="5BB3DE00">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1、我单位具有独立承担民事责任的能力。</w:t>
      </w:r>
    </w:p>
    <w:p w14:paraId="484EA20F">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2、我单位具有良好的商业信誉和健全的财务会计制度。</w:t>
      </w:r>
    </w:p>
    <w:p w14:paraId="2E621C73">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3、我单位具有依法缴纳税收和社会保障资金的良好记录。</w:t>
      </w:r>
    </w:p>
    <w:p w14:paraId="1047AA85">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4、我单位具有履行本项目政府采购合同所必需的设备和专业技术能力。</w:t>
      </w:r>
    </w:p>
    <w:p w14:paraId="2D84CC00">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5、我单位未被列入失信被执行人名单、重大税收违法案件当事人名单、政府采购严重违法失信行为记录名单，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689A9029">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6、我单位未与单位负责人为同一人或者存在直接控股、管理关系的其他投标人，一起参加本项目的政府采购活动。</w:t>
      </w:r>
    </w:p>
    <w:p w14:paraId="47E296F3">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7、我单位符合本项目特定资格条件： 的要求，并在谈判响应文件中提供了相应的证明材料（采购文件没有要求特定资格条件的，本条款空格处可以空白）</w:t>
      </w:r>
    </w:p>
    <w:p w14:paraId="7E8C6A88">
      <w:pPr>
        <w:widowControl/>
        <w:adjustRightInd w:val="0"/>
        <w:snapToGrid w:val="0"/>
        <w:spacing w:line="360" w:lineRule="auto"/>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以上事项如有虚假，采购人可取消我方任何资格（投标/中标/签订合同），我方对此无任何异议。</w:t>
      </w:r>
    </w:p>
    <w:p w14:paraId="522228E7">
      <w:pPr>
        <w:widowControl/>
        <w:adjustRightInd w:val="0"/>
        <w:snapToGrid w:val="0"/>
        <w:spacing w:line="360" w:lineRule="auto"/>
        <w:ind w:firstLine="440" w:firstLineChars="200"/>
        <w:jc w:val="left"/>
        <w:rPr>
          <w:rFonts w:ascii="宋体" w:hAnsi="宋体" w:cs="宋体"/>
          <w:color w:val="auto"/>
          <w:kern w:val="0"/>
          <w:sz w:val="22"/>
          <w:szCs w:val="22"/>
          <w:highlight w:val="none"/>
        </w:rPr>
      </w:pPr>
    </w:p>
    <w:p w14:paraId="220360B5">
      <w:pPr>
        <w:widowControl/>
        <w:adjustRightInd w:val="0"/>
        <w:snapToGrid w:val="0"/>
        <w:spacing w:line="360" w:lineRule="auto"/>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特此承诺！</w:t>
      </w:r>
    </w:p>
    <w:p w14:paraId="62A149DF">
      <w:pPr>
        <w:widowControl/>
        <w:adjustRightInd w:val="0"/>
        <w:snapToGrid w:val="0"/>
        <w:spacing w:line="360" w:lineRule="auto"/>
        <w:ind w:firstLine="440" w:firstLineChars="200"/>
        <w:jc w:val="left"/>
        <w:rPr>
          <w:rFonts w:ascii="宋体" w:hAnsi="宋体" w:cs="新宋体"/>
          <w:color w:val="auto"/>
          <w:kern w:val="0"/>
          <w:sz w:val="22"/>
          <w:szCs w:val="22"/>
          <w:highlight w:val="none"/>
        </w:rPr>
      </w:pPr>
    </w:p>
    <w:p w14:paraId="19751405">
      <w:pPr>
        <w:pStyle w:val="25"/>
        <w:rPr>
          <w:color w:val="auto"/>
          <w:highlight w:val="none"/>
        </w:rPr>
      </w:pPr>
    </w:p>
    <w:p w14:paraId="039B4057">
      <w:pPr>
        <w:widowControl/>
        <w:adjustRightInd w:val="0"/>
        <w:snapToGrid w:val="0"/>
        <w:spacing w:line="440" w:lineRule="exact"/>
        <w:ind w:firstLine="440" w:firstLineChars="200"/>
        <w:jc w:val="left"/>
        <w:rPr>
          <w:rFonts w:ascii="宋体" w:cs="Arial"/>
          <w:color w:val="auto"/>
          <w:kern w:val="0"/>
          <w:sz w:val="22"/>
          <w:szCs w:val="22"/>
          <w:highlight w:val="none"/>
        </w:rPr>
      </w:pPr>
      <w:r>
        <w:rPr>
          <w:rFonts w:hint="eastAsia" w:ascii="宋体" w:hAnsi="宋体" w:cs="Arial"/>
          <w:color w:val="auto"/>
          <w:kern w:val="0"/>
          <w:sz w:val="22"/>
          <w:szCs w:val="22"/>
          <w:highlight w:val="none"/>
        </w:rPr>
        <w:t>投标人名称（盖章）：</w:t>
      </w:r>
    </w:p>
    <w:p w14:paraId="6DE68B8D">
      <w:pPr>
        <w:widowControl/>
        <w:adjustRightInd w:val="0"/>
        <w:snapToGrid w:val="0"/>
        <w:spacing w:line="440" w:lineRule="exact"/>
        <w:ind w:firstLine="440" w:firstLineChars="200"/>
        <w:jc w:val="left"/>
        <w:rPr>
          <w:rFonts w:ascii="宋体" w:cs="Arial"/>
          <w:color w:val="auto"/>
          <w:kern w:val="0"/>
          <w:sz w:val="22"/>
          <w:szCs w:val="22"/>
          <w:highlight w:val="none"/>
        </w:rPr>
      </w:pPr>
      <w:r>
        <w:rPr>
          <w:rFonts w:hint="eastAsia" w:ascii="宋体" w:hAnsi="宋体" w:cs="Arial"/>
          <w:color w:val="auto"/>
          <w:kern w:val="0"/>
          <w:sz w:val="22"/>
          <w:szCs w:val="22"/>
          <w:highlight w:val="none"/>
        </w:rPr>
        <w:t>法定代表人（负责人）或其授权代表（签字或盖章）：</w:t>
      </w:r>
    </w:p>
    <w:p w14:paraId="13FC84CB">
      <w:pPr>
        <w:widowControl/>
        <w:adjustRightInd w:val="0"/>
        <w:snapToGrid w:val="0"/>
        <w:spacing w:line="440" w:lineRule="exact"/>
        <w:ind w:firstLine="440" w:firstLineChars="200"/>
        <w:jc w:val="left"/>
        <w:rPr>
          <w:rFonts w:ascii="宋体" w:cs="Arial"/>
          <w:color w:val="auto"/>
          <w:kern w:val="0"/>
          <w:sz w:val="22"/>
          <w:szCs w:val="22"/>
          <w:highlight w:val="none"/>
        </w:rPr>
      </w:pPr>
      <w:r>
        <w:rPr>
          <w:rFonts w:hint="eastAsia" w:ascii="宋体" w:hAnsi="宋体" w:cs="Arial"/>
          <w:color w:val="auto"/>
          <w:kern w:val="0"/>
          <w:sz w:val="22"/>
          <w:szCs w:val="22"/>
          <w:highlight w:val="none"/>
        </w:rPr>
        <w:t>日期：年月日</w:t>
      </w:r>
    </w:p>
    <w:p w14:paraId="3983043F">
      <w:pPr>
        <w:pStyle w:val="25"/>
        <w:rPr>
          <w:color w:val="auto"/>
          <w:highlight w:val="none"/>
        </w:rPr>
      </w:pPr>
    </w:p>
    <w:p w14:paraId="6AED85C5">
      <w:pPr>
        <w:widowControl/>
        <w:adjustRightInd w:val="0"/>
        <w:snapToGrid w:val="0"/>
        <w:spacing w:line="360" w:lineRule="auto"/>
        <w:jc w:val="left"/>
        <w:rPr>
          <w:rFonts w:ascii="宋体" w:hAnsi="宋体"/>
          <w:color w:val="auto"/>
          <w:sz w:val="22"/>
          <w:szCs w:val="22"/>
          <w:highlight w:val="none"/>
        </w:rPr>
      </w:pPr>
      <w:r>
        <w:rPr>
          <w:rFonts w:ascii="宋体" w:hAnsi="宋体" w:cs="新宋体"/>
          <w:color w:val="auto"/>
          <w:kern w:val="0"/>
          <w:sz w:val="22"/>
          <w:szCs w:val="22"/>
          <w:highlight w:val="none"/>
        </w:rPr>
        <w:br w:type="page"/>
      </w:r>
    </w:p>
    <w:p w14:paraId="4985CBF8">
      <w:pPr>
        <w:pStyle w:val="34"/>
        <w:snapToGrid w:val="0"/>
        <w:spacing w:line="324" w:lineRule="auto"/>
        <w:jc w:val="center"/>
        <w:rPr>
          <w:rFonts w:hAnsi="宋体"/>
          <w:b/>
          <w:bCs/>
          <w:color w:val="auto"/>
          <w:sz w:val="22"/>
          <w:szCs w:val="22"/>
          <w:highlight w:val="none"/>
        </w:rPr>
      </w:pPr>
      <w:r>
        <w:rPr>
          <w:rFonts w:hint="eastAsia" w:hAnsi="宋体"/>
          <w:b/>
          <w:bCs/>
          <w:color w:val="auto"/>
          <w:sz w:val="22"/>
          <w:szCs w:val="22"/>
          <w:highlight w:val="none"/>
        </w:rPr>
        <w:t>（3）诚信投标承诺书</w:t>
      </w:r>
    </w:p>
    <w:p w14:paraId="671F2182">
      <w:pPr>
        <w:ind w:right="-153" w:rightChars="-73"/>
        <w:jc w:val="center"/>
        <w:rPr>
          <w:rFonts w:ascii="宋体" w:hAnsi="宋体"/>
          <w:color w:val="auto"/>
          <w:sz w:val="22"/>
          <w:szCs w:val="22"/>
          <w:highlight w:val="none"/>
        </w:rPr>
      </w:pPr>
    </w:p>
    <w:p w14:paraId="5606B66C">
      <w:pPr>
        <w:spacing w:line="520" w:lineRule="exact"/>
        <w:ind w:right="-153" w:rightChars="-73"/>
        <w:rPr>
          <w:rFonts w:ascii="宋体" w:hAnsi="宋体"/>
          <w:color w:val="auto"/>
          <w:sz w:val="22"/>
          <w:szCs w:val="22"/>
          <w:highlight w:val="none"/>
        </w:rPr>
      </w:pPr>
      <w:r>
        <w:rPr>
          <w:rFonts w:hint="eastAsia" w:ascii="宋体" w:hAnsi="宋体"/>
          <w:color w:val="auto"/>
          <w:sz w:val="22"/>
          <w:szCs w:val="22"/>
          <w:highlight w:val="none"/>
        </w:rPr>
        <w:t>本企业郑重承诺：</w:t>
      </w:r>
    </w:p>
    <w:p w14:paraId="5CD8FC74">
      <w:pPr>
        <w:spacing w:line="50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为了积极配合贵公司组织的</w:t>
      </w:r>
      <w:r>
        <w:rPr>
          <w:rFonts w:hint="eastAsia" w:ascii="宋体" w:hAnsi="宋体"/>
          <w:color w:val="auto"/>
          <w:sz w:val="22"/>
          <w:szCs w:val="22"/>
          <w:highlight w:val="none"/>
          <w:u w:val="single"/>
        </w:rPr>
        <w:t xml:space="preserve"> （项目名称） </w:t>
      </w:r>
      <w:r>
        <w:rPr>
          <w:rFonts w:hint="eastAsia" w:ascii="宋体" w:hAnsi="宋体"/>
          <w:color w:val="auto"/>
          <w:sz w:val="22"/>
          <w:szCs w:val="22"/>
          <w:highlight w:val="none"/>
        </w:rPr>
        <w:t>招标工作，有效遏制不公平竞争和违规违纪问题的发生，确保招标工作的公平、公正、公开，我们保证认真贯彻</w:t>
      </w:r>
      <w:r>
        <w:rPr>
          <w:rFonts w:hint="eastAsia" w:ascii="宋体" w:hAnsi="宋体" w:cs="Century Gothic"/>
          <w:color w:val="auto"/>
          <w:sz w:val="22"/>
          <w:szCs w:val="22"/>
          <w:highlight w:val="none"/>
        </w:rPr>
        <w:t>《中华人民共和国政府采购法》、《中华人民共和国政府采购法实施条例》、《政府采购货物和服务招标投标管理办法》和《关于进一步规范政府采购活动的若干意见》等法律及有关法规</w:t>
      </w:r>
      <w:r>
        <w:rPr>
          <w:rFonts w:hint="eastAsia" w:ascii="宋体" w:hAnsi="宋体"/>
          <w:color w:val="auto"/>
          <w:sz w:val="22"/>
          <w:szCs w:val="22"/>
          <w:highlight w:val="none"/>
        </w:rPr>
        <w:t>相关规定以及有关廉洁要求，特承诺如下事项：</w:t>
      </w:r>
    </w:p>
    <w:p w14:paraId="4886601B">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自觉遵守国家法律法规及有关廉政建设制度。</w:t>
      </w:r>
    </w:p>
    <w:p w14:paraId="00AE6397">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主动了解采购人招投标纪律，积极配合采购人执行招投标廉政建设的有关规定。</w:t>
      </w:r>
    </w:p>
    <w:p w14:paraId="3861D62B">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不使用不正当手段妨碍、排挤其它投标人或串通投标。</w:t>
      </w:r>
    </w:p>
    <w:p w14:paraId="135BCA10">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按照本招标文件规定的方式进行投标，不隐瞒本单位投标资质的真实情况，投标资质符合规定。</w:t>
      </w:r>
    </w:p>
    <w:p w14:paraId="1D72ABA7">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不以任何方式向采购人员赠送礼品、礼金及有价证券；不宴请或邀请采购人的任何人参加高档娱乐消费、旅游、考察、参观等活动；不以任何形式报销采购人的任何人以及亲友的各种票据及费用；不进行可能影响招投标公平、公正的任何活动。</w:t>
      </w:r>
    </w:p>
    <w:p w14:paraId="166F37D6">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不向采购人及个人购置或提供通讯工具、交通工具和高档办公用品等。</w:t>
      </w:r>
    </w:p>
    <w:p w14:paraId="09EB76A3">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不向采购人涉及招标的人员的配偶、子女分包此次招标项目。</w:t>
      </w:r>
    </w:p>
    <w:p w14:paraId="42EB16A8">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不向采购人及个人支付好处费、介绍费。</w:t>
      </w:r>
    </w:p>
    <w:p w14:paraId="5339DB10">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一旦发现相关人员在招标过程中的索要财物等不廉洁行为，坚决予以抵制，并及时向有关纪检监察部门举报。</w:t>
      </w:r>
    </w:p>
    <w:p w14:paraId="4425A35E">
      <w:pPr>
        <w:numPr>
          <w:ilvl w:val="0"/>
          <w:numId w:val="50"/>
        </w:numPr>
        <w:snapToGrid w:val="0"/>
        <w:spacing w:line="500" w:lineRule="exact"/>
        <w:ind w:left="0" w:firstLine="385"/>
        <w:rPr>
          <w:rFonts w:ascii="宋体" w:hAnsi="宋体"/>
          <w:color w:val="auto"/>
          <w:sz w:val="22"/>
          <w:szCs w:val="22"/>
          <w:highlight w:val="none"/>
        </w:rPr>
      </w:pPr>
      <w:r>
        <w:rPr>
          <w:rFonts w:hint="eastAsia" w:ascii="宋体" w:hAnsi="宋体"/>
          <w:color w:val="auto"/>
          <w:sz w:val="22"/>
          <w:szCs w:val="22"/>
          <w:highlight w:val="none"/>
        </w:rPr>
        <w:t>我们若违反上述承诺，愿接受取消投标人资格及其他任何形式的处理。</w:t>
      </w:r>
    </w:p>
    <w:p w14:paraId="707085CC">
      <w:pPr>
        <w:snapToGrid w:val="0"/>
        <w:spacing w:line="500" w:lineRule="exact"/>
        <w:ind w:firstLine="385" w:firstLineChars="175"/>
        <w:rPr>
          <w:rFonts w:ascii="宋体" w:hAnsi="宋体"/>
          <w:color w:val="auto"/>
          <w:sz w:val="22"/>
          <w:szCs w:val="22"/>
          <w:highlight w:val="none"/>
        </w:rPr>
      </w:pPr>
    </w:p>
    <w:p w14:paraId="3905577C">
      <w:pPr>
        <w:widowControl/>
        <w:adjustRightInd w:val="0"/>
        <w:snapToGrid w:val="0"/>
        <w:spacing w:line="440" w:lineRule="exact"/>
        <w:ind w:firstLine="440" w:firstLineChars="200"/>
        <w:jc w:val="left"/>
        <w:rPr>
          <w:rFonts w:ascii="宋体" w:cs="Arial"/>
          <w:color w:val="auto"/>
          <w:kern w:val="0"/>
          <w:sz w:val="22"/>
          <w:szCs w:val="22"/>
          <w:highlight w:val="none"/>
        </w:rPr>
      </w:pPr>
      <w:r>
        <w:rPr>
          <w:rFonts w:hint="eastAsia" w:ascii="宋体" w:hAnsi="宋体" w:cs="Arial"/>
          <w:color w:val="auto"/>
          <w:kern w:val="0"/>
          <w:sz w:val="22"/>
          <w:szCs w:val="22"/>
          <w:highlight w:val="none"/>
        </w:rPr>
        <w:t>投标人名称（盖章）：</w:t>
      </w:r>
    </w:p>
    <w:p w14:paraId="00EDA230">
      <w:pPr>
        <w:widowControl/>
        <w:adjustRightInd w:val="0"/>
        <w:snapToGrid w:val="0"/>
        <w:spacing w:line="440" w:lineRule="exact"/>
        <w:ind w:firstLine="440" w:firstLineChars="200"/>
        <w:jc w:val="left"/>
        <w:rPr>
          <w:rFonts w:ascii="宋体" w:cs="Arial"/>
          <w:color w:val="auto"/>
          <w:kern w:val="0"/>
          <w:sz w:val="22"/>
          <w:szCs w:val="22"/>
          <w:highlight w:val="none"/>
        </w:rPr>
      </w:pPr>
      <w:r>
        <w:rPr>
          <w:rFonts w:hint="eastAsia" w:ascii="宋体" w:hAnsi="宋体" w:cs="Arial"/>
          <w:color w:val="auto"/>
          <w:kern w:val="0"/>
          <w:sz w:val="22"/>
          <w:szCs w:val="22"/>
          <w:highlight w:val="none"/>
        </w:rPr>
        <w:t>法定代表人（负责人）或其授权代表（签字或盖章）：</w:t>
      </w:r>
    </w:p>
    <w:p w14:paraId="3EC43B0A">
      <w:pPr>
        <w:widowControl/>
        <w:adjustRightInd w:val="0"/>
        <w:snapToGrid w:val="0"/>
        <w:spacing w:line="440" w:lineRule="exact"/>
        <w:ind w:firstLine="440" w:firstLineChars="200"/>
        <w:jc w:val="left"/>
        <w:rPr>
          <w:rFonts w:ascii="宋体" w:cs="Arial"/>
          <w:color w:val="auto"/>
          <w:kern w:val="0"/>
          <w:sz w:val="22"/>
          <w:szCs w:val="22"/>
          <w:highlight w:val="none"/>
        </w:rPr>
      </w:pPr>
      <w:r>
        <w:rPr>
          <w:rFonts w:hint="eastAsia" w:ascii="宋体" w:hAnsi="宋体" w:cs="Arial"/>
          <w:color w:val="auto"/>
          <w:kern w:val="0"/>
          <w:sz w:val="22"/>
          <w:szCs w:val="22"/>
          <w:highlight w:val="none"/>
        </w:rPr>
        <w:t>日期：年月日</w:t>
      </w:r>
    </w:p>
    <w:p w14:paraId="5072B23E">
      <w:pPr>
        <w:rPr>
          <w:rFonts w:ascii="宋体"/>
          <w:b/>
          <w:bCs/>
          <w:color w:val="auto"/>
          <w:sz w:val="22"/>
          <w:szCs w:val="22"/>
          <w:highlight w:val="none"/>
        </w:rPr>
      </w:pPr>
      <w:r>
        <w:rPr>
          <w:rFonts w:ascii="宋体"/>
          <w:b/>
          <w:bCs/>
          <w:color w:val="auto"/>
          <w:sz w:val="22"/>
          <w:szCs w:val="22"/>
          <w:highlight w:val="none"/>
        </w:rPr>
        <w:br w:type="page"/>
      </w:r>
    </w:p>
    <w:p w14:paraId="4F6CF9D7">
      <w:pPr>
        <w:pStyle w:val="34"/>
        <w:snapToGrid w:val="0"/>
        <w:spacing w:line="324" w:lineRule="auto"/>
        <w:jc w:val="center"/>
        <w:rPr>
          <w:rFonts w:hAnsi="宋体"/>
          <w:b/>
          <w:bCs/>
          <w:color w:val="auto"/>
          <w:sz w:val="22"/>
          <w:szCs w:val="22"/>
          <w:highlight w:val="none"/>
        </w:rPr>
      </w:pPr>
      <w:r>
        <w:rPr>
          <w:rFonts w:hint="eastAsia" w:hAnsi="宋体"/>
          <w:b/>
          <w:bCs/>
          <w:color w:val="auto"/>
          <w:sz w:val="22"/>
          <w:szCs w:val="22"/>
          <w:highlight w:val="none"/>
        </w:rPr>
        <w:t>（4）联合体协议书</w:t>
      </w:r>
    </w:p>
    <w:p w14:paraId="218792D3">
      <w:pPr>
        <w:pStyle w:val="25"/>
        <w:spacing w:line="400" w:lineRule="exact"/>
        <w:jc w:val="center"/>
        <w:rPr>
          <w:rFonts w:ascii="宋体" w:hAnsi="宋体"/>
          <w:color w:val="auto"/>
          <w:szCs w:val="21"/>
          <w:highlight w:val="none"/>
        </w:rPr>
      </w:pPr>
      <w:r>
        <w:rPr>
          <w:rFonts w:hint="eastAsia" w:ascii="宋体" w:hAnsi="宋体"/>
          <w:color w:val="auto"/>
          <w:szCs w:val="21"/>
          <w:highlight w:val="none"/>
        </w:rPr>
        <w:t>（适用于联合体）</w:t>
      </w:r>
    </w:p>
    <w:p w14:paraId="7F11257D">
      <w:pPr>
        <w:pStyle w:val="26"/>
        <w:ind w:firstLine="220"/>
        <w:rPr>
          <w:color w:val="auto"/>
          <w:sz w:val="22"/>
          <w:szCs w:val="22"/>
          <w:highlight w:val="none"/>
        </w:rPr>
      </w:pPr>
    </w:p>
    <w:p w14:paraId="2C4B646B">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u w:val="single"/>
        </w:rPr>
        <w:t xml:space="preserve">     （所有成员单位名称）    </w:t>
      </w:r>
      <w:r>
        <w:rPr>
          <w:rFonts w:hint="eastAsia" w:ascii="宋体" w:hAnsi="宋体" w:cs="宋体"/>
          <w:color w:val="auto"/>
          <w:sz w:val="22"/>
          <w:szCs w:val="22"/>
          <w:highlight w:val="none"/>
        </w:rPr>
        <w:t>自愿组成联合体，参加</w:t>
      </w:r>
      <w:r>
        <w:rPr>
          <w:rFonts w:hint="eastAsia" w:ascii="宋体" w:hAnsi="宋体" w:cs="宋体"/>
          <w:color w:val="auto"/>
          <w:sz w:val="22"/>
          <w:szCs w:val="22"/>
          <w:highlight w:val="none"/>
          <w:u w:val="single"/>
        </w:rPr>
        <w:t xml:space="preserve">      （项目名称）</w:t>
      </w:r>
      <w:r>
        <w:rPr>
          <w:rFonts w:hint="eastAsia" w:ascii="宋体" w:hAnsi="宋体" w:cs="宋体"/>
          <w:color w:val="auto"/>
          <w:sz w:val="22"/>
          <w:szCs w:val="22"/>
          <w:highlight w:val="none"/>
        </w:rPr>
        <w:t>投标。现就有关事宜订立协议如下：</w:t>
      </w:r>
    </w:p>
    <w:p w14:paraId="14B6658C">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u w:val="single"/>
        </w:rPr>
      </w:pPr>
      <w:r>
        <w:rPr>
          <w:rFonts w:hint="eastAsia" w:ascii="宋体" w:hAnsi="宋体" w:cs="宋体"/>
          <w:color w:val="auto"/>
          <w:sz w:val="22"/>
          <w:szCs w:val="22"/>
          <w:highlight w:val="none"/>
        </w:rPr>
        <w:t xml:space="preserve">    1．为联合体牵头人，</w:t>
      </w:r>
      <w:r>
        <w:rPr>
          <w:rFonts w:hint="eastAsia" w:ascii="宋体" w:hAnsi="宋体" w:cs="宋体"/>
          <w:color w:val="auto"/>
          <w:sz w:val="22"/>
          <w:szCs w:val="22"/>
          <w:highlight w:val="none"/>
          <w:lang w:val="zh-CN" w:bidi="zh-CN"/>
        </w:rPr>
        <w:t>属于</w:t>
      </w:r>
      <w:r>
        <w:rPr>
          <w:rFonts w:hint="eastAsia" w:ascii="宋体" w:hAnsi="宋体" w:cs="宋体"/>
          <w:color w:val="auto"/>
          <w:sz w:val="22"/>
          <w:szCs w:val="22"/>
          <w:highlight w:val="none"/>
          <w:u w:val="single"/>
          <w:lang w:val="zh-CN" w:bidi="zh-CN"/>
        </w:rPr>
        <w:t>（</w:t>
      </w:r>
      <w:r>
        <w:rPr>
          <w:rFonts w:hint="eastAsia" w:ascii="宋体" w:hAnsi="宋体" w:cs="宋体"/>
          <w:color w:val="auto"/>
          <w:sz w:val="22"/>
          <w:szCs w:val="22"/>
          <w:highlight w:val="none"/>
          <w:u w:val="single"/>
          <w:lang w:bidi="zh-CN"/>
        </w:rPr>
        <w:t>大</w:t>
      </w:r>
      <w:r>
        <w:rPr>
          <w:rFonts w:hint="eastAsia" w:ascii="宋体" w:hAnsi="宋体" w:cs="宋体"/>
          <w:color w:val="auto"/>
          <w:sz w:val="22"/>
          <w:szCs w:val="22"/>
          <w:highlight w:val="none"/>
          <w:u w:val="single"/>
          <w:lang w:val="zh-CN" w:bidi="zh-CN"/>
        </w:rPr>
        <w:t>型企业</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中型企业</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小型企业</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微型企业）</w:t>
      </w:r>
      <w:r>
        <w:rPr>
          <w:rFonts w:hint="eastAsia" w:ascii="宋体" w:hAnsi="宋体" w:cs="宋体"/>
          <w:color w:val="auto"/>
          <w:sz w:val="22"/>
          <w:szCs w:val="22"/>
          <w:highlight w:val="none"/>
          <w:lang w:val="zh-CN" w:bidi="zh-CN"/>
        </w:rPr>
        <w:t>；</w:t>
      </w:r>
      <w:r>
        <w:rPr>
          <w:rFonts w:hint="eastAsia" w:ascii="宋体" w:hAnsi="宋体" w:cs="宋体"/>
          <w:color w:val="auto"/>
          <w:sz w:val="22"/>
          <w:szCs w:val="22"/>
          <w:highlight w:val="none"/>
        </w:rPr>
        <w:t>为联合体成员，</w:t>
      </w:r>
      <w:r>
        <w:rPr>
          <w:rFonts w:hint="eastAsia" w:ascii="宋体" w:hAnsi="宋体" w:cs="宋体"/>
          <w:color w:val="auto"/>
          <w:sz w:val="22"/>
          <w:szCs w:val="22"/>
          <w:highlight w:val="none"/>
          <w:lang w:val="zh-CN" w:bidi="zh-CN"/>
        </w:rPr>
        <w:t>属于</w:t>
      </w:r>
      <w:r>
        <w:rPr>
          <w:rFonts w:hint="eastAsia" w:ascii="宋体" w:hAnsi="宋体" w:cs="宋体"/>
          <w:color w:val="auto"/>
          <w:sz w:val="22"/>
          <w:szCs w:val="22"/>
          <w:highlight w:val="none"/>
          <w:u w:val="single"/>
          <w:lang w:val="zh-CN" w:bidi="zh-CN"/>
        </w:rPr>
        <w:t>（</w:t>
      </w:r>
      <w:r>
        <w:rPr>
          <w:rFonts w:hint="eastAsia" w:ascii="宋体" w:hAnsi="宋体" w:cs="宋体"/>
          <w:color w:val="auto"/>
          <w:sz w:val="22"/>
          <w:szCs w:val="22"/>
          <w:highlight w:val="none"/>
          <w:u w:val="single"/>
          <w:lang w:bidi="zh-CN"/>
        </w:rPr>
        <w:t>大</w:t>
      </w:r>
      <w:r>
        <w:rPr>
          <w:rFonts w:hint="eastAsia" w:ascii="宋体" w:hAnsi="宋体" w:cs="宋体"/>
          <w:color w:val="auto"/>
          <w:sz w:val="22"/>
          <w:szCs w:val="22"/>
          <w:highlight w:val="none"/>
          <w:u w:val="single"/>
          <w:lang w:val="zh-CN" w:bidi="zh-CN"/>
        </w:rPr>
        <w:t>型企业</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中型企业</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小型企业</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微型企业）</w:t>
      </w:r>
      <w:r>
        <w:rPr>
          <w:rFonts w:hint="eastAsia" w:ascii="宋体" w:hAnsi="宋体" w:cs="宋体"/>
          <w:color w:val="auto"/>
          <w:sz w:val="22"/>
          <w:szCs w:val="22"/>
          <w:highlight w:val="none"/>
        </w:rPr>
        <w:t>；</w:t>
      </w:r>
    </w:p>
    <w:p w14:paraId="2BA6F3A7">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2．联合体内部有关事项规定如下：</w:t>
      </w:r>
    </w:p>
    <w:p w14:paraId="00D53BDA">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（1）联合体由牵头人负责与业主联系；</w:t>
      </w:r>
    </w:p>
    <w:p w14:paraId="1ECD0D36">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（2）投标工作由联合体牵头人负责，由双方组成的投标小组具体实施；联合体牵头人负责对投标文件进行签字或盖章；</w:t>
      </w:r>
    </w:p>
    <w:p w14:paraId="04F42149">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（3）联合体将严格按照招标文件的各项要求，递交投标文件，切实执行一切合同文件，共同承担合同规定的一切义务和责任，同时按照内部职责的划分，承担自身所负的责任和风险；</w:t>
      </w:r>
    </w:p>
    <w:p w14:paraId="31C5BC56">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u w:val="single"/>
        </w:rPr>
      </w:pPr>
      <w:r>
        <w:rPr>
          <w:rFonts w:hint="eastAsia" w:ascii="宋体" w:hAnsi="宋体" w:cs="宋体"/>
          <w:color w:val="auto"/>
          <w:sz w:val="22"/>
          <w:szCs w:val="22"/>
          <w:highlight w:val="none"/>
        </w:rPr>
        <w:t>（4）联合体各成员单位内部的职责分工如下：</w:t>
      </w:r>
    </w:p>
    <w:p w14:paraId="5E08CEB7">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（5）联合体各成员约定</w:t>
      </w:r>
      <w:r>
        <w:rPr>
          <w:rFonts w:hint="eastAsia" w:ascii="宋体" w:hAnsi="宋体" w:cs="宋体"/>
          <w:color w:val="auto"/>
          <w:sz w:val="22"/>
          <w:szCs w:val="22"/>
          <w:highlight w:val="none"/>
          <w:u w:val="single"/>
        </w:rPr>
        <w:t xml:space="preserve">     （联合体成员）      </w:t>
      </w:r>
      <w:r>
        <w:rPr>
          <w:rFonts w:hint="eastAsia" w:ascii="宋体" w:hAnsi="宋体" w:cs="宋体"/>
          <w:color w:val="auto"/>
          <w:sz w:val="22"/>
          <w:szCs w:val="22"/>
          <w:highlight w:val="none"/>
        </w:rPr>
        <w:t>的</w:t>
      </w:r>
      <w:r>
        <w:rPr>
          <w:rFonts w:hint="eastAsia"/>
          <w:color w:val="auto"/>
          <w:sz w:val="22"/>
          <w:szCs w:val="22"/>
          <w:highlight w:val="none"/>
          <w:lang w:val="zh-CN"/>
        </w:rPr>
        <w:t>合同份额占到合同总金额</w:t>
      </w:r>
      <w:r>
        <w:rPr>
          <w:rFonts w:hint="eastAsia"/>
          <w:color w:val="auto"/>
          <w:sz w:val="22"/>
          <w:szCs w:val="22"/>
          <w:highlight w:val="none"/>
        </w:rPr>
        <w:t>的</w:t>
      </w:r>
      <w:r>
        <w:rPr>
          <w:rFonts w:hint="eastAsia"/>
          <w:color w:val="auto"/>
          <w:sz w:val="22"/>
          <w:szCs w:val="22"/>
          <w:highlight w:val="none"/>
          <w:lang w:val="zh-CN"/>
        </w:rPr>
        <w:t>%；</w:t>
      </w:r>
    </w:p>
    <w:p w14:paraId="1716A35A">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u w:val="single"/>
        </w:rPr>
      </w:pPr>
      <w:r>
        <w:rPr>
          <w:rFonts w:hint="eastAsia" w:ascii="宋体" w:hAnsi="宋体" w:cs="宋体"/>
          <w:color w:val="auto"/>
          <w:sz w:val="22"/>
          <w:szCs w:val="22"/>
          <w:highlight w:val="none"/>
        </w:rPr>
        <w:t>（6）投标工作和联合体在中标后工程实施过程中的有关费用按各自承担的工作量分摊。</w:t>
      </w:r>
    </w:p>
    <w:p w14:paraId="75162F1B">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3．本协议书自签署之日起生效，合同履行完毕后自动失效。</w:t>
      </w:r>
    </w:p>
    <w:p w14:paraId="2D5868FA">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p>
    <w:p w14:paraId="3875C366">
      <w:pPr>
        <w:widowControl/>
        <w:tabs>
          <w:tab w:val="left" w:pos="482"/>
          <w:tab w:val="left" w:pos="2183"/>
          <w:tab w:val="left" w:pos="3884"/>
          <w:tab w:val="left" w:pos="5585"/>
        </w:tabs>
        <w:spacing w:before="100" w:beforeAutospacing="1" w:after="100" w:afterAutospacing="1" w:line="40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 xml:space="preserve">联合体牵头人名称（盖章）：       </w:t>
      </w:r>
    </w:p>
    <w:p w14:paraId="4B8A45F9">
      <w:pPr>
        <w:widowControl/>
        <w:tabs>
          <w:tab w:val="left" w:pos="482"/>
          <w:tab w:val="left" w:pos="2183"/>
          <w:tab w:val="left" w:pos="3884"/>
          <w:tab w:val="left" w:pos="5585"/>
        </w:tabs>
        <w:spacing w:before="100" w:beforeAutospacing="1" w:after="100" w:afterAutospacing="1" w:line="40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法定代表人（签字或盖章）</w:t>
      </w:r>
    </w:p>
    <w:p w14:paraId="1AF7B988">
      <w:pPr>
        <w:widowControl/>
        <w:tabs>
          <w:tab w:val="left" w:pos="482"/>
          <w:tab w:val="left" w:pos="2183"/>
          <w:tab w:val="left" w:pos="3884"/>
          <w:tab w:val="left" w:pos="5585"/>
        </w:tabs>
        <w:spacing w:before="100" w:beforeAutospacing="1" w:after="100" w:afterAutospacing="1" w:line="400" w:lineRule="exact"/>
        <w:jc w:val="left"/>
        <w:rPr>
          <w:rFonts w:ascii="宋体" w:hAnsi="宋体" w:cs="宋体"/>
          <w:color w:val="auto"/>
          <w:sz w:val="22"/>
          <w:szCs w:val="22"/>
          <w:highlight w:val="none"/>
        </w:rPr>
      </w:pPr>
    </w:p>
    <w:p w14:paraId="46502F06">
      <w:pPr>
        <w:tabs>
          <w:tab w:val="left" w:pos="482"/>
          <w:tab w:val="left" w:pos="2183"/>
          <w:tab w:val="left" w:pos="3884"/>
          <w:tab w:val="left" w:pos="5585"/>
        </w:tabs>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联合体成员名称（盖章）：</w:t>
      </w:r>
    </w:p>
    <w:p w14:paraId="3F3E2929">
      <w:pPr>
        <w:tabs>
          <w:tab w:val="left" w:pos="482"/>
          <w:tab w:val="left" w:pos="2183"/>
          <w:tab w:val="left" w:pos="3884"/>
          <w:tab w:val="left" w:pos="5585"/>
        </w:tabs>
        <w:ind w:firstLine="440" w:firstLineChars="200"/>
        <w:jc w:val="left"/>
        <w:rPr>
          <w:rFonts w:ascii="宋体" w:hAnsi="宋体" w:cs="宋体"/>
          <w:color w:val="auto"/>
          <w:sz w:val="22"/>
          <w:szCs w:val="22"/>
          <w:highlight w:val="none"/>
        </w:rPr>
      </w:pPr>
    </w:p>
    <w:p w14:paraId="5DF79120">
      <w:pPr>
        <w:tabs>
          <w:tab w:val="left" w:pos="482"/>
          <w:tab w:val="left" w:pos="2183"/>
          <w:tab w:val="left" w:pos="3884"/>
          <w:tab w:val="left" w:pos="5585"/>
        </w:tabs>
        <w:jc w:val="left"/>
        <w:rPr>
          <w:rFonts w:ascii="宋体" w:hAnsi="宋体" w:cs="宋体"/>
          <w:color w:val="auto"/>
          <w:sz w:val="22"/>
          <w:szCs w:val="22"/>
          <w:highlight w:val="none"/>
        </w:rPr>
      </w:pPr>
      <w:r>
        <w:rPr>
          <w:rFonts w:hint="eastAsia" w:ascii="宋体" w:hAnsi="宋体" w:cs="宋体"/>
          <w:color w:val="auto"/>
          <w:sz w:val="22"/>
          <w:szCs w:val="22"/>
          <w:highlight w:val="none"/>
        </w:rPr>
        <w:t xml:space="preserve">    法定代表人（签字或盖章）</w:t>
      </w:r>
    </w:p>
    <w:p w14:paraId="3B3ADCDC">
      <w:pPr>
        <w:tabs>
          <w:tab w:val="left" w:pos="482"/>
          <w:tab w:val="left" w:pos="2183"/>
          <w:tab w:val="left" w:pos="3884"/>
          <w:tab w:val="left" w:pos="5585"/>
        </w:tabs>
        <w:jc w:val="left"/>
        <w:rPr>
          <w:rFonts w:ascii="宋体" w:hAnsi="宋体" w:cs="宋体"/>
          <w:color w:val="auto"/>
          <w:sz w:val="22"/>
          <w:szCs w:val="22"/>
          <w:highlight w:val="none"/>
        </w:rPr>
      </w:pPr>
    </w:p>
    <w:p w14:paraId="09DD4B21">
      <w:pPr>
        <w:widowControl/>
        <w:tabs>
          <w:tab w:val="left" w:pos="482"/>
          <w:tab w:val="left" w:pos="2183"/>
          <w:tab w:val="left" w:pos="3884"/>
          <w:tab w:val="left" w:pos="5585"/>
        </w:tabs>
        <w:wordWrap w:val="0"/>
        <w:autoSpaceDE w:val="0"/>
        <w:autoSpaceDN w:val="0"/>
        <w:ind w:left="262"/>
        <w:jc w:val="right"/>
        <w:rPr>
          <w:rFonts w:ascii="宋体" w:hAnsi="宋体" w:cs="宋体"/>
          <w:color w:val="auto"/>
          <w:sz w:val="22"/>
          <w:szCs w:val="22"/>
          <w:highlight w:val="none"/>
        </w:rPr>
      </w:pPr>
    </w:p>
    <w:p w14:paraId="145C2500">
      <w:pPr>
        <w:widowControl/>
        <w:tabs>
          <w:tab w:val="left" w:pos="482"/>
          <w:tab w:val="left" w:pos="2183"/>
          <w:tab w:val="left" w:pos="3884"/>
          <w:tab w:val="left" w:pos="5585"/>
        </w:tabs>
        <w:wordWrap w:val="0"/>
        <w:autoSpaceDE w:val="0"/>
        <w:autoSpaceDN w:val="0"/>
        <w:ind w:left="262"/>
        <w:jc w:val="right"/>
        <w:rPr>
          <w:rFonts w:ascii="宋体" w:hAnsi="宋体"/>
          <w:color w:val="auto"/>
          <w:sz w:val="22"/>
          <w:szCs w:val="22"/>
          <w:highlight w:val="none"/>
        </w:rPr>
      </w:pPr>
      <w:r>
        <w:rPr>
          <w:rFonts w:hint="eastAsia" w:ascii="宋体" w:hAnsi="宋体" w:cs="宋体"/>
          <w:color w:val="auto"/>
          <w:sz w:val="22"/>
          <w:szCs w:val="22"/>
          <w:highlight w:val="none"/>
        </w:rPr>
        <w:t>年    月    日</w:t>
      </w:r>
    </w:p>
    <w:p w14:paraId="28003BDC">
      <w:pPr>
        <w:pStyle w:val="7"/>
        <w:rPr>
          <w:color w:val="auto"/>
          <w:sz w:val="22"/>
          <w:szCs w:val="22"/>
          <w:highlight w:val="none"/>
        </w:rPr>
      </w:pPr>
    </w:p>
    <w:p w14:paraId="5001A659">
      <w:pPr>
        <w:spacing w:line="380" w:lineRule="exact"/>
        <w:rPr>
          <w:rFonts w:ascii="宋体"/>
          <w:b/>
          <w:bCs/>
          <w:color w:val="auto"/>
          <w:sz w:val="22"/>
          <w:szCs w:val="22"/>
          <w:highlight w:val="none"/>
        </w:rPr>
      </w:pPr>
    </w:p>
    <w:p w14:paraId="2541257E">
      <w:pPr>
        <w:rPr>
          <w:rFonts w:ascii="宋体"/>
          <w:b/>
          <w:bCs/>
          <w:color w:val="auto"/>
          <w:sz w:val="22"/>
          <w:szCs w:val="22"/>
          <w:highlight w:val="none"/>
        </w:rPr>
      </w:pPr>
      <w:r>
        <w:rPr>
          <w:rFonts w:ascii="宋体"/>
          <w:b/>
          <w:bCs/>
          <w:color w:val="auto"/>
          <w:sz w:val="22"/>
          <w:szCs w:val="22"/>
          <w:highlight w:val="none"/>
        </w:rPr>
        <w:br w:type="page"/>
      </w:r>
    </w:p>
    <w:p w14:paraId="7AA399EC">
      <w:pPr>
        <w:pStyle w:val="25"/>
        <w:rPr>
          <w:color w:val="auto"/>
          <w:highlight w:val="none"/>
        </w:rPr>
      </w:pPr>
    </w:p>
    <w:p w14:paraId="56E7DA7D">
      <w:pPr>
        <w:spacing w:line="460" w:lineRule="exact"/>
        <w:jc w:val="center"/>
        <w:rPr>
          <w:rFonts w:ascii="宋体" w:hAnsi="宋体"/>
          <w:b/>
          <w:bCs/>
          <w:color w:val="auto"/>
          <w:sz w:val="28"/>
          <w:szCs w:val="28"/>
          <w:highlight w:val="none"/>
        </w:rPr>
      </w:pPr>
    </w:p>
    <w:p w14:paraId="7328B1B4">
      <w:pPr>
        <w:spacing w:line="380" w:lineRule="exact"/>
        <w:rPr>
          <w:rFonts w:ascii="宋体" w:hAnsi="宋体"/>
          <w:b/>
          <w:bCs/>
          <w:color w:val="auto"/>
          <w:sz w:val="22"/>
          <w:szCs w:val="22"/>
          <w:highlight w:val="none"/>
        </w:rPr>
      </w:pPr>
      <w:r>
        <w:rPr>
          <w:rFonts w:hint="eastAsia" w:ascii="宋体" w:hAnsi="宋体"/>
          <w:b/>
          <w:bCs/>
          <w:color w:val="auto"/>
          <w:sz w:val="22"/>
          <w:szCs w:val="22"/>
          <w:highlight w:val="none"/>
        </w:rPr>
        <w:t xml:space="preserve">附件二 </w:t>
      </w:r>
    </w:p>
    <w:p w14:paraId="738EC6F8">
      <w:pPr>
        <w:spacing w:line="460" w:lineRule="exact"/>
        <w:jc w:val="center"/>
        <w:rPr>
          <w:rFonts w:ascii="宋体" w:hAnsi="宋体"/>
          <w:b/>
          <w:bCs/>
          <w:color w:val="auto"/>
          <w:sz w:val="28"/>
          <w:szCs w:val="28"/>
          <w:highlight w:val="none"/>
        </w:rPr>
      </w:pPr>
      <w:r>
        <w:rPr>
          <w:rFonts w:hint="eastAsia" w:ascii="宋体" w:hAnsi="宋体"/>
          <w:b/>
          <w:bCs/>
          <w:color w:val="auto"/>
          <w:sz w:val="28"/>
          <w:szCs w:val="28"/>
          <w:highlight w:val="none"/>
        </w:rPr>
        <w:t>（1）开标一览表</w:t>
      </w:r>
    </w:p>
    <w:p w14:paraId="3C0F7740">
      <w:pPr>
        <w:spacing w:line="380" w:lineRule="exact"/>
        <w:jc w:val="center"/>
        <w:rPr>
          <w:rFonts w:ascii="宋体" w:hAnsi="宋体"/>
          <w:b/>
          <w:bCs/>
          <w:color w:val="auto"/>
          <w:sz w:val="28"/>
          <w:highlight w:val="none"/>
        </w:rPr>
      </w:pPr>
    </w:p>
    <w:p w14:paraId="3C5405BA">
      <w:pPr>
        <w:spacing w:line="380" w:lineRule="exact"/>
        <w:ind w:right="349" w:rightChars="166"/>
        <w:rPr>
          <w:rFonts w:ascii="宋体" w:hAnsi="宋体"/>
          <w:b/>
          <w:color w:val="auto"/>
          <w:sz w:val="22"/>
          <w:highlight w:val="none"/>
        </w:rPr>
      </w:pPr>
      <w:r>
        <w:rPr>
          <w:rFonts w:hint="eastAsia" w:ascii="宋体" w:hAnsi="宋体"/>
          <w:b/>
          <w:color w:val="auto"/>
          <w:sz w:val="22"/>
          <w:highlight w:val="none"/>
        </w:rPr>
        <w:t xml:space="preserve">                                                             单位：人民币元</w:t>
      </w:r>
    </w:p>
    <w:tbl>
      <w:tblPr>
        <w:tblStyle w:val="63"/>
        <w:tblW w:w="9468"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0"/>
        <w:gridCol w:w="2298"/>
        <w:gridCol w:w="2017"/>
        <w:gridCol w:w="4443"/>
      </w:tblGrid>
      <w:tr w14:paraId="05D89B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8" w:hRule="exact"/>
        </w:trPr>
        <w:tc>
          <w:tcPr>
            <w:tcW w:w="710" w:type="dxa"/>
            <w:vAlign w:val="center"/>
          </w:tcPr>
          <w:p w14:paraId="37D4402E">
            <w:pPr>
              <w:spacing w:line="460" w:lineRule="exact"/>
              <w:jc w:val="center"/>
              <w:rPr>
                <w:rFonts w:ascii="宋体" w:hAnsi="宋体" w:cs="Arial"/>
                <w:b/>
                <w:snapToGrid w:val="0"/>
                <w:color w:val="auto"/>
                <w:kern w:val="0"/>
                <w:sz w:val="22"/>
                <w:szCs w:val="22"/>
                <w:highlight w:val="none"/>
              </w:rPr>
            </w:pPr>
            <w:r>
              <w:rPr>
                <w:rFonts w:ascii="宋体" w:hAnsi="宋体" w:cs="Arial"/>
                <w:b/>
                <w:snapToGrid w:val="0"/>
                <w:color w:val="auto"/>
                <w:kern w:val="0"/>
                <w:sz w:val="22"/>
                <w:szCs w:val="22"/>
                <w:highlight w:val="none"/>
              </w:rPr>
              <w:t>序号</w:t>
            </w:r>
          </w:p>
        </w:tc>
        <w:tc>
          <w:tcPr>
            <w:tcW w:w="4315" w:type="dxa"/>
            <w:gridSpan w:val="2"/>
            <w:vAlign w:val="center"/>
          </w:tcPr>
          <w:p w14:paraId="53AB2A1E">
            <w:pPr>
              <w:spacing w:line="460" w:lineRule="exact"/>
              <w:jc w:val="center"/>
              <w:rPr>
                <w:rFonts w:ascii="宋体" w:hAnsi="宋体" w:cs="Arial"/>
                <w:b/>
                <w:snapToGrid w:val="0"/>
                <w:color w:val="auto"/>
                <w:kern w:val="0"/>
                <w:sz w:val="22"/>
                <w:szCs w:val="22"/>
                <w:highlight w:val="none"/>
              </w:rPr>
            </w:pPr>
            <w:r>
              <w:rPr>
                <w:rFonts w:hint="eastAsia" w:ascii="宋体" w:hAnsi="宋体" w:cs="Arial"/>
                <w:b/>
                <w:snapToGrid w:val="0"/>
                <w:color w:val="auto"/>
                <w:kern w:val="0"/>
                <w:sz w:val="22"/>
                <w:szCs w:val="22"/>
                <w:highlight w:val="none"/>
              </w:rPr>
              <w:t>项目</w:t>
            </w:r>
            <w:r>
              <w:rPr>
                <w:rFonts w:ascii="宋体" w:hAnsi="宋体" w:cs="Arial"/>
                <w:b/>
                <w:snapToGrid w:val="0"/>
                <w:color w:val="auto"/>
                <w:kern w:val="0"/>
                <w:sz w:val="22"/>
                <w:szCs w:val="22"/>
                <w:highlight w:val="none"/>
              </w:rPr>
              <w:t>名称</w:t>
            </w:r>
          </w:p>
        </w:tc>
        <w:tc>
          <w:tcPr>
            <w:tcW w:w="4443" w:type="dxa"/>
            <w:vAlign w:val="center"/>
          </w:tcPr>
          <w:p w14:paraId="02E98E40">
            <w:pPr>
              <w:spacing w:line="460" w:lineRule="exact"/>
              <w:jc w:val="center"/>
              <w:rPr>
                <w:rFonts w:ascii="宋体" w:hAnsi="宋体" w:cs="Arial"/>
                <w:b/>
                <w:snapToGrid w:val="0"/>
                <w:color w:val="auto"/>
                <w:kern w:val="0"/>
                <w:sz w:val="22"/>
                <w:szCs w:val="22"/>
                <w:highlight w:val="none"/>
              </w:rPr>
            </w:pPr>
            <w:r>
              <w:rPr>
                <w:rFonts w:hint="eastAsia" w:ascii="宋体" w:hAnsi="宋体" w:cs="Arial"/>
                <w:b/>
                <w:snapToGrid w:val="0"/>
                <w:color w:val="auto"/>
                <w:kern w:val="0"/>
                <w:sz w:val="22"/>
                <w:szCs w:val="22"/>
                <w:highlight w:val="none"/>
              </w:rPr>
              <w:t>项目负责人</w:t>
            </w:r>
          </w:p>
        </w:tc>
      </w:tr>
      <w:tr w14:paraId="522DDB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10" w:type="dxa"/>
            <w:vAlign w:val="center"/>
          </w:tcPr>
          <w:p w14:paraId="37D56158">
            <w:pPr>
              <w:spacing w:line="460" w:lineRule="exact"/>
              <w:jc w:val="center"/>
              <w:rPr>
                <w:rFonts w:ascii="宋体" w:hAnsi="宋体" w:cs="Arial"/>
                <w:b/>
                <w:snapToGrid w:val="0"/>
                <w:color w:val="auto"/>
                <w:kern w:val="0"/>
                <w:sz w:val="22"/>
                <w:szCs w:val="22"/>
                <w:highlight w:val="none"/>
              </w:rPr>
            </w:pPr>
            <w:r>
              <w:rPr>
                <w:rFonts w:ascii="宋体" w:hAnsi="宋体" w:cs="Arial"/>
                <w:b/>
                <w:snapToGrid w:val="0"/>
                <w:color w:val="auto"/>
                <w:kern w:val="0"/>
                <w:sz w:val="22"/>
                <w:szCs w:val="22"/>
                <w:highlight w:val="none"/>
              </w:rPr>
              <w:t>1</w:t>
            </w:r>
          </w:p>
        </w:tc>
        <w:tc>
          <w:tcPr>
            <w:tcW w:w="4315" w:type="dxa"/>
            <w:gridSpan w:val="2"/>
            <w:vAlign w:val="center"/>
          </w:tcPr>
          <w:p w14:paraId="7875090A">
            <w:pPr>
              <w:spacing w:line="460" w:lineRule="exact"/>
              <w:jc w:val="center"/>
              <w:rPr>
                <w:rFonts w:ascii="宋体" w:hAnsi="宋体" w:cs="Arial"/>
                <w:snapToGrid w:val="0"/>
                <w:color w:val="auto"/>
                <w:kern w:val="0"/>
                <w:sz w:val="22"/>
                <w:szCs w:val="22"/>
                <w:highlight w:val="none"/>
              </w:rPr>
            </w:pPr>
          </w:p>
        </w:tc>
        <w:tc>
          <w:tcPr>
            <w:tcW w:w="4443" w:type="dxa"/>
            <w:vAlign w:val="center"/>
          </w:tcPr>
          <w:p w14:paraId="09627B0F">
            <w:pPr>
              <w:spacing w:line="460" w:lineRule="exact"/>
              <w:jc w:val="center"/>
              <w:rPr>
                <w:rFonts w:ascii="宋体" w:hAnsi="宋体" w:cs="Arial"/>
                <w:b/>
                <w:snapToGrid w:val="0"/>
                <w:color w:val="auto"/>
                <w:kern w:val="0"/>
                <w:sz w:val="22"/>
                <w:szCs w:val="22"/>
                <w:highlight w:val="none"/>
              </w:rPr>
            </w:pPr>
          </w:p>
        </w:tc>
      </w:tr>
      <w:tr w14:paraId="5D382F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02" w:hRule="atLeast"/>
        </w:trPr>
        <w:tc>
          <w:tcPr>
            <w:tcW w:w="3008" w:type="dxa"/>
            <w:gridSpan w:val="2"/>
            <w:vAlign w:val="center"/>
          </w:tcPr>
          <w:p w14:paraId="2970E3FC">
            <w:pPr>
              <w:spacing w:line="460" w:lineRule="exact"/>
              <w:jc w:val="center"/>
              <w:rPr>
                <w:rFonts w:ascii="宋体" w:hAnsi="宋体" w:cs="Arial"/>
                <w:b/>
                <w:snapToGrid w:val="0"/>
                <w:color w:val="auto"/>
                <w:kern w:val="0"/>
                <w:sz w:val="22"/>
                <w:szCs w:val="22"/>
                <w:highlight w:val="none"/>
              </w:rPr>
            </w:pPr>
            <w:r>
              <w:rPr>
                <w:rFonts w:ascii="宋体" w:hAnsi="宋体" w:cs="Arial"/>
                <w:b/>
                <w:snapToGrid w:val="0"/>
                <w:color w:val="auto"/>
                <w:kern w:val="0"/>
                <w:sz w:val="22"/>
                <w:szCs w:val="22"/>
                <w:highlight w:val="none"/>
              </w:rPr>
              <w:t>投标</w:t>
            </w:r>
            <w:r>
              <w:rPr>
                <w:rFonts w:hint="eastAsia" w:ascii="宋体" w:hAnsi="宋体" w:cs="Arial"/>
                <w:b/>
                <w:snapToGrid w:val="0"/>
                <w:color w:val="auto"/>
                <w:kern w:val="0"/>
                <w:sz w:val="22"/>
                <w:szCs w:val="22"/>
                <w:highlight w:val="none"/>
              </w:rPr>
              <w:t>报价</w:t>
            </w:r>
          </w:p>
        </w:tc>
        <w:tc>
          <w:tcPr>
            <w:tcW w:w="6460" w:type="dxa"/>
            <w:gridSpan w:val="2"/>
            <w:vAlign w:val="center"/>
          </w:tcPr>
          <w:p w14:paraId="0CABAFE1">
            <w:pPr>
              <w:spacing w:line="460" w:lineRule="exact"/>
              <w:rPr>
                <w:rFonts w:ascii="宋体" w:hAnsi="宋体" w:cs="Arial"/>
                <w:b/>
                <w:snapToGrid w:val="0"/>
                <w:color w:val="auto"/>
                <w:kern w:val="0"/>
                <w:sz w:val="22"/>
                <w:szCs w:val="22"/>
                <w:highlight w:val="none"/>
              </w:rPr>
            </w:pPr>
            <w:r>
              <w:rPr>
                <w:rFonts w:ascii="宋体" w:hAnsi="宋体" w:cs="Arial"/>
                <w:b/>
                <w:snapToGrid w:val="0"/>
                <w:color w:val="auto"/>
                <w:kern w:val="0"/>
                <w:sz w:val="22"/>
                <w:szCs w:val="22"/>
                <w:highlight w:val="none"/>
              </w:rPr>
              <w:t xml:space="preserve">大写：    </w:t>
            </w:r>
          </w:p>
          <w:p w14:paraId="7BE72D7F">
            <w:pPr>
              <w:spacing w:line="460" w:lineRule="exact"/>
              <w:rPr>
                <w:rFonts w:ascii="宋体" w:hAnsi="宋体" w:cs="Arial"/>
                <w:b/>
                <w:snapToGrid w:val="0"/>
                <w:color w:val="auto"/>
                <w:kern w:val="0"/>
                <w:sz w:val="22"/>
                <w:szCs w:val="22"/>
                <w:highlight w:val="none"/>
              </w:rPr>
            </w:pPr>
            <w:r>
              <w:rPr>
                <w:rFonts w:ascii="宋体" w:hAnsi="宋体" w:cs="Arial"/>
                <w:b/>
                <w:snapToGrid w:val="0"/>
                <w:color w:val="auto"/>
                <w:kern w:val="0"/>
                <w:sz w:val="22"/>
                <w:szCs w:val="22"/>
                <w:highlight w:val="none"/>
              </w:rPr>
              <w:t xml:space="preserve">小写（￥）：      </w:t>
            </w:r>
          </w:p>
        </w:tc>
      </w:tr>
    </w:tbl>
    <w:p w14:paraId="5F2F3A33">
      <w:pPr>
        <w:spacing w:line="460" w:lineRule="exact"/>
        <w:rPr>
          <w:rFonts w:ascii="宋体" w:hAnsi="宋体"/>
          <w:color w:val="auto"/>
          <w:sz w:val="22"/>
          <w:szCs w:val="22"/>
          <w:highlight w:val="none"/>
        </w:rPr>
      </w:pPr>
    </w:p>
    <w:p w14:paraId="674748BB">
      <w:pPr>
        <w:spacing w:line="380" w:lineRule="exact"/>
        <w:ind w:right="349" w:rightChars="166" w:firstLine="331" w:firstLineChars="150"/>
        <w:rPr>
          <w:rFonts w:ascii="宋体" w:hAnsi="宋体"/>
          <w:b/>
          <w:color w:val="auto"/>
          <w:sz w:val="22"/>
          <w:highlight w:val="none"/>
        </w:rPr>
      </w:pPr>
    </w:p>
    <w:p w14:paraId="72248E4D">
      <w:pPr>
        <w:spacing w:line="380" w:lineRule="exact"/>
        <w:ind w:left="528" w:leftChars="-15" w:hanging="559" w:hangingChars="253"/>
        <w:rPr>
          <w:rFonts w:ascii="宋体" w:hAnsi="宋体"/>
          <w:b/>
          <w:color w:val="auto"/>
          <w:sz w:val="22"/>
          <w:highlight w:val="none"/>
        </w:rPr>
      </w:pPr>
      <w:r>
        <w:rPr>
          <w:rFonts w:hint="eastAsia" w:ascii="宋体" w:hAnsi="宋体"/>
          <w:b/>
          <w:color w:val="auto"/>
          <w:sz w:val="22"/>
          <w:highlight w:val="none"/>
        </w:rPr>
        <w:t>说明：</w:t>
      </w:r>
    </w:p>
    <w:p w14:paraId="26297C71">
      <w:pPr>
        <w:spacing w:line="380" w:lineRule="exact"/>
        <w:ind w:left="528" w:leftChars="-15" w:hanging="559" w:hangingChars="253"/>
        <w:rPr>
          <w:rFonts w:ascii="宋体" w:hAnsi="宋体" w:cs="Arial"/>
          <w:b/>
          <w:bCs/>
          <w:color w:val="auto"/>
          <w:sz w:val="22"/>
          <w:szCs w:val="22"/>
          <w:highlight w:val="none"/>
        </w:rPr>
      </w:pPr>
      <w:r>
        <w:rPr>
          <w:rFonts w:hint="eastAsia" w:ascii="宋体" w:hAnsi="宋体" w:cs="Arial"/>
          <w:b/>
          <w:bCs/>
          <w:color w:val="auto"/>
          <w:sz w:val="22"/>
          <w:szCs w:val="22"/>
          <w:highlight w:val="none"/>
        </w:rPr>
        <w:t>1、《开标一览表》中“投标报价”应与（2）</w:t>
      </w:r>
      <w:r>
        <w:rPr>
          <w:rFonts w:hint="eastAsia" w:ascii="宋体" w:hAnsi="宋体"/>
          <w:b/>
          <w:color w:val="auto"/>
          <w:sz w:val="22"/>
          <w:highlight w:val="none"/>
        </w:rPr>
        <w:t>《投标分项报价表》中“投标总价”相一致</w:t>
      </w:r>
      <w:r>
        <w:rPr>
          <w:rFonts w:hint="eastAsia" w:ascii="宋体" w:hAnsi="宋体" w:cs="Arial"/>
          <w:b/>
          <w:bCs/>
          <w:color w:val="auto"/>
          <w:sz w:val="22"/>
          <w:szCs w:val="22"/>
          <w:highlight w:val="none"/>
        </w:rPr>
        <w:t xml:space="preserve">。 </w:t>
      </w:r>
    </w:p>
    <w:p w14:paraId="7B7B8657">
      <w:pPr>
        <w:spacing w:line="380" w:lineRule="exact"/>
        <w:ind w:left="532" w:leftChars="-66" w:hanging="671" w:hangingChars="304"/>
        <w:rPr>
          <w:rFonts w:ascii="宋体" w:hAnsi="宋体"/>
          <w:b/>
          <w:color w:val="auto"/>
          <w:sz w:val="22"/>
          <w:highlight w:val="none"/>
        </w:rPr>
      </w:pPr>
      <w:r>
        <w:rPr>
          <w:rFonts w:hint="eastAsia" w:ascii="宋体" w:hAnsi="宋体" w:cs="Arial"/>
          <w:b/>
          <w:bCs/>
          <w:color w:val="auto"/>
          <w:sz w:val="22"/>
          <w:szCs w:val="22"/>
          <w:highlight w:val="none"/>
        </w:rPr>
        <w:t>2、▲</w:t>
      </w:r>
      <w:r>
        <w:rPr>
          <w:rFonts w:hint="eastAsia" w:ascii="宋体" w:hAnsi="宋体" w:cs="Arial"/>
          <w:b/>
          <w:color w:val="auto"/>
          <w:sz w:val="22"/>
          <w:szCs w:val="22"/>
          <w:highlight w:val="none"/>
          <w:u w:val="single"/>
        </w:rPr>
        <w:t>不按要求提供开标一览表的投标文件将被视为未实质性响应招标文件</w:t>
      </w:r>
      <w:r>
        <w:rPr>
          <w:rFonts w:hint="eastAsia" w:ascii="宋体" w:hAnsi="宋体"/>
          <w:b/>
          <w:color w:val="auto"/>
          <w:sz w:val="22"/>
          <w:highlight w:val="none"/>
          <w:u w:val="single"/>
        </w:rPr>
        <w:t>。</w:t>
      </w:r>
    </w:p>
    <w:p w14:paraId="0C4C2B46">
      <w:pPr>
        <w:spacing w:line="380" w:lineRule="exact"/>
        <w:ind w:firstLine="660" w:firstLineChars="300"/>
        <w:rPr>
          <w:rFonts w:ascii="宋体" w:hAnsi="宋体"/>
          <w:color w:val="auto"/>
          <w:sz w:val="22"/>
          <w:szCs w:val="22"/>
          <w:highlight w:val="none"/>
        </w:rPr>
      </w:pPr>
    </w:p>
    <w:p w14:paraId="15DBC845">
      <w:pPr>
        <w:spacing w:line="380" w:lineRule="exact"/>
        <w:rPr>
          <w:rFonts w:ascii="宋体" w:hAnsi="宋体"/>
          <w:color w:val="auto"/>
          <w:sz w:val="22"/>
          <w:szCs w:val="22"/>
          <w:highlight w:val="none"/>
        </w:rPr>
      </w:pPr>
      <w:r>
        <w:rPr>
          <w:rFonts w:hint="eastAsia" w:ascii="宋体" w:hAnsi="宋体"/>
          <w:color w:val="auto"/>
          <w:sz w:val="22"/>
          <w:szCs w:val="22"/>
          <w:highlight w:val="none"/>
        </w:rPr>
        <w:t>投标人全称（盖章）：</w:t>
      </w:r>
    </w:p>
    <w:p w14:paraId="79603124">
      <w:pPr>
        <w:spacing w:line="380" w:lineRule="exact"/>
        <w:rPr>
          <w:rFonts w:ascii="宋体" w:hAnsi="宋体"/>
          <w:color w:val="auto"/>
          <w:sz w:val="22"/>
          <w:szCs w:val="22"/>
          <w:highlight w:val="none"/>
        </w:rPr>
      </w:pPr>
      <w:r>
        <w:rPr>
          <w:rFonts w:hint="eastAsia" w:ascii="宋体" w:hAnsi="宋体"/>
          <w:color w:val="auto"/>
          <w:sz w:val="22"/>
          <w:szCs w:val="22"/>
          <w:highlight w:val="none"/>
        </w:rPr>
        <w:t>法定代表人或授权代表（签字或盖章）：</w:t>
      </w:r>
    </w:p>
    <w:p w14:paraId="3000AEDA">
      <w:pPr>
        <w:spacing w:line="380" w:lineRule="exact"/>
        <w:rPr>
          <w:rFonts w:ascii="宋体" w:hAnsi="宋体"/>
          <w:color w:val="auto"/>
          <w:sz w:val="22"/>
          <w:szCs w:val="22"/>
          <w:highlight w:val="none"/>
        </w:rPr>
      </w:pPr>
      <w:r>
        <w:rPr>
          <w:rFonts w:hint="eastAsia" w:ascii="宋体" w:hAnsi="宋体"/>
          <w:color w:val="auto"/>
          <w:sz w:val="22"/>
          <w:szCs w:val="22"/>
          <w:highlight w:val="none"/>
        </w:rPr>
        <w:t>日 期：  年  月  日</w:t>
      </w:r>
    </w:p>
    <w:p w14:paraId="61E06198">
      <w:pPr>
        <w:spacing w:line="460" w:lineRule="exact"/>
        <w:rPr>
          <w:rFonts w:ascii="宋体" w:hAnsi="宋体"/>
          <w:b/>
          <w:bCs/>
          <w:color w:val="auto"/>
          <w:sz w:val="22"/>
          <w:szCs w:val="22"/>
          <w:highlight w:val="none"/>
        </w:rPr>
      </w:pPr>
      <w:r>
        <w:rPr>
          <w:rFonts w:hint="eastAsia" w:ascii="宋体" w:hAnsi="宋体"/>
          <w:color w:val="auto"/>
          <w:sz w:val="22"/>
          <w:szCs w:val="22"/>
          <w:highlight w:val="none"/>
        </w:rPr>
        <w:br w:type="page"/>
      </w:r>
    </w:p>
    <w:p w14:paraId="3CA3A240">
      <w:pPr>
        <w:spacing w:line="380" w:lineRule="exact"/>
        <w:jc w:val="center"/>
        <w:rPr>
          <w:rFonts w:ascii="宋体" w:hAnsi="宋体"/>
          <w:b/>
          <w:bCs/>
          <w:color w:val="auto"/>
          <w:sz w:val="28"/>
          <w:szCs w:val="28"/>
          <w:highlight w:val="none"/>
        </w:rPr>
      </w:pPr>
      <w:r>
        <w:rPr>
          <w:rFonts w:hint="eastAsia" w:ascii="宋体" w:hAnsi="宋体"/>
          <w:b/>
          <w:bCs/>
          <w:color w:val="auto"/>
          <w:sz w:val="28"/>
          <w:szCs w:val="28"/>
          <w:highlight w:val="none"/>
        </w:rPr>
        <w:t>（2）</w:t>
      </w:r>
      <w:r>
        <w:rPr>
          <w:rFonts w:ascii="宋体" w:hAnsi="宋体"/>
          <w:b/>
          <w:bCs/>
          <w:color w:val="auto"/>
          <w:sz w:val="28"/>
          <w:szCs w:val="28"/>
          <w:highlight w:val="none"/>
        </w:rPr>
        <w:t>投标分项报价表</w:t>
      </w:r>
    </w:p>
    <w:p w14:paraId="1AAA5A4D">
      <w:pPr>
        <w:spacing w:line="380" w:lineRule="exact"/>
        <w:jc w:val="center"/>
        <w:rPr>
          <w:rFonts w:ascii="宋体" w:hAnsi="宋体"/>
          <w:b/>
          <w:bCs/>
          <w:color w:val="auto"/>
          <w:sz w:val="28"/>
          <w:szCs w:val="28"/>
          <w:highlight w:val="none"/>
        </w:rPr>
      </w:pPr>
    </w:p>
    <w:tbl>
      <w:tblPr>
        <w:tblStyle w:val="63"/>
        <w:tblW w:w="99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3815"/>
        <w:gridCol w:w="2656"/>
        <w:gridCol w:w="2656"/>
      </w:tblGrid>
      <w:tr w14:paraId="349E0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810" w:type="dxa"/>
            <w:vAlign w:val="center"/>
          </w:tcPr>
          <w:p w14:paraId="18B53225">
            <w:pPr>
              <w:jc w:val="center"/>
              <w:rPr>
                <w:rFonts w:ascii="宋体" w:hAnsi="宋体"/>
                <w:color w:val="auto"/>
                <w:sz w:val="22"/>
                <w:szCs w:val="22"/>
                <w:highlight w:val="none"/>
              </w:rPr>
            </w:pPr>
            <w:r>
              <w:rPr>
                <w:rFonts w:hint="eastAsia" w:ascii="宋体" w:hAnsi="宋体"/>
                <w:color w:val="auto"/>
                <w:sz w:val="22"/>
                <w:szCs w:val="22"/>
                <w:highlight w:val="none"/>
              </w:rPr>
              <w:t>序号</w:t>
            </w:r>
          </w:p>
        </w:tc>
        <w:tc>
          <w:tcPr>
            <w:tcW w:w="3815" w:type="dxa"/>
            <w:vAlign w:val="center"/>
          </w:tcPr>
          <w:p w14:paraId="7BB9A9A8">
            <w:pPr>
              <w:jc w:val="center"/>
              <w:rPr>
                <w:rFonts w:ascii="宋体" w:hAnsi="宋体"/>
                <w:color w:val="auto"/>
                <w:sz w:val="22"/>
                <w:szCs w:val="22"/>
                <w:highlight w:val="none"/>
              </w:rPr>
            </w:pPr>
            <w:r>
              <w:rPr>
                <w:rFonts w:hint="eastAsia" w:ascii="宋体" w:hAnsi="宋体"/>
                <w:color w:val="auto"/>
                <w:sz w:val="22"/>
                <w:szCs w:val="22"/>
                <w:highlight w:val="none"/>
              </w:rPr>
              <w:t>项目内容</w:t>
            </w:r>
          </w:p>
        </w:tc>
        <w:tc>
          <w:tcPr>
            <w:tcW w:w="2656" w:type="dxa"/>
            <w:vAlign w:val="center"/>
          </w:tcPr>
          <w:p w14:paraId="30761D14">
            <w:pPr>
              <w:jc w:val="center"/>
              <w:rPr>
                <w:rFonts w:ascii="宋体" w:hAnsi="宋体"/>
                <w:color w:val="auto"/>
                <w:sz w:val="22"/>
                <w:szCs w:val="22"/>
                <w:highlight w:val="none"/>
              </w:rPr>
            </w:pPr>
            <w:r>
              <w:rPr>
                <w:rFonts w:hint="eastAsia" w:ascii="宋体" w:hAnsi="宋体"/>
                <w:color w:val="auto"/>
                <w:sz w:val="22"/>
                <w:szCs w:val="22"/>
                <w:highlight w:val="none"/>
              </w:rPr>
              <w:t>描述</w:t>
            </w:r>
          </w:p>
        </w:tc>
        <w:tc>
          <w:tcPr>
            <w:tcW w:w="2656" w:type="dxa"/>
            <w:vAlign w:val="center"/>
          </w:tcPr>
          <w:p w14:paraId="25BCE66F">
            <w:pPr>
              <w:jc w:val="center"/>
              <w:rPr>
                <w:rFonts w:ascii="宋体" w:hAnsi="宋体"/>
                <w:color w:val="auto"/>
                <w:sz w:val="22"/>
                <w:szCs w:val="22"/>
                <w:highlight w:val="none"/>
              </w:rPr>
            </w:pPr>
            <w:r>
              <w:rPr>
                <w:rFonts w:hint="eastAsia" w:ascii="宋体" w:hAnsi="宋体"/>
                <w:color w:val="auto"/>
                <w:sz w:val="22"/>
                <w:szCs w:val="22"/>
                <w:highlight w:val="none"/>
              </w:rPr>
              <w:t>报价（人民币 元）</w:t>
            </w:r>
          </w:p>
        </w:tc>
      </w:tr>
      <w:tr w14:paraId="1E88F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810" w:type="dxa"/>
            <w:vAlign w:val="center"/>
          </w:tcPr>
          <w:p w14:paraId="19A907ED">
            <w:pPr>
              <w:jc w:val="center"/>
              <w:rPr>
                <w:rFonts w:ascii="宋体" w:hAnsi="宋体"/>
                <w:color w:val="auto"/>
                <w:sz w:val="22"/>
                <w:szCs w:val="22"/>
                <w:highlight w:val="none"/>
              </w:rPr>
            </w:pPr>
            <w:r>
              <w:rPr>
                <w:rFonts w:hint="eastAsia" w:ascii="宋体" w:hAnsi="宋体"/>
                <w:color w:val="auto"/>
                <w:sz w:val="22"/>
                <w:szCs w:val="22"/>
                <w:highlight w:val="none"/>
              </w:rPr>
              <w:t>1</w:t>
            </w:r>
          </w:p>
        </w:tc>
        <w:tc>
          <w:tcPr>
            <w:tcW w:w="3815" w:type="dxa"/>
            <w:vAlign w:val="center"/>
          </w:tcPr>
          <w:p w14:paraId="13063897">
            <w:pPr>
              <w:jc w:val="center"/>
              <w:rPr>
                <w:rFonts w:ascii="宋体" w:hAnsi="宋体"/>
                <w:color w:val="auto"/>
                <w:sz w:val="22"/>
                <w:szCs w:val="22"/>
                <w:highlight w:val="none"/>
              </w:rPr>
            </w:pPr>
            <w:r>
              <w:rPr>
                <w:rFonts w:hint="eastAsia" w:ascii="宋体" w:hAnsi="宋体"/>
                <w:color w:val="auto"/>
                <w:sz w:val="22"/>
                <w:szCs w:val="22"/>
                <w:highlight w:val="none"/>
              </w:rPr>
              <w:t>信息化技术外包</w:t>
            </w:r>
          </w:p>
        </w:tc>
        <w:tc>
          <w:tcPr>
            <w:tcW w:w="2656" w:type="dxa"/>
            <w:vAlign w:val="center"/>
          </w:tcPr>
          <w:p w14:paraId="28006869">
            <w:pPr>
              <w:jc w:val="center"/>
              <w:rPr>
                <w:rFonts w:ascii="宋体" w:hAnsi="宋体"/>
                <w:color w:val="auto"/>
                <w:sz w:val="22"/>
                <w:szCs w:val="22"/>
                <w:highlight w:val="none"/>
              </w:rPr>
            </w:pPr>
          </w:p>
        </w:tc>
        <w:tc>
          <w:tcPr>
            <w:tcW w:w="2656" w:type="dxa"/>
            <w:vAlign w:val="center"/>
          </w:tcPr>
          <w:p w14:paraId="4D2D45B6">
            <w:pPr>
              <w:jc w:val="center"/>
              <w:rPr>
                <w:rFonts w:ascii="宋体" w:hAnsi="宋体"/>
                <w:color w:val="auto"/>
                <w:sz w:val="22"/>
                <w:szCs w:val="22"/>
                <w:highlight w:val="none"/>
              </w:rPr>
            </w:pPr>
          </w:p>
        </w:tc>
      </w:tr>
      <w:tr w14:paraId="3561B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810" w:type="dxa"/>
            <w:vAlign w:val="center"/>
          </w:tcPr>
          <w:p w14:paraId="1C7CFB85">
            <w:pPr>
              <w:jc w:val="center"/>
              <w:rPr>
                <w:rFonts w:ascii="宋体" w:hAnsi="宋体"/>
                <w:color w:val="auto"/>
                <w:sz w:val="22"/>
                <w:szCs w:val="22"/>
                <w:highlight w:val="none"/>
              </w:rPr>
            </w:pPr>
            <w:r>
              <w:rPr>
                <w:rFonts w:hint="eastAsia" w:ascii="宋体" w:hAnsi="宋体"/>
                <w:color w:val="auto"/>
                <w:sz w:val="22"/>
                <w:szCs w:val="22"/>
                <w:highlight w:val="none"/>
              </w:rPr>
              <w:t>2</w:t>
            </w:r>
          </w:p>
        </w:tc>
        <w:tc>
          <w:tcPr>
            <w:tcW w:w="3815" w:type="dxa"/>
            <w:vAlign w:val="center"/>
          </w:tcPr>
          <w:p w14:paraId="727FDAD9">
            <w:pPr>
              <w:jc w:val="center"/>
              <w:rPr>
                <w:rFonts w:ascii="宋体" w:hAnsi="宋体"/>
                <w:color w:val="auto"/>
                <w:sz w:val="22"/>
                <w:szCs w:val="22"/>
                <w:highlight w:val="none"/>
              </w:rPr>
            </w:pPr>
            <w:r>
              <w:rPr>
                <w:rFonts w:hint="eastAsia" w:ascii="宋体" w:hAnsi="宋体"/>
                <w:color w:val="auto"/>
                <w:sz w:val="22"/>
                <w:szCs w:val="22"/>
                <w:highlight w:val="none"/>
              </w:rPr>
              <w:t>智慧交通专网租用</w:t>
            </w:r>
          </w:p>
        </w:tc>
        <w:tc>
          <w:tcPr>
            <w:tcW w:w="2656" w:type="dxa"/>
            <w:vAlign w:val="center"/>
          </w:tcPr>
          <w:p w14:paraId="750EFA22">
            <w:pPr>
              <w:jc w:val="center"/>
              <w:rPr>
                <w:rFonts w:ascii="宋体" w:hAnsi="宋体"/>
                <w:color w:val="auto"/>
                <w:sz w:val="22"/>
                <w:szCs w:val="22"/>
                <w:highlight w:val="none"/>
              </w:rPr>
            </w:pPr>
          </w:p>
        </w:tc>
        <w:tc>
          <w:tcPr>
            <w:tcW w:w="2656" w:type="dxa"/>
            <w:vAlign w:val="center"/>
          </w:tcPr>
          <w:p w14:paraId="0CD6A0C8">
            <w:pPr>
              <w:jc w:val="center"/>
              <w:rPr>
                <w:rFonts w:ascii="宋体" w:hAnsi="宋体"/>
                <w:color w:val="auto"/>
                <w:sz w:val="22"/>
                <w:szCs w:val="22"/>
                <w:highlight w:val="none"/>
              </w:rPr>
            </w:pPr>
          </w:p>
        </w:tc>
      </w:tr>
      <w:tr w14:paraId="5A793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810" w:type="dxa"/>
            <w:vAlign w:val="center"/>
          </w:tcPr>
          <w:p w14:paraId="1DE6DFDA">
            <w:pPr>
              <w:jc w:val="center"/>
              <w:rPr>
                <w:rFonts w:ascii="宋体" w:hAnsi="宋体"/>
                <w:color w:val="auto"/>
                <w:sz w:val="22"/>
                <w:szCs w:val="22"/>
                <w:highlight w:val="none"/>
              </w:rPr>
            </w:pPr>
            <w:r>
              <w:rPr>
                <w:rFonts w:hint="eastAsia" w:ascii="宋体" w:hAnsi="宋体"/>
                <w:color w:val="auto"/>
                <w:sz w:val="22"/>
                <w:szCs w:val="22"/>
                <w:highlight w:val="none"/>
              </w:rPr>
              <w:t>3</w:t>
            </w:r>
          </w:p>
        </w:tc>
        <w:tc>
          <w:tcPr>
            <w:tcW w:w="3815" w:type="dxa"/>
            <w:vAlign w:val="center"/>
          </w:tcPr>
          <w:p w14:paraId="24E7653B">
            <w:pPr>
              <w:jc w:val="center"/>
              <w:rPr>
                <w:rFonts w:ascii="宋体" w:hAnsi="宋体"/>
                <w:color w:val="auto"/>
                <w:sz w:val="22"/>
                <w:szCs w:val="22"/>
                <w:highlight w:val="none"/>
                <w:lang w:val="en-GB"/>
              </w:rPr>
            </w:pPr>
            <w:r>
              <w:rPr>
                <w:rFonts w:hint="eastAsia" w:ascii="宋体" w:hAnsi="宋体"/>
                <w:color w:val="auto"/>
                <w:sz w:val="22"/>
                <w:szCs w:val="22"/>
                <w:highlight w:val="none"/>
                <w:lang w:val="en-GB"/>
              </w:rPr>
              <w:t>数据中心灾备服</w:t>
            </w:r>
          </w:p>
        </w:tc>
        <w:tc>
          <w:tcPr>
            <w:tcW w:w="2656" w:type="dxa"/>
            <w:vAlign w:val="center"/>
          </w:tcPr>
          <w:p w14:paraId="6ABFBBCF">
            <w:pPr>
              <w:jc w:val="center"/>
              <w:rPr>
                <w:rFonts w:ascii="宋体" w:hAnsi="宋体"/>
                <w:color w:val="auto"/>
                <w:sz w:val="22"/>
                <w:szCs w:val="22"/>
                <w:highlight w:val="none"/>
              </w:rPr>
            </w:pPr>
          </w:p>
        </w:tc>
        <w:tc>
          <w:tcPr>
            <w:tcW w:w="2656" w:type="dxa"/>
            <w:vAlign w:val="center"/>
          </w:tcPr>
          <w:p w14:paraId="6558949B">
            <w:pPr>
              <w:jc w:val="center"/>
              <w:rPr>
                <w:rFonts w:ascii="宋体" w:hAnsi="宋体"/>
                <w:color w:val="auto"/>
                <w:sz w:val="22"/>
                <w:szCs w:val="22"/>
                <w:highlight w:val="none"/>
              </w:rPr>
            </w:pPr>
          </w:p>
        </w:tc>
      </w:tr>
      <w:tr w14:paraId="45370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810" w:type="dxa"/>
            <w:vAlign w:val="center"/>
          </w:tcPr>
          <w:p w14:paraId="0426CFF6">
            <w:pPr>
              <w:jc w:val="center"/>
              <w:rPr>
                <w:rFonts w:ascii="宋体" w:hAnsi="宋体"/>
                <w:color w:val="auto"/>
                <w:sz w:val="22"/>
                <w:szCs w:val="22"/>
                <w:highlight w:val="none"/>
              </w:rPr>
            </w:pPr>
            <w:r>
              <w:rPr>
                <w:rFonts w:hint="eastAsia" w:ascii="宋体" w:hAnsi="宋体"/>
                <w:color w:val="auto"/>
                <w:sz w:val="22"/>
                <w:szCs w:val="22"/>
                <w:highlight w:val="none"/>
              </w:rPr>
              <w:t>4</w:t>
            </w:r>
          </w:p>
        </w:tc>
        <w:tc>
          <w:tcPr>
            <w:tcW w:w="3815" w:type="dxa"/>
            <w:vAlign w:val="center"/>
          </w:tcPr>
          <w:p w14:paraId="121A7F6C">
            <w:pPr>
              <w:jc w:val="center"/>
              <w:rPr>
                <w:rFonts w:ascii="宋体" w:hAnsi="宋体"/>
                <w:color w:val="auto"/>
                <w:sz w:val="22"/>
                <w:szCs w:val="22"/>
                <w:highlight w:val="none"/>
                <w:lang w:val="en-GB"/>
              </w:rPr>
            </w:pPr>
          </w:p>
        </w:tc>
        <w:tc>
          <w:tcPr>
            <w:tcW w:w="2656" w:type="dxa"/>
            <w:vAlign w:val="center"/>
          </w:tcPr>
          <w:p w14:paraId="2716B65A">
            <w:pPr>
              <w:jc w:val="center"/>
              <w:rPr>
                <w:rFonts w:ascii="宋体" w:hAnsi="宋体"/>
                <w:color w:val="auto"/>
                <w:sz w:val="22"/>
                <w:szCs w:val="22"/>
                <w:highlight w:val="none"/>
              </w:rPr>
            </w:pPr>
          </w:p>
        </w:tc>
        <w:tc>
          <w:tcPr>
            <w:tcW w:w="2656" w:type="dxa"/>
            <w:vAlign w:val="center"/>
          </w:tcPr>
          <w:p w14:paraId="01F4F413">
            <w:pPr>
              <w:jc w:val="center"/>
              <w:rPr>
                <w:rFonts w:ascii="宋体" w:hAnsi="宋体"/>
                <w:color w:val="auto"/>
                <w:sz w:val="22"/>
                <w:szCs w:val="22"/>
                <w:highlight w:val="none"/>
              </w:rPr>
            </w:pPr>
          </w:p>
        </w:tc>
      </w:tr>
      <w:tr w14:paraId="1CE35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810" w:type="dxa"/>
            <w:vAlign w:val="center"/>
          </w:tcPr>
          <w:p w14:paraId="1F94AAD8">
            <w:pPr>
              <w:jc w:val="center"/>
              <w:rPr>
                <w:rFonts w:ascii="宋体" w:hAnsi="宋体"/>
                <w:color w:val="auto"/>
                <w:sz w:val="22"/>
                <w:szCs w:val="22"/>
                <w:highlight w:val="none"/>
              </w:rPr>
            </w:pPr>
            <w:r>
              <w:rPr>
                <w:rFonts w:hint="eastAsia" w:ascii="宋体" w:hAnsi="宋体"/>
                <w:color w:val="auto"/>
                <w:sz w:val="22"/>
                <w:szCs w:val="22"/>
                <w:highlight w:val="none"/>
              </w:rPr>
              <w:t>5</w:t>
            </w:r>
          </w:p>
        </w:tc>
        <w:tc>
          <w:tcPr>
            <w:tcW w:w="3815" w:type="dxa"/>
            <w:vAlign w:val="center"/>
          </w:tcPr>
          <w:p w14:paraId="79D1B8B2">
            <w:pPr>
              <w:jc w:val="center"/>
              <w:rPr>
                <w:rFonts w:ascii="宋体" w:hAnsi="宋体"/>
                <w:color w:val="auto"/>
                <w:sz w:val="22"/>
                <w:szCs w:val="22"/>
                <w:highlight w:val="none"/>
                <w:lang w:val="en-GB"/>
              </w:rPr>
            </w:pPr>
          </w:p>
        </w:tc>
        <w:tc>
          <w:tcPr>
            <w:tcW w:w="2656" w:type="dxa"/>
            <w:vAlign w:val="center"/>
          </w:tcPr>
          <w:p w14:paraId="0C1C915B">
            <w:pPr>
              <w:jc w:val="center"/>
              <w:rPr>
                <w:rFonts w:ascii="宋体" w:hAnsi="宋体"/>
                <w:color w:val="auto"/>
                <w:sz w:val="22"/>
                <w:szCs w:val="22"/>
                <w:highlight w:val="none"/>
              </w:rPr>
            </w:pPr>
          </w:p>
        </w:tc>
        <w:tc>
          <w:tcPr>
            <w:tcW w:w="2656" w:type="dxa"/>
            <w:vAlign w:val="center"/>
          </w:tcPr>
          <w:p w14:paraId="6F7AAF34">
            <w:pPr>
              <w:jc w:val="center"/>
              <w:rPr>
                <w:rFonts w:ascii="宋体" w:hAnsi="宋体"/>
                <w:color w:val="auto"/>
                <w:sz w:val="22"/>
                <w:szCs w:val="22"/>
                <w:highlight w:val="none"/>
              </w:rPr>
            </w:pPr>
          </w:p>
        </w:tc>
      </w:tr>
      <w:tr w14:paraId="0B997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810" w:type="dxa"/>
            <w:vAlign w:val="center"/>
          </w:tcPr>
          <w:p w14:paraId="4607EA63">
            <w:pPr>
              <w:jc w:val="center"/>
              <w:rPr>
                <w:rFonts w:ascii="宋体" w:hAnsi="宋体"/>
                <w:color w:val="auto"/>
                <w:sz w:val="22"/>
                <w:szCs w:val="22"/>
                <w:highlight w:val="none"/>
              </w:rPr>
            </w:pPr>
            <w:r>
              <w:rPr>
                <w:rFonts w:hint="eastAsia" w:ascii="宋体" w:hAnsi="宋体"/>
                <w:color w:val="auto"/>
                <w:sz w:val="22"/>
                <w:szCs w:val="22"/>
                <w:highlight w:val="none"/>
              </w:rPr>
              <w:t>……</w:t>
            </w:r>
          </w:p>
        </w:tc>
        <w:tc>
          <w:tcPr>
            <w:tcW w:w="3815" w:type="dxa"/>
            <w:vAlign w:val="center"/>
          </w:tcPr>
          <w:p w14:paraId="0D662B99">
            <w:pPr>
              <w:jc w:val="center"/>
              <w:rPr>
                <w:rFonts w:ascii="宋体" w:hAnsi="宋体"/>
                <w:color w:val="auto"/>
                <w:sz w:val="22"/>
                <w:szCs w:val="22"/>
                <w:highlight w:val="none"/>
              </w:rPr>
            </w:pPr>
          </w:p>
        </w:tc>
        <w:tc>
          <w:tcPr>
            <w:tcW w:w="2656" w:type="dxa"/>
            <w:vAlign w:val="center"/>
          </w:tcPr>
          <w:p w14:paraId="32C169D6">
            <w:pPr>
              <w:jc w:val="center"/>
              <w:rPr>
                <w:rFonts w:ascii="宋体" w:hAnsi="宋体"/>
                <w:color w:val="auto"/>
                <w:sz w:val="22"/>
                <w:szCs w:val="22"/>
                <w:highlight w:val="none"/>
              </w:rPr>
            </w:pPr>
          </w:p>
        </w:tc>
        <w:tc>
          <w:tcPr>
            <w:tcW w:w="2656" w:type="dxa"/>
            <w:vAlign w:val="center"/>
          </w:tcPr>
          <w:p w14:paraId="01EC899A">
            <w:pPr>
              <w:jc w:val="center"/>
              <w:rPr>
                <w:rFonts w:ascii="宋体" w:hAnsi="宋体"/>
                <w:color w:val="auto"/>
                <w:sz w:val="22"/>
                <w:szCs w:val="22"/>
                <w:highlight w:val="none"/>
              </w:rPr>
            </w:pPr>
          </w:p>
        </w:tc>
      </w:tr>
      <w:tr w14:paraId="2A774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4625" w:type="dxa"/>
            <w:gridSpan w:val="2"/>
            <w:vAlign w:val="center"/>
          </w:tcPr>
          <w:p w14:paraId="5987AEFA">
            <w:pPr>
              <w:jc w:val="center"/>
              <w:rPr>
                <w:rFonts w:ascii="宋体" w:hAnsi="宋体"/>
                <w:color w:val="auto"/>
                <w:sz w:val="22"/>
                <w:szCs w:val="22"/>
                <w:highlight w:val="none"/>
              </w:rPr>
            </w:pPr>
            <w:r>
              <w:rPr>
                <w:rFonts w:hint="eastAsia" w:ascii="宋体" w:hAnsi="宋体"/>
                <w:color w:val="auto"/>
                <w:sz w:val="22"/>
                <w:szCs w:val="22"/>
                <w:highlight w:val="none"/>
              </w:rPr>
              <w:t>投标总价</w:t>
            </w:r>
          </w:p>
        </w:tc>
        <w:tc>
          <w:tcPr>
            <w:tcW w:w="5312" w:type="dxa"/>
            <w:gridSpan w:val="2"/>
          </w:tcPr>
          <w:p w14:paraId="6BB976AB">
            <w:pPr>
              <w:spacing w:line="360" w:lineRule="auto"/>
              <w:jc w:val="left"/>
              <w:rPr>
                <w:rFonts w:ascii="宋体" w:hAnsi="宋体"/>
                <w:color w:val="auto"/>
                <w:sz w:val="22"/>
                <w:szCs w:val="22"/>
                <w:highlight w:val="none"/>
              </w:rPr>
            </w:pPr>
          </w:p>
        </w:tc>
      </w:tr>
    </w:tbl>
    <w:p w14:paraId="6DF17DF9">
      <w:pPr>
        <w:spacing w:line="360" w:lineRule="auto"/>
        <w:rPr>
          <w:rFonts w:ascii="宋体" w:hAnsi="宋体" w:cs="宋体"/>
          <w:color w:val="auto"/>
          <w:kern w:val="0"/>
          <w:szCs w:val="21"/>
          <w:highlight w:val="none"/>
        </w:rPr>
      </w:pPr>
    </w:p>
    <w:p w14:paraId="6FBCA7E9">
      <w:pPr>
        <w:spacing w:line="360" w:lineRule="exact"/>
        <w:rPr>
          <w:rFonts w:ascii="宋体" w:hAnsi="宋体"/>
          <w:b/>
          <w:color w:val="auto"/>
          <w:sz w:val="22"/>
          <w:szCs w:val="22"/>
          <w:highlight w:val="none"/>
        </w:rPr>
      </w:pPr>
      <w:r>
        <w:rPr>
          <w:rFonts w:hint="eastAsia" w:ascii="宋体" w:hAnsi="宋体"/>
          <w:b/>
          <w:bCs/>
          <w:color w:val="auto"/>
          <w:sz w:val="22"/>
          <w:szCs w:val="22"/>
          <w:highlight w:val="none"/>
        </w:rPr>
        <w:t>说明：</w:t>
      </w:r>
      <w:r>
        <w:rPr>
          <w:rFonts w:hint="eastAsia" w:ascii="宋体" w:hAnsi="宋体"/>
          <w:b/>
          <w:color w:val="auto"/>
          <w:sz w:val="22"/>
          <w:szCs w:val="22"/>
          <w:highlight w:val="none"/>
        </w:rPr>
        <w:t>1、此表内投标总价应与（1）“开标一览表”投标报价相一致。</w:t>
      </w:r>
    </w:p>
    <w:p w14:paraId="4BFFDF1D">
      <w:pPr>
        <w:spacing w:line="360" w:lineRule="exact"/>
        <w:ind w:firstLine="663" w:firstLineChars="300"/>
        <w:rPr>
          <w:rFonts w:ascii="宋体" w:hAnsi="宋体"/>
          <w:b/>
          <w:color w:val="auto"/>
          <w:sz w:val="22"/>
          <w:szCs w:val="22"/>
          <w:highlight w:val="none"/>
        </w:rPr>
      </w:pPr>
      <w:r>
        <w:rPr>
          <w:rFonts w:hint="eastAsia" w:ascii="宋体" w:hAnsi="宋体"/>
          <w:b/>
          <w:color w:val="auto"/>
          <w:sz w:val="22"/>
          <w:szCs w:val="22"/>
          <w:highlight w:val="none"/>
        </w:rPr>
        <w:t>2、</w:t>
      </w:r>
      <w:r>
        <w:rPr>
          <w:rFonts w:hint="eastAsia" w:ascii="宋体" w:hAnsi="宋体" w:cs="Arial"/>
          <w:b/>
          <w:bCs/>
          <w:color w:val="auto"/>
          <w:sz w:val="22"/>
          <w:szCs w:val="22"/>
          <w:highlight w:val="none"/>
        </w:rPr>
        <w:t>▲</w:t>
      </w:r>
      <w:r>
        <w:rPr>
          <w:rFonts w:hint="eastAsia" w:ascii="宋体" w:hAnsi="宋体"/>
          <w:b/>
          <w:color w:val="auto"/>
          <w:sz w:val="22"/>
          <w:szCs w:val="22"/>
          <w:highlight w:val="none"/>
          <w:u w:val="single"/>
        </w:rPr>
        <w:t>不提供投标分项报价表，视为没有实质性响应采购文件要求。</w:t>
      </w:r>
    </w:p>
    <w:p w14:paraId="7B9391CE">
      <w:pPr>
        <w:spacing w:line="380" w:lineRule="exact"/>
        <w:ind w:firstLine="663" w:firstLineChars="300"/>
        <w:rPr>
          <w:rFonts w:ascii="宋体" w:hAnsi="宋体" w:cs="宋体"/>
          <w:color w:val="auto"/>
          <w:sz w:val="22"/>
          <w:szCs w:val="22"/>
          <w:highlight w:val="none"/>
        </w:rPr>
      </w:pPr>
      <w:r>
        <w:rPr>
          <w:rFonts w:ascii="宋体" w:hAnsi="宋体" w:cs="宋体"/>
          <w:b/>
          <w:color w:val="auto"/>
          <w:sz w:val="22"/>
          <w:szCs w:val="22"/>
          <w:highlight w:val="none"/>
        </w:rPr>
        <w:t>3</w:t>
      </w:r>
      <w:r>
        <w:rPr>
          <w:rFonts w:hint="eastAsia" w:ascii="宋体" w:hAnsi="宋体" w:cs="宋体"/>
          <w:b/>
          <w:color w:val="auto"/>
          <w:sz w:val="22"/>
          <w:szCs w:val="22"/>
          <w:highlight w:val="none"/>
        </w:rPr>
        <w:t xml:space="preserve">. </w:t>
      </w:r>
      <w:r>
        <w:rPr>
          <w:rFonts w:hint="eastAsia" w:ascii="宋体" w:hAnsi="宋体" w:cs="宋体"/>
          <w:color w:val="auto"/>
          <w:sz w:val="22"/>
          <w:szCs w:val="22"/>
          <w:highlight w:val="none"/>
        </w:rPr>
        <w:t>本表可在不改变格式的情况下根据具体需要自行增减。</w:t>
      </w:r>
    </w:p>
    <w:p w14:paraId="31884E41">
      <w:pPr>
        <w:spacing w:line="360" w:lineRule="auto"/>
        <w:ind w:firstLine="420" w:firstLineChars="200"/>
        <w:rPr>
          <w:rFonts w:ascii="宋体" w:hAnsi="宋体"/>
          <w:color w:val="auto"/>
          <w:szCs w:val="21"/>
          <w:highlight w:val="none"/>
        </w:rPr>
      </w:pPr>
    </w:p>
    <w:p w14:paraId="3FB61276">
      <w:pPr>
        <w:spacing w:line="380" w:lineRule="exact"/>
        <w:ind w:firstLine="420" w:firstLineChars="200"/>
        <w:rPr>
          <w:rFonts w:ascii="宋体" w:hAnsi="宋体"/>
          <w:color w:val="auto"/>
          <w:szCs w:val="21"/>
          <w:highlight w:val="none"/>
        </w:rPr>
      </w:pPr>
    </w:p>
    <w:p w14:paraId="5228C26B">
      <w:pPr>
        <w:pStyle w:val="25"/>
        <w:rPr>
          <w:rFonts w:ascii="宋体" w:hAnsi="宋体"/>
          <w:color w:val="auto"/>
          <w:szCs w:val="21"/>
          <w:highlight w:val="none"/>
        </w:rPr>
      </w:pPr>
    </w:p>
    <w:p w14:paraId="14FC50F4">
      <w:pPr>
        <w:pStyle w:val="26"/>
        <w:ind w:firstLine="210"/>
        <w:rPr>
          <w:rFonts w:ascii="宋体" w:hAnsi="宋体"/>
          <w:color w:val="auto"/>
          <w:szCs w:val="21"/>
          <w:highlight w:val="none"/>
        </w:rPr>
      </w:pPr>
    </w:p>
    <w:p w14:paraId="1D4B341E">
      <w:pPr>
        <w:rPr>
          <w:color w:val="auto"/>
          <w:highlight w:val="none"/>
        </w:rPr>
      </w:pPr>
    </w:p>
    <w:p w14:paraId="57940CE5">
      <w:pPr>
        <w:spacing w:line="380" w:lineRule="exact"/>
        <w:rPr>
          <w:rFonts w:ascii="宋体" w:hAnsi="宋体"/>
          <w:color w:val="auto"/>
          <w:sz w:val="22"/>
          <w:szCs w:val="22"/>
          <w:highlight w:val="none"/>
        </w:rPr>
      </w:pPr>
      <w:r>
        <w:rPr>
          <w:rFonts w:hint="eastAsia" w:ascii="宋体" w:hAnsi="宋体"/>
          <w:color w:val="auto"/>
          <w:sz w:val="22"/>
          <w:szCs w:val="22"/>
          <w:highlight w:val="none"/>
        </w:rPr>
        <w:t>投标人全称（盖章）：</w:t>
      </w:r>
    </w:p>
    <w:p w14:paraId="36C81888">
      <w:pPr>
        <w:spacing w:line="380" w:lineRule="exact"/>
        <w:rPr>
          <w:rFonts w:ascii="宋体" w:hAnsi="宋体"/>
          <w:color w:val="auto"/>
          <w:sz w:val="22"/>
          <w:szCs w:val="22"/>
          <w:highlight w:val="none"/>
        </w:rPr>
      </w:pPr>
      <w:r>
        <w:rPr>
          <w:rFonts w:hint="eastAsia" w:ascii="宋体" w:hAnsi="宋体"/>
          <w:color w:val="auto"/>
          <w:sz w:val="22"/>
          <w:szCs w:val="22"/>
          <w:highlight w:val="none"/>
        </w:rPr>
        <w:t>法定代表人或授权代表（签字或盖章）：</w:t>
      </w:r>
    </w:p>
    <w:p w14:paraId="207B20E7">
      <w:pPr>
        <w:spacing w:line="380" w:lineRule="exact"/>
        <w:jc w:val="left"/>
        <w:rPr>
          <w:rFonts w:ascii="宋体" w:hAnsi="宋体" w:cs="Arial"/>
          <w:b/>
          <w:bCs/>
          <w:color w:val="auto"/>
          <w:sz w:val="22"/>
          <w:szCs w:val="22"/>
          <w:highlight w:val="none"/>
        </w:rPr>
      </w:pPr>
      <w:r>
        <w:rPr>
          <w:rFonts w:hint="eastAsia" w:ascii="宋体" w:hAnsi="宋体"/>
          <w:color w:val="auto"/>
          <w:sz w:val="22"/>
          <w:szCs w:val="22"/>
          <w:highlight w:val="none"/>
        </w:rPr>
        <w:t>日期：</w:t>
      </w:r>
    </w:p>
    <w:p w14:paraId="6B198DA1">
      <w:pPr>
        <w:spacing w:line="460" w:lineRule="exact"/>
        <w:rPr>
          <w:rFonts w:ascii="宋体" w:hAnsi="宋体"/>
          <w:b/>
          <w:bCs/>
          <w:color w:val="auto"/>
          <w:sz w:val="22"/>
          <w:szCs w:val="22"/>
          <w:highlight w:val="none"/>
        </w:rPr>
      </w:pPr>
      <w:r>
        <w:rPr>
          <w:rFonts w:ascii="宋体" w:hAnsi="宋体" w:cs="Arial"/>
          <w:b/>
          <w:bCs/>
          <w:color w:val="auto"/>
          <w:szCs w:val="21"/>
          <w:highlight w:val="none"/>
        </w:rPr>
        <w:br w:type="page"/>
      </w:r>
      <w:r>
        <w:rPr>
          <w:rFonts w:hint="eastAsia" w:ascii="宋体" w:hAnsi="宋体"/>
          <w:b/>
          <w:bCs/>
          <w:color w:val="auto"/>
          <w:sz w:val="22"/>
          <w:szCs w:val="22"/>
          <w:highlight w:val="none"/>
        </w:rPr>
        <w:t>附件三</w:t>
      </w:r>
    </w:p>
    <w:p w14:paraId="49FF4A35">
      <w:pPr>
        <w:spacing w:line="460" w:lineRule="exact"/>
        <w:rPr>
          <w:rFonts w:ascii="宋体" w:hAnsi="宋体"/>
          <w:b/>
          <w:bCs/>
          <w:color w:val="auto"/>
          <w:highlight w:val="none"/>
        </w:rPr>
      </w:pPr>
    </w:p>
    <w:p w14:paraId="5F68826E">
      <w:pPr>
        <w:spacing w:line="460" w:lineRule="exact"/>
        <w:jc w:val="center"/>
        <w:rPr>
          <w:rFonts w:ascii="宋体" w:hAnsi="宋体"/>
          <w:b/>
          <w:bCs/>
          <w:color w:val="auto"/>
          <w:sz w:val="28"/>
          <w:szCs w:val="28"/>
          <w:highlight w:val="none"/>
        </w:rPr>
      </w:pPr>
      <w:r>
        <w:rPr>
          <w:rFonts w:hint="eastAsia" w:ascii="宋体" w:hAnsi="宋体"/>
          <w:b/>
          <w:bCs/>
          <w:color w:val="auto"/>
          <w:sz w:val="28"/>
          <w:szCs w:val="28"/>
          <w:highlight w:val="none"/>
        </w:rPr>
        <w:t>投 标 函</w:t>
      </w:r>
    </w:p>
    <w:p w14:paraId="77AAA8F1">
      <w:pPr>
        <w:spacing w:line="420" w:lineRule="exact"/>
        <w:rPr>
          <w:rFonts w:ascii="宋体" w:hAnsi="宋体"/>
          <w:color w:val="auto"/>
          <w:sz w:val="22"/>
          <w:szCs w:val="22"/>
          <w:highlight w:val="none"/>
        </w:rPr>
      </w:pPr>
      <w:r>
        <w:rPr>
          <w:rFonts w:hint="eastAsia" w:ascii="宋体" w:hAnsi="宋体"/>
          <w:bCs/>
          <w:color w:val="auto"/>
          <w:sz w:val="22"/>
          <w:szCs w:val="22"/>
          <w:highlight w:val="none"/>
        </w:rPr>
        <w:t>温州市交通运输局</w:t>
      </w:r>
      <w:r>
        <w:rPr>
          <w:rFonts w:hint="eastAsia" w:ascii="宋体" w:hAnsi="宋体"/>
          <w:color w:val="auto"/>
          <w:sz w:val="22"/>
          <w:szCs w:val="22"/>
          <w:highlight w:val="none"/>
        </w:rPr>
        <w:t>：</w:t>
      </w:r>
    </w:p>
    <w:p w14:paraId="13C892BE">
      <w:pPr>
        <w:spacing w:line="420" w:lineRule="exact"/>
        <w:rPr>
          <w:rFonts w:ascii="宋体" w:hAnsi="宋体"/>
          <w:color w:val="auto"/>
          <w:sz w:val="22"/>
          <w:szCs w:val="22"/>
          <w:highlight w:val="none"/>
        </w:rPr>
      </w:pPr>
      <w:r>
        <w:rPr>
          <w:rFonts w:hint="eastAsia" w:ascii="宋体" w:hAnsi="宋体"/>
          <w:color w:val="auto"/>
          <w:sz w:val="22"/>
          <w:szCs w:val="22"/>
          <w:highlight w:val="none"/>
          <w:lang w:eastAsia="zh-CN"/>
        </w:rPr>
        <w:t>浙江欣力工程管理有限公司</w:t>
      </w:r>
      <w:r>
        <w:rPr>
          <w:rFonts w:hint="eastAsia" w:ascii="宋体" w:hAnsi="宋体"/>
          <w:color w:val="auto"/>
          <w:sz w:val="22"/>
          <w:szCs w:val="22"/>
          <w:highlight w:val="none"/>
        </w:rPr>
        <w:t>：</w:t>
      </w:r>
    </w:p>
    <w:p w14:paraId="330AE22A">
      <w:pPr>
        <w:spacing w:line="42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根据贵方为</w:t>
      </w:r>
      <w:r>
        <w:rPr>
          <w:rFonts w:hint="eastAsia" w:ascii="宋体" w:hAnsi="宋体"/>
          <w:b w:val="0"/>
          <w:color w:val="auto"/>
          <w:sz w:val="22"/>
          <w:szCs w:val="22"/>
          <w:highlight w:val="none"/>
          <w:u w:val="single"/>
        </w:rPr>
        <w:t>交通技术服务运维项目</w:t>
      </w:r>
      <w:r>
        <w:rPr>
          <w:rFonts w:hint="eastAsia" w:ascii="宋体" w:hAnsi="宋体"/>
          <w:color w:val="auto"/>
          <w:sz w:val="22"/>
          <w:szCs w:val="22"/>
          <w:highlight w:val="none"/>
        </w:rPr>
        <w:t>（招标编号：</w:t>
      </w:r>
      <w:r>
        <w:rPr>
          <w:rFonts w:hint="eastAsia" w:ascii="宋体" w:hAnsi="宋体"/>
          <w:b w:val="0"/>
          <w:color w:val="auto"/>
          <w:sz w:val="22"/>
          <w:szCs w:val="22"/>
          <w:highlight w:val="none"/>
          <w:u w:val="single"/>
        </w:rPr>
        <w:t>XLCG2025002</w:t>
      </w:r>
      <w:r>
        <w:rPr>
          <w:rFonts w:hint="eastAsia" w:ascii="宋体" w:hAnsi="宋体"/>
          <w:color w:val="auto"/>
          <w:sz w:val="22"/>
          <w:szCs w:val="22"/>
          <w:highlight w:val="none"/>
        </w:rPr>
        <w:t>）的投标邀请，我方</w:t>
      </w:r>
      <w:r>
        <w:rPr>
          <w:rFonts w:hint="eastAsia" w:ascii="宋体" w:hAnsi="宋体"/>
          <w:color w:val="auto"/>
          <w:sz w:val="22"/>
          <w:szCs w:val="22"/>
          <w:highlight w:val="none"/>
          <w:u w:val="single"/>
        </w:rPr>
        <w:t xml:space="preserve">           　　</w:t>
      </w:r>
      <w:r>
        <w:rPr>
          <w:rFonts w:hint="eastAsia" w:ascii="宋体" w:hAnsi="宋体"/>
          <w:color w:val="auto"/>
          <w:sz w:val="22"/>
          <w:szCs w:val="22"/>
          <w:highlight w:val="none"/>
        </w:rPr>
        <w:t>（投标人名称）作为投标人正式授权</w:t>
      </w:r>
      <w:r>
        <w:rPr>
          <w:rFonts w:hint="eastAsia" w:ascii="宋体" w:hAnsi="宋体"/>
          <w:color w:val="auto"/>
          <w:sz w:val="22"/>
          <w:szCs w:val="22"/>
          <w:highlight w:val="none"/>
          <w:u w:val="single"/>
        </w:rPr>
        <w:t xml:space="preserve">　           </w:t>
      </w:r>
      <w:r>
        <w:rPr>
          <w:rFonts w:hint="eastAsia" w:ascii="宋体" w:hAnsi="宋体"/>
          <w:color w:val="auto"/>
          <w:sz w:val="22"/>
          <w:szCs w:val="22"/>
          <w:highlight w:val="none"/>
        </w:rPr>
        <w:t>（授权代表全名，职务）代表我方处理有关本投标的一切事宜。</w:t>
      </w:r>
    </w:p>
    <w:p w14:paraId="0D713456">
      <w:pPr>
        <w:pStyle w:val="16"/>
        <w:spacing w:line="360" w:lineRule="exact"/>
        <w:ind w:firstLine="440" w:firstLineChars="200"/>
        <w:rPr>
          <w:rFonts w:ascii="宋体" w:hAnsi="宋体" w:cs="hakuyoxingshu7000"/>
          <w:color w:val="auto"/>
          <w:sz w:val="22"/>
          <w:highlight w:val="none"/>
        </w:rPr>
      </w:pPr>
      <w:r>
        <w:rPr>
          <w:rFonts w:hint="eastAsia" w:ascii="宋体" w:hAnsi="宋体" w:cs="hakuyoxingshu7000"/>
          <w:color w:val="auto"/>
          <w:sz w:val="22"/>
          <w:szCs w:val="22"/>
          <w:highlight w:val="none"/>
        </w:rPr>
        <w:t>在此提交的投标文件中，包括如下内</w:t>
      </w:r>
      <w:r>
        <w:rPr>
          <w:rFonts w:hint="eastAsia" w:ascii="宋体" w:hAnsi="宋体" w:cs="hakuyoxingshu7000"/>
          <w:color w:val="auto"/>
          <w:sz w:val="22"/>
          <w:highlight w:val="none"/>
        </w:rPr>
        <w:t>容：</w:t>
      </w:r>
    </w:p>
    <w:p w14:paraId="2D0DFF83">
      <w:pPr>
        <w:spacing w:line="360" w:lineRule="exact"/>
        <w:ind w:firstLine="440" w:firstLineChars="200"/>
        <w:rPr>
          <w:rFonts w:ascii="宋体" w:hAnsi="宋体" w:cs="hakuyoxingshu7000"/>
          <w:color w:val="auto"/>
          <w:sz w:val="22"/>
          <w:highlight w:val="none"/>
        </w:rPr>
      </w:pPr>
      <w:r>
        <w:rPr>
          <w:rFonts w:hint="eastAsia" w:ascii="宋体" w:hAnsi="宋体" w:cs="hakuyoxingshu7000"/>
          <w:color w:val="auto"/>
          <w:sz w:val="22"/>
          <w:highlight w:val="none"/>
        </w:rPr>
        <w:t>1、</w:t>
      </w:r>
      <w:r>
        <w:rPr>
          <w:rFonts w:hint="eastAsia" w:ascii="宋体" w:hAnsi="宋体" w:cs="新宋体"/>
          <w:color w:val="auto"/>
          <w:sz w:val="22"/>
          <w:highlight w:val="none"/>
        </w:rPr>
        <w:t>按“投标人须知”要求编制的投标文件资格文件；</w:t>
      </w:r>
    </w:p>
    <w:p w14:paraId="531A070F">
      <w:pPr>
        <w:spacing w:line="360" w:lineRule="exact"/>
        <w:ind w:firstLine="440" w:firstLineChars="200"/>
        <w:rPr>
          <w:rFonts w:ascii="宋体" w:hAnsi="宋体" w:cs="hakuyoxingshu7000"/>
          <w:color w:val="auto"/>
          <w:sz w:val="22"/>
          <w:highlight w:val="none"/>
        </w:rPr>
      </w:pPr>
      <w:r>
        <w:rPr>
          <w:rFonts w:hint="eastAsia" w:ascii="宋体" w:hAnsi="宋体" w:cs="hakuyoxingshu7000"/>
          <w:color w:val="auto"/>
          <w:sz w:val="22"/>
          <w:highlight w:val="none"/>
        </w:rPr>
        <w:t>2、按“投标人须知”要求编制的投标文件商务技术文件；</w:t>
      </w:r>
    </w:p>
    <w:p w14:paraId="306317D1">
      <w:pPr>
        <w:spacing w:line="360" w:lineRule="exact"/>
        <w:ind w:firstLine="440" w:firstLineChars="200"/>
        <w:rPr>
          <w:rFonts w:ascii="宋体" w:hAnsi="宋体" w:cs="hakuyoxingshu7000"/>
          <w:color w:val="auto"/>
          <w:sz w:val="22"/>
          <w:highlight w:val="none"/>
        </w:rPr>
      </w:pPr>
      <w:r>
        <w:rPr>
          <w:rFonts w:hint="eastAsia" w:ascii="宋体" w:hAnsi="宋体" w:cs="hakuyoxingshu7000"/>
          <w:color w:val="auto"/>
          <w:sz w:val="22"/>
          <w:highlight w:val="none"/>
        </w:rPr>
        <w:t>3、按“投标人须知”要求编制的投标文件报价文件；</w:t>
      </w:r>
    </w:p>
    <w:p w14:paraId="0EA58705">
      <w:pPr>
        <w:spacing w:line="360" w:lineRule="exact"/>
        <w:ind w:firstLine="440" w:firstLineChars="200"/>
        <w:rPr>
          <w:rFonts w:ascii="宋体" w:hAnsi="宋体" w:cs="hakuyoxingshu7000"/>
          <w:color w:val="auto"/>
          <w:sz w:val="22"/>
          <w:highlight w:val="none"/>
        </w:rPr>
      </w:pPr>
      <w:r>
        <w:rPr>
          <w:rFonts w:hint="eastAsia" w:ascii="宋体" w:hAnsi="宋体" w:cs="hakuyoxingshu7000"/>
          <w:color w:val="auto"/>
          <w:sz w:val="22"/>
          <w:highlight w:val="none"/>
        </w:rPr>
        <w:t>我方己完全明白招标文件的所有条款要求，并重申以下几点：</w:t>
      </w:r>
    </w:p>
    <w:p w14:paraId="3C1A4FE9">
      <w:pPr>
        <w:pStyle w:val="123"/>
        <w:numPr>
          <w:ilvl w:val="1"/>
          <w:numId w:val="51"/>
        </w:numPr>
        <w:spacing w:line="360" w:lineRule="exact"/>
        <w:ind w:left="567" w:hanging="283" w:firstLineChars="0"/>
        <w:rPr>
          <w:rFonts w:ascii="宋体" w:hAnsi="宋体" w:cs="hakuyoxingshu7000"/>
          <w:color w:val="auto"/>
          <w:sz w:val="22"/>
          <w:highlight w:val="none"/>
        </w:rPr>
      </w:pPr>
      <w:r>
        <w:rPr>
          <w:rFonts w:hint="eastAsia" w:ascii="宋体" w:hAnsi="宋体" w:cs="hakuyoxingshu7000"/>
          <w:color w:val="auto"/>
          <w:sz w:val="22"/>
          <w:highlight w:val="none"/>
        </w:rPr>
        <w:t>本投标文件的有效期自投标截止日起  90 天内有效，如中标，有效期将延至合同终止日为止；</w:t>
      </w:r>
    </w:p>
    <w:p w14:paraId="429574FD">
      <w:pPr>
        <w:pStyle w:val="123"/>
        <w:numPr>
          <w:ilvl w:val="1"/>
          <w:numId w:val="51"/>
        </w:numPr>
        <w:spacing w:line="360" w:lineRule="exact"/>
        <w:ind w:left="567" w:hanging="283" w:firstLineChars="0"/>
        <w:rPr>
          <w:rFonts w:ascii="宋体" w:hAnsi="宋体" w:cs="hakuyoxingshu7000"/>
          <w:color w:val="auto"/>
          <w:sz w:val="22"/>
          <w:highlight w:val="none"/>
        </w:rPr>
      </w:pPr>
      <w:r>
        <w:rPr>
          <w:rFonts w:hint="eastAsia" w:ascii="宋体" w:hAnsi="宋体" w:cs="hakuyoxingshu7000"/>
          <w:color w:val="auto"/>
          <w:sz w:val="22"/>
          <w:highlight w:val="none"/>
        </w:rPr>
        <w:t>我方已详细研究了招标文件的所有内容包括修改书（如有）和所有已提供的参考资料以及有关附件，我方完全理解并同意放弃在此方面提出含糊意见或误解的一切权力；</w:t>
      </w:r>
    </w:p>
    <w:p w14:paraId="4F0205D9">
      <w:pPr>
        <w:pStyle w:val="123"/>
        <w:numPr>
          <w:ilvl w:val="1"/>
          <w:numId w:val="51"/>
        </w:numPr>
        <w:spacing w:line="360" w:lineRule="exact"/>
        <w:ind w:left="567" w:hanging="283" w:firstLineChars="0"/>
        <w:rPr>
          <w:rFonts w:ascii="宋体" w:hAnsi="宋体" w:cs="hakuyoxingshu7000"/>
          <w:color w:val="auto"/>
          <w:sz w:val="22"/>
          <w:highlight w:val="none"/>
        </w:rPr>
      </w:pPr>
      <w:r>
        <w:rPr>
          <w:rFonts w:hint="eastAsia" w:ascii="宋体" w:hAnsi="宋体" w:cs="hakuyoxingshu7000"/>
          <w:color w:val="auto"/>
          <w:sz w:val="22"/>
          <w:highlight w:val="none"/>
        </w:rPr>
        <w:t>我方郑重承诺所提供的“信用中国网站”、“中国政府采购网”信用查询证明文件真实有效；</w:t>
      </w:r>
    </w:p>
    <w:p w14:paraId="63F0CFF2">
      <w:pPr>
        <w:pStyle w:val="123"/>
        <w:numPr>
          <w:ilvl w:val="1"/>
          <w:numId w:val="51"/>
        </w:numPr>
        <w:spacing w:line="360" w:lineRule="exact"/>
        <w:ind w:left="567" w:hanging="283" w:firstLineChars="0"/>
        <w:rPr>
          <w:rFonts w:ascii="宋体" w:hAnsi="宋体" w:cs="hakuyoxingshu7000"/>
          <w:color w:val="auto"/>
          <w:sz w:val="22"/>
          <w:highlight w:val="none"/>
        </w:rPr>
      </w:pPr>
      <w:r>
        <w:rPr>
          <w:rFonts w:hint="eastAsia" w:ascii="宋体" w:hAnsi="宋体" w:cs="hakuyoxingshu7000"/>
          <w:color w:val="auto"/>
          <w:sz w:val="22"/>
          <w:highlight w:val="none"/>
        </w:rPr>
        <w:t>我方在参加本项目前三年内</w:t>
      </w:r>
      <w:r>
        <w:rPr>
          <w:rFonts w:hint="eastAsia" w:ascii="宋体" w:hAnsi="宋体" w:cs="hakuyoxingshu7000"/>
          <w:color w:val="auto"/>
          <w:sz w:val="22"/>
          <w:highlight w:val="none"/>
          <w:u w:val="single"/>
        </w:rPr>
        <w:t>（被通报或者处罚的违法行为有：               ）</w:t>
      </w:r>
      <w:r>
        <w:rPr>
          <w:rFonts w:hint="eastAsia" w:ascii="宋体" w:hAnsi="宋体" w:cs="hakuyoxingshu7000"/>
          <w:color w:val="auto"/>
          <w:sz w:val="22"/>
          <w:highlight w:val="none"/>
        </w:rPr>
        <w:t>或（</w:t>
      </w:r>
      <w:r>
        <w:rPr>
          <w:rFonts w:hint="eastAsia" w:ascii="宋体" w:hAnsi="宋体" w:cs="hakuyoxingshu7000"/>
          <w:color w:val="auto"/>
          <w:sz w:val="22"/>
          <w:highlight w:val="none"/>
          <w:u w:val="single"/>
        </w:rPr>
        <w:t>没有因违法经营受到刑事处罚或者责令停产停业、吊销许可证或者执照、较大数额罚款等行政处罚或处罚）</w:t>
      </w:r>
      <w:r>
        <w:rPr>
          <w:rFonts w:hint="eastAsia" w:ascii="宋体" w:hAnsi="宋体" w:cs="hakuyoxingshu7000"/>
          <w:color w:val="auto"/>
          <w:sz w:val="22"/>
          <w:highlight w:val="none"/>
        </w:rPr>
        <w:t>或</w:t>
      </w:r>
      <w:r>
        <w:rPr>
          <w:rFonts w:hint="eastAsia" w:ascii="宋体" w:hAnsi="宋体" w:cs="hakuyoxingshu7000"/>
          <w:color w:val="auto"/>
          <w:sz w:val="22"/>
          <w:highlight w:val="none"/>
          <w:u w:val="single"/>
        </w:rPr>
        <w:t>（在  至  期间禁止参加政府采购活动但是期限届满，须附相关证明文件）</w:t>
      </w:r>
      <w:r>
        <w:rPr>
          <w:rFonts w:hint="eastAsia" w:ascii="宋体" w:hAnsi="宋体" w:cs="hakuyoxingshu7000"/>
          <w:color w:val="auto"/>
          <w:sz w:val="22"/>
          <w:highlight w:val="none"/>
        </w:rPr>
        <w:t>；</w:t>
      </w:r>
    </w:p>
    <w:p w14:paraId="2C131766">
      <w:pPr>
        <w:pStyle w:val="123"/>
        <w:numPr>
          <w:ilvl w:val="1"/>
          <w:numId w:val="51"/>
        </w:numPr>
        <w:spacing w:line="360" w:lineRule="exact"/>
        <w:ind w:left="567" w:hanging="283" w:firstLineChars="0"/>
        <w:rPr>
          <w:rFonts w:ascii="宋体" w:hAnsi="宋体" w:cs="hakuyoxingshu7000"/>
          <w:color w:val="auto"/>
          <w:sz w:val="22"/>
          <w:highlight w:val="none"/>
        </w:rPr>
      </w:pPr>
      <w:r>
        <w:rPr>
          <w:rFonts w:hint="eastAsia" w:ascii="宋体" w:hAnsi="宋体" w:cs="hakuyoxingshu7000"/>
          <w:color w:val="auto"/>
          <w:sz w:val="22"/>
          <w:highlight w:val="none"/>
        </w:rPr>
        <w:t>我方同意提供按照贵方可能要求的与投标有关的一切数据或资料；</w:t>
      </w:r>
    </w:p>
    <w:p w14:paraId="0FC5D47A">
      <w:pPr>
        <w:pStyle w:val="123"/>
        <w:numPr>
          <w:ilvl w:val="1"/>
          <w:numId w:val="51"/>
        </w:numPr>
        <w:spacing w:line="360" w:lineRule="exact"/>
        <w:ind w:left="567" w:hanging="283" w:firstLineChars="0"/>
        <w:rPr>
          <w:rFonts w:ascii="宋体" w:hAnsi="宋体" w:cs="hakuyoxingshu7000"/>
          <w:color w:val="auto"/>
          <w:sz w:val="22"/>
          <w:highlight w:val="none"/>
        </w:rPr>
      </w:pPr>
      <w:r>
        <w:rPr>
          <w:rFonts w:hint="eastAsia" w:ascii="宋体" w:hAnsi="宋体" w:cs="hakuyoxingshu7000"/>
          <w:color w:val="auto"/>
          <w:sz w:val="22"/>
          <w:highlight w:val="none"/>
        </w:rPr>
        <w:t>我方理解贵方不一定接受最低报价。</w:t>
      </w:r>
      <w:r>
        <w:rPr>
          <w:rFonts w:ascii="宋体" w:hAnsi="宋体" w:cs="hakuyoxingshu7000"/>
          <w:color w:val="auto"/>
          <w:sz w:val="22"/>
          <w:highlight w:val="none"/>
        </w:rPr>
        <w:tab/>
      </w:r>
    </w:p>
    <w:p w14:paraId="7D23864E">
      <w:pPr>
        <w:pStyle w:val="123"/>
        <w:numPr>
          <w:ilvl w:val="1"/>
          <w:numId w:val="51"/>
        </w:numPr>
        <w:spacing w:line="360" w:lineRule="exact"/>
        <w:ind w:left="567" w:hanging="283" w:firstLineChars="0"/>
        <w:rPr>
          <w:rFonts w:ascii="宋体" w:hAnsi="宋体" w:cs="hakuyoxingshu7000"/>
          <w:color w:val="auto"/>
          <w:sz w:val="22"/>
          <w:highlight w:val="none"/>
        </w:rPr>
      </w:pPr>
      <w:r>
        <w:rPr>
          <w:rFonts w:hint="eastAsia" w:ascii="宋体" w:hAnsi="宋体" w:cs="hakuyoxingshu7000"/>
          <w:color w:val="auto"/>
          <w:sz w:val="22"/>
          <w:highlight w:val="none"/>
        </w:rPr>
        <w:t>我方如果中标，将保证履行招标文件以及招标文件修改书（如有）中的全部责任和义务，按质、按量、按期完成《合同书》中的全部任务。</w:t>
      </w:r>
    </w:p>
    <w:p w14:paraId="38CB072D">
      <w:pPr>
        <w:pStyle w:val="123"/>
        <w:numPr>
          <w:ilvl w:val="1"/>
          <w:numId w:val="51"/>
        </w:numPr>
        <w:spacing w:line="360" w:lineRule="exact"/>
        <w:ind w:left="567" w:hanging="283" w:firstLineChars="0"/>
        <w:rPr>
          <w:rFonts w:ascii="宋体" w:hAnsi="宋体" w:cs="hakuyoxingshu7000"/>
          <w:color w:val="auto"/>
          <w:sz w:val="22"/>
          <w:highlight w:val="none"/>
        </w:rPr>
      </w:pPr>
      <w:r>
        <w:rPr>
          <w:rFonts w:hint="eastAsia" w:ascii="宋体" w:hAnsi="宋体" w:cs="hakuyoxingshu7000"/>
          <w:color w:val="auto"/>
          <w:sz w:val="22"/>
          <w:highlight w:val="none"/>
        </w:rPr>
        <w:t>所有与本投标有关的函件请发往下列地址：</w:t>
      </w:r>
    </w:p>
    <w:p w14:paraId="146BCFD0">
      <w:pPr>
        <w:spacing w:line="360" w:lineRule="exact"/>
        <w:ind w:firstLine="435"/>
        <w:rPr>
          <w:rFonts w:ascii="宋体" w:hAnsi="宋体" w:cs="hakuyoxingshu7000"/>
          <w:color w:val="auto"/>
          <w:sz w:val="22"/>
          <w:szCs w:val="22"/>
          <w:highlight w:val="none"/>
        </w:rPr>
      </w:pPr>
      <w:r>
        <w:rPr>
          <w:rFonts w:hint="eastAsia" w:ascii="宋体" w:hAnsi="宋体" w:cs="hakuyoxingshu7000"/>
          <w:color w:val="auto"/>
          <w:sz w:val="22"/>
          <w:szCs w:val="22"/>
          <w:highlight w:val="none"/>
        </w:rPr>
        <w:t xml:space="preserve">   地址</w:t>
      </w:r>
    </w:p>
    <w:p w14:paraId="20B121E1">
      <w:pPr>
        <w:spacing w:line="360" w:lineRule="exact"/>
        <w:ind w:firstLine="435"/>
        <w:rPr>
          <w:rFonts w:ascii="宋体" w:hAnsi="宋体" w:cs="hakuyoxingshu7000"/>
          <w:color w:val="auto"/>
          <w:sz w:val="22"/>
          <w:szCs w:val="22"/>
          <w:highlight w:val="none"/>
        </w:rPr>
      </w:pPr>
      <w:r>
        <w:rPr>
          <w:rFonts w:hint="eastAsia" w:ascii="宋体" w:hAnsi="宋体" w:cs="hakuyoxingshu7000"/>
          <w:color w:val="auto"/>
          <w:sz w:val="22"/>
          <w:szCs w:val="22"/>
          <w:highlight w:val="none"/>
        </w:rPr>
        <w:t xml:space="preserve">   电话</w:t>
      </w:r>
    </w:p>
    <w:p w14:paraId="742918CD">
      <w:pPr>
        <w:spacing w:line="360" w:lineRule="exact"/>
        <w:ind w:firstLine="435"/>
        <w:rPr>
          <w:rFonts w:ascii="宋体" w:hAnsi="宋体" w:cs="hakuyoxingshu7000"/>
          <w:color w:val="auto"/>
          <w:sz w:val="22"/>
          <w:szCs w:val="22"/>
          <w:highlight w:val="none"/>
          <w:u w:val="single"/>
        </w:rPr>
      </w:pPr>
      <w:r>
        <w:rPr>
          <w:rFonts w:hint="eastAsia" w:ascii="宋体" w:hAnsi="宋体" w:cs="hakuyoxingshu7000"/>
          <w:color w:val="auto"/>
          <w:sz w:val="22"/>
          <w:szCs w:val="22"/>
          <w:highlight w:val="none"/>
        </w:rPr>
        <w:t xml:space="preserve">   传真</w:t>
      </w:r>
    </w:p>
    <w:p w14:paraId="096C48B3">
      <w:pPr>
        <w:spacing w:line="360" w:lineRule="exact"/>
        <w:ind w:firstLine="770" w:firstLineChars="350"/>
        <w:rPr>
          <w:rFonts w:ascii="宋体" w:hAnsi="宋体" w:cs="hakuyoxingshu7000"/>
          <w:color w:val="auto"/>
          <w:sz w:val="22"/>
          <w:szCs w:val="22"/>
          <w:highlight w:val="none"/>
          <w:u w:val="single"/>
        </w:rPr>
      </w:pPr>
      <w:r>
        <w:rPr>
          <w:rFonts w:hint="eastAsia" w:ascii="宋体" w:hAnsi="宋体" w:cs="hakuyoxingshu7000"/>
          <w:color w:val="auto"/>
          <w:sz w:val="22"/>
          <w:szCs w:val="22"/>
          <w:highlight w:val="none"/>
        </w:rPr>
        <w:t>电子邮件</w:t>
      </w:r>
    </w:p>
    <w:p w14:paraId="73C679D0">
      <w:pPr>
        <w:spacing w:line="420" w:lineRule="exact"/>
        <w:ind w:firstLine="435"/>
        <w:rPr>
          <w:rFonts w:ascii="宋体" w:hAnsi="宋体"/>
          <w:color w:val="auto"/>
          <w:sz w:val="22"/>
          <w:szCs w:val="22"/>
          <w:highlight w:val="none"/>
        </w:rPr>
      </w:pPr>
    </w:p>
    <w:p w14:paraId="5D07EBA6">
      <w:pPr>
        <w:spacing w:line="420" w:lineRule="exact"/>
        <w:ind w:firstLine="435"/>
        <w:rPr>
          <w:rFonts w:ascii="宋体" w:hAnsi="宋体"/>
          <w:color w:val="auto"/>
          <w:sz w:val="22"/>
          <w:szCs w:val="22"/>
          <w:highlight w:val="none"/>
        </w:rPr>
      </w:pPr>
      <w:r>
        <w:rPr>
          <w:rFonts w:hint="eastAsia" w:ascii="宋体" w:hAnsi="宋体"/>
          <w:color w:val="auto"/>
          <w:sz w:val="22"/>
          <w:szCs w:val="22"/>
          <w:highlight w:val="none"/>
        </w:rPr>
        <w:t xml:space="preserve">                                   投标人名称（盖章）</w:t>
      </w:r>
    </w:p>
    <w:p w14:paraId="0B676DED">
      <w:pPr>
        <w:spacing w:line="420" w:lineRule="exact"/>
        <w:ind w:firstLine="435"/>
        <w:rPr>
          <w:rFonts w:ascii="宋体" w:hAnsi="宋体"/>
          <w:color w:val="auto"/>
          <w:sz w:val="22"/>
          <w:szCs w:val="22"/>
          <w:highlight w:val="none"/>
        </w:rPr>
      </w:pPr>
      <w:r>
        <w:rPr>
          <w:rFonts w:hint="eastAsia" w:ascii="宋体" w:hAnsi="宋体"/>
          <w:color w:val="auto"/>
          <w:sz w:val="22"/>
          <w:szCs w:val="22"/>
          <w:highlight w:val="none"/>
        </w:rPr>
        <w:t xml:space="preserve">                                   投标人代表（签字或盖章）</w:t>
      </w:r>
    </w:p>
    <w:p w14:paraId="566E5EA2">
      <w:pPr>
        <w:spacing w:line="460" w:lineRule="exact"/>
        <w:ind w:firstLine="435"/>
        <w:rPr>
          <w:rFonts w:ascii="宋体" w:hAnsi="宋体"/>
          <w:color w:val="auto"/>
          <w:sz w:val="22"/>
          <w:szCs w:val="22"/>
          <w:highlight w:val="none"/>
          <w:u w:val="single"/>
        </w:rPr>
        <w:sectPr>
          <w:footerReference r:id="rId6" w:type="first"/>
          <w:headerReference r:id="rId3" w:type="default"/>
          <w:footerReference r:id="rId4" w:type="default"/>
          <w:footerReference r:id="rId5" w:type="even"/>
          <w:type w:val="nextColumn"/>
          <w:pgSz w:w="11906" w:h="16838"/>
          <w:pgMar w:top="1134" w:right="1134" w:bottom="1134" w:left="1134" w:header="851" w:footer="851" w:gutter="0"/>
          <w:cols w:space="720" w:num="1"/>
          <w:titlePg/>
          <w:docGrid w:linePitch="312" w:charSpace="0"/>
        </w:sectPr>
      </w:pPr>
      <w:r>
        <w:rPr>
          <w:rFonts w:hint="eastAsia" w:ascii="宋体" w:hAnsi="宋体"/>
          <w:color w:val="auto"/>
          <w:sz w:val="22"/>
          <w:szCs w:val="22"/>
          <w:highlight w:val="none"/>
        </w:rPr>
        <w:t xml:space="preserve">                                   日    期</w:t>
      </w:r>
    </w:p>
    <w:p w14:paraId="215695D2">
      <w:pPr>
        <w:spacing w:line="460" w:lineRule="exact"/>
        <w:rPr>
          <w:rFonts w:ascii="宋体" w:hAnsi="宋体"/>
          <w:color w:val="auto"/>
          <w:highlight w:val="none"/>
        </w:rPr>
      </w:pPr>
      <w:r>
        <w:rPr>
          <w:rFonts w:hint="eastAsia" w:ascii="宋体" w:hAnsi="宋体"/>
          <w:b/>
          <w:bCs/>
          <w:color w:val="auto"/>
          <w:sz w:val="22"/>
          <w:szCs w:val="22"/>
          <w:highlight w:val="none"/>
        </w:rPr>
        <w:t>附件四</w:t>
      </w:r>
    </w:p>
    <w:p w14:paraId="595ABA23">
      <w:pPr>
        <w:spacing w:line="460" w:lineRule="exact"/>
        <w:rPr>
          <w:rFonts w:ascii="宋体" w:hAnsi="宋体"/>
          <w:b/>
          <w:color w:val="auto"/>
          <w:sz w:val="22"/>
          <w:szCs w:val="22"/>
          <w:highlight w:val="none"/>
        </w:rPr>
      </w:pPr>
    </w:p>
    <w:p w14:paraId="31F84E22">
      <w:pPr>
        <w:spacing w:line="460" w:lineRule="exact"/>
        <w:ind w:firstLine="437"/>
        <w:jc w:val="center"/>
        <w:rPr>
          <w:rFonts w:ascii="宋体" w:hAnsi="宋体"/>
          <w:b/>
          <w:bCs/>
          <w:color w:val="auto"/>
          <w:sz w:val="28"/>
          <w:szCs w:val="28"/>
          <w:highlight w:val="none"/>
        </w:rPr>
      </w:pPr>
      <w:r>
        <w:rPr>
          <w:rFonts w:hint="eastAsia" w:ascii="宋体" w:hAnsi="宋体"/>
          <w:b/>
          <w:bCs/>
          <w:color w:val="auto"/>
          <w:sz w:val="28"/>
          <w:szCs w:val="28"/>
          <w:highlight w:val="none"/>
        </w:rPr>
        <w:t>技术规格、商务条款偏离表</w:t>
      </w:r>
    </w:p>
    <w:p w14:paraId="5D3A6CCA">
      <w:pPr>
        <w:spacing w:line="380" w:lineRule="exact"/>
        <w:rPr>
          <w:rFonts w:ascii="宋体" w:hAnsi="宋体"/>
          <w:b/>
          <w:bCs/>
          <w:color w:val="auto"/>
          <w:sz w:val="22"/>
          <w:szCs w:val="22"/>
          <w:highlight w:val="none"/>
        </w:rPr>
      </w:pPr>
      <w:r>
        <w:rPr>
          <w:rFonts w:hint="eastAsia" w:ascii="宋体" w:hAnsi="宋体"/>
          <w:b/>
          <w:bCs/>
          <w:color w:val="auto"/>
          <w:sz w:val="22"/>
          <w:szCs w:val="22"/>
          <w:highlight w:val="none"/>
        </w:rPr>
        <w:t>投标人名称：                                          招标编号：</w:t>
      </w:r>
    </w:p>
    <w:tbl>
      <w:tblPr>
        <w:tblStyle w:val="63"/>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364"/>
        <w:gridCol w:w="2097"/>
        <w:gridCol w:w="1992"/>
        <w:gridCol w:w="1866"/>
        <w:gridCol w:w="1592"/>
      </w:tblGrid>
      <w:tr w14:paraId="4F198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943" w:type="dxa"/>
          </w:tcPr>
          <w:p w14:paraId="1C7AC921">
            <w:pPr>
              <w:spacing w:line="380" w:lineRule="exact"/>
              <w:jc w:val="center"/>
              <w:rPr>
                <w:rFonts w:ascii="宋体" w:hAnsi="宋体"/>
                <w:color w:val="auto"/>
                <w:sz w:val="22"/>
                <w:szCs w:val="22"/>
                <w:highlight w:val="none"/>
              </w:rPr>
            </w:pPr>
          </w:p>
        </w:tc>
        <w:tc>
          <w:tcPr>
            <w:tcW w:w="1364" w:type="dxa"/>
            <w:vAlign w:val="center"/>
          </w:tcPr>
          <w:p w14:paraId="711C3212">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序号</w:t>
            </w:r>
          </w:p>
        </w:tc>
        <w:tc>
          <w:tcPr>
            <w:tcW w:w="2097" w:type="dxa"/>
            <w:vAlign w:val="center"/>
          </w:tcPr>
          <w:p w14:paraId="54E93B98">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招标文件</w:t>
            </w:r>
          </w:p>
          <w:p w14:paraId="4D4A47E4">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条目号</w:t>
            </w:r>
          </w:p>
        </w:tc>
        <w:tc>
          <w:tcPr>
            <w:tcW w:w="1992" w:type="dxa"/>
            <w:vAlign w:val="center"/>
          </w:tcPr>
          <w:p w14:paraId="73A04AFB">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招标文件</w:t>
            </w:r>
          </w:p>
          <w:p w14:paraId="76EAA2F2">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规范要求</w:t>
            </w:r>
          </w:p>
        </w:tc>
        <w:tc>
          <w:tcPr>
            <w:tcW w:w="1866" w:type="dxa"/>
            <w:vAlign w:val="center"/>
          </w:tcPr>
          <w:p w14:paraId="1D110A54">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投标文件</w:t>
            </w:r>
          </w:p>
          <w:p w14:paraId="2373499B">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对应规范</w:t>
            </w:r>
          </w:p>
        </w:tc>
        <w:tc>
          <w:tcPr>
            <w:tcW w:w="1592" w:type="dxa"/>
            <w:vAlign w:val="center"/>
          </w:tcPr>
          <w:p w14:paraId="63AFA74C">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说明</w:t>
            </w:r>
          </w:p>
        </w:tc>
      </w:tr>
      <w:tr w14:paraId="4459D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943" w:type="dxa"/>
            <w:vMerge w:val="restart"/>
            <w:vAlign w:val="center"/>
          </w:tcPr>
          <w:p w14:paraId="1E242178">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技</w:t>
            </w:r>
          </w:p>
          <w:p w14:paraId="5504A1C1">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术</w:t>
            </w:r>
          </w:p>
          <w:p w14:paraId="2020FD3A">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规</w:t>
            </w:r>
          </w:p>
          <w:p w14:paraId="221134B4">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格</w:t>
            </w:r>
          </w:p>
        </w:tc>
        <w:tc>
          <w:tcPr>
            <w:tcW w:w="1364" w:type="dxa"/>
            <w:vAlign w:val="center"/>
          </w:tcPr>
          <w:p w14:paraId="19753F2E">
            <w:pPr>
              <w:spacing w:line="380" w:lineRule="exact"/>
              <w:jc w:val="center"/>
              <w:rPr>
                <w:rFonts w:ascii="宋体" w:hAnsi="宋体"/>
                <w:color w:val="auto"/>
                <w:sz w:val="22"/>
                <w:szCs w:val="22"/>
                <w:highlight w:val="none"/>
              </w:rPr>
            </w:pPr>
          </w:p>
        </w:tc>
        <w:tc>
          <w:tcPr>
            <w:tcW w:w="2097" w:type="dxa"/>
            <w:vAlign w:val="center"/>
          </w:tcPr>
          <w:p w14:paraId="0E92F202">
            <w:pPr>
              <w:spacing w:line="380" w:lineRule="exact"/>
              <w:jc w:val="center"/>
              <w:rPr>
                <w:rFonts w:ascii="宋体" w:hAnsi="宋体"/>
                <w:color w:val="auto"/>
                <w:sz w:val="22"/>
                <w:szCs w:val="22"/>
                <w:highlight w:val="none"/>
              </w:rPr>
            </w:pPr>
          </w:p>
        </w:tc>
        <w:tc>
          <w:tcPr>
            <w:tcW w:w="1992" w:type="dxa"/>
            <w:vAlign w:val="center"/>
          </w:tcPr>
          <w:p w14:paraId="17DC5126">
            <w:pPr>
              <w:spacing w:line="380" w:lineRule="exact"/>
              <w:jc w:val="center"/>
              <w:rPr>
                <w:rFonts w:ascii="宋体" w:hAnsi="宋体"/>
                <w:color w:val="auto"/>
                <w:sz w:val="22"/>
                <w:szCs w:val="22"/>
                <w:highlight w:val="none"/>
              </w:rPr>
            </w:pPr>
          </w:p>
        </w:tc>
        <w:tc>
          <w:tcPr>
            <w:tcW w:w="1866" w:type="dxa"/>
            <w:vAlign w:val="center"/>
          </w:tcPr>
          <w:p w14:paraId="31F0FF87">
            <w:pPr>
              <w:spacing w:line="380" w:lineRule="exact"/>
              <w:jc w:val="center"/>
              <w:rPr>
                <w:rFonts w:ascii="宋体" w:hAnsi="宋体"/>
                <w:color w:val="auto"/>
                <w:sz w:val="22"/>
                <w:szCs w:val="22"/>
                <w:highlight w:val="none"/>
              </w:rPr>
            </w:pPr>
          </w:p>
        </w:tc>
        <w:tc>
          <w:tcPr>
            <w:tcW w:w="1592" w:type="dxa"/>
            <w:vAlign w:val="center"/>
          </w:tcPr>
          <w:p w14:paraId="17D03D13">
            <w:pPr>
              <w:spacing w:line="380" w:lineRule="exact"/>
              <w:jc w:val="center"/>
              <w:rPr>
                <w:rFonts w:ascii="宋体" w:hAnsi="宋体"/>
                <w:color w:val="auto"/>
                <w:sz w:val="22"/>
                <w:szCs w:val="22"/>
                <w:highlight w:val="none"/>
              </w:rPr>
            </w:pPr>
          </w:p>
        </w:tc>
      </w:tr>
      <w:tr w14:paraId="10C56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6DDEA749">
            <w:pPr>
              <w:spacing w:line="380" w:lineRule="exact"/>
              <w:ind w:firstLine="220" w:firstLineChars="100"/>
              <w:rPr>
                <w:rFonts w:ascii="宋体" w:hAnsi="宋体"/>
                <w:color w:val="auto"/>
                <w:sz w:val="22"/>
                <w:szCs w:val="22"/>
                <w:highlight w:val="none"/>
              </w:rPr>
            </w:pPr>
          </w:p>
        </w:tc>
        <w:tc>
          <w:tcPr>
            <w:tcW w:w="1364" w:type="dxa"/>
            <w:vAlign w:val="center"/>
          </w:tcPr>
          <w:p w14:paraId="106C6C89">
            <w:pPr>
              <w:spacing w:line="380" w:lineRule="exact"/>
              <w:jc w:val="center"/>
              <w:rPr>
                <w:rFonts w:ascii="宋体" w:hAnsi="宋体"/>
                <w:color w:val="auto"/>
                <w:sz w:val="22"/>
                <w:szCs w:val="22"/>
                <w:highlight w:val="none"/>
              </w:rPr>
            </w:pPr>
          </w:p>
        </w:tc>
        <w:tc>
          <w:tcPr>
            <w:tcW w:w="2097" w:type="dxa"/>
            <w:vAlign w:val="center"/>
          </w:tcPr>
          <w:p w14:paraId="4AA1F988">
            <w:pPr>
              <w:spacing w:line="380" w:lineRule="exact"/>
              <w:jc w:val="center"/>
              <w:rPr>
                <w:rFonts w:ascii="宋体" w:hAnsi="宋体"/>
                <w:color w:val="auto"/>
                <w:sz w:val="22"/>
                <w:szCs w:val="22"/>
                <w:highlight w:val="none"/>
              </w:rPr>
            </w:pPr>
          </w:p>
        </w:tc>
        <w:tc>
          <w:tcPr>
            <w:tcW w:w="1992" w:type="dxa"/>
            <w:vAlign w:val="center"/>
          </w:tcPr>
          <w:p w14:paraId="452A6948">
            <w:pPr>
              <w:spacing w:line="380" w:lineRule="exact"/>
              <w:jc w:val="center"/>
              <w:rPr>
                <w:rFonts w:ascii="宋体" w:hAnsi="宋体"/>
                <w:color w:val="auto"/>
                <w:sz w:val="22"/>
                <w:szCs w:val="22"/>
                <w:highlight w:val="none"/>
              </w:rPr>
            </w:pPr>
          </w:p>
        </w:tc>
        <w:tc>
          <w:tcPr>
            <w:tcW w:w="1866" w:type="dxa"/>
            <w:vAlign w:val="center"/>
          </w:tcPr>
          <w:p w14:paraId="7C7FF253">
            <w:pPr>
              <w:spacing w:line="380" w:lineRule="exact"/>
              <w:jc w:val="center"/>
              <w:rPr>
                <w:rFonts w:ascii="宋体" w:hAnsi="宋体"/>
                <w:color w:val="auto"/>
                <w:sz w:val="22"/>
                <w:szCs w:val="22"/>
                <w:highlight w:val="none"/>
              </w:rPr>
            </w:pPr>
          </w:p>
        </w:tc>
        <w:tc>
          <w:tcPr>
            <w:tcW w:w="1592" w:type="dxa"/>
            <w:vAlign w:val="center"/>
          </w:tcPr>
          <w:p w14:paraId="6B65DAE8">
            <w:pPr>
              <w:spacing w:line="380" w:lineRule="exact"/>
              <w:jc w:val="center"/>
              <w:rPr>
                <w:rFonts w:ascii="宋体" w:hAnsi="宋体"/>
                <w:color w:val="auto"/>
                <w:sz w:val="22"/>
                <w:szCs w:val="22"/>
                <w:highlight w:val="none"/>
              </w:rPr>
            </w:pPr>
          </w:p>
        </w:tc>
      </w:tr>
      <w:tr w14:paraId="460F2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7A13D645">
            <w:pPr>
              <w:spacing w:line="380" w:lineRule="exact"/>
              <w:jc w:val="center"/>
              <w:rPr>
                <w:rFonts w:ascii="宋体" w:hAnsi="宋体"/>
                <w:color w:val="auto"/>
                <w:sz w:val="22"/>
                <w:szCs w:val="22"/>
                <w:highlight w:val="none"/>
              </w:rPr>
            </w:pPr>
          </w:p>
        </w:tc>
        <w:tc>
          <w:tcPr>
            <w:tcW w:w="1364" w:type="dxa"/>
            <w:vAlign w:val="center"/>
          </w:tcPr>
          <w:p w14:paraId="282A6E23">
            <w:pPr>
              <w:spacing w:line="380" w:lineRule="exact"/>
              <w:jc w:val="center"/>
              <w:rPr>
                <w:rFonts w:ascii="宋体" w:hAnsi="宋体"/>
                <w:color w:val="auto"/>
                <w:sz w:val="22"/>
                <w:szCs w:val="22"/>
                <w:highlight w:val="none"/>
              </w:rPr>
            </w:pPr>
          </w:p>
        </w:tc>
        <w:tc>
          <w:tcPr>
            <w:tcW w:w="2097" w:type="dxa"/>
            <w:vAlign w:val="center"/>
          </w:tcPr>
          <w:p w14:paraId="5FFEA827">
            <w:pPr>
              <w:spacing w:line="380" w:lineRule="exact"/>
              <w:jc w:val="center"/>
              <w:rPr>
                <w:rFonts w:ascii="宋体" w:hAnsi="宋体"/>
                <w:color w:val="auto"/>
                <w:sz w:val="22"/>
                <w:szCs w:val="22"/>
                <w:highlight w:val="none"/>
              </w:rPr>
            </w:pPr>
          </w:p>
        </w:tc>
        <w:tc>
          <w:tcPr>
            <w:tcW w:w="1992" w:type="dxa"/>
            <w:vAlign w:val="center"/>
          </w:tcPr>
          <w:p w14:paraId="15315241">
            <w:pPr>
              <w:spacing w:line="380" w:lineRule="exact"/>
              <w:jc w:val="center"/>
              <w:rPr>
                <w:rFonts w:ascii="宋体" w:hAnsi="宋体"/>
                <w:color w:val="auto"/>
                <w:sz w:val="22"/>
                <w:szCs w:val="22"/>
                <w:highlight w:val="none"/>
              </w:rPr>
            </w:pPr>
          </w:p>
        </w:tc>
        <w:tc>
          <w:tcPr>
            <w:tcW w:w="1866" w:type="dxa"/>
            <w:vAlign w:val="center"/>
          </w:tcPr>
          <w:p w14:paraId="5EC5DFB1">
            <w:pPr>
              <w:spacing w:line="380" w:lineRule="exact"/>
              <w:jc w:val="center"/>
              <w:rPr>
                <w:rFonts w:ascii="宋体" w:hAnsi="宋体"/>
                <w:color w:val="auto"/>
                <w:sz w:val="22"/>
                <w:szCs w:val="22"/>
                <w:highlight w:val="none"/>
              </w:rPr>
            </w:pPr>
          </w:p>
        </w:tc>
        <w:tc>
          <w:tcPr>
            <w:tcW w:w="1592" w:type="dxa"/>
            <w:vAlign w:val="center"/>
          </w:tcPr>
          <w:p w14:paraId="356F39E9">
            <w:pPr>
              <w:spacing w:line="380" w:lineRule="exact"/>
              <w:jc w:val="center"/>
              <w:rPr>
                <w:rFonts w:ascii="宋体" w:hAnsi="宋体"/>
                <w:color w:val="auto"/>
                <w:sz w:val="22"/>
                <w:szCs w:val="22"/>
                <w:highlight w:val="none"/>
              </w:rPr>
            </w:pPr>
          </w:p>
        </w:tc>
      </w:tr>
      <w:tr w14:paraId="7CB95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49DA76E6">
            <w:pPr>
              <w:spacing w:line="380" w:lineRule="exact"/>
              <w:jc w:val="center"/>
              <w:rPr>
                <w:rFonts w:ascii="宋体" w:hAnsi="宋体"/>
                <w:color w:val="auto"/>
                <w:sz w:val="22"/>
                <w:szCs w:val="22"/>
                <w:highlight w:val="none"/>
              </w:rPr>
            </w:pPr>
          </w:p>
        </w:tc>
        <w:tc>
          <w:tcPr>
            <w:tcW w:w="1364" w:type="dxa"/>
            <w:vAlign w:val="center"/>
          </w:tcPr>
          <w:p w14:paraId="54570498">
            <w:pPr>
              <w:spacing w:line="380" w:lineRule="exact"/>
              <w:jc w:val="center"/>
              <w:rPr>
                <w:rFonts w:ascii="宋体" w:hAnsi="宋体"/>
                <w:color w:val="auto"/>
                <w:sz w:val="22"/>
                <w:szCs w:val="22"/>
                <w:highlight w:val="none"/>
              </w:rPr>
            </w:pPr>
          </w:p>
        </w:tc>
        <w:tc>
          <w:tcPr>
            <w:tcW w:w="2097" w:type="dxa"/>
            <w:vAlign w:val="center"/>
          </w:tcPr>
          <w:p w14:paraId="44C42057">
            <w:pPr>
              <w:spacing w:line="380" w:lineRule="exact"/>
              <w:jc w:val="center"/>
              <w:rPr>
                <w:rFonts w:ascii="宋体" w:hAnsi="宋体"/>
                <w:color w:val="auto"/>
                <w:sz w:val="22"/>
                <w:szCs w:val="22"/>
                <w:highlight w:val="none"/>
              </w:rPr>
            </w:pPr>
          </w:p>
        </w:tc>
        <w:tc>
          <w:tcPr>
            <w:tcW w:w="1992" w:type="dxa"/>
            <w:vAlign w:val="center"/>
          </w:tcPr>
          <w:p w14:paraId="3F80C830">
            <w:pPr>
              <w:spacing w:line="380" w:lineRule="exact"/>
              <w:jc w:val="center"/>
              <w:rPr>
                <w:rFonts w:ascii="宋体" w:hAnsi="宋体"/>
                <w:color w:val="auto"/>
                <w:sz w:val="22"/>
                <w:szCs w:val="22"/>
                <w:highlight w:val="none"/>
              </w:rPr>
            </w:pPr>
          </w:p>
        </w:tc>
        <w:tc>
          <w:tcPr>
            <w:tcW w:w="1866" w:type="dxa"/>
            <w:vAlign w:val="center"/>
          </w:tcPr>
          <w:p w14:paraId="4AF6FE41">
            <w:pPr>
              <w:spacing w:line="380" w:lineRule="exact"/>
              <w:jc w:val="center"/>
              <w:rPr>
                <w:rFonts w:ascii="宋体" w:hAnsi="宋体"/>
                <w:color w:val="auto"/>
                <w:sz w:val="22"/>
                <w:szCs w:val="22"/>
                <w:highlight w:val="none"/>
              </w:rPr>
            </w:pPr>
          </w:p>
        </w:tc>
        <w:tc>
          <w:tcPr>
            <w:tcW w:w="1592" w:type="dxa"/>
            <w:vAlign w:val="center"/>
          </w:tcPr>
          <w:p w14:paraId="7B4777F8">
            <w:pPr>
              <w:spacing w:line="380" w:lineRule="exact"/>
              <w:jc w:val="center"/>
              <w:rPr>
                <w:rFonts w:ascii="宋体" w:hAnsi="宋体"/>
                <w:color w:val="auto"/>
                <w:sz w:val="22"/>
                <w:szCs w:val="22"/>
                <w:highlight w:val="none"/>
              </w:rPr>
            </w:pPr>
          </w:p>
        </w:tc>
      </w:tr>
      <w:tr w14:paraId="03A8D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1379ECD3">
            <w:pPr>
              <w:spacing w:line="380" w:lineRule="exact"/>
              <w:jc w:val="center"/>
              <w:rPr>
                <w:rFonts w:ascii="宋体" w:hAnsi="宋体"/>
                <w:color w:val="auto"/>
                <w:sz w:val="22"/>
                <w:szCs w:val="22"/>
                <w:highlight w:val="none"/>
              </w:rPr>
            </w:pPr>
          </w:p>
        </w:tc>
        <w:tc>
          <w:tcPr>
            <w:tcW w:w="1364" w:type="dxa"/>
            <w:vAlign w:val="center"/>
          </w:tcPr>
          <w:p w14:paraId="4F6D3B46">
            <w:pPr>
              <w:spacing w:line="380" w:lineRule="exact"/>
              <w:jc w:val="center"/>
              <w:rPr>
                <w:rFonts w:ascii="宋体" w:hAnsi="宋体"/>
                <w:color w:val="auto"/>
                <w:sz w:val="22"/>
                <w:szCs w:val="22"/>
                <w:highlight w:val="none"/>
              </w:rPr>
            </w:pPr>
          </w:p>
        </w:tc>
        <w:tc>
          <w:tcPr>
            <w:tcW w:w="2097" w:type="dxa"/>
            <w:vAlign w:val="center"/>
          </w:tcPr>
          <w:p w14:paraId="15B6F48D">
            <w:pPr>
              <w:spacing w:line="380" w:lineRule="exact"/>
              <w:jc w:val="center"/>
              <w:rPr>
                <w:rFonts w:ascii="宋体" w:hAnsi="宋体"/>
                <w:color w:val="auto"/>
                <w:sz w:val="22"/>
                <w:szCs w:val="22"/>
                <w:highlight w:val="none"/>
              </w:rPr>
            </w:pPr>
          </w:p>
        </w:tc>
        <w:tc>
          <w:tcPr>
            <w:tcW w:w="1992" w:type="dxa"/>
            <w:vAlign w:val="center"/>
          </w:tcPr>
          <w:p w14:paraId="3614CFFA">
            <w:pPr>
              <w:spacing w:line="380" w:lineRule="exact"/>
              <w:jc w:val="center"/>
              <w:rPr>
                <w:rFonts w:ascii="宋体" w:hAnsi="宋体"/>
                <w:color w:val="auto"/>
                <w:sz w:val="22"/>
                <w:szCs w:val="22"/>
                <w:highlight w:val="none"/>
              </w:rPr>
            </w:pPr>
          </w:p>
        </w:tc>
        <w:tc>
          <w:tcPr>
            <w:tcW w:w="1866" w:type="dxa"/>
            <w:vAlign w:val="center"/>
          </w:tcPr>
          <w:p w14:paraId="25F4602F">
            <w:pPr>
              <w:spacing w:line="380" w:lineRule="exact"/>
              <w:jc w:val="center"/>
              <w:rPr>
                <w:rFonts w:ascii="宋体" w:hAnsi="宋体"/>
                <w:color w:val="auto"/>
                <w:sz w:val="22"/>
                <w:szCs w:val="22"/>
                <w:highlight w:val="none"/>
              </w:rPr>
            </w:pPr>
          </w:p>
        </w:tc>
        <w:tc>
          <w:tcPr>
            <w:tcW w:w="1592" w:type="dxa"/>
            <w:vAlign w:val="center"/>
          </w:tcPr>
          <w:p w14:paraId="0928AE48">
            <w:pPr>
              <w:spacing w:line="380" w:lineRule="exact"/>
              <w:jc w:val="center"/>
              <w:rPr>
                <w:rFonts w:ascii="宋体" w:hAnsi="宋体"/>
                <w:color w:val="auto"/>
                <w:sz w:val="22"/>
                <w:szCs w:val="22"/>
                <w:highlight w:val="none"/>
              </w:rPr>
            </w:pPr>
          </w:p>
        </w:tc>
      </w:tr>
      <w:tr w14:paraId="33B7D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943" w:type="dxa"/>
            <w:vMerge w:val="restart"/>
            <w:vAlign w:val="center"/>
          </w:tcPr>
          <w:p w14:paraId="026626C2">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商</w:t>
            </w:r>
          </w:p>
          <w:p w14:paraId="6B0B7D4E">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务</w:t>
            </w:r>
          </w:p>
          <w:p w14:paraId="0E35468C">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条</w:t>
            </w:r>
          </w:p>
          <w:p w14:paraId="76B66439">
            <w:pPr>
              <w:spacing w:line="380" w:lineRule="exact"/>
              <w:jc w:val="center"/>
              <w:rPr>
                <w:rFonts w:ascii="宋体" w:hAnsi="宋体"/>
                <w:color w:val="auto"/>
                <w:sz w:val="22"/>
                <w:szCs w:val="22"/>
                <w:highlight w:val="none"/>
              </w:rPr>
            </w:pPr>
            <w:r>
              <w:rPr>
                <w:rFonts w:hint="eastAsia" w:ascii="宋体" w:hAnsi="宋体"/>
                <w:color w:val="auto"/>
                <w:sz w:val="22"/>
                <w:szCs w:val="22"/>
                <w:highlight w:val="none"/>
              </w:rPr>
              <w:t>款</w:t>
            </w:r>
          </w:p>
        </w:tc>
        <w:tc>
          <w:tcPr>
            <w:tcW w:w="1364" w:type="dxa"/>
            <w:vAlign w:val="center"/>
          </w:tcPr>
          <w:p w14:paraId="7A737487">
            <w:pPr>
              <w:spacing w:line="380" w:lineRule="exact"/>
              <w:jc w:val="center"/>
              <w:rPr>
                <w:rFonts w:ascii="宋体" w:hAnsi="宋体"/>
                <w:color w:val="auto"/>
                <w:sz w:val="22"/>
                <w:szCs w:val="22"/>
                <w:highlight w:val="none"/>
              </w:rPr>
            </w:pPr>
          </w:p>
        </w:tc>
        <w:tc>
          <w:tcPr>
            <w:tcW w:w="2097" w:type="dxa"/>
            <w:vAlign w:val="center"/>
          </w:tcPr>
          <w:p w14:paraId="07C70BB9">
            <w:pPr>
              <w:spacing w:line="380" w:lineRule="exact"/>
              <w:jc w:val="center"/>
              <w:rPr>
                <w:rFonts w:ascii="宋体" w:hAnsi="宋体"/>
                <w:color w:val="auto"/>
                <w:sz w:val="22"/>
                <w:szCs w:val="22"/>
                <w:highlight w:val="none"/>
              </w:rPr>
            </w:pPr>
          </w:p>
        </w:tc>
        <w:tc>
          <w:tcPr>
            <w:tcW w:w="1992" w:type="dxa"/>
            <w:vAlign w:val="center"/>
          </w:tcPr>
          <w:p w14:paraId="50DB86B6">
            <w:pPr>
              <w:spacing w:line="380" w:lineRule="exact"/>
              <w:jc w:val="center"/>
              <w:rPr>
                <w:rFonts w:ascii="宋体" w:hAnsi="宋体"/>
                <w:color w:val="auto"/>
                <w:sz w:val="22"/>
                <w:szCs w:val="22"/>
                <w:highlight w:val="none"/>
              </w:rPr>
            </w:pPr>
          </w:p>
        </w:tc>
        <w:tc>
          <w:tcPr>
            <w:tcW w:w="1866" w:type="dxa"/>
            <w:vAlign w:val="center"/>
          </w:tcPr>
          <w:p w14:paraId="0C495E51">
            <w:pPr>
              <w:spacing w:line="380" w:lineRule="exact"/>
              <w:jc w:val="center"/>
              <w:rPr>
                <w:rFonts w:ascii="宋体" w:hAnsi="宋体"/>
                <w:color w:val="auto"/>
                <w:sz w:val="22"/>
                <w:szCs w:val="22"/>
                <w:highlight w:val="none"/>
              </w:rPr>
            </w:pPr>
          </w:p>
        </w:tc>
        <w:tc>
          <w:tcPr>
            <w:tcW w:w="1592" w:type="dxa"/>
            <w:vAlign w:val="center"/>
          </w:tcPr>
          <w:p w14:paraId="5DBF20B8">
            <w:pPr>
              <w:spacing w:line="380" w:lineRule="exact"/>
              <w:jc w:val="center"/>
              <w:rPr>
                <w:rFonts w:ascii="宋体" w:hAnsi="宋体"/>
                <w:color w:val="auto"/>
                <w:sz w:val="22"/>
                <w:szCs w:val="22"/>
                <w:highlight w:val="none"/>
              </w:rPr>
            </w:pPr>
          </w:p>
        </w:tc>
      </w:tr>
      <w:tr w14:paraId="43F7B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6E934F73">
            <w:pPr>
              <w:spacing w:line="380" w:lineRule="exact"/>
              <w:jc w:val="center"/>
              <w:rPr>
                <w:rFonts w:ascii="宋体" w:hAnsi="宋体"/>
                <w:color w:val="auto"/>
                <w:sz w:val="22"/>
                <w:szCs w:val="22"/>
                <w:highlight w:val="none"/>
              </w:rPr>
            </w:pPr>
          </w:p>
        </w:tc>
        <w:tc>
          <w:tcPr>
            <w:tcW w:w="1364" w:type="dxa"/>
            <w:vAlign w:val="center"/>
          </w:tcPr>
          <w:p w14:paraId="4D996FBE">
            <w:pPr>
              <w:spacing w:line="380" w:lineRule="exact"/>
              <w:jc w:val="center"/>
              <w:rPr>
                <w:rFonts w:ascii="宋体" w:hAnsi="宋体"/>
                <w:color w:val="auto"/>
                <w:sz w:val="22"/>
                <w:szCs w:val="22"/>
                <w:highlight w:val="none"/>
              </w:rPr>
            </w:pPr>
          </w:p>
        </w:tc>
        <w:tc>
          <w:tcPr>
            <w:tcW w:w="2097" w:type="dxa"/>
            <w:vAlign w:val="center"/>
          </w:tcPr>
          <w:p w14:paraId="7E44AF7E">
            <w:pPr>
              <w:spacing w:line="380" w:lineRule="exact"/>
              <w:jc w:val="center"/>
              <w:rPr>
                <w:rFonts w:ascii="宋体" w:hAnsi="宋体"/>
                <w:color w:val="auto"/>
                <w:sz w:val="22"/>
                <w:szCs w:val="22"/>
                <w:highlight w:val="none"/>
              </w:rPr>
            </w:pPr>
          </w:p>
        </w:tc>
        <w:tc>
          <w:tcPr>
            <w:tcW w:w="1992" w:type="dxa"/>
            <w:vAlign w:val="center"/>
          </w:tcPr>
          <w:p w14:paraId="65C7DBC5">
            <w:pPr>
              <w:spacing w:line="380" w:lineRule="exact"/>
              <w:jc w:val="center"/>
              <w:rPr>
                <w:rFonts w:ascii="宋体" w:hAnsi="宋体"/>
                <w:color w:val="auto"/>
                <w:sz w:val="22"/>
                <w:szCs w:val="22"/>
                <w:highlight w:val="none"/>
              </w:rPr>
            </w:pPr>
          </w:p>
        </w:tc>
        <w:tc>
          <w:tcPr>
            <w:tcW w:w="1866" w:type="dxa"/>
            <w:vAlign w:val="center"/>
          </w:tcPr>
          <w:p w14:paraId="718876DF">
            <w:pPr>
              <w:spacing w:line="380" w:lineRule="exact"/>
              <w:jc w:val="center"/>
              <w:rPr>
                <w:rFonts w:ascii="宋体" w:hAnsi="宋体"/>
                <w:color w:val="auto"/>
                <w:sz w:val="22"/>
                <w:szCs w:val="22"/>
                <w:highlight w:val="none"/>
              </w:rPr>
            </w:pPr>
          </w:p>
        </w:tc>
        <w:tc>
          <w:tcPr>
            <w:tcW w:w="1592" w:type="dxa"/>
            <w:vAlign w:val="center"/>
          </w:tcPr>
          <w:p w14:paraId="65A580CC">
            <w:pPr>
              <w:spacing w:line="380" w:lineRule="exact"/>
              <w:jc w:val="center"/>
              <w:rPr>
                <w:rFonts w:ascii="宋体" w:hAnsi="宋体"/>
                <w:color w:val="auto"/>
                <w:sz w:val="22"/>
                <w:szCs w:val="22"/>
                <w:highlight w:val="none"/>
              </w:rPr>
            </w:pPr>
          </w:p>
        </w:tc>
      </w:tr>
      <w:tr w14:paraId="5F8E1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45B90D2C">
            <w:pPr>
              <w:spacing w:line="380" w:lineRule="exact"/>
              <w:jc w:val="center"/>
              <w:rPr>
                <w:rFonts w:ascii="宋体" w:hAnsi="宋体"/>
                <w:color w:val="auto"/>
                <w:sz w:val="22"/>
                <w:szCs w:val="22"/>
                <w:highlight w:val="none"/>
              </w:rPr>
            </w:pPr>
          </w:p>
        </w:tc>
        <w:tc>
          <w:tcPr>
            <w:tcW w:w="1364" w:type="dxa"/>
            <w:vAlign w:val="center"/>
          </w:tcPr>
          <w:p w14:paraId="1384E0C5">
            <w:pPr>
              <w:spacing w:line="380" w:lineRule="exact"/>
              <w:jc w:val="center"/>
              <w:rPr>
                <w:rFonts w:ascii="宋体" w:hAnsi="宋体"/>
                <w:color w:val="auto"/>
                <w:sz w:val="22"/>
                <w:szCs w:val="22"/>
                <w:highlight w:val="none"/>
              </w:rPr>
            </w:pPr>
          </w:p>
        </w:tc>
        <w:tc>
          <w:tcPr>
            <w:tcW w:w="2097" w:type="dxa"/>
            <w:vAlign w:val="center"/>
          </w:tcPr>
          <w:p w14:paraId="6ADD245F">
            <w:pPr>
              <w:spacing w:line="380" w:lineRule="exact"/>
              <w:jc w:val="center"/>
              <w:rPr>
                <w:rFonts w:ascii="宋体" w:hAnsi="宋体"/>
                <w:color w:val="auto"/>
                <w:sz w:val="22"/>
                <w:szCs w:val="22"/>
                <w:highlight w:val="none"/>
              </w:rPr>
            </w:pPr>
          </w:p>
        </w:tc>
        <w:tc>
          <w:tcPr>
            <w:tcW w:w="1992" w:type="dxa"/>
            <w:vAlign w:val="center"/>
          </w:tcPr>
          <w:p w14:paraId="55791C17">
            <w:pPr>
              <w:spacing w:line="380" w:lineRule="exact"/>
              <w:jc w:val="center"/>
              <w:rPr>
                <w:rFonts w:ascii="宋体" w:hAnsi="宋体"/>
                <w:color w:val="auto"/>
                <w:sz w:val="22"/>
                <w:szCs w:val="22"/>
                <w:highlight w:val="none"/>
              </w:rPr>
            </w:pPr>
          </w:p>
        </w:tc>
        <w:tc>
          <w:tcPr>
            <w:tcW w:w="1866" w:type="dxa"/>
            <w:vAlign w:val="center"/>
          </w:tcPr>
          <w:p w14:paraId="1D8AA0CF">
            <w:pPr>
              <w:spacing w:line="380" w:lineRule="exact"/>
              <w:jc w:val="center"/>
              <w:rPr>
                <w:rFonts w:ascii="宋体" w:hAnsi="宋体"/>
                <w:color w:val="auto"/>
                <w:sz w:val="22"/>
                <w:szCs w:val="22"/>
                <w:highlight w:val="none"/>
              </w:rPr>
            </w:pPr>
          </w:p>
        </w:tc>
        <w:tc>
          <w:tcPr>
            <w:tcW w:w="1592" w:type="dxa"/>
            <w:vAlign w:val="center"/>
          </w:tcPr>
          <w:p w14:paraId="6D1FD997">
            <w:pPr>
              <w:spacing w:line="380" w:lineRule="exact"/>
              <w:jc w:val="center"/>
              <w:rPr>
                <w:rFonts w:ascii="宋体" w:hAnsi="宋体"/>
                <w:color w:val="auto"/>
                <w:sz w:val="22"/>
                <w:szCs w:val="22"/>
                <w:highlight w:val="none"/>
              </w:rPr>
            </w:pPr>
          </w:p>
        </w:tc>
      </w:tr>
      <w:tr w14:paraId="1BBC1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33834633">
            <w:pPr>
              <w:spacing w:line="380" w:lineRule="exact"/>
              <w:jc w:val="center"/>
              <w:rPr>
                <w:rFonts w:ascii="宋体" w:hAnsi="宋体"/>
                <w:color w:val="auto"/>
                <w:sz w:val="22"/>
                <w:szCs w:val="22"/>
                <w:highlight w:val="none"/>
              </w:rPr>
            </w:pPr>
          </w:p>
        </w:tc>
        <w:tc>
          <w:tcPr>
            <w:tcW w:w="1364" w:type="dxa"/>
            <w:vAlign w:val="center"/>
          </w:tcPr>
          <w:p w14:paraId="6D2C3791">
            <w:pPr>
              <w:spacing w:line="380" w:lineRule="exact"/>
              <w:jc w:val="center"/>
              <w:rPr>
                <w:rFonts w:ascii="宋体" w:hAnsi="宋体"/>
                <w:color w:val="auto"/>
                <w:sz w:val="22"/>
                <w:szCs w:val="22"/>
                <w:highlight w:val="none"/>
              </w:rPr>
            </w:pPr>
          </w:p>
        </w:tc>
        <w:tc>
          <w:tcPr>
            <w:tcW w:w="2097" w:type="dxa"/>
            <w:vAlign w:val="center"/>
          </w:tcPr>
          <w:p w14:paraId="4CB886EE">
            <w:pPr>
              <w:spacing w:line="380" w:lineRule="exact"/>
              <w:jc w:val="center"/>
              <w:rPr>
                <w:rFonts w:ascii="宋体" w:hAnsi="宋体"/>
                <w:color w:val="auto"/>
                <w:sz w:val="22"/>
                <w:szCs w:val="22"/>
                <w:highlight w:val="none"/>
              </w:rPr>
            </w:pPr>
          </w:p>
        </w:tc>
        <w:tc>
          <w:tcPr>
            <w:tcW w:w="1992" w:type="dxa"/>
            <w:vAlign w:val="center"/>
          </w:tcPr>
          <w:p w14:paraId="1A82A085">
            <w:pPr>
              <w:spacing w:line="380" w:lineRule="exact"/>
              <w:jc w:val="center"/>
              <w:rPr>
                <w:rFonts w:ascii="宋体" w:hAnsi="宋体"/>
                <w:color w:val="auto"/>
                <w:sz w:val="22"/>
                <w:szCs w:val="22"/>
                <w:highlight w:val="none"/>
              </w:rPr>
            </w:pPr>
          </w:p>
        </w:tc>
        <w:tc>
          <w:tcPr>
            <w:tcW w:w="1866" w:type="dxa"/>
            <w:vAlign w:val="center"/>
          </w:tcPr>
          <w:p w14:paraId="5C3623C5">
            <w:pPr>
              <w:spacing w:line="380" w:lineRule="exact"/>
              <w:jc w:val="center"/>
              <w:rPr>
                <w:rFonts w:ascii="宋体" w:hAnsi="宋体"/>
                <w:color w:val="auto"/>
                <w:sz w:val="22"/>
                <w:szCs w:val="22"/>
                <w:highlight w:val="none"/>
              </w:rPr>
            </w:pPr>
          </w:p>
        </w:tc>
        <w:tc>
          <w:tcPr>
            <w:tcW w:w="1592" w:type="dxa"/>
            <w:vAlign w:val="center"/>
          </w:tcPr>
          <w:p w14:paraId="3388238B">
            <w:pPr>
              <w:spacing w:line="380" w:lineRule="exact"/>
              <w:jc w:val="center"/>
              <w:rPr>
                <w:rFonts w:ascii="宋体" w:hAnsi="宋体"/>
                <w:color w:val="auto"/>
                <w:sz w:val="22"/>
                <w:szCs w:val="22"/>
                <w:highlight w:val="none"/>
              </w:rPr>
            </w:pPr>
          </w:p>
        </w:tc>
      </w:tr>
      <w:tr w14:paraId="4182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62EAB4F2">
            <w:pPr>
              <w:spacing w:line="380" w:lineRule="exact"/>
              <w:jc w:val="center"/>
              <w:rPr>
                <w:rFonts w:ascii="宋体" w:hAnsi="宋体"/>
                <w:color w:val="auto"/>
                <w:sz w:val="22"/>
                <w:szCs w:val="22"/>
                <w:highlight w:val="none"/>
              </w:rPr>
            </w:pPr>
          </w:p>
        </w:tc>
        <w:tc>
          <w:tcPr>
            <w:tcW w:w="1364" w:type="dxa"/>
            <w:vAlign w:val="center"/>
          </w:tcPr>
          <w:p w14:paraId="55F4A438">
            <w:pPr>
              <w:spacing w:line="380" w:lineRule="exact"/>
              <w:jc w:val="center"/>
              <w:rPr>
                <w:rFonts w:ascii="宋体" w:hAnsi="宋体"/>
                <w:color w:val="auto"/>
                <w:sz w:val="22"/>
                <w:szCs w:val="22"/>
                <w:highlight w:val="none"/>
              </w:rPr>
            </w:pPr>
          </w:p>
        </w:tc>
        <w:tc>
          <w:tcPr>
            <w:tcW w:w="2097" w:type="dxa"/>
            <w:vAlign w:val="center"/>
          </w:tcPr>
          <w:p w14:paraId="11D767F6">
            <w:pPr>
              <w:spacing w:line="380" w:lineRule="exact"/>
              <w:jc w:val="center"/>
              <w:rPr>
                <w:rFonts w:ascii="宋体" w:hAnsi="宋体"/>
                <w:color w:val="auto"/>
                <w:sz w:val="22"/>
                <w:szCs w:val="22"/>
                <w:highlight w:val="none"/>
              </w:rPr>
            </w:pPr>
          </w:p>
        </w:tc>
        <w:tc>
          <w:tcPr>
            <w:tcW w:w="1992" w:type="dxa"/>
            <w:vAlign w:val="center"/>
          </w:tcPr>
          <w:p w14:paraId="26284F64">
            <w:pPr>
              <w:spacing w:line="380" w:lineRule="exact"/>
              <w:jc w:val="center"/>
              <w:rPr>
                <w:rFonts w:ascii="宋体" w:hAnsi="宋体"/>
                <w:color w:val="auto"/>
                <w:sz w:val="22"/>
                <w:szCs w:val="22"/>
                <w:highlight w:val="none"/>
              </w:rPr>
            </w:pPr>
          </w:p>
        </w:tc>
        <w:tc>
          <w:tcPr>
            <w:tcW w:w="1866" w:type="dxa"/>
            <w:vAlign w:val="center"/>
          </w:tcPr>
          <w:p w14:paraId="6D09A6D2">
            <w:pPr>
              <w:spacing w:line="380" w:lineRule="exact"/>
              <w:jc w:val="center"/>
              <w:rPr>
                <w:rFonts w:ascii="宋体" w:hAnsi="宋体"/>
                <w:color w:val="auto"/>
                <w:sz w:val="22"/>
                <w:szCs w:val="22"/>
                <w:highlight w:val="none"/>
              </w:rPr>
            </w:pPr>
          </w:p>
        </w:tc>
        <w:tc>
          <w:tcPr>
            <w:tcW w:w="1592" w:type="dxa"/>
            <w:vAlign w:val="center"/>
          </w:tcPr>
          <w:p w14:paraId="51E6DE34">
            <w:pPr>
              <w:spacing w:line="380" w:lineRule="exact"/>
              <w:jc w:val="center"/>
              <w:rPr>
                <w:rFonts w:ascii="宋体" w:hAnsi="宋体"/>
                <w:color w:val="auto"/>
                <w:sz w:val="22"/>
                <w:szCs w:val="22"/>
                <w:highlight w:val="none"/>
              </w:rPr>
            </w:pPr>
          </w:p>
        </w:tc>
      </w:tr>
    </w:tbl>
    <w:p w14:paraId="4CCF566B">
      <w:pPr>
        <w:spacing w:line="380" w:lineRule="exact"/>
        <w:rPr>
          <w:rFonts w:ascii="宋体" w:hAnsi="宋体"/>
          <w:b/>
          <w:color w:val="auto"/>
          <w:sz w:val="22"/>
          <w:szCs w:val="22"/>
          <w:highlight w:val="none"/>
        </w:rPr>
      </w:pPr>
      <w:r>
        <w:rPr>
          <w:rFonts w:hint="eastAsia" w:ascii="宋体" w:hAnsi="宋体"/>
          <w:b/>
          <w:color w:val="auto"/>
          <w:sz w:val="22"/>
          <w:szCs w:val="22"/>
          <w:highlight w:val="none"/>
        </w:rPr>
        <w:t>注：</w:t>
      </w:r>
      <w:r>
        <w:rPr>
          <w:rFonts w:hint="eastAsia" w:ascii="宋体" w:hAnsi="宋体"/>
          <w:b/>
          <w:color w:val="auto"/>
          <w:highlight w:val="none"/>
        </w:rPr>
        <w:t>不填写此表视为完全响应招标文件内容。</w:t>
      </w:r>
    </w:p>
    <w:p w14:paraId="5FE0231B">
      <w:pPr>
        <w:spacing w:line="380" w:lineRule="exact"/>
        <w:ind w:firstLine="4417" w:firstLineChars="2000"/>
        <w:rPr>
          <w:rFonts w:ascii="宋体" w:hAnsi="宋体"/>
          <w:b/>
          <w:color w:val="auto"/>
          <w:sz w:val="22"/>
          <w:szCs w:val="22"/>
          <w:highlight w:val="none"/>
        </w:rPr>
      </w:pPr>
    </w:p>
    <w:p w14:paraId="60A50CB3">
      <w:pPr>
        <w:spacing w:line="380" w:lineRule="exact"/>
        <w:ind w:firstLine="4400" w:firstLineChars="2000"/>
        <w:rPr>
          <w:rFonts w:ascii="宋体" w:hAnsi="宋体"/>
          <w:color w:val="auto"/>
          <w:sz w:val="22"/>
          <w:szCs w:val="22"/>
          <w:highlight w:val="none"/>
        </w:rPr>
      </w:pPr>
      <w:r>
        <w:rPr>
          <w:rFonts w:hint="eastAsia" w:ascii="宋体" w:hAnsi="宋体"/>
          <w:color w:val="auto"/>
          <w:sz w:val="22"/>
          <w:szCs w:val="22"/>
          <w:highlight w:val="none"/>
        </w:rPr>
        <w:t>投标人全称（盖章）：</w:t>
      </w:r>
    </w:p>
    <w:p w14:paraId="6080A48C">
      <w:pPr>
        <w:spacing w:line="380" w:lineRule="exact"/>
        <w:ind w:firstLine="4400" w:firstLineChars="2000"/>
        <w:rPr>
          <w:rFonts w:ascii="宋体" w:hAnsi="宋体"/>
          <w:color w:val="auto"/>
          <w:sz w:val="22"/>
          <w:szCs w:val="22"/>
          <w:highlight w:val="none"/>
        </w:rPr>
      </w:pPr>
      <w:r>
        <w:rPr>
          <w:rFonts w:hint="eastAsia" w:ascii="宋体" w:hAnsi="宋体"/>
          <w:color w:val="auto"/>
          <w:sz w:val="22"/>
          <w:szCs w:val="22"/>
          <w:highlight w:val="none"/>
        </w:rPr>
        <w:t>法定代表人或授权代表（签字或盖章）：</w:t>
      </w:r>
    </w:p>
    <w:p w14:paraId="1E5AA141">
      <w:pPr>
        <w:spacing w:line="380" w:lineRule="exact"/>
        <w:ind w:firstLine="4400" w:firstLineChars="2000"/>
        <w:rPr>
          <w:rFonts w:ascii="宋体" w:hAnsi="宋体"/>
          <w:color w:val="auto"/>
          <w:sz w:val="22"/>
          <w:szCs w:val="22"/>
          <w:highlight w:val="none"/>
        </w:rPr>
      </w:pPr>
      <w:r>
        <w:rPr>
          <w:rFonts w:hint="eastAsia" w:ascii="宋体" w:hAnsi="宋体"/>
          <w:color w:val="auto"/>
          <w:sz w:val="22"/>
          <w:szCs w:val="22"/>
          <w:highlight w:val="none"/>
        </w:rPr>
        <w:t>日期：  年   月  日</w:t>
      </w:r>
    </w:p>
    <w:p w14:paraId="50F4C639">
      <w:pPr>
        <w:spacing w:line="400" w:lineRule="exact"/>
        <w:rPr>
          <w:rFonts w:ascii="宋体" w:hAnsi="宋体"/>
          <w:color w:val="auto"/>
          <w:sz w:val="22"/>
          <w:szCs w:val="22"/>
          <w:highlight w:val="none"/>
        </w:rPr>
      </w:pPr>
    </w:p>
    <w:p w14:paraId="235703F3">
      <w:pPr>
        <w:spacing w:line="460" w:lineRule="exact"/>
        <w:rPr>
          <w:rFonts w:ascii="宋体" w:hAnsi="宋体"/>
          <w:b/>
          <w:color w:val="auto"/>
          <w:sz w:val="22"/>
          <w:szCs w:val="22"/>
          <w:highlight w:val="none"/>
        </w:rPr>
      </w:pPr>
      <w:r>
        <w:rPr>
          <w:rFonts w:hint="eastAsia" w:ascii="宋体" w:hAnsi="宋体"/>
          <w:color w:val="auto"/>
          <w:highlight w:val="none"/>
        </w:rPr>
        <w:br w:type="page"/>
      </w:r>
    </w:p>
    <w:p w14:paraId="32B8BE3B">
      <w:pPr>
        <w:spacing w:line="460" w:lineRule="exact"/>
        <w:rPr>
          <w:rFonts w:hAnsi="宋体"/>
          <w:b/>
          <w:bCs/>
          <w:color w:val="auto"/>
          <w:highlight w:val="none"/>
        </w:rPr>
      </w:pPr>
      <w:r>
        <w:rPr>
          <w:rFonts w:hint="eastAsia" w:ascii="宋体" w:hAnsi="宋体"/>
          <w:b/>
          <w:color w:val="auto"/>
          <w:sz w:val="22"/>
          <w:szCs w:val="22"/>
          <w:highlight w:val="none"/>
        </w:rPr>
        <w:t>附件五</w:t>
      </w:r>
    </w:p>
    <w:p w14:paraId="71C03528">
      <w:pPr>
        <w:spacing w:line="440" w:lineRule="atLeast"/>
        <w:jc w:val="center"/>
        <w:rPr>
          <w:rFonts w:ascii="宋体"/>
          <w:b/>
          <w:color w:val="auto"/>
          <w:sz w:val="22"/>
          <w:szCs w:val="22"/>
          <w:highlight w:val="none"/>
        </w:rPr>
      </w:pPr>
      <w:r>
        <w:rPr>
          <w:rFonts w:hint="eastAsia" w:ascii="宋体" w:hAnsi="宋体"/>
          <w:b/>
          <w:color w:val="auto"/>
          <w:sz w:val="22"/>
          <w:szCs w:val="22"/>
          <w:highlight w:val="none"/>
        </w:rPr>
        <w:t>（1）中小企业声明函</w:t>
      </w:r>
    </w:p>
    <w:p w14:paraId="392B28A2">
      <w:pPr>
        <w:widowControl/>
        <w:adjustRightInd w:val="0"/>
        <w:snapToGrid w:val="0"/>
        <w:spacing w:line="324" w:lineRule="auto"/>
        <w:jc w:val="center"/>
        <w:rPr>
          <w:rFonts w:ascii="宋体" w:hAnsi="宋体" w:cs="宋体"/>
          <w:b/>
          <w:color w:val="auto"/>
          <w:kern w:val="0"/>
          <w:sz w:val="22"/>
          <w:szCs w:val="22"/>
          <w:highlight w:val="none"/>
        </w:rPr>
      </w:pPr>
    </w:p>
    <w:p w14:paraId="53C795B0">
      <w:pPr>
        <w:spacing w:after="120" w:line="44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中小企业声明函（工程、服务）</w:t>
      </w:r>
    </w:p>
    <w:p w14:paraId="7601C475">
      <w:pPr>
        <w:spacing w:before="5" w:after="120" w:line="440" w:lineRule="exact"/>
        <w:rPr>
          <w:rFonts w:ascii="宋体" w:hAnsi="宋体" w:cs="宋体"/>
          <w:b/>
          <w:color w:val="auto"/>
          <w:sz w:val="22"/>
          <w:szCs w:val="22"/>
          <w:highlight w:val="none"/>
        </w:rPr>
      </w:pPr>
    </w:p>
    <w:p w14:paraId="04191E0E">
      <w:pPr>
        <w:spacing w:after="120" w:line="480" w:lineRule="exact"/>
        <w:ind w:right="-1"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本公司（联合体）郑重声明，根据《政府采购促进中小企业发展管理办法》（财库﹝2020﹞46号）的规定，本公司（联合体）参加</w:t>
      </w:r>
      <w:r>
        <w:rPr>
          <w:rFonts w:hint="eastAsia" w:ascii="宋体" w:hAnsi="宋体" w:cs="宋体"/>
          <w:i/>
          <w:iCs/>
          <w:color w:val="auto"/>
          <w:sz w:val="22"/>
          <w:szCs w:val="22"/>
          <w:highlight w:val="none"/>
          <w:u w:val="single"/>
        </w:rPr>
        <w:t>（单位名称）</w:t>
      </w:r>
      <w:r>
        <w:rPr>
          <w:rFonts w:hint="eastAsia" w:ascii="宋体" w:hAnsi="宋体" w:cs="宋体"/>
          <w:color w:val="auto"/>
          <w:sz w:val="22"/>
          <w:szCs w:val="22"/>
          <w:highlight w:val="none"/>
        </w:rPr>
        <w:t>的</w:t>
      </w:r>
      <w:r>
        <w:rPr>
          <w:rFonts w:hint="eastAsia" w:ascii="宋体" w:hAnsi="宋体" w:cs="宋体"/>
          <w:i/>
          <w:iCs/>
          <w:color w:val="auto"/>
          <w:sz w:val="22"/>
          <w:szCs w:val="22"/>
          <w:highlight w:val="none"/>
          <w:u w:val="single"/>
        </w:rPr>
        <w:t>（项目名称）</w:t>
      </w:r>
      <w:r>
        <w:rPr>
          <w:rFonts w:hint="eastAsia" w:ascii="宋体" w:hAnsi="宋体" w:cs="宋体"/>
          <w:color w:val="auto"/>
          <w:sz w:val="22"/>
          <w:szCs w:val="22"/>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5C0ABAA">
      <w:pPr>
        <w:pStyle w:val="123"/>
        <w:tabs>
          <w:tab w:val="left" w:pos="1025"/>
        </w:tabs>
        <w:spacing w:line="480" w:lineRule="exact"/>
        <w:ind w:firstLine="440"/>
        <w:jc w:val="left"/>
        <w:rPr>
          <w:rFonts w:ascii="宋体" w:hAnsi="宋体" w:cs="宋体"/>
          <w:color w:val="auto"/>
          <w:sz w:val="22"/>
          <w:highlight w:val="none"/>
        </w:rPr>
      </w:pPr>
      <w:r>
        <w:rPr>
          <w:rFonts w:hint="eastAsia" w:ascii="宋体" w:hAnsi="宋体" w:cs="宋体"/>
          <w:color w:val="auto"/>
          <w:sz w:val="22"/>
          <w:highlight w:val="none"/>
        </w:rPr>
        <w:t>1.</w:t>
      </w:r>
      <w:r>
        <w:rPr>
          <w:rFonts w:hint="eastAsia" w:ascii="宋体" w:hAnsi="宋体" w:cs="宋体"/>
          <w:i/>
          <w:iCs/>
          <w:color w:val="auto"/>
          <w:sz w:val="22"/>
          <w:highlight w:val="none"/>
          <w:u w:val="single"/>
        </w:rPr>
        <w:t>（标的名称）</w:t>
      </w:r>
      <w:r>
        <w:rPr>
          <w:rFonts w:hint="eastAsia" w:ascii="宋体" w:hAnsi="宋体" w:cs="宋体"/>
          <w:color w:val="auto"/>
          <w:sz w:val="22"/>
          <w:highlight w:val="none"/>
        </w:rPr>
        <w:t>，属于</w:t>
      </w:r>
      <w:r>
        <w:rPr>
          <w:rFonts w:hint="eastAsia" w:ascii="宋体" w:hAnsi="宋体" w:cs="宋体"/>
          <w:i/>
          <w:iCs/>
          <w:color w:val="auto"/>
          <w:sz w:val="22"/>
          <w:highlight w:val="none"/>
          <w:u w:val="single"/>
        </w:rPr>
        <w:t>（采购文件中明确的所属行业）</w:t>
      </w:r>
      <w:r>
        <w:rPr>
          <w:rFonts w:hint="eastAsia" w:ascii="宋体" w:hAnsi="宋体" w:cs="宋体"/>
          <w:color w:val="auto"/>
          <w:sz w:val="22"/>
          <w:highlight w:val="none"/>
        </w:rPr>
        <w:t>；承建（承接）企业为</w:t>
      </w:r>
      <w:r>
        <w:rPr>
          <w:rFonts w:hint="eastAsia" w:ascii="宋体" w:hAnsi="宋体" w:cs="宋体"/>
          <w:i/>
          <w:iCs/>
          <w:color w:val="auto"/>
          <w:sz w:val="22"/>
          <w:highlight w:val="none"/>
          <w:u w:val="single"/>
        </w:rPr>
        <w:t>（企业名称）</w:t>
      </w:r>
      <w:r>
        <w:rPr>
          <w:rFonts w:hint="eastAsia" w:ascii="宋体" w:hAnsi="宋体" w:cs="宋体"/>
          <w:color w:val="auto"/>
          <w:sz w:val="22"/>
          <w:highlight w:val="none"/>
        </w:rPr>
        <w:t>，从业人员人，营业收入为万元，资产总额为万元，属于</w:t>
      </w:r>
      <w:r>
        <w:rPr>
          <w:rFonts w:hint="eastAsia" w:ascii="宋体" w:hAnsi="宋体" w:cs="宋体"/>
          <w:i/>
          <w:iCs/>
          <w:color w:val="auto"/>
          <w:sz w:val="22"/>
          <w:highlight w:val="none"/>
          <w:u w:val="single"/>
        </w:rPr>
        <w:t>（中型企业、小型企业、微型企业）</w:t>
      </w:r>
      <w:r>
        <w:rPr>
          <w:rFonts w:hint="eastAsia" w:ascii="宋体" w:hAnsi="宋体" w:cs="宋体"/>
          <w:color w:val="auto"/>
          <w:sz w:val="22"/>
          <w:highlight w:val="none"/>
        </w:rPr>
        <w:t>；</w:t>
      </w:r>
    </w:p>
    <w:p w14:paraId="704DBD1A">
      <w:pPr>
        <w:pStyle w:val="123"/>
        <w:tabs>
          <w:tab w:val="left" w:pos="1243"/>
          <w:tab w:val="left" w:pos="1806"/>
          <w:tab w:val="left" w:pos="5005"/>
          <w:tab w:val="left" w:pos="7213"/>
        </w:tabs>
        <w:spacing w:line="480" w:lineRule="exact"/>
        <w:ind w:firstLine="440"/>
        <w:jc w:val="left"/>
        <w:rPr>
          <w:rFonts w:ascii="宋体" w:hAnsi="宋体" w:cs="宋体"/>
          <w:color w:val="auto"/>
          <w:sz w:val="22"/>
          <w:highlight w:val="none"/>
        </w:rPr>
      </w:pPr>
      <w:r>
        <w:rPr>
          <w:rFonts w:hint="eastAsia" w:ascii="宋体" w:hAnsi="宋体" w:cs="宋体"/>
          <w:color w:val="auto"/>
          <w:sz w:val="22"/>
          <w:highlight w:val="none"/>
        </w:rPr>
        <w:t>2.</w:t>
      </w:r>
      <w:r>
        <w:rPr>
          <w:rFonts w:hint="eastAsia" w:ascii="宋体" w:hAnsi="宋体" w:cs="宋体"/>
          <w:i/>
          <w:iCs/>
          <w:color w:val="auto"/>
          <w:sz w:val="22"/>
          <w:highlight w:val="none"/>
          <w:u w:val="single"/>
        </w:rPr>
        <w:t>（标的名称）</w:t>
      </w:r>
      <w:r>
        <w:rPr>
          <w:rFonts w:hint="eastAsia" w:ascii="宋体" w:hAnsi="宋体" w:cs="宋体"/>
          <w:color w:val="auto"/>
          <w:sz w:val="22"/>
          <w:highlight w:val="none"/>
        </w:rPr>
        <w:t>，属于</w:t>
      </w:r>
      <w:r>
        <w:rPr>
          <w:rFonts w:hint="eastAsia" w:ascii="宋体" w:hAnsi="宋体" w:cs="宋体"/>
          <w:i/>
          <w:iCs/>
          <w:color w:val="auto"/>
          <w:sz w:val="22"/>
          <w:highlight w:val="none"/>
          <w:u w:val="single"/>
        </w:rPr>
        <w:t>（采购文件中明确的所属行业）</w:t>
      </w:r>
      <w:r>
        <w:rPr>
          <w:rFonts w:hint="eastAsia" w:ascii="宋体" w:hAnsi="宋体" w:cs="宋体"/>
          <w:color w:val="auto"/>
          <w:sz w:val="22"/>
          <w:highlight w:val="none"/>
        </w:rPr>
        <w:t>；承建（承接）企业为</w:t>
      </w:r>
      <w:r>
        <w:rPr>
          <w:rFonts w:hint="eastAsia" w:ascii="宋体" w:hAnsi="宋体" w:cs="宋体"/>
          <w:i/>
          <w:iCs/>
          <w:color w:val="auto"/>
          <w:sz w:val="22"/>
          <w:highlight w:val="none"/>
          <w:u w:val="single"/>
        </w:rPr>
        <w:t>（企业名称）</w:t>
      </w:r>
      <w:r>
        <w:rPr>
          <w:rFonts w:hint="eastAsia" w:ascii="宋体" w:hAnsi="宋体" w:cs="宋体"/>
          <w:color w:val="auto"/>
          <w:sz w:val="22"/>
          <w:highlight w:val="none"/>
        </w:rPr>
        <w:t>，从业人员人，营业收入为万元，资产总额为万元，属于</w:t>
      </w:r>
      <w:r>
        <w:rPr>
          <w:rFonts w:hint="eastAsia" w:ascii="宋体" w:hAnsi="宋体" w:cs="宋体"/>
          <w:i/>
          <w:iCs/>
          <w:color w:val="auto"/>
          <w:sz w:val="22"/>
          <w:highlight w:val="none"/>
          <w:u w:val="single"/>
        </w:rPr>
        <w:t>（中型企业、小型企业、微型企业）</w:t>
      </w:r>
      <w:r>
        <w:rPr>
          <w:rFonts w:hint="eastAsia" w:ascii="宋体" w:hAnsi="宋体" w:cs="宋体"/>
          <w:color w:val="auto"/>
          <w:sz w:val="22"/>
          <w:highlight w:val="none"/>
        </w:rPr>
        <w:t>；</w:t>
      </w:r>
    </w:p>
    <w:p w14:paraId="217DB946">
      <w:pPr>
        <w:spacing w:before="11" w:after="120" w:line="480" w:lineRule="exact"/>
        <w:ind w:left="860"/>
        <w:jc w:val="left"/>
        <w:rPr>
          <w:rFonts w:ascii="宋体" w:hAnsi="宋体" w:cs="宋体"/>
          <w:color w:val="auto"/>
          <w:sz w:val="22"/>
          <w:szCs w:val="22"/>
          <w:highlight w:val="none"/>
        </w:rPr>
      </w:pPr>
      <w:r>
        <w:rPr>
          <w:rFonts w:hint="eastAsia" w:ascii="宋体" w:hAnsi="宋体" w:cs="宋体"/>
          <w:color w:val="auto"/>
          <w:sz w:val="22"/>
          <w:szCs w:val="22"/>
          <w:highlight w:val="none"/>
        </w:rPr>
        <w:t>……</w:t>
      </w:r>
    </w:p>
    <w:p w14:paraId="627EB974">
      <w:pPr>
        <w:spacing w:before="108" w:after="120" w:line="480" w:lineRule="exact"/>
        <w:ind w:right="417" w:firstLine="645"/>
        <w:jc w:val="left"/>
        <w:rPr>
          <w:rFonts w:ascii="宋体" w:hAnsi="宋体" w:cs="宋体"/>
          <w:color w:val="auto"/>
          <w:sz w:val="22"/>
          <w:szCs w:val="22"/>
          <w:highlight w:val="none"/>
        </w:rPr>
      </w:pPr>
      <w:r>
        <w:rPr>
          <w:rFonts w:hint="eastAsia" w:ascii="宋体" w:hAnsi="宋体" w:cs="宋体"/>
          <w:color w:val="auto"/>
          <w:sz w:val="22"/>
          <w:szCs w:val="22"/>
          <w:highlight w:val="none"/>
        </w:rPr>
        <w:t>以上企业，不属于大企业的分支机构，不存在控股股东为大企业的情形，也不存在与大企业的负责人为同一人的情形。</w:t>
      </w:r>
    </w:p>
    <w:p w14:paraId="029E5EF7">
      <w:pPr>
        <w:spacing w:after="120" w:line="480" w:lineRule="exact"/>
        <w:ind w:right="375" w:firstLine="860"/>
        <w:jc w:val="left"/>
        <w:rPr>
          <w:rFonts w:ascii="宋体" w:hAnsi="宋体" w:cs="宋体"/>
          <w:color w:val="auto"/>
          <w:sz w:val="22"/>
          <w:szCs w:val="22"/>
          <w:highlight w:val="none"/>
        </w:rPr>
      </w:pPr>
      <w:r>
        <w:rPr>
          <w:rFonts w:hint="eastAsia" w:ascii="宋体" w:hAnsi="宋体" w:cs="宋体"/>
          <w:color w:val="auto"/>
          <w:sz w:val="22"/>
          <w:szCs w:val="22"/>
          <w:highlight w:val="none"/>
        </w:rPr>
        <w:t>本企业对上述声明内容的真实性负责。如有虚假，将依法承担相应责任。</w:t>
      </w:r>
    </w:p>
    <w:p w14:paraId="69500165">
      <w:pPr>
        <w:spacing w:before="29" w:after="120" w:line="480" w:lineRule="exact"/>
        <w:ind w:left="4060" w:right="2166"/>
        <w:jc w:val="left"/>
        <w:rPr>
          <w:rFonts w:ascii="宋体" w:hAnsi="宋体" w:cs="宋体"/>
          <w:color w:val="auto"/>
          <w:sz w:val="22"/>
          <w:szCs w:val="22"/>
          <w:highlight w:val="none"/>
        </w:rPr>
      </w:pPr>
    </w:p>
    <w:p w14:paraId="30AFD636">
      <w:pPr>
        <w:spacing w:before="29" w:after="120" w:line="480" w:lineRule="exact"/>
        <w:ind w:left="4060" w:right="2166"/>
        <w:jc w:val="left"/>
        <w:rPr>
          <w:rFonts w:ascii="宋体" w:hAnsi="宋体" w:cs="宋体"/>
          <w:color w:val="auto"/>
          <w:sz w:val="22"/>
          <w:szCs w:val="22"/>
          <w:highlight w:val="none"/>
        </w:rPr>
      </w:pPr>
      <w:r>
        <w:rPr>
          <w:rFonts w:hint="eastAsia" w:ascii="宋体" w:hAnsi="宋体" w:cs="宋体"/>
          <w:color w:val="auto"/>
          <w:sz w:val="22"/>
          <w:szCs w:val="22"/>
          <w:highlight w:val="none"/>
        </w:rPr>
        <w:t>企业名称（盖章）：</w:t>
      </w:r>
    </w:p>
    <w:p w14:paraId="5F32A55B">
      <w:pPr>
        <w:spacing w:before="29" w:after="120" w:line="480" w:lineRule="exact"/>
        <w:ind w:left="4060" w:right="2166"/>
        <w:jc w:val="left"/>
        <w:rPr>
          <w:rFonts w:ascii="宋体" w:hAnsi="宋体" w:cs="宋体"/>
          <w:color w:val="auto"/>
          <w:sz w:val="22"/>
          <w:szCs w:val="22"/>
          <w:highlight w:val="none"/>
        </w:rPr>
      </w:pPr>
      <w:r>
        <w:rPr>
          <w:rFonts w:hint="eastAsia" w:ascii="宋体" w:hAnsi="宋体" w:cs="宋体"/>
          <w:color w:val="auto"/>
          <w:sz w:val="22"/>
          <w:szCs w:val="22"/>
          <w:highlight w:val="none"/>
        </w:rPr>
        <w:t>日期：</w:t>
      </w:r>
    </w:p>
    <w:p w14:paraId="397EA372">
      <w:pPr>
        <w:pStyle w:val="749"/>
        <w:spacing w:before="60" w:after="60"/>
        <w:rPr>
          <w:rFonts w:ascii="宋体" w:hAnsi="宋体" w:cs="宋体"/>
          <w:color w:val="auto"/>
          <w:sz w:val="22"/>
          <w:szCs w:val="22"/>
          <w:highlight w:val="none"/>
        </w:rPr>
      </w:pPr>
    </w:p>
    <w:p w14:paraId="17EFDD02">
      <w:pPr>
        <w:spacing w:line="440" w:lineRule="exact"/>
        <w:rPr>
          <w:rFonts w:ascii="宋体" w:hAnsi="宋体" w:cs="宋体"/>
          <w:b/>
          <w:color w:val="auto"/>
          <w:sz w:val="22"/>
          <w:szCs w:val="22"/>
          <w:highlight w:val="none"/>
        </w:rPr>
      </w:pPr>
      <w:r>
        <w:rPr>
          <w:rFonts w:hint="eastAsia" w:ascii="宋体" w:hAnsi="宋体" w:cs="宋体"/>
          <w:b/>
          <w:color w:val="auto"/>
          <w:sz w:val="22"/>
          <w:szCs w:val="22"/>
          <w:highlight w:val="none"/>
        </w:rPr>
        <w:t>说明：</w:t>
      </w:r>
    </w:p>
    <w:p w14:paraId="033A5CBF">
      <w:pPr>
        <w:numPr>
          <w:ilvl w:val="0"/>
          <w:numId w:val="52"/>
        </w:numPr>
        <w:tabs>
          <w:tab w:val="left" w:pos="42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本项目为对应的中小企业划分标准所属行业：</w:t>
      </w:r>
      <w:r>
        <w:rPr>
          <w:rFonts w:hint="eastAsia" w:ascii="宋体" w:hAnsi="宋体" w:cs="新宋体"/>
          <w:b/>
          <w:bCs/>
          <w:color w:val="auto"/>
          <w:kern w:val="0"/>
          <w:sz w:val="22"/>
          <w:highlight w:val="none"/>
          <w:u w:val="single"/>
          <w:lang w:val="zh-CN"/>
        </w:rPr>
        <w:t>软件和信息技术服务业</w:t>
      </w:r>
      <w:r>
        <w:rPr>
          <w:rFonts w:hint="eastAsia" w:ascii="宋体" w:hAnsi="宋体" w:cs="宋体"/>
          <w:b/>
          <w:color w:val="auto"/>
          <w:sz w:val="22"/>
          <w:szCs w:val="22"/>
          <w:highlight w:val="none"/>
        </w:rPr>
        <w:t>。</w:t>
      </w:r>
    </w:p>
    <w:p w14:paraId="41C02D0D">
      <w:pPr>
        <w:numPr>
          <w:ilvl w:val="0"/>
          <w:numId w:val="52"/>
        </w:numPr>
        <w:tabs>
          <w:tab w:val="left" w:pos="42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从业人员、营业收入、资产总额填报上一年度数据，无上一年度数据的新成立企业可不填报。</w:t>
      </w:r>
    </w:p>
    <w:p w14:paraId="2A527FDC">
      <w:pPr>
        <w:tabs>
          <w:tab w:val="left" w:pos="420"/>
        </w:tabs>
        <w:spacing w:line="400" w:lineRule="exact"/>
        <w:rPr>
          <w:rFonts w:ascii="宋体" w:hAnsi="宋体" w:cs="宋体"/>
          <w:b/>
          <w:color w:val="auto"/>
          <w:sz w:val="22"/>
          <w:szCs w:val="22"/>
          <w:highlight w:val="none"/>
        </w:rPr>
      </w:pPr>
    </w:p>
    <w:p w14:paraId="7745C480">
      <w:pPr>
        <w:pStyle w:val="749"/>
        <w:spacing w:before="60" w:after="60"/>
        <w:rPr>
          <w:rFonts w:ascii="宋体" w:hAnsi="宋体" w:cs="宋体"/>
          <w:color w:val="auto"/>
          <w:sz w:val="22"/>
          <w:szCs w:val="22"/>
          <w:highlight w:val="none"/>
        </w:rPr>
        <w:sectPr>
          <w:headerReference r:id="rId7" w:type="default"/>
          <w:footerReference r:id="rId8" w:type="default"/>
          <w:type w:val="nextColumn"/>
          <w:pgSz w:w="11906" w:h="16838"/>
          <w:pgMar w:top="1134" w:right="1134" w:bottom="1134" w:left="1134" w:header="851" w:footer="992" w:gutter="0"/>
          <w:cols w:space="720" w:num="1"/>
          <w:docGrid w:linePitch="312" w:charSpace="0"/>
        </w:sectPr>
      </w:pPr>
    </w:p>
    <w:p w14:paraId="5962AD4E">
      <w:pPr>
        <w:spacing w:after="120" w:line="440" w:lineRule="exact"/>
        <w:jc w:val="center"/>
        <w:rPr>
          <w:rFonts w:ascii="宋体" w:hAnsi="宋体" w:cs="宋体"/>
          <w:b/>
          <w:bCs/>
          <w:color w:val="auto"/>
          <w:sz w:val="22"/>
          <w:szCs w:val="22"/>
          <w:highlight w:val="none"/>
        </w:rPr>
      </w:pPr>
    </w:p>
    <w:p w14:paraId="572124E1">
      <w:pPr>
        <w:spacing w:before="240" w:beforeLines="100" w:line="440" w:lineRule="atLeast"/>
        <w:ind w:firstLine="440" w:firstLineChars="200"/>
        <w:jc w:val="right"/>
        <w:rPr>
          <w:rFonts w:ascii="宋体"/>
          <w:color w:val="auto"/>
          <w:sz w:val="22"/>
          <w:szCs w:val="22"/>
          <w:highlight w:val="none"/>
        </w:rPr>
      </w:pPr>
      <w:r>
        <w:rPr>
          <w:rFonts w:ascii="宋体"/>
          <w:color w:val="auto"/>
          <w:sz w:val="22"/>
          <w:szCs w:val="22"/>
          <w:highlight w:val="none"/>
        </w:rPr>
        <w:t>              </w:t>
      </w:r>
      <w:r>
        <w:rPr>
          <w:rFonts w:hint="eastAsia" w:ascii="宋体" w:hAnsi="宋体"/>
          <w:color w:val="auto"/>
          <w:sz w:val="22"/>
          <w:szCs w:val="22"/>
          <w:highlight w:val="none"/>
        </w:rPr>
        <w:t>　　　　　</w:t>
      </w:r>
    </w:p>
    <w:p w14:paraId="5D2C7C1E">
      <w:pPr>
        <w:spacing w:line="440" w:lineRule="atLeast"/>
        <w:rPr>
          <w:rFonts w:ascii="宋体"/>
          <w:color w:val="auto"/>
          <w:sz w:val="22"/>
          <w:szCs w:val="22"/>
          <w:highlight w:val="none"/>
        </w:rPr>
      </w:pPr>
    </w:p>
    <w:p w14:paraId="56057DB8">
      <w:pPr>
        <w:spacing w:line="440" w:lineRule="atLeast"/>
        <w:jc w:val="center"/>
        <w:rPr>
          <w:rFonts w:ascii="宋体"/>
          <w:color w:val="auto"/>
          <w:spacing w:val="6"/>
          <w:sz w:val="22"/>
          <w:szCs w:val="22"/>
          <w:highlight w:val="none"/>
        </w:rPr>
      </w:pPr>
      <w:r>
        <w:rPr>
          <w:rFonts w:hint="eastAsia" w:ascii="宋体" w:hAnsi="宋体"/>
          <w:b/>
          <w:color w:val="auto"/>
          <w:sz w:val="22"/>
          <w:szCs w:val="22"/>
          <w:highlight w:val="none"/>
        </w:rPr>
        <w:t>（2）</w:t>
      </w:r>
      <w:r>
        <w:rPr>
          <w:rFonts w:hint="eastAsia" w:ascii="宋体" w:hAnsi="宋体"/>
          <w:b/>
          <w:color w:val="auto"/>
          <w:spacing w:val="6"/>
          <w:sz w:val="22"/>
          <w:szCs w:val="22"/>
          <w:highlight w:val="none"/>
        </w:rPr>
        <w:t>残疾人福利性单位声明函</w:t>
      </w:r>
    </w:p>
    <w:p w14:paraId="20C0F9C5">
      <w:pPr>
        <w:widowControl/>
        <w:adjustRightInd w:val="0"/>
        <w:snapToGrid w:val="0"/>
        <w:spacing w:line="324" w:lineRule="auto"/>
        <w:ind w:firstLine="440" w:firstLineChars="200"/>
        <w:jc w:val="center"/>
        <w:rPr>
          <w:rFonts w:ascii="宋体" w:cs="Arial"/>
          <w:color w:val="auto"/>
          <w:kern w:val="0"/>
          <w:sz w:val="22"/>
          <w:szCs w:val="22"/>
          <w:highlight w:val="none"/>
        </w:rPr>
      </w:pPr>
      <w:r>
        <w:rPr>
          <w:rFonts w:hint="eastAsia" w:ascii="宋体" w:hAnsi="宋体" w:cs="Arial"/>
          <w:color w:val="auto"/>
          <w:kern w:val="0"/>
          <w:sz w:val="22"/>
          <w:szCs w:val="22"/>
          <w:highlight w:val="none"/>
        </w:rPr>
        <w:t>【不属于残疾人福利性单位的无需填写、递交】</w:t>
      </w:r>
    </w:p>
    <w:p w14:paraId="2AF51C40">
      <w:pPr>
        <w:snapToGrid w:val="0"/>
        <w:spacing w:line="300" w:lineRule="auto"/>
        <w:jc w:val="center"/>
        <w:rPr>
          <w:rFonts w:ascii="宋体" w:cs="Arial"/>
          <w:b/>
          <w:bCs/>
          <w:color w:val="auto"/>
          <w:sz w:val="22"/>
          <w:szCs w:val="22"/>
          <w:highlight w:val="none"/>
        </w:rPr>
      </w:pPr>
    </w:p>
    <w:p w14:paraId="54C8F4E7">
      <w:pPr>
        <w:snapToGrid w:val="0"/>
        <w:spacing w:line="300" w:lineRule="auto"/>
        <w:ind w:firstLine="464" w:firstLineChars="200"/>
        <w:rPr>
          <w:rFonts w:ascii="宋体" w:cs="Arial"/>
          <w:color w:val="auto"/>
          <w:spacing w:val="6"/>
          <w:sz w:val="22"/>
          <w:szCs w:val="22"/>
          <w:highlight w:val="none"/>
        </w:rPr>
      </w:pPr>
      <w:r>
        <w:rPr>
          <w:rFonts w:hint="eastAsia" w:ascii="宋体" w:hAnsi="宋体" w:cs="Arial"/>
          <w:color w:val="auto"/>
          <w:spacing w:val="6"/>
          <w:sz w:val="22"/>
          <w:szCs w:val="22"/>
          <w:highlight w:val="none"/>
        </w:rPr>
        <w:t>本单位郑重声明，根据《财政部民政部中国残疾人联合会关于促进残疾人就业政府采购政策的通知》（财库</w:t>
      </w:r>
      <w:r>
        <w:rPr>
          <w:rFonts w:hint="eastAsia" w:ascii="宋体" w:hAnsi="宋体" w:cs="Arial"/>
          <w:color w:val="auto"/>
          <w:sz w:val="22"/>
          <w:szCs w:val="22"/>
          <w:highlight w:val="none"/>
        </w:rPr>
        <w:t>〔</w:t>
      </w:r>
      <w:r>
        <w:rPr>
          <w:rFonts w:ascii="宋体" w:hAnsi="宋体" w:cs="Arial"/>
          <w:color w:val="auto"/>
          <w:sz w:val="22"/>
          <w:szCs w:val="22"/>
          <w:highlight w:val="none"/>
        </w:rPr>
        <w:t>2017</w:t>
      </w:r>
      <w:r>
        <w:rPr>
          <w:rFonts w:hint="eastAsia" w:ascii="宋体" w:hAnsi="宋体" w:cs="Arial"/>
          <w:color w:val="auto"/>
          <w:sz w:val="22"/>
          <w:szCs w:val="22"/>
          <w:highlight w:val="none"/>
        </w:rPr>
        <w:t>〕</w:t>
      </w:r>
      <w:r>
        <w:rPr>
          <w:rFonts w:ascii="宋体" w:hAnsi="宋体" w:cs="Arial"/>
          <w:color w:val="auto"/>
          <w:sz w:val="22"/>
          <w:szCs w:val="22"/>
          <w:highlight w:val="none"/>
        </w:rPr>
        <w:t>141</w:t>
      </w:r>
      <w:r>
        <w:rPr>
          <w:rFonts w:hint="eastAsia" w:ascii="宋体" w:hAnsi="宋体" w:cs="Arial"/>
          <w:color w:val="auto"/>
          <w:spacing w:val="6"/>
          <w:sz w:val="22"/>
          <w:szCs w:val="22"/>
          <w:highlight w:val="none"/>
        </w:rPr>
        <w:t>号）的规定，本单位为符合条件的残疾人福利性单位，且本单位参加</w:t>
      </w:r>
      <w:r>
        <w:rPr>
          <w:rFonts w:hint="eastAsia" w:ascii="宋体" w:hAnsi="宋体" w:cs="Arial"/>
          <w:color w:val="auto"/>
          <w:spacing w:val="6"/>
          <w:sz w:val="22"/>
          <w:szCs w:val="22"/>
          <w:highlight w:val="none"/>
          <w:u w:val="single"/>
        </w:rPr>
        <w:t>（采购人名称）</w:t>
      </w:r>
      <w:r>
        <w:rPr>
          <w:rFonts w:hint="eastAsia" w:ascii="宋体" w:hAnsi="宋体" w:cs="Arial"/>
          <w:color w:val="auto"/>
          <w:spacing w:val="6"/>
          <w:sz w:val="22"/>
          <w:szCs w:val="22"/>
          <w:highlight w:val="none"/>
        </w:rPr>
        <w:t>单位的</w:t>
      </w:r>
      <w:r>
        <w:rPr>
          <w:rFonts w:hint="eastAsia" w:ascii="宋体" w:hAnsi="宋体" w:cs="Arial"/>
          <w:color w:val="auto"/>
          <w:spacing w:val="6"/>
          <w:sz w:val="22"/>
          <w:szCs w:val="22"/>
          <w:highlight w:val="none"/>
          <w:u w:val="single"/>
        </w:rPr>
        <w:t>（项目名称）</w:t>
      </w:r>
      <w:r>
        <w:rPr>
          <w:rFonts w:hint="eastAsia" w:ascii="宋体" w:hAnsi="宋体" w:cs="Arial"/>
          <w:color w:val="auto"/>
          <w:spacing w:val="6"/>
          <w:sz w:val="22"/>
          <w:szCs w:val="22"/>
          <w:highlight w:val="none"/>
        </w:rPr>
        <w:t>项目采购活动提供本单位制造的货物（由本单位承担工程</w:t>
      </w:r>
      <w:r>
        <w:rPr>
          <w:rFonts w:ascii="宋体" w:hAnsi="宋体" w:cs="Arial"/>
          <w:color w:val="auto"/>
          <w:spacing w:val="6"/>
          <w:sz w:val="22"/>
          <w:szCs w:val="22"/>
          <w:highlight w:val="none"/>
        </w:rPr>
        <w:t>/</w:t>
      </w:r>
      <w:r>
        <w:rPr>
          <w:rFonts w:hint="eastAsia" w:ascii="宋体" w:hAnsi="宋体" w:cs="Arial"/>
          <w:color w:val="auto"/>
          <w:spacing w:val="6"/>
          <w:sz w:val="22"/>
          <w:szCs w:val="22"/>
          <w:highlight w:val="none"/>
        </w:rPr>
        <w:t>提供服务），或者提供其他残疾人福利性单位制造的货物（不包括使用非残疾人福利性单位注册商标的货物）。</w:t>
      </w:r>
    </w:p>
    <w:p w14:paraId="512EECAB">
      <w:pPr>
        <w:snapToGrid w:val="0"/>
        <w:spacing w:line="300" w:lineRule="auto"/>
        <w:ind w:firstLine="464" w:firstLineChars="200"/>
        <w:rPr>
          <w:rFonts w:ascii="宋体" w:cs="Arial"/>
          <w:color w:val="auto"/>
          <w:spacing w:val="6"/>
          <w:sz w:val="22"/>
          <w:szCs w:val="22"/>
          <w:highlight w:val="none"/>
        </w:rPr>
      </w:pPr>
      <w:r>
        <w:rPr>
          <w:rFonts w:hint="eastAsia" w:ascii="宋体" w:hAnsi="宋体" w:cs="Arial"/>
          <w:color w:val="auto"/>
          <w:spacing w:val="6"/>
          <w:sz w:val="22"/>
          <w:szCs w:val="22"/>
          <w:highlight w:val="none"/>
        </w:rPr>
        <w:t>本单位对上述声明的真实性负责。如有虚假，将依法承担相应责任。</w:t>
      </w:r>
    </w:p>
    <w:p w14:paraId="555D7A76">
      <w:pPr>
        <w:snapToGrid w:val="0"/>
        <w:spacing w:line="300" w:lineRule="auto"/>
        <w:ind w:firstLine="464" w:firstLineChars="200"/>
        <w:rPr>
          <w:rFonts w:ascii="宋体" w:cs="Arial"/>
          <w:color w:val="auto"/>
          <w:spacing w:val="6"/>
          <w:sz w:val="22"/>
          <w:szCs w:val="22"/>
          <w:highlight w:val="none"/>
        </w:rPr>
      </w:pPr>
    </w:p>
    <w:p w14:paraId="7AF328A2">
      <w:pPr>
        <w:snapToGrid w:val="0"/>
        <w:spacing w:line="300" w:lineRule="auto"/>
        <w:ind w:firstLine="464" w:firstLineChars="200"/>
        <w:rPr>
          <w:rFonts w:ascii="宋体" w:cs="Arial"/>
          <w:color w:val="auto"/>
          <w:spacing w:val="6"/>
          <w:sz w:val="22"/>
          <w:szCs w:val="22"/>
          <w:highlight w:val="none"/>
        </w:rPr>
      </w:pPr>
    </w:p>
    <w:p w14:paraId="2B5348C3">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投标人名称（盖章）：</w:t>
      </w:r>
    </w:p>
    <w:p w14:paraId="580A9807">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044155DF">
      <w:pPr>
        <w:adjustRightInd w:val="0"/>
        <w:snapToGrid w:val="0"/>
        <w:spacing w:line="300" w:lineRule="auto"/>
        <w:ind w:firstLine="440" w:firstLineChars="200"/>
        <w:rPr>
          <w:rFonts w:ascii="宋体" w:cs="Arial"/>
          <w:color w:val="auto"/>
          <w:kern w:val="0"/>
          <w:sz w:val="22"/>
          <w:szCs w:val="22"/>
          <w:highlight w:val="none"/>
        </w:rPr>
      </w:pPr>
    </w:p>
    <w:p w14:paraId="2341999C">
      <w:pPr>
        <w:pStyle w:val="42"/>
        <w:rPr>
          <w:color w:val="auto"/>
          <w:highlight w:val="none"/>
        </w:rPr>
      </w:pPr>
    </w:p>
    <w:p w14:paraId="70C2FA9A">
      <w:pPr>
        <w:adjustRightInd w:val="0"/>
        <w:snapToGrid w:val="0"/>
        <w:spacing w:line="300" w:lineRule="auto"/>
        <w:ind w:firstLine="440" w:firstLineChars="200"/>
        <w:rPr>
          <w:rFonts w:ascii="宋体" w:cs="Arial"/>
          <w:color w:val="auto"/>
          <w:kern w:val="0"/>
          <w:sz w:val="22"/>
          <w:szCs w:val="22"/>
          <w:highlight w:val="none"/>
        </w:rPr>
      </w:pPr>
    </w:p>
    <w:p w14:paraId="23481374">
      <w:pPr>
        <w:spacing w:line="440" w:lineRule="atLeast"/>
        <w:rPr>
          <w:rFonts w:ascii="宋体"/>
          <w:color w:val="auto"/>
          <w:sz w:val="22"/>
          <w:szCs w:val="22"/>
          <w:highlight w:val="none"/>
        </w:rPr>
      </w:pPr>
    </w:p>
    <w:p w14:paraId="05F27DFC">
      <w:pPr>
        <w:adjustRightInd w:val="0"/>
        <w:snapToGrid w:val="0"/>
        <w:spacing w:line="300" w:lineRule="auto"/>
        <w:jc w:val="center"/>
        <w:rPr>
          <w:rFonts w:ascii="宋体" w:cs="Arial"/>
          <w:color w:val="auto"/>
          <w:kern w:val="0"/>
          <w:sz w:val="22"/>
          <w:szCs w:val="22"/>
          <w:highlight w:val="none"/>
        </w:rPr>
      </w:pPr>
      <w:r>
        <w:rPr>
          <w:rFonts w:hint="eastAsia" w:ascii="宋体" w:hAnsi="宋体"/>
          <w:b/>
          <w:color w:val="auto"/>
          <w:sz w:val="22"/>
          <w:szCs w:val="22"/>
          <w:highlight w:val="none"/>
        </w:rPr>
        <w:t>（3）</w:t>
      </w:r>
      <w:r>
        <w:rPr>
          <w:rFonts w:hint="eastAsia" w:ascii="宋体" w:hAnsi="宋体"/>
          <w:b/>
          <w:color w:val="auto"/>
          <w:spacing w:val="6"/>
          <w:sz w:val="22"/>
          <w:szCs w:val="22"/>
          <w:highlight w:val="none"/>
        </w:rPr>
        <w:t>监狱企业声明函</w:t>
      </w:r>
    </w:p>
    <w:p w14:paraId="78AB00AC">
      <w:pPr>
        <w:snapToGrid w:val="0"/>
        <w:spacing w:line="300" w:lineRule="auto"/>
        <w:ind w:firstLine="464" w:firstLineChars="200"/>
        <w:jc w:val="center"/>
        <w:rPr>
          <w:rFonts w:ascii="宋体" w:cs="Arial"/>
          <w:color w:val="auto"/>
          <w:spacing w:val="6"/>
          <w:sz w:val="22"/>
          <w:szCs w:val="22"/>
          <w:highlight w:val="none"/>
        </w:rPr>
      </w:pPr>
      <w:r>
        <w:rPr>
          <w:rFonts w:hint="eastAsia" w:ascii="宋体" w:hAnsi="宋体"/>
          <w:color w:val="auto"/>
          <w:spacing w:val="6"/>
          <w:sz w:val="22"/>
          <w:szCs w:val="22"/>
          <w:highlight w:val="none"/>
        </w:rPr>
        <w:t>【</w:t>
      </w:r>
      <w:r>
        <w:rPr>
          <w:rFonts w:hint="eastAsia" w:ascii="宋体" w:hAnsi="宋体" w:cs="Arial"/>
          <w:color w:val="auto"/>
          <w:spacing w:val="6"/>
          <w:sz w:val="22"/>
          <w:szCs w:val="22"/>
          <w:highlight w:val="none"/>
        </w:rPr>
        <w:t>非监狱企业不用提供】</w:t>
      </w:r>
    </w:p>
    <w:p w14:paraId="05569800">
      <w:pPr>
        <w:snapToGrid w:val="0"/>
        <w:spacing w:line="300" w:lineRule="auto"/>
        <w:ind w:firstLine="464" w:firstLineChars="200"/>
        <w:rPr>
          <w:rFonts w:ascii="宋体" w:cs="Arial"/>
          <w:color w:val="auto"/>
          <w:spacing w:val="6"/>
          <w:sz w:val="22"/>
          <w:szCs w:val="22"/>
          <w:highlight w:val="none"/>
        </w:rPr>
      </w:pPr>
      <w:r>
        <w:rPr>
          <w:rFonts w:hint="eastAsia" w:ascii="宋体" w:hAnsi="宋体" w:cs="Arial"/>
          <w:color w:val="auto"/>
          <w:spacing w:val="6"/>
          <w:sz w:val="22"/>
          <w:szCs w:val="22"/>
          <w:highlight w:val="none"/>
        </w:rPr>
        <w:t>本企业郑重声明，根据《关于政府采购支持监狱企业发展有关问题的通知》（财库</w:t>
      </w:r>
      <w:r>
        <w:rPr>
          <w:rFonts w:ascii="宋体" w:hAnsi="宋体" w:cs="Arial"/>
          <w:color w:val="auto"/>
          <w:spacing w:val="6"/>
          <w:sz w:val="22"/>
          <w:szCs w:val="22"/>
          <w:highlight w:val="none"/>
        </w:rPr>
        <w:t>[2014]68</w:t>
      </w:r>
      <w:r>
        <w:rPr>
          <w:rFonts w:hint="eastAsia" w:ascii="宋体" w:hAnsi="宋体" w:cs="Arial"/>
          <w:color w:val="auto"/>
          <w:spacing w:val="6"/>
          <w:sz w:val="22"/>
          <w:szCs w:val="22"/>
          <w:highlight w:val="none"/>
        </w:rPr>
        <w:t>号）的规定，本企业为监狱企业。</w:t>
      </w:r>
    </w:p>
    <w:p w14:paraId="4D95DB43">
      <w:pPr>
        <w:snapToGrid w:val="0"/>
        <w:spacing w:line="300" w:lineRule="auto"/>
        <w:ind w:firstLine="464" w:firstLineChars="200"/>
        <w:rPr>
          <w:rFonts w:ascii="宋体" w:cs="Arial"/>
          <w:color w:val="auto"/>
          <w:spacing w:val="6"/>
          <w:sz w:val="22"/>
          <w:szCs w:val="22"/>
          <w:highlight w:val="none"/>
        </w:rPr>
      </w:pPr>
      <w:r>
        <w:rPr>
          <w:rFonts w:hint="eastAsia" w:ascii="宋体" w:hAnsi="宋体" w:cs="Arial"/>
          <w:color w:val="auto"/>
          <w:spacing w:val="6"/>
          <w:sz w:val="22"/>
          <w:szCs w:val="22"/>
          <w:highlight w:val="none"/>
        </w:rPr>
        <w:t>根据上述标准，我企业属于监狱企业的理由为：  。</w:t>
      </w:r>
    </w:p>
    <w:p w14:paraId="62F61147">
      <w:pPr>
        <w:snapToGrid w:val="0"/>
        <w:spacing w:line="300" w:lineRule="auto"/>
        <w:ind w:firstLine="464" w:firstLineChars="200"/>
        <w:rPr>
          <w:rFonts w:ascii="宋体" w:cs="Arial"/>
          <w:color w:val="auto"/>
          <w:spacing w:val="6"/>
          <w:sz w:val="22"/>
          <w:szCs w:val="22"/>
          <w:highlight w:val="none"/>
        </w:rPr>
      </w:pPr>
      <w:r>
        <w:rPr>
          <w:rFonts w:hint="eastAsia" w:ascii="宋体" w:hAnsi="宋体" w:cs="Arial"/>
          <w:color w:val="auto"/>
          <w:spacing w:val="6"/>
          <w:sz w:val="22"/>
          <w:szCs w:val="22"/>
          <w:highlight w:val="none"/>
        </w:rPr>
        <w:t>本企业为参加（项目名称</w:t>
      </w:r>
      <w:r>
        <w:rPr>
          <w:rFonts w:hint="eastAsia" w:ascii="宋体" w:hAnsi="宋体" w:cs="Arial"/>
          <w:color w:val="auto"/>
          <w:spacing w:val="6"/>
          <w:sz w:val="22"/>
          <w:szCs w:val="22"/>
          <w:highlight w:val="none"/>
          <w:u w:val="single"/>
        </w:rPr>
        <w:t>：</w:t>
      </w:r>
      <w:r>
        <w:rPr>
          <w:rFonts w:hint="eastAsia" w:ascii="宋体" w:hAnsi="宋体" w:cs="Arial"/>
          <w:color w:val="auto"/>
          <w:spacing w:val="6"/>
          <w:sz w:val="22"/>
          <w:szCs w:val="22"/>
          <w:highlight w:val="none"/>
        </w:rPr>
        <w:t>）（项目编号</w:t>
      </w:r>
      <w:r>
        <w:rPr>
          <w:rFonts w:hint="eastAsia" w:ascii="宋体" w:hAnsi="宋体" w:cs="Arial"/>
          <w:color w:val="auto"/>
          <w:spacing w:val="6"/>
          <w:sz w:val="22"/>
          <w:szCs w:val="22"/>
          <w:highlight w:val="none"/>
          <w:u w:val="single"/>
        </w:rPr>
        <w:t>：</w:t>
      </w:r>
      <w:r>
        <w:rPr>
          <w:rFonts w:hint="eastAsia" w:ascii="宋体" w:hAnsi="宋体" w:cs="Arial"/>
          <w:color w:val="auto"/>
          <w:spacing w:val="6"/>
          <w:sz w:val="22"/>
          <w:szCs w:val="22"/>
          <w:highlight w:val="none"/>
        </w:rPr>
        <w:t>）采购活动并承担本工程。</w:t>
      </w:r>
    </w:p>
    <w:p w14:paraId="2BB5DF0D">
      <w:pPr>
        <w:snapToGrid w:val="0"/>
        <w:spacing w:line="300" w:lineRule="auto"/>
        <w:ind w:firstLine="464" w:firstLineChars="200"/>
        <w:rPr>
          <w:rFonts w:ascii="宋体" w:cs="Arial"/>
          <w:color w:val="auto"/>
          <w:spacing w:val="6"/>
          <w:sz w:val="22"/>
          <w:szCs w:val="22"/>
          <w:highlight w:val="none"/>
        </w:rPr>
      </w:pPr>
      <w:r>
        <w:rPr>
          <w:rFonts w:hint="eastAsia" w:ascii="宋体" w:hAnsi="宋体" w:cs="Arial"/>
          <w:color w:val="auto"/>
          <w:spacing w:val="6"/>
          <w:sz w:val="22"/>
          <w:szCs w:val="22"/>
          <w:highlight w:val="none"/>
        </w:rPr>
        <w:t>本企业对上述声明的真实性负责。如有虚假，将依法承担相应责任。</w:t>
      </w:r>
    </w:p>
    <w:p w14:paraId="10DC6EF3">
      <w:pPr>
        <w:tabs>
          <w:tab w:val="left" w:pos="4860"/>
        </w:tabs>
        <w:spacing w:line="588" w:lineRule="exact"/>
        <w:ind w:right="1560" w:firstLine="464" w:firstLineChars="200"/>
        <w:jc w:val="center"/>
        <w:rPr>
          <w:rFonts w:ascii="宋体"/>
          <w:color w:val="auto"/>
          <w:spacing w:val="6"/>
          <w:sz w:val="22"/>
          <w:szCs w:val="22"/>
          <w:highlight w:val="none"/>
        </w:rPr>
      </w:pPr>
    </w:p>
    <w:p w14:paraId="242884C0">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投标人名称（盖章）：</w:t>
      </w:r>
    </w:p>
    <w:p w14:paraId="612CB6C6">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3D7F56B7">
      <w:pPr>
        <w:tabs>
          <w:tab w:val="left" w:pos="1995"/>
        </w:tabs>
        <w:spacing w:line="380" w:lineRule="exact"/>
        <w:rPr>
          <w:rFonts w:ascii="宋体" w:hAnsi="宋体"/>
          <w:color w:val="auto"/>
          <w:sz w:val="22"/>
          <w:szCs w:val="22"/>
          <w:highlight w:val="none"/>
        </w:rPr>
      </w:pPr>
    </w:p>
    <w:p w14:paraId="085FC060">
      <w:pPr>
        <w:spacing w:line="440" w:lineRule="exact"/>
        <w:jc w:val="left"/>
        <w:rPr>
          <w:rFonts w:ascii="宋体" w:hAnsi="宋体" w:cs="hakuyoxingshu7000"/>
          <w:color w:val="auto"/>
          <w:sz w:val="36"/>
          <w:szCs w:val="36"/>
          <w:highlight w:val="none"/>
        </w:rPr>
      </w:pPr>
      <w:r>
        <w:rPr>
          <w:rFonts w:ascii="宋体" w:hAnsi="宋体"/>
          <w:color w:val="auto"/>
          <w:sz w:val="22"/>
          <w:szCs w:val="22"/>
          <w:highlight w:val="none"/>
        </w:rPr>
        <w:br w:type="page"/>
      </w:r>
    </w:p>
    <w:p w14:paraId="715652F1">
      <w:pPr>
        <w:widowControl/>
        <w:jc w:val="left"/>
        <w:rPr>
          <w:rFonts w:ascii="宋体" w:hAnsi="宋体" w:cs="Arial"/>
          <w:b/>
          <w:bCs/>
          <w:color w:val="auto"/>
          <w:sz w:val="24"/>
          <w:highlight w:val="none"/>
        </w:rPr>
      </w:pPr>
    </w:p>
    <w:p w14:paraId="7A54BD2B">
      <w:pPr>
        <w:tabs>
          <w:tab w:val="left" w:pos="795"/>
          <w:tab w:val="center" w:pos="4873"/>
        </w:tabs>
        <w:overflowPunct w:val="0"/>
        <w:spacing w:line="500" w:lineRule="exact"/>
        <w:ind w:firstLine="108" w:firstLineChars="49"/>
        <w:jc w:val="left"/>
        <w:rPr>
          <w:rFonts w:ascii="宋体" w:hAnsi="宋体" w:cs="hakuyoxingshu7000"/>
          <w:color w:val="auto"/>
          <w:sz w:val="22"/>
          <w:highlight w:val="none"/>
        </w:rPr>
      </w:pPr>
      <w:r>
        <w:rPr>
          <w:rFonts w:hint="eastAsia" w:ascii="宋体" w:hAnsi="宋体"/>
          <w:b/>
          <w:color w:val="auto"/>
          <w:sz w:val="22"/>
          <w:szCs w:val="22"/>
          <w:highlight w:val="none"/>
        </w:rPr>
        <w:t>附件六</w:t>
      </w:r>
    </w:p>
    <w:p w14:paraId="4DC9E93B">
      <w:pPr>
        <w:jc w:val="center"/>
        <w:rPr>
          <w:rFonts w:ascii="宋体" w:hAnsi="宋体"/>
          <w:b/>
          <w:color w:val="auto"/>
          <w:spacing w:val="6"/>
          <w:sz w:val="22"/>
          <w:szCs w:val="22"/>
          <w:highlight w:val="none"/>
        </w:rPr>
      </w:pPr>
      <w:r>
        <w:rPr>
          <w:rFonts w:hint="eastAsia" w:ascii="宋体" w:hAnsi="宋体"/>
          <w:b/>
          <w:color w:val="auto"/>
          <w:spacing w:val="6"/>
          <w:sz w:val="22"/>
          <w:szCs w:val="22"/>
          <w:highlight w:val="none"/>
        </w:rPr>
        <w:t>政府采购活动现场确认声明书</w:t>
      </w:r>
    </w:p>
    <w:p w14:paraId="71E154AB">
      <w:pPr>
        <w:tabs>
          <w:tab w:val="left" w:pos="795"/>
          <w:tab w:val="center" w:pos="4873"/>
        </w:tabs>
        <w:overflowPunct w:val="0"/>
        <w:spacing w:line="460" w:lineRule="exact"/>
        <w:ind w:firstLine="118" w:firstLineChars="49"/>
        <w:jc w:val="left"/>
        <w:rPr>
          <w:rFonts w:ascii="宋体" w:hAnsi="宋体" w:cs="Arial"/>
          <w:b/>
          <w:bCs/>
          <w:color w:val="auto"/>
          <w:sz w:val="24"/>
          <w:highlight w:val="none"/>
        </w:rPr>
      </w:pPr>
    </w:p>
    <w:p w14:paraId="7F86B481">
      <w:pPr>
        <w:pStyle w:val="811"/>
        <w:widowControl w:val="0"/>
        <w:snapToGrid w:val="0"/>
        <w:spacing w:line="440" w:lineRule="exact"/>
        <w:jc w:val="both"/>
        <w:rPr>
          <w:rFonts w:hint="default" w:hAnsi="宋体"/>
          <w:b/>
          <w:color w:val="auto"/>
          <w:spacing w:val="6"/>
          <w:sz w:val="22"/>
          <w:szCs w:val="22"/>
          <w:highlight w:val="none"/>
          <w:u w:val="single"/>
        </w:rPr>
      </w:pPr>
      <w:r>
        <w:rPr>
          <w:rFonts w:hAnsi="宋体"/>
          <w:b/>
          <w:bCs/>
          <w:color w:val="auto"/>
          <w:spacing w:val="6"/>
          <w:sz w:val="22"/>
          <w:szCs w:val="22"/>
          <w:highlight w:val="none"/>
          <w:u w:val="single"/>
        </w:rPr>
        <w:t>温州市交通运输局</w:t>
      </w:r>
      <w:r>
        <w:rPr>
          <w:rFonts w:hAnsi="宋体"/>
          <w:b/>
          <w:color w:val="auto"/>
          <w:spacing w:val="6"/>
          <w:sz w:val="22"/>
          <w:szCs w:val="22"/>
          <w:highlight w:val="none"/>
        </w:rPr>
        <w:t>：</w:t>
      </w:r>
    </w:p>
    <w:p w14:paraId="2A777C13">
      <w:pPr>
        <w:pStyle w:val="811"/>
        <w:widowControl w:val="0"/>
        <w:snapToGrid w:val="0"/>
        <w:spacing w:line="440" w:lineRule="exact"/>
        <w:jc w:val="both"/>
        <w:rPr>
          <w:rFonts w:hint="default" w:hAnsi="宋体"/>
          <w:b/>
          <w:color w:val="auto"/>
          <w:spacing w:val="6"/>
          <w:sz w:val="22"/>
          <w:szCs w:val="22"/>
          <w:highlight w:val="none"/>
          <w:u w:val="single"/>
        </w:rPr>
      </w:pPr>
      <w:r>
        <w:rPr>
          <w:rFonts w:hint="eastAsia" w:hAnsi="宋体"/>
          <w:b/>
          <w:color w:val="auto"/>
          <w:spacing w:val="6"/>
          <w:sz w:val="22"/>
          <w:szCs w:val="22"/>
          <w:highlight w:val="none"/>
          <w:u w:val="single"/>
          <w:lang w:eastAsia="zh-CN"/>
        </w:rPr>
        <w:t>浙江欣力工程管理有限公司</w:t>
      </w:r>
      <w:r>
        <w:rPr>
          <w:rFonts w:hAnsi="宋体"/>
          <w:b/>
          <w:color w:val="auto"/>
          <w:kern w:val="0"/>
          <w:sz w:val="22"/>
          <w:szCs w:val="22"/>
          <w:highlight w:val="none"/>
        </w:rPr>
        <w:t>：</w:t>
      </w:r>
    </w:p>
    <w:p w14:paraId="03EBBE15">
      <w:pPr>
        <w:pStyle w:val="811"/>
        <w:widowControl w:val="0"/>
        <w:snapToGrid w:val="0"/>
        <w:spacing w:line="440" w:lineRule="exact"/>
        <w:ind w:firstLine="464" w:firstLineChars="200"/>
        <w:jc w:val="both"/>
        <w:rPr>
          <w:rFonts w:hint="default" w:hAnsi="宋体"/>
          <w:color w:val="auto"/>
          <w:spacing w:val="6"/>
          <w:sz w:val="22"/>
          <w:szCs w:val="22"/>
          <w:highlight w:val="none"/>
        </w:rPr>
      </w:pPr>
      <w:r>
        <w:rPr>
          <w:rFonts w:hAnsi="宋体"/>
          <w:color w:val="auto"/>
          <w:spacing w:val="6"/>
          <w:sz w:val="22"/>
          <w:szCs w:val="22"/>
          <w:highlight w:val="none"/>
        </w:rPr>
        <w:t>本人经由</w:t>
      </w:r>
      <w:r>
        <w:rPr>
          <w:rFonts w:hAnsi="宋体"/>
          <w:color w:val="auto"/>
          <w:spacing w:val="6"/>
          <w:sz w:val="22"/>
          <w:szCs w:val="22"/>
          <w:highlight w:val="none"/>
          <w:u w:val="single"/>
        </w:rPr>
        <w:t xml:space="preserve">                       （单位）</w:t>
      </w:r>
      <w:r>
        <w:rPr>
          <w:rFonts w:hAnsi="宋体"/>
          <w:color w:val="auto"/>
          <w:spacing w:val="6"/>
          <w:sz w:val="22"/>
          <w:szCs w:val="22"/>
          <w:highlight w:val="none"/>
        </w:rPr>
        <w:t>负责人</w:t>
      </w:r>
      <w:r>
        <w:rPr>
          <w:rFonts w:hAnsi="宋体"/>
          <w:color w:val="auto"/>
          <w:spacing w:val="6"/>
          <w:sz w:val="22"/>
          <w:szCs w:val="22"/>
          <w:highlight w:val="none"/>
          <w:u w:val="single"/>
        </w:rPr>
        <w:t xml:space="preserve">          （姓名）</w:t>
      </w:r>
      <w:r>
        <w:rPr>
          <w:rFonts w:hAnsi="宋体"/>
          <w:color w:val="auto"/>
          <w:spacing w:val="6"/>
          <w:sz w:val="22"/>
          <w:szCs w:val="22"/>
          <w:highlight w:val="none"/>
        </w:rPr>
        <w:t>合法授权</w:t>
      </w:r>
      <w:r>
        <w:rPr>
          <w:rFonts w:hAnsi="宋体"/>
          <w:color w:val="auto"/>
          <w:spacing w:val="6"/>
          <w:sz w:val="22"/>
          <w:szCs w:val="22"/>
          <w:highlight w:val="none"/>
          <w:u w:val="single"/>
        </w:rPr>
        <w:t>交通技术服务运维项目</w:t>
      </w:r>
      <w:r>
        <w:rPr>
          <w:rFonts w:hAnsi="宋体"/>
          <w:color w:val="auto"/>
          <w:spacing w:val="6"/>
          <w:sz w:val="22"/>
          <w:szCs w:val="22"/>
          <w:highlight w:val="none"/>
        </w:rPr>
        <w:t>（编号：</w:t>
      </w:r>
      <w:r>
        <w:rPr>
          <w:rFonts w:hint="eastAsia" w:ascii="宋体" w:hAnsi="宋体"/>
          <w:b w:val="0"/>
          <w:color w:val="auto"/>
          <w:spacing w:val="6"/>
          <w:sz w:val="22"/>
          <w:szCs w:val="22"/>
          <w:highlight w:val="none"/>
          <w:u w:val="single"/>
        </w:rPr>
        <w:t>XLCG2025002</w:t>
      </w:r>
      <w:r>
        <w:rPr>
          <w:rFonts w:hAnsi="宋体"/>
          <w:color w:val="auto"/>
          <w:spacing w:val="6"/>
          <w:sz w:val="22"/>
          <w:szCs w:val="22"/>
          <w:highlight w:val="none"/>
        </w:rPr>
        <w:t xml:space="preserve">）政府采购活动，经与本单位法人代表（负责人）联系确认，现就有关公平竞争事项郑重声明如下： </w:t>
      </w:r>
    </w:p>
    <w:p w14:paraId="398B546C">
      <w:pPr>
        <w:pStyle w:val="810"/>
        <w:widowControl/>
        <w:numPr>
          <w:ilvl w:val="0"/>
          <w:numId w:val="53"/>
        </w:numPr>
        <w:snapToGrid w:val="0"/>
        <w:spacing w:line="440" w:lineRule="exact"/>
        <w:ind w:firstLine="415" w:firstLineChars="189"/>
        <w:rPr>
          <w:rFonts w:hint="default" w:ascii="宋体" w:hAnsi="宋体"/>
          <w:color w:val="auto"/>
          <w:kern w:val="0"/>
          <w:sz w:val="22"/>
          <w:szCs w:val="22"/>
          <w:highlight w:val="none"/>
        </w:rPr>
      </w:pPr>
      <w:r>
        <w:rPr>
          <w:rFonts w:ascii="宋体" w:hAnsi="宋体"/>
          <w:color w:val="auto"/>
          <w:kern w:val="0"/>
          <w:sz w:val="22"/>
          <w:szCs w:val="22"/>
          <w:highlight w:val="none"/>
        </w:rPr>
        <w:t xml:space="preserve">本单位与采购人之间 </w:t>
      </w:r>
      <w:r>
        <w:rPr>
          <w:rFonts w:ascii="宋体" w:hAnsi="宋体" w:cs="宋体"/>
          <w:color w:val="auto"/>
          <w:kern w:val="0"/>
          <w:sz w:val="22"/>
          <w:szCs w:val="22"/>
          <w:highlight w:val="none"/>
        </w:rPr>
        <w:t>□</w:t>
      </w:r>
      <w:r>
        <w:rPr>
          <w:rFonts w:ascii="宋体" w:hAnsi="宋体"/>
          <w:color w:val="auto"/>
          <w:kern w:val="0"/>
          <w:sz w:val="22"/>
          <w:szCs w:val="22"/>
          <w:highlight w:val="none"/>
        </w:rPr>
        <w:t xml:space="preserve">不存在利害关系 </w:t>
      </w:r>
      <w:r>
        <w:rPr>
          <w:rFonts w:ascii="宋体" w:hAnsi="宋体" w:cs="宋体"/>
          <w:color w:val="auto"/>
          <w:kern w:val="0"/>
          <w:sz w:val="22"/>
          <w:szCs w:val="22"/>
          <w:highlight w:val="none"/>
        </w:rPr>
        <w:t>□</w:t>
      </w:r>
      <w:r>
        <w:rPr>
          <w:rFonts w:ascii="宋体" w:hAnsi="宋体"/>
          <w:color w:val="auto"/>
          <w:kern w:val="0"/>
          <w:sz w:val="22"/>
          <w:szCs w:val="22"/>
          <w:highlight w:val="none"/>
        </w:rPr>
        <w:t>存在下列利害关系：</w:t>
      </w:r>
    </w:p>
    <w:p w14:paraId="0F5948C6">
      <w:pPr>
        <w:pStyle w:val="810"/>
        <w:widowControl/>
        <w:snapToGrid w:val="0"/>
        <w:spacing w:line="440" w:lineRule="exact"/>
        <w:rPr>
          <w:rFonts w:hint="default" w:ascii="宋体" w:hAnsi="宋体"/>
          <w:color w:val="auto"/>
          <w:kern w:val="0"/>
          <w:sz w:val="22"/>
          <w:szCs w:val="22"/>
          <w:highlight w:val="none"/>
        </w:rPr>
      </w:pPr>
      <w:r>
        <w:rPr>
          <w:rFonts w:ascii="宋体" w:hAnsi="宋体"/>
          <w:color w:val="auto"/>
          <w:kern w:val="0"/>
          <w:sz w:val="22"/>
          <w:szCs w:val="22"/>
          <w:highlight w:val="none"/>
        </w:rPr>
        <w:t xml:space="preserve">  A.投资关系    B.行政隶属关系    C.业务指导关系</w:t>
      </w:r>
    </w:p>
    <w:p w14:paraId="529DD044">
      <w:pPr>
        <w:pStyle w:val="810"/>
        <w:widowControl/>
        <w:snapToGrid w:val="0"/>
        <w:spacing w:line="440" w:lineRule="exact"/>
        <w:rPr>
          <w:rFonts w:hint="default" w:ascii="宋体" w:hAnsi="宋体"/>
          <w:color w:val="auto"/>
          <w:kern w:val="0"/>
          <w:sz w:val="22"/>
          <w:szCs w:val="22"/>
          <w:highlight w:val="none"/>
        </w:rPr>
      </w:pPr>
      <w:r>
        <w:rPr>
          <w:rFonts w:ascii="宋体" w:hAnsi="宋体"/>
          <w:color w:val="auto"/>
          <w:kern w:val="0"/>
          <w:sz w:val="22"/>
          <w:szCs w:val="22"/>
          <w:highlight w:val="none"/>
        </w:rPr>
        <w:t xml:space="preserve">  D.其他可能</w:t>
      </w:r>
      <w:r>
        <w:rPr>
          <w:rFonts w:ascii="宋体" w:hAnsi="宋体"/>
          <w:color w:val="auto"/>
          <w:sz w:val="22"/>
          <w:szCs w:val="22"/>
          <w:highlight w:val="none"/>
        </w:rPr>
        <w:t>影响采购公正的</w:t>
      </w:r>
      <w:r>
        <w:rPr>
          <w:rFonts w:ascii="宋体" w:hAnsi="宋体"/>
          <w:color w:val="auto"/>
          <w:kern w:val="0"/>
          <w:sz w:val="22"/>
          <w:szCs w:val="22"/>
          <w:highlight w:val="none"/>
        </w:rPr>
        <w:t>利害关系</w:t>
      </w:r>
      <w:r>
        <w:rPr>
          <w:rFonts w:ascii="宋体" w:hAnsi="宋体"/>
          <w:color w:val="auto"/>
          <w:kern w:val="0"/>
          <w:sz w:val="22"/>
          <w:szCs w:val="22"/>
          <w:highlight w:val="none"/>
          <w:u w:val="single"/>
        </w:rPr>
        <w:t xml:space="preserve">（如有，请如实说明）                 </w:t>
      </w:r>
      <w:r>
        <w:rPr>
          <w:rFonts w:ascii="宋体" w:hAnsi="宋体"/>
          <w:color w:val="auto"/>
          <w:kern w:val="0"/>
          <w:sz w:val="22"/>
          <w:szCs w:val="22"/>
          <w:highlight w:val="none"/>
        </w:rPr>
        <w:t>。</w:t>
      </w:r>
    </w:p>
    <w:p w14:paraId="58980CBC">
      <w:pPr>
        <w:pStyle w:val="810"/>
        <w:widowControl/>
        <w:snapToGrid w:val="0"/>
        <w:spacing w:line="440" w:lineRule="exact"/>
        <w:rPr>
          <w:rFonts w:hint="default" w:ascii="宋体" w:hAnsi="宋体"/>
          <w:color w:val="auto"/>
          <w:kern w:val="0"/>
          <w:sz w:val="22"/>
          <w:szCs w:val="22"/>
          <w:highlight w:val="none"/>
        </w:rPr>
      </w:pPr>
      <w:r>
        <w:rPr>
          <w:rFonts w:ascii="宋体" w:hAnsi="宋体"/>
          <w:color w:val="auto"/>
          <w:spacing w:val="6"/>
          <w:sz w:val="22"/>
          <w:szCs w:val="22"/>
          <w:highlight w:val="none"/>
        </w:rPr>
        <w:t xml:space="preserve">  二、</w:t>
      </w:r>
      <w:r>
        <w:rPr>
          <w:rFonts w:ascii="宋体" w:hAnsi="宋体"/>
          <w:color w:val="auto"/>
          <w:kern w:val="0"/>
          <w:sz w:val="22"/>
          <w:szCs w:val="22"/>
          <w:highlight w:val="none"/>
        </w:rPr>
        <w:t xml:space="preserve">现已清楚知道参加本项目采购活动的其他所有投标人名称，本单位 </w:t>
      </w:r>
      <w:r>
        <w:rPr>
          <w:rFonts w:ascii="宋体" w:hAnsi="宋体" w:cs="宋体"/>
          <w:color w:val="auto"/>
          <w:kern w:val="0"/>
          <w:sz w:val="22"/>
          <w:szCs w:val="22"/>
          <w:highlight w:val="none"/>
        </w:rPr>
        <w:t>□与其他所有投标人之间均</w:t>
      </w:r>
      <w:r>
        <w:rPr>
          <w:rFonts w:ascii="宋体" w:hAnsi="宋体"/>
          <w:color w:val="auto"/>
          <w:kern w:val="0"/>
          <w:sz w:val="22"/>
          <w:szCs w:val="22"/>
          <w:highlight w:val="none"/>
        </w:rPr>
        <w:t xml:space="preserve">不存在利害关系 </w:t>
      </w:r>
      <w:r>
        <w:rPr>
          <w:rFonts w:ascii="宋体" w:hAnsi="宋体" w:cs="宋体"/>
          <w:color w:val="auto"/>
          <w:kern w:val="0"/>
          <w:sz w:val="22"/>
          <w:szCs w:val="22"/>
          <w:highlight w:val="none"/>
        </w:rPr>
        <w:t>□与</w:t>
      </w:r>
      <w:r>
        <w:rPr>
          <w:rFonts w:ascii="宋体" w:hAnsi="宋体" w:cs="宋体"/>
          <w:color w:val="auto"/>
          <w:kern w:val="0"/>
          <w:sz w:val="22"/>
          <w:szCs w:val="22"/>
          <w:highlight w:val="none"/>
          <w:u w:val="single"/>
        </w:rPr>
        <w:t xml:space="preserve">           （投标人名称）</w:t>
      </w:r>
      <w:r>
        <w:rPr>
          <w:rFonts w:ascii="宋体" w:hAnsi="宋体" w:cs="宋体"/>
          <w:color w:val="auto"/>
          <w:kern w:val="0"/>
          <w:sz w:val="22"/>
          <w:szCs w:val="22"/>
          <w:highlight w:val="none"/>
        </w:rPr>
        <w:t>之间</w:t>
      </w:r>
      <w:r>
        <w:rPr>
          <w:rFonts w:ascii="宋体" w:hAnsi="宋体"/>
          <w:color w:val="auto"/>
          <w:kern w:val="0"/>
          <w:sz w:val="22"/>
          <w:szCs w:val="22"/>
          <w:highlight w:val="none"/>
        </w:rPr>
        <w:t>存在下列利害关系：</w:t>
      </w:r>
    </w:p>
    <w:p w14:paraId="0BBB5867">
      <w:pPr>
        <w:pStyle w:val="811"/>
        <w:widowControl w:val="0"/>
        <w:snapToGrid w:val="0"/>
        <w:spacing w:line="440" w:lineRule="exact"/>
        <w:jc w:val="both"/>
        <w:rPr>
          <w:rFonts w:hint="default" w:hAnsi="宋体"/>
          <w:color w:val="auto"/>
          <w:kern w:val="0"/>
          <w:sz w:val="22"/>
          <w:szCs w:val="22"/>
          <w:highlight w:val="none"/>
        </w:rPr>
      </w:pPr>
      <w:r>
        <w:rPr>
          <w:rFonts w:hAnsi="宋体"/>
          <w:color w:val="auto"/>
          <w:kern w:val="0"/>
          <w:sz w:val="22"/>
          <w:szCs w:val="22"/>
          <w:highlight w:val="none"/>
        </w:rPr>
        <w:t xml:space="preserve">  A.法定代表人或负责人或实际控制人是同一人</w:t>
      </w:r>
    </w:p>
    <w:p w14:paraId="44A840D8">
      <w:pPr>
        <w:pStyle w:val="811"/>
        <w:widowControl w:val="0"/>
        <w:snapToGrid w:val="0"/>
        <w:spacing w:line="440" w:lineRule="exact"/>
        <w:jc w:val="both"/>
        <w:rPr>
          <w:rFonts w:hint="default" w:hAnsi="宋体"/>
          <w:color w:val="auto"/>
          <w:spacing w:val="6"/>
          <w:sz w:val="22"/>
          <w:szCs w:val="22"/>
          <w:highlight w:val="none"/>
        </w:rPr>
      </w:pPr>
      <w:r>
        <w:rPr>
          <w:rFonts w:hAnsi="宋体"/>
          <w:color w:val="auto"/>
          <w:kern w:val="0"/>
          <w:sz w:val="22"/>
          <w:szCs w:val="22"/>
          <w:highlight w:val="none"/>
        </w:rPr>
        <w:t xml:space="preserve">  B.法定代表人或负责人或实际控制人是夫妻关系</w:t>
      </w:r>
    </w:p>
    <w:p w14:paraId="60661CE9">
      <w:pPr>
        <w:pStyle w:val="811"/>
        <w:widowControl w:val="0"/>
        <w:snapToGrid w:val="0"/>
        <w:spacing w:line="440" w:lineRule="exact"/>
        <w:jc w:val="both"/>
        <w:rPr>
          <w:rFonts w:hint="default" w:hAnsi="宋体"/>
          <w:color w:val="auto"/>
          <w:spacing w:val="6"/>
          <w:sz w:val="22"/>
          <w:szCs w:val="22"/>
          <w:highlight w:val="none"/>
        </w:rPr>
      </w:pPr>
      <w:r>
        <w:rPr>
          <w:rFonts w:hAnsi="宋体"/>
          <w:color w:val="auto"/>
          <w:kern w:val="0"/>
          <w:sz w:val="22"/>
          <w:szCs w:val="22"/>
          <w:highlight w:val="none"/>
        </w:rPr>
        <w:t xml:space="preserve">  C.法定代表人或负责人或实际控制人是直系血亲关系</w:t>
      </w:r>
    </w:p>
    <w:p w14:paraId="51E6AD0B">
      <w:pPr>
        <w:pStyle w:val="811"/>
        <w:widowControl w:val="0"/>
        <w:snapToGrid w:val="0"/>
        <w:spacing w:line="440" w:lineRule="exact"/>
        <w:jc w:val="both"/>
        <w:rPr>
          <w:rFonts w:hint="default" w:hAnsi="宋体"/>
          <w:color w:val="auto"/>
          <w:spacing w:val="6"/>
          <w:sz w:val="22"/>
          <w:szCs w:val="22"/>
          <w:highlight w:val="none"/>
        </w:rPr>
      </w:pPr>
      <w:r>
        <w:rPr>
          <w:rFonts w:hAnsi="宋体"/>
          <w:color w:val="auto"/>
          <w:kern w:val="0"/>
          <w:sz w:val="22"/>
          <w:szCs w:val="22"/>
          <w:highlight w:val="none"/>
        </w:rPr>
        <w:t xml:space="preserve">  D.法定代表人或负责人或实际控制人存在三代以内旁系血亲关系</w:t>
      </w:r>
    </w:p>
    <w:p w14:paraId="17C941DF">
      <w:pPr>
        <w:pStyle w:val="811"/>
        <w:widowControl w:val="0"/>
        <w:snapToGrid w:val="0"/>
        <w:spacing w:line="440" w:lineRule="exact"/>
        <w:jc w:val="both"/>
        <w:rPr>
          <w:rFonts w:hint="default" w:hAnsi="宋体"/>
          <w:color w:val="auto"/>
          <w:kern w:val="0"/>
          <w:sz w:val="22"/>
          <w:szCs w:val="22"/>
          <w:highlight w:val="none"/>
        </w:rPr>
      </w:pPr>
      <w:r>
        <w:rPr>
          <w:rFonts w:hAnsi="宋体"/>
          <w:color w:val="auto"/>
          <w:kern w:val="0"/>
          <w:sz w:val="22"/>
          <w:szCs w:val="22"/>
          <w:highlight w:val="none"/>
        </w:rPr>
        <w:t xml:space="preserve">  E.法定代表人或负责人或实际控制人存在近姻亲关系</w:t>
      </w:r>
    </w:p>
    <w:p w14:paraId="6C89325D">
      <w:pPr>
        <w:pStyle w:val="811"/>
        <w:widowControl w:val="0"/>
        <w:snapToGrid w:val="0"/>
        <w:spacing w:line="440" w:lineRule="exact"/>
        <w:jc w:val="both"/>
        <w:rPr>
          <w:rFonts w:hint="default" w:hAnsi="宋体"/>
          <w:color w:val="auto"/>
          <w:kern w:val="0"/>
          <w:sz w:val="22"/>
          <w:szCs w:val="22"/>
          <w:highlight w:val="none"/>
        </w:rPr>
      </w:pPr>
      <w:r>
        <w:rPr>
          <w:rFonts w:hAnsi="宋体"/>
          <w:color w:val="auto"/>
          <w:kern w:val="0"/>
          <w:sz w:val="22"/>
          <w:szCs w:val="22"/>
          <w:highlight w:val="none"/>
        </w:rPr>
        <w:t xml:space="preserve">  F.法定代表人或负责人或实际控制人存在股份控制或实际控制关系</w:t>
      </w:r>
    </w:p>
    <w:p w14:paraId="3D3F5C05">
      <w:pPr>
        <w:pStyle w:val="811"/>
        <w:widowControl w:val="0"/>
        <w:snapToGrid w:val="0"/>
        <w:spacing w:line="440" w:lineRule="exact"/>
        <w:jc w:val="both"/>
        <w:outlineLvl w:val="0"/>
        <w:rPr>
          <w:rFonts w:hint="default" w:hAnsi="宋体"/>
          <w:color w:val="auto"/>
          <w:kern w:val="0"/>
          <w:sz w:val="22"/>
          <w:szCs w:val="22"/>
          <w:highlight w:val="none"/>
        </w:rPr>
      </w:pPr>
      <w:bookmarkStart w:id="242" w:name="_Toc22986"/>
      <w:bookmarkStart w:id="243" w:name="_Toc26171"/>
      <w:bookmarkStart w:id="244" w:name="_Toc5336"/>
      <w:r>
        <w:rPr>
          <w:rFonts w:hAnsi="宋体"/>
          <w:color w:val="auto"/>
          <w:kern w:val="0"/>
          <w:sz w:val="22"/>
          <w:szCs w:val="22"/>
          <w:highlight w:val="none"/>
        </w:rPr>
        <w:t>G.存在共同直接或间接投资设立子公司、联营企业和合营企业情况</w:t>
      </w:r>
      <w:bookmarkEnd w:id="242"/>
      <w:bookmarkEnd w:id="243"/>
      <w:bookmarkEnd w:id="244"/>
    </w:p>
    <w:p w14:paraId="14C2CF5C">
      <w:pPr>
        <w:pStyle w:val="811"/>
        <w:widowControl w:val="0"/>
        <w:snapToGrid w:val="0"/>
        <w:spacing w:line="440" w:lineRule="exact"/>
        <w:jc w:val="both"/>
        <w:rPr>
          <w:rFonts w:hint="default" w:hAnsi="宋体"/>
          <w:color w:val="auto"/>
          <w:sz w:val="22"/>
          <w:szCs w:val="22"/>
          <w:highlight w:val="none"/>
        </w:rPr>
      </w:pPr>
      <w:r>
        <w:rPr>
          <w:rFonts w:hAnsi="宋体"/>
          <w:color w:val="auto"/>
          <w:kern w:val="0"/>
          <w:sz w:val="22"/>
          <w:szCs w:val="22"/>
          <w:highlight w:val="none"/>
        </w:rPr>
        <w:t xml:space="preserve">  H.存在分级代理或代销关系、同一生产制造商关系、</w:t>
      </w:r>
      <w:r>
        <w:rPr>
          <w:rFonts w:hAnsi="宋体"/>
          <w:color w:val="auto"/>
          <w:sz w:val="22"/>
          <w:szCs w:val="22"/>
          <w:highlight w:val="none"/>
        </w:rPr>
        <w:t>管理关系、重要业务（占主营业务收入50%以上）或重要财务往来关系（如融资）等其他实质性控制关系</w:t>
      </w:r>
    </w:p>
    <w:p w14:paraId="09AAD5C6">
      <w:pPr>
        <w:pStyle w:val="811"/>
        <w:widowControl w:val="0"/>
        <w:snapToGrid w:val="0"/>
        <w:spacing w:line="440" w:lineRule="exact"/>
        <w:jc w:val="both"/>
        <w:rPr>
          <w:rFonts w:hint="default" w:hAnsi="宋体"/>
          <w:color w:val="auto"/>
          <w:spacing w:val="6"/>
          <w:sz w:val="22"/>
          <w:szCs w:val="22"/>
          <w:highlight w:val="none"/>
        </w:rPr>
      </w:pPr>
      <w:r>
        <w:rPr>
          <w:rFonts w:hAnsi="宋体"/>
          <w:color w:val="auto"/>
          <w:sz w:val="22"/>
          <w:szCs w:val="22"/>
          <w:highlight w:val="none"/>
        </w:rPr>
        <w:t xml:space="preserve">  I</w:t>
      </w:r>
      <w:r>
        <w:rPr>
          <w:rFonts w:hAnsi="宋体"/>
          <w:color w:val="auto"/>
          <w:kern w:val="0"/>
          <w:sz w:val="22"/>
          <w:szCs w:val="22"/>
          <w:highlight w:val="none"/>
        </w:rPr>
        <w:t>.</w:t>
      </w:r>
      <w:r>
        <w:rPr>
          <w:rFonts w:hAnsi="宋体"/>
          <w:color w:val="auto"/>
          <w:sz w:val="22"/>
          <w:szCs w:val="22"/>
          <w:highlight w:val="none"/>
        </w:rPr>
        <w:t>其他利害关系情况</w:t>
      </w:r>
      <w:r>
        <w:rPr>
          <w:rFonts w:hAnsi="宋体"/>
          <w:color w:val="auto"/>
          <w:kern w:val="0"/>
          <w:sz w:val="22"/>
          <w:szCs w:val="22"/>
          <w:highlight w:val="none"/>
        </w:rPr>
        <w:t>。</w:t>
      </w:r>
    </w:p>
    <w:p w14:paraId="1739F240">
      <w:pPr>
        <w:pStyle w:val="810"/>
        <w:widowControl/>
        <w:numPr>
          <w:ilvl w:val="0"/>
          <w:numId w:val="54"/>
        </w:numPr>
        <w:snapToGrid w:val="0"/>
        <w:spacing w:line="440" w:lineRule="exact"/>
        <w:ind w:firstLine="415" w:firstLineChars="189"/>
        <w:rPr>
          <w:rFonts w:hint="default" w:ascii="宋体" w:hAnsi="宋体"/>
          <w:color w:val="auto"/>
          <w:kern w:val="0"/>
          <w:sz w:val="22"/>
          <w:szCs w:val="22"/>
          <w:highlight w:val="none"/>
        </w:rPr>
      </w:pPr>
      <w:r>
        <w:rPr>
          <w:rFonts w:ascii="宋体" w:hAnsi="宋体"/>
          <w:color w:val="auto"/>
          <w:sz w:val="22"/>
          <w:szCs w:val="22"/>
          <w:highlight w:val="none"/>
        </w:rPr>
        <w:t>现已清楚知道并</w:t>
      </w:r>
      <w:r>
        <w:rPr>
          <w:rFonts w:ascii="宋体" w:hAnsi="宋体"/>
          <w:color w:val="auto"/>
          <w:kern w:val="0"/>
          <w:sz w:val="22"/>
          <w:szCs w:val="22"/>
          <w:highlight w:val="none"/>
        </w:rPr>
        <w:t>严格遵守政府采购法律法规和现场纪律。</w:t>
      </w:r>
    </w:p>
    <w:p w14:paraId="1786B0C9">
      <w:pPr>
        <w:pStyle w:val="810"/>
        <w:widowControl/>
        <w:numPr>
          <w:ilvl w:val="0"/>
          <w:numId w:val="54"/>
        </w:numPr>
        <w:snapToGrid w:val="0"/>
        <w:spacing w:line="440" w:lineRule="exact"/>
        <w:ind w:firstLine="415" w:firstLineChars="189"/>
        <w:rPr>
          <w:rFonts w:hint="default" w:ascii="宋体" w:hAnsi="宋体"/>
          <w:color w:val="auto"/>
          <w:kern w:val="0"/>
          <w:sz w:val="22"/>
          <w:szCs w:val="22"/>
          <w:highlight w:val="none"/>
        </w:rPr>
      </w:pPr>
      <w:r>
        <w:rPr>
          <w:rFonts w:ascii="宋体" w:hAnsi="宋体"/>
          <w:color w:val="auto"/>
          <w:kern w:val="0"/>
          <w:sz w:val="22"/>
          <w:szCs w:val="22"/>
          <w:highlight w:val="none"/>
        </w:rPr>
        <w:t>我发现投标人之间存在或可能存在上述第二条第项利害关系。</w:t>
      </w:r>
    </w:p>
    <w:p w14:paraId="0D543824">
      <w:pPr>
        <w:pStyle w:val="811"/>
        <w:widowControl w:val="0"/>
        <w:snapToGrid w:val="0"/>
        <w:spacing w:line="440" w:lineRule="exact"/>
        <w:ind w:firstLine="440" w:firstLineChars="200"/>
        <w:jc w:val="both"/>
        <w:rPr>
          <w:rFonts w:hint="default" w:hAnsi="宋体"/>
          <w:color w:val="auto"/>
          <w:sz w:val="22"/>
          <w:szCs w:val="22"/>
          <w:highlight w:val="none"/>
        </w:rPr>
      </w:pPr>
    </w:p>
    <w:p w14:paraId="15300F6C">
      <w:pPr>
        <w:pStyle w:val="811"/>
        <w:widowControl w:val="0"/>
        <w:snapToGrid w:val="0"/>
        <w:spacing w:line="440" w:lineRule="exact"/>
        <w:ind w:firstLine="440" w:firstLineChars="200"/>
        <w:jc w:val="both"/>
        <w:rPr>
          <w:rFonts w:hint="default" w:hAnsi="宋体"/>
          <w:color w:val="auto"/>
          <w:sz w:val="22"/>
          <w:szCs w:val="22"/>
          <w:highlight w:val="none"/>
        </w:rPr>
      </w:pPr>
      <w:r>
        <w:rPr>
          <w:rFonts w:hAnsi="宋体"/>
          <w:color w:val="auto"/>
          <w:sz w:val="22"/>
          <w:szCs w:val="22"/>
          <w:highlight w:val="none"/>
        </w:rPr>
        <w:t xml:space="preserve">                                投标人代表签名：</w:t>
      </w:r>
    </w:p>
    <w:p w14:paraId="506D0107">
      <w:pPr>
        <w:pStyle w:val="811"/>
        <w:widowControl w:val="0"/>
        <w:snapToGrid w:val="0"/>
        <w:spacing w:line="440" w:lineRule="exact"/>
        <w:ind w:firstLine="440" w:firstLineChars="200"/>
        <w:jc w:val="both"/>
        <w:rPr>
          <w:rFonts w:hint="default" w:hAnsi="宋体"/>
          <w:color w:val="auto"/>
          <w:sz w:val="22"/>
          <w:szCs w:val="22"/>
          <w:highlight w:val="none"/>
        </w:rPr>
      </w:pPr>
      <w:r>
        <w:rPr>
          <w:rFonts w:hAnsi="宋体"/>
          <w:color w:val="auto"/>
          <w:sz w:val="22"/>
          <w:szCs w:val="22"/>
          <w:highlight w:val="none"/>
        </w:rPr>
        <w:t xml:space="preserve">                                    年   月   日</w:t>
      </w:r>
    </w:p>
    <w:p w14:paraId="19E3E186">
      <w:pPr>
        <w:tabs>
          <w:tab w:val="left" w:pos="795"/>
          <w:tab w:val="center" w:pos="4873"/>
        </w:tabs>
        <w:overflowPunct w:val="0"/>
        <w:spacing w:line="460" w:lineRule="exact"/>
        <w:ind w:firstLine="118" w:firstLineChars="49"/>
        <w:jc w:val="left"/>
        <w:rPr>
          <w:rFonts w:ascii="宋体" w:hAnsi="宋体" w:cs="Arial"/>
          <w:b/>
          <w:bCs/>
          <w:color w:val="auto"/>
          <w:sz w:val="24"/>
          <w:highlight w:val="none"/>
        </w:rPr>
      </w:pPr>
    </w:p>
    <w:p w14:paraId="6501D310">
      <w:pPr>
        <w:spacing w:line="400" w:lineRule="exact"/>
        <w:ind w:left="439" w:leftChars="209"/>
        <w:rPr>
          <w:rFonts w:ascii="宋体" w:hAnsi="宋体" w:cs="Arial"/>
          <w:color w:val="auto"/>
          <w:sz w:val="22"/>
          <w:szCs w:val="22"/>
          <w:highlight w:val="none"/>
        </w:rPr>
      </w:pPr>
    </w:p>
    <w:p w14:paraId="5C803CFD">
      <w:pPr>
        <w:rPr>
          <w:color w:val="auto"/>
          <w:highlight w:val="none"/>
        </w:rPr>
      </w:pPr>
    </w:p>
    <w:sectPr>
      <w:footerReference r:id="rId11" w:type="first"/>
      <w:headerReference r:id="rId9" w:type="default"/>
      <w:footerReference r:id="rId10" w:type="default"/>
      <w:type w:val="nextColumn"/>
      <w:pgSz w:w="11906" w:h="16838"/>
      <w:pgMar w:top="1134" w:right="1134" w:bottom="1134" w:left="1134"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Century Gothic">
    <w:panose1 w:val="020B0502020202020204"/>
    <w:charset w:val="00"/>
    <w:family w:val="swiss"/>
    <w:pitch w:val="default"/>
    <w:sig w:usb0="00000287" w:usb1="00000000" w:usb2="00000000" w:usb3="00000000" w:csb0="2000009F" w:csb1="DFD7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新宋体">
    <w:panose1 w:val="02010609030101010101"/>
    <w:charset w:val="86"/>
    <w:family w:val="modern"/>
    <w:pitch w:val="default"/>
    <w:sig w:usb0="0000028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Arial Unicode MS">
    <w:panose1 w:val="020B0604020202020204"/>
    <w:charset w:val="86"/>
    <w:family w:val="swiss"/>
    <w:pitch w:val="default"/>
    <w:sig w:usb0="FFFFFFFF" w:usb1="E9FFFFFF" w:usb2="0000003F" w:usb3="00000000" w:csb0="603F01FF" w:csb1="FFFF0000"/>
  </w:font>
  <w:font w:name="华文细黑">
    <w:panose1 w:val="02010600040101010101"/>
    <w:charset w:val="86"/>
    <w:family w:val="auto"/>
    <w:pitch w:val="default"/>
    <w:sig w:usb0="00000287" w:usb1="080F0000" w:usb2="00000000" w:usb3="00000000" w:csb0="0004009F" w:csb1="DFD70000"/>
  </w:font>
  <w:font w:name="Helvetica">
    <w:altName w:val="Arial"/>
    <w:panose1 w:val="020B0604020202020204"/>
    <w:charset w:val="00"/>
    <w:family w:val="auto"/>
    <w:pitch w:val="default"/>
    <w:sig w:usb0="00000000" w:usb1="00000000" w:usb2="00000000" w:usb3="00000000" w:csb0="00000000" w:csb1="00000000"/>
  </w:font>
  <w:font w:name="宋体,Verdana,Arial">
    <w:altName w:val="Times New Roman"/>
    <w:panose1 w:val="00000000000000000000"/>
    <w:charset w:val="00"/>
    <w:family w:val="auto"/>
    <w:pitch w:val="default"/>
    <w:sig w:usb0="00000000" w:usb1="00000000" w:usb2="00000000" w:usb3="00000000" w:csb0="00040001" w:csb1="00000000"/>
  </w:font>
  <w:font w:name="MingLiU">
    <w:altName w:val="PMingLiU-ExtB"/>
    <w:panose1 w:val="02020509000000000000"/>
    <w:charset w:val="88"/>
    <w:family w:val="modern"/>
    <w:pitch w:val="default"/>
    <w:sig w:usb0="00000000" w:usb1="00000000" w:usb2="00000016" w:usb3="00000000" w:csb0="00100001" w:csb1="00000000"/>
  </w:font>
  <w:font w:name="ˎ̥">
    <w:altName w:val="Arial Unicode MS"/>
    <w:panose1 w:val="00000000000000000000"/>
    <w:charset w:val="00"/>
    <w:family w:val="roman"/>
    <w:pitch w:val="default"/>
    <w:sig w:usb0="00000000" w:usb1="00000000" w:usb2="00000000" w:usb3="00000000" w:csb0="00040001" w:csb1="00000000"/>
  </w:font>
  <w:font w:name="Arial Black">
    <w:panose1 w:val="020B0A04020102020204"/>
    <w:charset w:val="00"/>
    <w:family w:val="swiss"/>
    <w:pitch w:val="default"/>
    <w:sig w:usb0="A00002AF" w:usb1="400078FB" w:usb2="00000000" w:usb3="00000000" w:csb0="6000009F" w:csb1="DFD70000"/>
  </w:font>
  <w:font w:name="Times">
    <w:altName w:val="Times New Roman"/>
    <w:panose1 w:val="02020603050405020304"/>
    <w:charset w:val="00"/>
    <w:family w:val="roman"/>
    <w:pitch w:val="default"/>
    <w:sig w:usb0="00000000" w:usb1="00000000" w:usb2="00000000" w:usb3="00000000" w:csb0="00000093" w:csb1="00000000"/>
  </w:font>
  <w:font w:name="全真楷書">
    <w:altName w:val="宋体"/>
    <w:panose1 w:val="00000000000000000000"/>
    <w:charset w:val="86"/>
    <w:family w:val="roman"/>
    <w:pitch w:val="default"/>
    <w:sig w:usb0="00000000" w:usb1="00000000" w:usb2="00000000" w:usb3="00000000" w:csb0="00040001" w:csb1="00000000"/>
  </w:font>
  <w:font w:name="Trebuchet MS">
    <w:panose1 w:val="020B0603020202020204"/>
    <w:charset w:val="00"/>
    <w:family w:val="swiss"/>
    <w:pitch w:val="default"/>
    <w:sig w:usb0="00000687" w:usb1="00000000" w:usb2="00000000" w:usb3="00000000" w:csb0="2000009F" w:csb1="00000000"/>
  </w:font>
  <w:font w:name="Calibri Light">
    <w:panose1 w:val="020F0302020204030204"/>
    <w:charset w:val="00"/>
    <w:family w:val="swiss"/>
    <w:pitch w:val="default"/>
    <w:sig w:usb0="E4002EFF" w:usb1="C000247B" w:usb2="00000009" w:usb3="00000000" w:csb0="200001FF" w:csb1="00000000"/>
  </w:font>
  <w:font w:name="TimesNewRomanPSMT">
    <w:altName w:val="Times New Roman"/>
    <w:panose1 w:val="00000000000000000000"/>
    <w:charset w:val="00"/>
    <w:family w:val="auto"/>
    <w:pitch w:val="default"/>
    <w:sig w:usb0="00000000" w:usb1="00000000" w:usb2="00000000" w:usb3="00000000" w:csb0="00040001" w:csb1="00000000"/>
  </w:font>
  <w:font w:name="hakuyoxingshu7000">
    <w:altName w:val="宋体"/>
    <w:panose1 w:val="00000000000000000000"/>
    <w:charset w:val="86"/>
    <w:family w:val="auto"/>
    <w:pitch w:val="default"/>
    <w:sig w:usb0="00000000" w:usb1="00000000" w:usb2="0000003F" w:usb3="00000000" w:csb0="003F00FF"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9B303">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52C668A">
                          <w:pPr>
                            <w:pStyle w:val="4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14:paraId="252C668A">
                    <w:pPr>
                      <w:pStyle w:val="42"/>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B3656">
    <w:pPr>
      <w:pStyle w:val="42"/>
      <w:framePr w:wrap="around" w:vAnchor="text" w:hAnchor="margin" w:xAlign="center" w:y="1"/>
      <w:pBdr>
        <w:bottom w:val="single" w:color="auto" w:sz="6" w:space="3"/>
      </w:pBdr>
      <w:rPr>
        <w:rStyle w:val="69"/>
      </w:rPr>
    </w:pPr>
    <w:r>
      <w:fldChar w:fldCharType="begin"/>
    </w:r>
    <w:r>
      <w:rPr>
        <w:rStyle w:val="69"/>
      </w:rPr>
      <w:instrText xml:space="preserve">PAGE  </w:instrText>
    </w:r>
    <w:r>
      <w:fldChar w:fldCharType="end"/>
    </w:r>
  </w:p>
  <w:p w14:paraId="305CBC1D">
    <w:pPr>
      <w:pStyle w:val="42"/>
      <w:pBdr>
        <w:bottom w:val="single" w:color="auto" w:sz="6" w:space="3"/>
      </w:pBd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87D98">
    <w:pPr>
      <w:pStyle w:val="42"/>
      <w:tabs>
        <w:tab w:val="clear" w:pos="4153"/>
      </w:tabs>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0CC65">
    <w:pPr>
      <w:pStyle w:val="42"/>
      <w:tabs>
        <w:tab w:val="center" w:pos="4819"/>
        <w:tab w:val="clear" w:pos="4153"/>
      </w:tabs>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CA6F5D1">
                          <w:pPr>
                            <w:pStyle w:val="4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14:paraId="1CA6F5D1">
                    <w:pPr>
                      <w:pStyle w:val="4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C05CA">
    <w:pPr>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AB50A20">
                          <w:pPr>
                            <w:jc w:val="center"/>
                          </w:pPr>
                          <w:r>
                            <w:fldChar w:fldCharType="begin"/>
                          </w:r>
                          <w:r>
                            <w:instrText xml:space="preserve"> PAGE   \* MERGEFORMAT </w:instrText>
                          </w:r>
                          <w:r>
                            <w:fldChar w:fldCharType="separate"/>
                          </w:r>
                          <w:r>
                            <w:rPr>
                              <w:lang w:val="zh-CN"/>
                            </w:rPr>
                            <w:t>49</w:t>
                          </w:r>
                          <w:r>
                            <w:rPr>
                              <w:lang w:val="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14:paraId="2AB50A20">
                    <w:pPr>
                      <w:jc w:val="center"/>
                    </w:pPr>
                    <w:r>
                      <w:fldChar w:fldCharType="begin"/>
                    </w:r>
                    <w:r>
                      <w:instrText xml:space="preserve"> PAGE   \* MERGEFORMAT </w:instrText>
                    </w:r>
                    <w:r>
                      <w:fldChar w:fldCharType="separate"/>
                    </w:r>
                    <w:r>
                      <w:rPr>
                        <w:lang w:val="zh-CN"/>
                      </w:rPr>
                      <w:t>49</w:t>
                    </w:r>
                    <w:r>
                      <w:rPr>
                        <w:lang w:val="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10D3">
    <w:pPr>
      <w:pStyle w:val="42"/>
      <w:tabs>
        <w:tab w:val="clear" w:pos="4153"/>
      </w:tabs>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1475ABF">
                          <w:pPr>
                            <w:pStyle w:val="4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01475ABF">
                    <w:pPr>
                      <w:pStyle w:val="42"/>
                    </w:pPr>
                    <w:r>
                      <w:fldChar w:fldCharType="begin"/>
                    </w:r>
                    <w:r>
                      <w:instrText xml:space="preserve"> PAGE  \* MERGEFORMAT </w:instrText>
                    </w:r>
                    <w:r>
                      <w:fldChar w:fldCharType="separate"/>
                    </w:r>
                    <w:r>
                      <w:t>48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27D64B">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3CDF7">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F300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59C9DA"/>
    <w:multiLevelType w:val="multilevel"/>
    <w:tmpl w:val="8159C9DA"/>
    <w:lvl w:ilvl="0" w:tentative="0">
      <w:start w:val="1"/>
      <w:numFmt w:val="none"/>
      <w:lvlText w:val="2"/>
      <w:lvlJc w:val="left"/>
      <w:pPr>
        <w:tabs>
          <w:tab w:val="left" w:pos="425"/>
        </w:tabs>
        <w:ind w:left="425" w:hanging="425"/>
      </w:pPr>
      <w:rPr>
        <w:rFonts w:hint="eastAsia"/>
      </w:rPr>
    </w:lvl>
    <w:lvl w:ilvl="1" w:tentative="0">
      <w:start w:val="1"/>
      <w:numFmt w:val="decimal"/>
      <w:lvlText w:val="%18.%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
    <w:nsid w:val="851DD5D3"/>
    <w:multiLevelType w:val="multilevel"/>
    <w:tmpl w:val="851DD5D3"/>
    <w:lvl w:ilvl="0" w:tentative="0">
      <w:start w:val="1"/>
      <w:numFmt w:val="none"/>
      <w:lvlText w:val="2"/>
      <w:lvlJc w:val="left"/>
      <w:pPr>
        <w:tabs>
          <w:tab w:val="left" w:pos="425"/>
        </w:tabs>
        <w:ind w:left="425" w:hanging="425"/>
      </w:pPr>
      <w:rPr>
        <w:rFonts w:hint="eastAsia"/>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2">
    <w:nsid w:val="85570643"/>
    <w:multiLevelType w:val="multilevel"/>
    <w:tmpl w:val="85570643"/>
    <w:lvl w:ilvl="0" w:tentative="0">
      <w:start w:val="1"/>
      <w:numFmt w:val="none"/>
      <w:lvlText w:val="2"/>
      <w:lvlJc w:val="left"/>
      <w:pPr>
        <w:tabs>
          <w:tab w:val="left" w:pos="425"/>
        </w:tabs>
        <w:ind w:left="425" w:hanging="425"/>
      </w:pPr>
      <w:rPr>
        <w:rFonts w:hint="eastAsia"/>
      </w:rPr>
    </w:lvl>
    <w:lvl w:ilvl="1" w:tentative="0">
      <w:start w:val="1"/>
      <w:numFmt w:val="decimal"/>
      <w:lvlText w:val="%17.%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
    <w:nsid w:val="8ABA2FBC"/>
    <w:multiLevelType w:val="singleLevel"/>
    <w:tmpl w:val="8ABA2FBC"/>
    <w:lvl w:ilvl="0" w:tentative="0">
      <w:start w:val="1"/>
      <w:numFmt w:val="chineseCounting"/>
      <w:suff w:val="nothing"/>
      <w:lvlText w:val="%1、"/>
      <w:lvlJc w:val="left"/>
      <w:rPr>
        <w:rFonts w:hint="eastAsia"/>
      </w:rPr>
    </w:lvl>
  </w:abstractNum>
  <w:abstractNum w:abstractNumId="4">
    <w:nsid w:val="8E6810CA"/>
    <w:multiLevelType w:val="multilevel"/>
    <w:tmpl w:val="8E6810CA"/>
    <w:lvl w:ilvl="0" w:tentative="0">
      <w:start w:val="1"/>
      <w:numFmt w:val="none"/>
      <w:lvlText w:val="2"/>
      <w:lvlJc w:val="left"/>
      <w:pPr>
        <w:tabs>
          <w:tab w:val="left" w:pos="425"/>
        </w:tabs>
        <w:ind w:left="425" w:hanging="425"/>
      </w:pPr>
      <w:rPr>
        <w:rFonts w:hint="eastAsia"/>
      </w:rPr>
    </w:lvl>
    <w:lvl w:ilvl="1" w:tentative="0">
      <w:start w:val="1"/>
      <w:numFmt w:val="decimal"/>
      <w:lvlText w:val="%15.%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5">
    <w:nsid w:val="9E46C32E"/>
    <w:multiLevelType w:val="singleLevel"/>
    <w:tmpl w:val="9E46C32E"/>
    <w:lvl w:ilvl="0" w:tentative="0">
      <w:start w:val="1"/>
      <w:numFmt w:val="decimal"/>
      <w:lvlText w:val="%1)"/>
      <w:lvlJc w:val="left"/>
      <w:pPr>
        <w:ind w:left="425" w:hanging="425"/>
      </w:pPr>
      <w:rPr>
        <w:rFonts w:hint="default"/>
      </w:rPr>
    </w:lvl>
  </w:abstractNum>
  <w:abstractNum w:abstractNumId="6">
    <w:nsid w:val="B0C8D056"/>
    <w:multiLevelType w:val="multilevel"/>
    <w:tmpl w:val="B0C8D056"/>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7">
    <w:nsid w:val="B101DE90"/>
    <w:multiLevelType w:val="singleLevel"/>
    <w:tmpl w:val="B101DE90"/>
    <w:lvl w:ilvl="0" w:tentative="0">
      <w:start w:val="1"/>
      <w:numFmt w:val="bullet"/>
      <w:pStyle w:val="14"/>
      <w:lvlText w:val=""/>
      <w:lvlJc w:val="left"/>
      <w:pPr>
        <w:tabs>
          <w:tab w:val="left" w:pos="1620"/>
        </w:tabs>
        <w:ind w:left="1620" w:hanging="360"/>
      </w:pPr>
      <w:rPr>
        <w:rFonts w:hint="default" w:ascii="Wingdings" w:hAnsi="Wingdings"/>
      </w:rPr>
    </w:lvl>
  </w:abstractNum>
  <w:abstractNum w:abstractNumId="8">
    <w:nsid w:val="B319288F"/>
    <w:multiLevelType w:val="singleLevel"/>
    <w:tmpl w:val="B319288F"/>
    <w:lvl w:ilvl="0" w:tentative="0">
      <w:start w:val="1"/>
      <w:numFmt w:val="decimalEnclosedCircleChinese"/>
      <w:suff w:val="nothing"/>
      <w:lvlText w:val="%1　"/>
      <w:lvlJc w:val="left"/>
      <w:pPr>
        <w:ind w:left="0" w:firstLine="400"/>
      </w:pPr>
      <w:rPr>
        <w:rFonts w:hint="eastAsia"/>
      </w:rPr>
    </w:lvl>
  </w:abstractNum>
  <w:abstractNum w:abstractNumId="9">
    <w:nsid w:val="B41003A9"/>
    <w:multiLevelType w:val="multilevel"/>
    <w:tmpl w:val="B41003A9"/>
    <w:lvl w:ilvl="0" w:tentative="0">
      <w:start w:val="1"/>
      <w:numFmt w:val="none"/>
      <w:lvlText w:val="2"/>
      <w:lvlJc w:val="left"/>
      <w:pPr>
        <w:tabs>
          <w:tab w:val="left" w:pos="425"/>
        </w:tabs>
        <w:ind w:left="425" w:hanging="425"/>
      </w:pPr>
      <w:rPr>
        <w:rFonts w:hint="eastAsia"/>
      </w:rPr>
    </w:lvl>
    <w:lvl w:ilvl="1" w:tentative="0">
      <w:start w:val="1"/>
      <w:numFmt w:val="decimal"/>
      <w:lvlText w:val="%15.%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0">
    <w:nsid w:val="B728518F"/>
    <w:multiLevelType w:val="singleLevel"/>
    <w:tmpl w:val="B728518F"/>
    <w:lvl w:ilvl="0" w:tentative="0">
      <w:start w:val="1"/>
      <w:numFmt w:val="decimal"/>
      <w:lvlText w:val="%1."/>
      <w:lvlJc w:val="left"/>
      <w:pPr>
        <w:ind w:left="425" w:hanging="425"/>
      </w:pPr>
      <w:rPr>
        <w:rFonts w:hint="default" w:cs="Times New Roman"/>
      </w:rPr>
    </w:lvl>
  </w:abstractNum>
  <w:abstractNum w:abstractNumId="11">
    <w:nsid w:val="B98F8BE0"/>
    <w:multiLevelType w:val="multilevel"/>
    <w:tmpl w:val="B98F8BE0"/>
    <w:lvl w:ilvl="0" w:tentative="0">
      <w:start w:val="1"/>
      <w:numFmt w:val="none"/>
      <w:lvlText w:val="2"/>
      <w:lvlJc w:val="left"/>
      <w:pPr>
        <w:tabs>
          <w:tab w:val="left" w:pos="425"/>
        </w:tabs>
        <w:ind w:left="425" w:hanging="425"/>
      </w:pPr>
      <w:rPr>
        <w:rFonts w:hint="eastAsia"/>
      </w:rPr>
    </w:lvl>
    <w:lvl w:ilvl="1" w:tentative="0">
      <w:start w:val="1"/>
      <w:numFmt w:val="decimal"/>
      <w:lvlText w:val="%12.%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2">
    <w:nsid w:val="BE864F71"/>
    <w:multiLevelType w:val="singleLevel"/>
    <w:tmpl w:val="BE864F71"/>
    <w:lvl w:ilvl="0" w:tentative="0">
      <w:start w:val="1"/>
      <w:numFmt w:val="decimal"/>
      <w:lvlText w:val="%1."/>
      <w:lvlJc w:val="left"/>
      <w:pPr>
        <w:ind w:left="425" w:hanging="425"/>
      </w:pPr>
      <w:rPr>
        <w:rFonts w:hint="default"/>
      </w:rPr>
    </w:lvl>
  </w:abstractNum>
  <w:abstractNum w:abstractNumId="13">
    <w:nsid w:val="C7F702AA"/>
    <w:multiLevelType w:val="multilevel"/>
    <w:tmpl w:val="C7F702AA"/>
    <w:lvl w:ilvl="0" w:tentative="0">
      <w:start w:val="1"/>
      <w:numFmt w:val="none"/>
      <w:lvlText w:val="2"/>
      <w:lvlJc w:val="left"/>
      <w:pPr>
        <w:tabs>
          <w:tab w:val="left" w:pos="425"/>
        </w:tabs>
        <w:ind w:left="425" w:hanging="425"/>
      </w:pPr>
      <w:rPr>
        <w:rFonts w:hint="eastAsia"/>
      </w:rPr>
    </w:lvl>
    <w:lvl w:ilvl="1" w:tentative="0">
      <w:start w:val="1"/>
      <w:numFmt w:val="decimal"/>
      <w:lvlText w:val="%17.%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4">
    <w:nsid w:val="D1B5A987"/>
    <w:multiLevelType w:val="multilevel"/>
    <w:tmpl w:val="D1B5A987"/>
    <w:lvl w:ilvl="0" w:tentative="0">
      <w:start w:val="1"/>
      <w:numFmt w:val="none"/>
      <w:lvlText w:val="2"/>
      <w:lvlJc w:val="left"/>
      <w:pPr>
        <w:tabs>
          <w:tab w:val="left" w:pos="425"/>
        </w:tabs>
        <w:ind w:left="425" w:hanging="425"/>
      </w:pPr>
      <w:rPr>
        <w:rFonts w:hint="eastAsia"/>
      </w:rPr>
    </w:lvl>
    <w:lvl w:ilvl="1" w:tentative="0">
      <w:start w:val="1"/>
      <w:numFmt w:val="decimal"/>
      <w:lvlText w:val="%13.%2"/>
      <w:lvlJc w:val="left"/>
      <w:pPr>
        <w:tabs>
          <w:tab w:val="left" w:pos="992"/>
        </w:tabs>
        <w:ind w:left="992" w:hanging="567"/>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5">
    <w:nsid w:val="DC08EC6E"/>
    <w:multiLevelType w:val="multilevel"/>
    <w:tmpl w:val="DC08EC6E"/>
    <w:lvl w:ilvl="0" w:tentative="0">
      <w:start w:val="1"/>
      <w:numFmt w:val="none"/>
      <w:lvlText w:val="2"/>
      <w:lvlJc w:val="left"/>
      <w:pPr>
        <w:tabs>
          <w:tab w:val="left" w:pos="425"/>
        </w:tabs>
        <w:ind w:left="425" w:hanging="425"/>
      </w:pPr>
      <w:rPr>
        <w:rFonts w:hint="eastAsia"/>
      </w:rPr>
    </w:lvl>
    <w:lvl w:ilvl="1" w:tentative="0">
      <w:start w:val="1"/>
      <w:numFmt w:val="decimal"/>
      <w:lvlText w:val="%16.%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6">
    <w:nsid w:val="EC545A32"/>
    <w:multiLevelType w:val="multilevel"/>
    <w:tmpl w:val="EC545A32"/>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17">
    <w:nsid w:val="FAE3CB9E"/>
    <w:multiLevelType w:val="singleLevel"/>
    <w:tmpl w:val="FAE3CB9E"/>
    <w:lvl w:ilvl="0" w:tentative="0">
      <w:start w:val="1"/>
      <w:numFmt w:val="decimal"/>
      <w:lvlText w:val="%1."/>
      <w:lvlJc w:val="left"/>
      <w:pPr>
        <w:ind w:left="425" w:hanging="425"/>
      </w:pPr>
      <w:rPr>
        <w:rFonts w:hint="default"/>
      </w:rPr>
    </w:lvl>
  </w:abstractNum>
  <w:abstractNum w:abstractNumId="18">
    <w:nsid w:val="00000002"/>
    <w:multiLevelType w:val="multilevel"/>
    <w:tmpl w:val="00000002"/>
    <w:lvl w:ilvl="0" w:tentative="0">
      <w:start w:val="1"/>
      <w:numFmt w:val="decimal"/>
      <w:lvlText w:val="（%1）"/>
      <w:lvlJc w:val="left"/>
      <w:pPr>
        <w:tabs>
          <w:tab w:val="left" w:pos="420"/>
        </w:tabs>
        <w:ind w:left="420" w:hanging="420"/>
      </w:pPr>
      <w:rPr>
        <w:rFonts w:hint="eastAsia" w:ascii="楷体_GB2312" w:hAnsi="Times New Roman" w:eastAsia="楷体_GB2312"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0000000B"/>
    <w:multiLevelType w:val="multilevel"/>
    <w:tmpl w:val="0000000B"/>
    <w:lvl w:ilvl="0" w:tentative="0">
      <w:start w:val="1"/>
      <w:numFmt w:val="decimal"/>
      <w:lvlText w:val="%1)"/>
      <w:lvlJc w:val="left"/>
      <w:pPr>
        <w:tabs>
          <w:tab w:val="left" w:pos="860"/>
        </w:tabs>
        <w:ind w:left="860" w:hanging="420"/>
      </w:pPr>
    </w:lvl>
    <w:lvl w:ilvl="1" w:tentative="0">
      <w:start w:val="1"/>
      <w:numFmt w:val="lowerLetter"/>
      <w:lvlText w:val="%2)"/>
      <w:lvlJc w:val="left"/>
      <w:pPr>
        <w:tabs>
          <w:tab w:val="left" w:pos="1280"/>
        </w:tabs>
        <w:ind w:left="1280" w:hanging="420"/>
      </w:pPr>
    </w:lvl>
    <w:lvl w:ilvl="2" w:tentative="0">
      <w:start w:val="1"/>
      <w:numFmt w:val="lowerRoman"/>
      <w:lvlText w:val="%3."/>
      <w:lvlJc w:val="right"/>
      <w:pPr>
        <w:tabs>
          <w:tab w:val="left" w:pos="1700"/>
        </w:tabs>
        <w:ind w:left="1700" w:hanging="420"/>
      </w:pPr>
    </w:lvl>
    <w:lvl w:ilvl="3" w:tentative="0">
      <w:start w:val="1"/>
      <w:numFmt w:val="decimal"/>
      <w:lvlText w:val="%4."/>
      <w:lvlJc w:val="left"/>
      <w:pPr>
        <w:tabs>
          <w:tab w:val="left" w:pos="2120"/>
        </w:tabs>
        <w:ind w:left="2120" w:hanging="420"/>
      </w:pPr>
    </w:lvl>
    <w:lvl w:ilvl="4" w:tentative="0">
      <w:start w:val="1"/>
      <w:numFmt w:val="lowerLetter"/>
      <w:lvlText w:val="%5)"/>
      <w:lvlJc w:val="left"/>
      <w:pPr>
        <w:tabs>
          <w:tab w:val="left" w:pos="2540"/>
        </w:tabs>
        <w:ind w:left="2540" w:hanging="420"/>
      </w:pPr>
    </w:lvl>
    <w:lvl w:ilvl="5" w:tentative="0">
      <w:start w:val="1"/>
      <w:numFmt w:val="lowerRoman"/>
      <w:lvlText w:val="%6."/>
      <w:lvlJc w:val="right"/>
      <w:pPr>
        <w:tabs>
          <w:tab w:val="left" w:pos="2960"/>
        </w:tabs>
        <w:ind w:left="2960" w:hanging="420"/>
      </w:pPr>
    </w:lvl>
    <w:lvl w:ilvl="6" w:tentative="0">
      <w:start w:val="1"/>
      <w:numFmt w:val="decimal"/>
      <w:lvlText w:val="%7."/>
      <w:lvlJc w:val="left"/>
      <w:pPr>
        <w:tabs>
          <w:tab w:val="left" w:pos="3380"/>
        </w:tabs>
        <w:ind w:left="3380" w:hanging="420"/>
      </w:pPr>
    </w:lvl>
    <w:lvl w:ilvl="7" w:tentative="0">
      <w:start w:val="1"/>
      <w:numFmt w:val="lowerLetter"/>
      <w:lvlText w:val="%8)"/>
      <w:lvlJc w:val="left"/>
      <w:pPr>
        <w:tabs>
          <w:tab w:val="left" w:pos="3800"/>
        </w:tabs>
        <w:ind w:left="3800" w:hanging="420"/>
      </w:pPr>
    </w:lvl>
    <w:lvl w:ilvl="8" w:tentative="0">
      <w:start w:val="1"/>
      <w:numFmt w:val="lowerRoman"/>
      <w:lvlText w:val="%9."/>
      <w:lvlJc w:val="right"/>
      <w:pPr>
        <w:tabs>
          <w:tab w:val="left" w:pos="4220"/>
        </w:tabs>
        <w:ind w:left="4220" w:hanging="420"/>
      </w:pPr>
    </w:lvl>
  </w:abstractNum>
  <w:abstractNum w:abstractNumId="20">
    <w:nsid w:val="00000031"/>
    <w:multiLevelType w:val="multilevel"/>
    <w:tmpl w:val="00000031"/>
    <w:lvl w:ilvl="0" w:tentative="0">
      <w:start w:val="1"/>
      <w:numFmt w:val="decimal"/>
      <w:lvlText w:val="（%1）"/>
      <w:lvlJc w:val="left"/>
      <w:pPr>
        <w:tabs>
          <w:tab w:val="left" w:pos="420"/>
        </w:tabs>
        <w:ind w:left="420" w:hanging="420"/>
      </w:pPr>
      <w:rPr>
        <w:rFonts w:hint="eastAsia" w:ascii="楷体_GB2312" w:eastAsia="楷体_GB2312"/>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60"/>
        </w:tabs>
        <w:ind w:left="1260" w:hanging="420"/>
      </w:pPr>
      <w:rPr>
        <w:rFonts w:hint="eastAsia"/>
        <w:b w:val="0"/>
        <w:i w:val="0"/>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007F1F61"/>
    <w:multiLevelType w:val="multilevel"/>
    <w:tmpl w:val="007F1F61"/>
    <w:lvl w:ilvl="0" w:tentative="0">
      <w:start w:val="1"/>
      <w:numFmt w:val="none"/>
      <w:lvlText w:val="2"/>
      <w:lvlJc w:val="left"/>
      <w:pPr>
        <w:tabs>
          <w:tab w:val="left" w:pos="425"/>
        </w:tabs>
        <w:ind w:left="425" w:hanging="425"/>
      </w:pPr>
      <w:rPr>
        <w:rFonts w:hint="eastAsia"/>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22">
    <w:nsid w:val="0585F458"/>
    <w:multiLevelType w:val="multilevel"/>
    <w:tmpl w:val="0585F458"/>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23">
    <w:nsid w:val="0D1875C4"/>
    <w:multiLevelType w:val="multilevel"/>
    <w:tmpl w:val="0D1875C4"/>
    <w:lvl w:ilvl="0" w:tentative="0">
      <w:start w:val="1"/>
      <w:numFmt w:val="decimalEnclosedCircleChinese"/>
      <w:lvlText w:val="%1　"/>
      <w:lvlJc w:val="left"/>
      <w:pPr>
        <w:ind w:left="420" w:hanging="420"/>
      </w:pPr>
      <w:rPr>
        <w:rFonts w:hint="eastAsia"/>
      </w:rPr>
    </w:lvl>
    <w:lvl w:ilvl="1" w:tentative="0">
      <w:start w:val="1"/>
      <w:numFmt w:val="lowerLetter"/>
      <w:lvlText w:val="%2)"/>
      <w:lvlJc w:val="left"/>
      <w:pPr>
        <w:ind w:left="840" w:hanging="420"/>
      </w:pPr>
    </w:lvl>
    <w:lvl w:ilvl="2" w:tentative="0">
      <w:start w:val="1"/>
      <w:numFmt w:val="decimalEnclosedCircleChinese"/>
      <w:lvlText w:val="%3　"/>
      <w:lvlJc w:val="left"/>
      <w:pPr>
        <w:ind w:left="1260" w:hanging="420"/>
      </w:pPr>
      <w:rPr>
        <w:rFonts w:hint="eastAsia"/>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0E631A2B"/>
    <w:multiLevelType w:val="multilevel"/>
    <w:tmpl w:val="0E631A2B"/>
    <w:lvl w:ilvl="0" w:tentative="0">
      <w:start w:val="1"/>
      <w:numFmt w:val="decimal"/>
      <w:lvlText w:val="%1."/>
      <w:lvlJc w:val="left"/>
      <w:pPr>
        <w:tabs>
          <w:tab w:val="left" w:pos="420"/>
        </w:tabs>
        <w:ind w:left="420" w:hanging="420"/>
      </w:pPr>
      <w:rPr>
        <w:rFonts w:hint="eastAsia" w:ascii="楷体_GB2312" w:hAnsi="Times New Roman" w:eastAsia="楷体_GB2312" w:cs="Times New Roman"/>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25">
    <w:nsid w:val="1808B767"/>
    <w:multiLevelType w:val="multilevel"/>
    <w:tmpl w:val="1808B767"/>
    <w:lvl w:ilvl="0" w:tentative="0">
      <w:start w:val="1"/>
      <w:numFmt w:val="none"/>
      <w:lvlText w:val="2"/>
      <w:lvlJc w:val="left"/>
      <w:pPr>
        <w:tabs>
          <w:tab w:val="left" w:pos="425"/>
        </w:tabs>
        <w:ind w:left="425" w:hanging="425"/>
      </w:pPr>
      <w:rPr>
        <w:rFonts w:hint="eastAsia"/>
      </w:rPr>
    </w:lvl>
    <w:lvl w:ilvl="1" w:tentative="0">
      <w:start w:val="1"/>
      <w:numFmt w:val="decimal"/>
      <w:lvlText w:val="%11.%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26">
    <w:nsid w:val="18C1EDA2"/>
    <w:multiLevelType w:val="multilevel"/>
    <w:tmpl w:val="18C1EDA2"/>
    <w:lvl w:ilvl="0" w:tentative="0">
      <w:start w:val="1"/>
      <w:numFmt w:val="none"/>
      <w:lvlText w:val="2"/>
      <w:lvlJc w:val="left"/>
      <w:pPr>
        <w:tabs>
          <w:tab w:val="left" w:pos="425"/>
        </w:tabs>
        <w:ind w:left="425" w:hanging="425"/>
      </w:pPr>
      <w:rPr>
        <w:rFonts w:hint="eastAsia"/>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27">
    <w:nsid w:val="1BB17AEA"/>
    <w:multiLevelType w:val="singleLevel"/>
    <w:tmpl w:val="1BB17AEA"/>
    <w:lvl w:ilvl="0" w:tentative="0">
      <w:start w:val="1"/>
      <w:numFmt w:val="chineseCounting"/>
      <w:suff w:val="nothing"/>
      <w:lvlText w:val="（%1）"/>
      <w:lvlJc w:val="left"/>
      <w:rPr>
        <w:rFonts w:hint="eastAsia"/>
      </w:rPr>
    </w:lvl>
  </w:abstractNum>
  <w:abstractNum w:abstractNumId="28">
    <w:nsid w:val="1C337121"/>
    <w:multiLevelType w:val="multilevel"/>
    <w:tmpl w:val="1C337121"/>
    <w:lvl w:ilvl="0" w:tentative="0">
      <w:start w:val="1"/>
      <w:numFmt w:val="none"/>
      <w:lvlText w:val="2"/>
      <w:lvlJc w:val="left"/>
      <w:pPr>
        <w:tabs>
          <w:tab w:val="left" w:pos="425"/>
        </w:tabs>
        <w:ind w:left="425" w:hanging="425"/>
      </w:pPr>
      <w:rPr>
        <w:rFonts w:hint="eastAsia"/>
      </w:rPr>
    </w:lvl>
    <w:lvl w:ilvl="1" w:tentative="0">
      <w:start w:val="1"/>
      <w:numFmt w:val="decimal"/>
      <w:lvlText w:val="%12.%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29">
    <w:nsid w:val="1DE6CA46"/>
    <w:multiLevelType w:val="multilevel"/>
    <w:tmpl w:val="1DE6CA46"/>
    <w:lvl w:ilvl="0" w:tentative="0">
      <w:start w:val="1"/>
      <w:numFmt w:val="none"/>
      <w:lvlText w:val="2"/>
      <w:lvlJc w:val="left"/>
      <w:pPr>
        <w:tabs>
          <w:tab w:val="left" w:pos="425"/>
        </w:tabs>
        <w:ind w:left="425" w:hanging="425"/>
      </w:pPr>
      <w:rPr>
        <w:rFonts w:hint="eastAsia"/>
      </w:rPr>
    </w:lvl>
    <w:lvl w:ilvl="1" w:tentative="0">
      <w:start w:val="1"/>
      <w:numFmt w:val="decimal"/>
      <w:lvlText w:val="%16.%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0">
    <w:nsid w:val="1E507798"/>
    <w:multiLevelType w:val="multilevel"/>
    <w:tmpl w:val="1E507798"/>
    <w:lvl w:ilvl="0" w:tentative="0">
      <w:start w:val="1"/>
      <w:numFmt w:val="none"/>
      <w:lvlText w:val="2"/>
      <w:lvlJc w:val="left"/>
      <w:pPr>
        <w:tabs>
          <w:tab w:val="left" w:pos="425"/>
        </w:tabs>
        <w:ind w:left="425" w:hanging="425"/>
      </w:pPr>
      <w:rPr>
        <w:rFonts w:hint="eastAsia"/>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1">
    <w:nsid w:val="1E5719E2"/>
    <w:multiLevelType w:val="multilevel"/>
    <w:tmpl w:val="1E5719E2"/>
    <w:lvl w:ilvl="0" w:tentative="0">
      <w:start w:val="1"/>
      <w:numFmt w:val="decimal"/>
      <w:lvlText w:val="%1."/>
      <w:lvlJc w:val="left"/>
      <w:pPr>
        <w:tabs>
          <w:tab w:val="left" w:pos="420"/>
        </w:tabs>
        <w:ind w:left="420" w:hanging="420"/>
      </w:pPr>
      <w:rPr>
        <w:rFonts w:hint="eastAsia" w:ascii="楷体_GB2312" w:hAnsi="Arial" w:eastAsia="楷体_GB2312" w:cs="Arial"/>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32">
    <w:nsid w:val="1FBAA356"/>
    <w:multiLevelType w:val="multilevel"/>
    <w:tmpl w:val="1FBAA356"/>
    <w:lvl w:ilvl="0" w:tentative="0">
      <w:start w:val="1"/>
      <w:numFmt w:val="none"/>
      <w:lvlText w:val="2"/>
      <w:lvlJc w:val="left"/>
      <w:pPr>
        <w:tabs>
          <w:tab w:val="left" w:pos="425"/>
        </w:tabs>
        <w:ind w:left="425" w:hanging="425"/>
      </w:pPr>
      <w:rPr>
        <w:rFonts w:hint="eastAsia"/>
      </w:rPr>
    </w:lvl>
    <w:lvl w:ilvl="1" w:tentative="0">
      <w:start w:val="1"/>
      <w:numFmt w:val="decimal"/>
      <w:lvlText w:val="%12.%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3">
    <w:nsid w:val="2434239E"/>
    <w:multiLevelType w:val="multilevel"/>
    <w:tmpl w:val="2434239E"/>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34">
    <w:nsid w:val="270C2544"/>
    <w:multiLevelType w:val="multilevel"/>
    <w:tmpl w:val="270C2544"/>
    <w:lvl w:ilvl="0" w:tentative="0">
      <w:start w:val="1"/>
      <w:numFmt w:val="decimalEnclosedCircleChinese"/>
      <w:lvlText w:val="%1　"/>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5">
    <w:nsid w:val="27D639A9"/>
    <w:multiLevelType w:val="multilevel"/>
    <w:tmpl w:val="27D639A9"/>
    <w:lvl w:ilvl="0" w:tentative="0">
      <w:start w:val="1"/>
      <w:numFmt w:val="none"/>
      <w:lvlText w:val="2"/>
      <w:lvlJc w:val="left"/>
      <w:pPr>
        <w:tabs>
          <w:tab w:val="left" w:pos="425"/>
        </w:tabs>
        <w:ind w:left="425" w:hanging="425"/>
      </w:pPr>
      <w:rPr>
        <w:rFonts w:hint="eastAsia"/>
      </w:rPr>
    </w:lvl>
    <w:lvl w:ilvl="1" w:tentative="0">
      <w:start w:val="1"/>
      <w:numFmt w:val="decimal"/>
      <w:lvlText w:val="%13.%2"/>
      <w:lvlJc w:val="left"/>
      <w:pPr>
        <w:tabs>
          <w:tab w:val="left" w:pos="992"/>
        </w:tabs>
        <w:ind w:left="992" w:hanging="567"/>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6">
    <w:nsid w:val="283A0536"/>
    <w:multiLevelType w:val="multilevel"/>
    <w:tmpl w:val="283A0536"/>
    <w:lvl w:ilvl="0" w:tentative="0">
      <w:start w:val="1"/>
      <w:numFmt w:val="none"/>
      <w:lvlText w:val="2"/>
      <w:lvlJc w:val="left"/>
      <w:pPr>
        <w:tabs>
          <w:tab w:val="left" w:pos="425"/>
        </w:tabs>
        <w:ind w:left="425" w:hanging="425"/>
      </w:pPr>
      <w:rPr>
        <w:rFonts w:hint="eastAsia"/>
      </w:rPr>
    </w:lvl>
    <w:lvl w:ilvl="1" w:tentative="0">
      <w:start w:val="1"/>
      <w:numFmt w:val="decimal"/>
      <w:lvlText w:val="%16.%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7">
    <w:nsid w:val="2B127F5B"/>
    <w:multiLevelType w:val="multilevel"/>
    <w:tmpl w:val="2B127F5B"/>
    <w:lvl w:ilvl="0" w:tentative="0">
      <w:start w:val="1"/>
      <w:numFmt w:val="decimal"/>
      <w:lvlText w:val="%1)"/>
      <w:lvlJc w:val="left"/>
      <w:pPr>
        <w:ind w:left="862" w:hanging="420"/>
      </w:pPr>
    </w:lvl>
    <w:lvl w:ilvl="1" w:tentative="0">
      <w:start w:val="1"/>
      <w:numFmt w:val="lowerLetter"/>
      <w:lvlText w:val="%2)"/>
      <w:lvlJc w:val="left"/>
      <w:pPr>
        <w:ind w:left="1282" w:hanging="420"/>
      </w:pPr>
    </w:lvl>
    <w:lvl w:ilvl="2" w:tentative="0">
      <w:start w:val="1"/>
      <w:numFmt w:val="lowerRoman"/>
      <w:lvlText w:val="%3."/>
      <w:lvlJc w:val="right"/>
      <w:pPr>
        <w:ind w:left="1702" w:hanging="420"/>
      </w:pPr>
    </w:lvl>
    <w:lvl w:ilvl="3" w:tentative="0">
      <w:start w:val="1"/>
      <w:numFmt w:val="decimal"/>
      <w:lvlText w:val="%4."/>
      <w:lvlJc w:val="left"/>
      <w:pPr>
        <w:ind w:left="2122" w:hanging="420"/>
      </w:pPr>
    </w:lvl>
    <w:lvl w:ilvl="4" w:tentative="0">
      <w:start w:val="1"/>
      <w:numFmt w:val="lowerLetter"/>
      <w:lvlText w:val="%5)"/>
      <w:lvlJc w:val="left"/>
      <w:pPr>
        <w:ind w:left="2542" w:hanging="420"/>
      </w:pPr>
    </w:lvl>
    <w:lvl w:ilvl="5" w:tentative="0">
      <w:start w:val="1"/>
      <w:numFmt w:val="lowerRoman"/>
      <w:lvlText w:val="%6."/>
      <w:lvlJc w:val="right"/>
      <w:pPr>
        <w:ind w:left="2962" w:hanging="420"/>
      </w:pPr>
    </w:lvl>
    <w:lvl w:ilvl="6" w:tentative="0">
      <w:start w:val="1"/>
      <w:numFmt w:val="decimal"/>
      <w:lvlText w:val="%7."/>
      <w:lvlJc w:val="left"/>
      <w:pPr>
        <w:ind w:left="3382" w:hanging="420"/>
      </w:pPr>
    </w:lvl>
    <w:lvl w:ilvl="7" w:tentative="0">
      <w:start w:val="1"/>
      <w:numFmt w:val="lowerLetter"/>
      <w:lvlText w:val="%8)"/>
      <w:lvlJc w:val="left"/>
      <w:pPr>
        <w:ind w:left="3802" w:hanging="420"/>
      </w:pPr>
    </w:lvl>
    <w:lvl w:ilvl="8" w:tentative="0">
      <w:start w:val="1"/>
      <w:numFmt w:val="lowerRoman"/>
      <w:lvlText w:val="%9."/>
      <w:lvlJc w:val="right"/>
      <w:pPr>
        <w:ind w:left="4222" w:hanging="420"/>
      </w:pPr>
    </w:lvl>
  </w:abstractNum>
  <w:abstractNum w:abstractNumId="38">
    <w:nsid w:val="2CFDCB7F"/>
    <w:multiLevelType w:val="multilevel"/>
    <w:tmpl w:val="2CFDCB7F"/>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39">
    <w:nsid w:val="37E9328B"/>
    <w:multiLevelType w:val="multilevel"/>
    <w:tmpl w:val="37E9328B"/>
    <w:lvl w:ilvl="0" w:tentative="0">
      <w:start w:val="1"/>
      <w:numFmt w:val="none"/>
      <w:lvlText w:val="2"/>
      <w:lvlJc w:val="left"/>
      <w:pPr>
        <w:tabs>
          <w:tab w:val="left" w:pos="425"/>
        </w:tabs>
        <w:ind w:left="425" w:hanging="425"/>
      </w:pPr>
      <w:rPr>
        <w:rFonts w:hint="eastAsia"/>
      </w:rPr>
    </w:lvl>
    <w:lvl w:ilvl="1" w:tentative="0">
      <w:start w:val="1"/>
      <w:numFmt w:val="decimal"/>
      <w:lvlText w:val="%13.%2"/>
      <w:lvlJc w:val="left"/>
      <w:pPr>
        <w:tabs>
          <w:tab w:val="left" w:pos="992"/>
        </w:tabs>
        <w:ind w:left="992" w:hanging="567"/>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0">
    <w:nsid w:val="3CC351E3"/>
    <w:multiLevelType w:val="multilevel"/>
    <w:tmpl w:val="3CC351E3"/>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41">
    <w:nsid w:val="3DDE87C6"/>
    <w:multiLevelType w:val="multilevel"/>
    <w:tmpl w:val="3DDE87C6"/>
    <w:lvl w:ilvl="0" w:tentative="0">
      <w:start w:val="1"/>
      <w:numFmt w:val="none"/>
      <w:lvlText w:val="2"/>
      <w:lvlJc w:val="left"/>
      <w:pPr>
        <w:tabs>
          <w:tab w:val="left" w:pos="425"/>
        </w:tabs>
        <w:ind w:left="425" w:hanging="425"/>
      </w:pPr>
      <w:rPr>
        <w:rFonts w:hint="eastAsia"/>
      </w:rPr>
    </w:lvl>
    <w:lvl w:ilvl="1" w:tentative="0">
      <w:start w:val="1"/>
      <w:numFmt w:val="decimal"/>
      <w:lvlText w:val="%11.%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2">
    <w:nsid w:val="3F31A2EA"/>
    <w:multiLevelType w:val="singleLevel"/>
    <w:tmpl w:val="3F31A2EA"/>
    <w:lvl w:ilvl="0" w:tentative="0">
      <w:start w:val="1"/>
      <w:numFmt w:val="decimal"/>
      <w:lvlText w:val="%1."/>
      <w:lvlJc w:val="left"/>
      <w:pPr>
        <w:ind w:left="425" w:hanging="425"/>
      </w:pPr>
      <w:rPr>
        <w:rFonts w:hint="default"/>
      </w:rPr>
    </w:lvl>
  </w:abstractNum>
  <w:abstractNum w:abstractNumId="43">
    <w:nsid w:val="422FDF99"/>
    <w:multiLevelType w:val="singleLevel"/>
    <w:tmpl w:val="422FDF99"/>
    <w:lvl w:ilvl="0" w:tentative="0">
      <w:start w:val="1"/>
      <w:numFmt w:val="decimalEnclosedCircleChinese"/>
      <w:suff w:val="nothing"/>
      <w:lvlText w:val="%1　"/>
      <w:lvlJc w:val="left"/>
      <w:pPr>
        <w:ind w:firstLine="400"/>
      </w:pPr>
      <w:rPr>
        <w:rFonts w:hint="eastAsia" w:cs="Times New Roman"/>
      </w:rPr>
    </w:lvl>
  </w:abstractNum>
  <w:abstractNum w:abstractNumId="44">
    <w:nsid w:val="44A246E4"/>
    <w:multiLevelType w:val="multilevel"/>
    <w:tmpl w:val="44A246E4"/>
    <w:lvl w:ilvl="0" w:tentative="0">
      <w:start w:val="1"/>
      <w:numFmt w:val="none"/>
      <w:lvlText w:val="2"/>
      <w:lvlJc w:val="left"/>
      <w:pPr>
        <w:tabs>
          <w:tab w:val="left" w:pos="425"/>
        </w:tabs>
        <w:ind w:left="425" w:hanging="425"/>
      </w:pPr>
      <w:rPr>
        <w:rFonts w:hint="eastAsia"/>
      </w:rPr>
    </w:lvl>
    <w:lvl w:ilvl="1" w:tentative="0">
      <w:start w:val="1"/>
      <w:numFmt w:val="decimal"/>
      <w:lvlText w:val="%12.%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5">
    <w:nsid w:val="45DC5E2A"/>
    <w:multiLevelType w:val="multilevel"/>
    <w:tmpl w:val="45DC5E2A"/>
    <w:lvl w:ilvl="0" w:tentative="0">
      <w:start w:val="1"/>
      <w:numFmt w:val="decimal"/>
      <w:lvlText w:val="%1."/>
      <w:lvlJc w:val="left"/>
      <w:pPr>
        <w:ind w:left="805" w:hanging="420"/>
      </w:pPr>
    </w:lvl>
    <w:lvl w:ilvl="1" w:tentative="0">
      <w:start w:val="1"/>
      <w:numFmt w:val="lowerLetter"/>
      <w:lvlText w:val="%2)"/>
      <w:lvlJc w:val="left"/>
      <w:pPr>
        <w:ind w:left="1225" w:hanging="420"/>
      </w:pPr>
    </w:lvl>
    <w:lvl w:ilvl="2" w:tentative="0">
      <w:start w:val="1"/>
      <w:numFmt w:val="lowerRoman"/>
      <w:lvlText w:val="%3."/>
      <w:lvlJc w:val="right"/>
      <w:pPr>
        <w:ind w:left="1645" w:hanging="420"/>
      </w:pPr>
    </w:lvl>
    <w:lvl w:ilvl="3" w:tentative="0">
      <w:start w:val="1"/>
      <w:numFmt w:val="decimal"/>
      <w:lvlText w:val="%4."/>
      <w:lvlJc w:val="left"/>
      <w:pPr>
        <w:ind w:left="2065" w:hanging="420"/>
      </w:pPr>
    </w:lvl>
    <w:lvl w:ilvl="4" w:tentative="0">
      <w:start w:val="1"/>
      <w:numFmt w:val="lowerLetter"/>
      <w:lvlText w:val="%5)"/>
      <w:lvlJc w:val="left"/>
      <w:pPr>
        <w:ind w:left="2485" w:hanging="420"/>
      </w:pPr>
    </w:lvl>
    <w:lvl w:ilvl="5" w:tentative="0">
      <w:start w:val="1"/>
      <w:numFmt w:val="lowerRoman"/>
      <w:lvlText w:val="%6."/>
      <w:lvlJc w:val="right"/>
      <w:pPr>
        <w:ind w:left="2905" w:hanging="420"/>
      </w:pPr>
    </w:lvl>
    <w:lvl w:ilvl="6" w:tentative="0">
      <w:start w:val="1"/>
      <w:numFmt w:val="decimal"/>
      <w:lvlText w:val="%7."/>
      <w:lvlJc w:val="left"/>
      <w:pPr>
        <w:ind w:left="3325" w:hanging="420"/>
      </w:pPr>
    </w:lvl>
    <w:lvl w:ilvl="7" w:tentative="0">
      <w:start w:val="1"/>
      <w:numFmt w:val="lowerLetter"/>
      <w:lvlText w:val="%8)"/>
      <w:lvlJc w:val="left"/>
      <w:pPr>
        <w:ind w:left="3745" w:hanging="420"/>
      </w:pPr>
    </w:lvl>
    <w:lvl w:ilvl="8" w:tentative="0">
      <w:start w:val="1"/>
      <w:numFmt w:val="lowerRoman"/>
      <w:lvlText w:val="%9."/>
      <w:lvlJc w:val="right"/>
      <w:pPr>
        <w:ind w:left="4165" w:hanging="420"/>
      </w:pPr>
    </w:lvl>
  </w:abstractNum>
  <w:abstractNum w:abstractNumId="46">
    <w:nsid w:val="4B8E5DBA"/>
    <w:multiLevelType w:val="multilevel"/>
    <w:tmpl w:val="4B8E5DBA"/>
    <w:lvl w:ilvl="0" w:tentative="0">
      <w:start w:val="1"/>
      <w:numFmt w:val="chineseCountingThousand"/>
      <w:lvlText w:val="(%1)"/>
      <w:lvlJc w:val="left"/>
      <w:pPr>
        <w:ind w:left="420" w:hanging="420"/>
      </w:pPr>
    </w:lvl>
    <w:lvl w:ilvl="1" w:tentative="0">
      <w:start w:val="1"/>
      <w:numFmt w:val="chineseCountingThousand"/>
      <w:lvlText w:val="(%2)"/>
      <w:lvlJc w:val="left"/>
      <w:pPr>
        <w:ind w:left="272" w:firstLine="148"/>
      </w:pPr>
      <w:rPr>
        <w:rFonts w:hint="eastAsia"/>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7">
    <w:nsid w:val="549DB4B5"/>
    <w:multiLevelType w:val="multilevel"/>
    <w:tmpl w:val="549DB4B5"/>
    <w:lvl w:ilvl="0" w:tentative="0">
      <w:start w:val="1"/>
      <w:numFmt w:val="none"/>
      <w:lvlText w:val="2"/>
      <w:lvlJc w:val="left"/>
      <w:pPr>
        <w:tabs>
          <w:tab w:val="left" w:pos="425"/>
        </w:tabs>
        <w:ind w:left="425" w:hanging="425"/>
      </w:pPr>
      <w:rPr>
        <w:rFonts w:hint="eastAsia"/>
      </w:rPr>
    </w:lvl>
    <w:lvl w:ilvl="1" w:tentative="0">
      <w:start w:val="1"/>
      <w:numFmt w:val="decimal"/>
      <w:lvlText w:val="%13.%2"/>
      <w:lvlJc w:val="left"/>
      <w:pPr>
        <w:tabs>
          <w:tab w:val="left" w:pos="992"/>
        </w:tabs>
        <w:ind w:left="992" w:hanging="567"/>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8">
    <w:nsid w:val="54F403B5"/>
    <w:multiLevelType w:val="singleLevel"/>
    <w:tmpl w:val="54F403B5"/>
    <w:lvl w:ilvl="0" w:tentative="0">
      <w:start w:val="1"/>
      <w:numFmt w:val="chineseCounting"/>
      <w:suff w:val="nothing"/>
      <w:lvlText w:val="%1、"/>
      <w:lvlJc w:val="left"/>
      <w:pPr>
        <w:ind w:left="0" w:firstLine="0"/>
      </w:pPr>
    </w:lvl>
  </w:abstractNum>
  <w:abstractNum w:abstractNumId="49">
    <w:nsid w:val="557FD3DA"/>
    <w:multiLevelType w:val="singleLevel"/>
    <w:tmpl w:val="557FD3DA"/>
    <w:lvl w:ilvl="0" w:tentative="0">
      <w:start w:val="3"/>
      <w:numFmt w:val="chineseCounting"/>
      <w:suff w:val="nothing"/>
      <w:lvlText w:val="%1、"/>
      <w:lvlJc w:val="left"/>
      <w:pPr>
        <w:ind w:left="0" w:firstLine="0"/>
      </w:pPr>
    </w:lvl>
  </w:abstractNum>
  <w:abstractNum w:abstractNumId="50">
    <w:nsid w:val="572A8CE4"/>
    <w:multiLevelType w:val="multilevel"/>
    <w:tmpl w:val="572A8CE4"/>
    <w:lvl w:ilvl="0" w:tentative="0">
      <w:start w:val="1"/>
      <w:numFmt w:val="none"/>
      <w:lvlText w:val="2"/>
      <w:lvlJc w:val="left"/>
      <w:pPr>
        <w:tabs>
          <w:tab w:val="left" w:pos="425"/>
        </w:tabs>
        <w:ind w:left="425" w:hanging="425"/>
      </w:pPr>
      <w:rPr>
        <w:rFonts w:hint="eastAsia"/>
      </w:rPr>
    </w:lvl>
    <w:lvl w:ilvl="1" w:tentative="0">
      <w:start w:val="1"/>
      <w:numFmt w:val="decimal"/>
      <w:lvlText w:val="%19.%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51">
    <w:nsid w:val="65832174"/>
    <w:multiLevelType w:val="multilevel"/>
    <w:tmpl w:val="65832174"/>
    <w:lvl w:ilvl="0" w:tentative="0">
      <w:start w:val="1"/>
      <w:numFmt w:val="decimal"/>
      <w:lvlText w:val="%1)"/>
      <w:lvlJc w:val="left"/>
      <w:pPr>
        <w:ind w:left="530" w:hanging="420"/>
      </w:p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52">
    <w:nsid w:val="674716E4"/>
    <w:multiLevelType w:val="singleLevel"/>
    <w:tmpl w:val="674716E4"/>
    <w:lvl w:ilvl="0" w:tentative="0">
      <w:start w:val="1"/>
      <w:numFmt w:val="decimalEnclosedCircleChinese"/>
      <w:suff w:val="nothing"/>
      <w:lvlText w:val="%1　"/>
      <w:lvlJc w:val="left"/>
      <w:pPr>
        <w:ind w:firstLine="400"/>
      </w:pPr>
      <w:rPr>
        <w:rFonts w:hint="eastAsia" w:cs="Times New Roman"/>
      </w:rPr>
    </w:lvl>
  </w:abstractNum>
  <w:abstractNum w:abstractNumId="53">
    <w:nsid w:val="7B9B3A13"/>
    <w:multiLevelType w:val="singleLevel"/>
    <w:tmpl w:val="7B9B3A13"/>
    <w:lvl w:ilvl="0" w:tentative="0">
      <w:start w:val="1"/>
      <w:numFmt w:val="decimalEnclosedCircleChinese"/>
      <w:lvlText w:val="%1　"/>
      <w:lvlJc w:val="left"/>
      <w:pPr>
        <w:ind w:left="420" w:hanging="420"/>
      </w:pPr>
      <w:rPr>
        <w:rFonts w:hint="eastAsia"/>
      </w:rPr>
    </w:lvl>
  </w:abstractNum>
  <w:num w:numId="1">
    <w:abstractNumId w:val="7"/>
  </w:num>
  <w:num w:numId="2">
    <w:abstractNumId w:val="10"/>
  </w:num>
  <w:num w:numId="3">
    <w:abstractNumId w:val="42"/>
  </w:num>
  <w:num w:numId="4">
    <w:abstractNumId w:val="5"/>
  </w:num>
  <w:num w:numId="5">
    <w:abstractNumId w:val="33"/>
  </w:num>
  <w:num w:numId="6">
    <w:abstractNumId w:val="29"/>
  </w:num>
  <w:num w:numId="7">
    <w:abstractNumId w:val="31"/>
  </w:num>
  <w:num w:numId="8">
    <w:abstractNumId w:val="32"/>
  </w:num>
  <w:num w:numId="9">
    <w:abstractNumId w:val="1"/>
  </w:num>
  <w:num w:numId="10">
    <w:abstractNumId w:val="24"/>
  </w:num>
  <w:num w:numId="11">
    <w:abstractNumId w:val="53"/>
  </w:num>
  <w:num w:numId="12">
    <w:abstractNumId w:val="8"/>
  </w:num>
  <w:num w:numId="13">
    <w:abstractNumId w:val="39"/>
  </w:num>
  <w:num w:numId="14">
    <w:abstractNumId w:val="21"/>
  </w:num>
  <w:num w:numId="15">
    <w:abstractNumId w:val="4"/>
  </w:num>
  <w:num w:numId="16">
    <w:abstractNumId w:val="15"/>
  </w:num>
  <w:num w:numId="17">
    <w:abstractNumId w:val="13"/>
  </w:num>
  <w:num w:numId="18">
    <w:abstractNumId w:val="20"/>
  </w:num>
  <w:num w:numId="19">
    <w:abstractNumId w:val="50"/>
  </w:num>
  <w:num w:numId="20">
    <w:abstractNumId w:val="40"/>
  </w:num>
  <w:num w:numId="21">
    <w:abstractNumId w:val="25"/>
  </w:num>
  <w:num w:numId="22">
    <w:abstractNumId w:val="52"/>
  </w:num>
  <w:num w:numId="23">
    <w:abstractNumId w:val="43"/>
  </w:num>
  <w:num w:numId="24">
    <w:abstractNumId w:val="44"/>
  </w:num>
  <w:num w:numId="25">
    <w:abstractNumId w:val="14"/>
  </w:num>
  <w:num w:numId="26">
    <w:abstractNumId w:val="30"/>
  </w:num>
  <w:num w:numId="27">
    <w:abstractNumId w:val="6"/>
  </w:num>
  <w:num w:numId="28">
    <w:abstractNumId w:val="11"/>
  </w:num>
  <w:num w:numId="29">
    <w:abstractNumId w:val="35"/>
  </w:num>
  <w:num w:numId="30">
    <w:abstractNumId w:val="51"/>
  </w:num>
  <w:num w:numId="31">
    <w:abstractNumId w:val="38"/>
  </w:num>
  <w:num w:numId="32">
    <w:abstractNumId w:val="47"/>
  </w:num>
  <w:num w:numId="33">
    <w:abstractNumId w:val="34"/>
  </w:num>
  <w:num w:numId="34">
    <w:abstractNumId w:val="26"/>
  </w:num>
  <w:num w:numId="35">
    <w:abstractNumId w:val="18"/>
  </w:num>
  <w:num w:numId="36">
    <w:abstractNumId w:val="37"/>
  </w:num>
  <w:num w:numId="37">
    <w:abstractNumId w:val="9"/>
  </w:num>
  <w:num w:numId="38">
    <w:abstractNumId w:val="36"/>
  </w:num>
  <w:num w:numId="39">
    <w:abstractNumId w:val="2"/>
  </w:num>
  <w:num w:numId="40">
    <w:abstractNumId w:val="0"/>
  </w:num>
  <w:num w:numId="41">
    <w:abstractNumId w:val="23"/>
  </w:num>
  <w:num w:numId="42">
    <w:abstractNumId w:val="16"/>
  </w:num>
  <w:num w:numId="43">
    <w:abstractNumId w:val="41"/>
  </w:num>
  <w:num w:numId="44">
    <w:abstractNumId w:val="28"/>
  </w:num>
  <w:num w:numId="45">
    <w:abstractNumId w:val="22"/>
  </w:num>
  <w:num w:numId="46">
    <w:abstractNumId w:val="3"/>
  </w:num>
  <w:num w:numId="47">
    <w:abstractNumId w:val="17"/>
  </w:num>
  <w:num w:numId="48">
    <w:abstractNumId w:val="27"/>
  </w:num>
  <w:num w:numId="49">
    <w:abstractNumId w:val="19"/>
  </w:num>
  <w:num w:numId="50">
    <w:abstractNumId w:val="45"/>
  </w:num>
  <w:num w:numId="51">
    <w:abstractNumId w:val="46"/>
  </w:num>
  <w:num w:numId="52">
    <w:abstractNumId w:val="12"/>
  </w:num>
  <w:num w:numId="53">
    <w:abstractNumId w:val="48"/>
  </w:num>
  <w:num w:numId="54">
    <w:abstractNumId w:val="4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revisionView w:markup="0"/>
  <w:trackRevisions w:val="1"/>
  <w:documentProtection w:enforcement="0"/>
  <w:defaultTabStop w:val="420"/>
  <w:drawingGridHorizontalSpacing w:val="105"/>
  <w:drawingGridVerticalSpacing w:val="38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hiZjcyM2E1ODVkZmI0ZjYzYjYwNTRmYzY0YTcxYjIifQ=="/>
  </w:docVars>
  <w:rsids>
    <w:rsidRoot w:val="00C0263E"/>
    <w:rsid w:val="000009F5"/>
    <w:rsid w:val="0000118C"/>
    <w:rsid w:val="00001380"/>
    <w:rsid w:val="00002CB1"/>
    <w:rsid w:val="0000340D"/>
    <w:rsid w:val="00003A66"/>
    <w:rsid w:val="000053C0"/>
    <w:rsid w:val="000066EF"/>
    <w:rsid w:val="00007C55"/>
    <w:rsid w:val="00007D33"/>
    <w:rsid w:val="00011067"/>
    <w:rsid w:val="000115A8"/>
    <w:rsid w:val="00014395"/>
    <w:rsid w:val="00014590"/>
    <w:rsid w:val="00014C8E"/>
    <w:rsid w:val="00015251"/>
    <w:rsid w:val="000157E0"/>
    <w:rsid w:val="0001618C"/>
    <w:rsid w:val="00016208"/>
    <w:rsid w:val="0001692C"/>
    <w:rsid w:val="00016969"/>
    <w:rsid w:val="000229EB"/>
    <w:rsid w:val="000237A7"/>
    <w:rsid w:val="000238E0"/>
    <w:rsid w:val="00023A93"/>
    <w:rsid w:val="00023BA5"/>
    <w:rsid w:val="0002481A"/>
    <w:rsid w:val="00025CDD"/>
    <w:rsid w:val="00026C3B"/>
    <w:rsid w:val="000301C4"/>
    <w:rsid w:val="0003039C"/>
    <w:rsid w:val="00030937"/>
    <w:rsid w:val="00033B38"/>
    <w:rsid w:val="00034BF8"/>
    <w:rsid w:val="00034E38"/>
    <w:rsid w:val="00035750"/>
    <w:rsid w:val="00035CCB"/>
    <w:rsid w:val="00036E25"/>
    <w:rsid w:val="00040402"/>
    <w:rsid w:val="0004164F"/>
    <w:rsid w:val="00042E2F"/>
    <w:rsid w:val="00043009"/>
    <w:rsid w:val="000444E6"/>
    <w:rsid w:val="0004573A"/>
    <w:rsid w:val="0005052D"/>
    <w:rsid w:val="000506B4"/>
    <w:rsid w:val="000515F3"/>
    <w:rsid w:val="00052EC4"/>
    <w:rsid w:val="000548DE"/>
    <w:rsid w:val="00054D5C"/>
    <w:rsid w:val="00054FC6"/>
    <w:rsid w:val="000560AE"/>
    <w:rsid w:val="00060505"/>
    <w:rsid w:val="000611E3"/>
    <w:rsid w:val="000622C1"/>
    <w:rsid w:val="0006286C"/>
    <w:rsid w:val="00063E50"/>
    <w:rsid w:val="0006448F"/>
    <w:rsid w:val="000649D3"/>
    <w:rsid w:val="000665E3"/>
    <w:rsid w:val="000671DC"/>
    <w:rsid w:val="0007024A"/>
    <w:rsid w:val="00070481"/>
    <w:rsid w:val="0007050C"/>
    <w:rsid w:val="000722C5"/>
    <w:rsid w:val="00072310"/>
    <w:rsid w:val="0007247B"/>
    <w:rsid w:val="00073304"/>
    <w:rsid w:val="00074B78"/>
    <w:rsid w:val="00075C22"/>
    <w:rsid w:val="00076686"/>
    <w:rsid w:val="0008019F"/>
    <w:rsid w:val="000803DE"/>
    <w:rsid w:val="000811D4"/>
    <w:rsid w:val="00081E28"/>
    <w:rsid w:val="0008207A"/>
    <w:rsid w:val="000832C8"/>
    <w:rsid w:val="00083799"/>
    <w:rsid w:val="000861D1"/>
    <w:rsid w:val="0008646C"/>
    <w:rsid w:val="000873E1"/>
    <w:rsid w:val="00087F08"/>
    <w:rsid w:val="00090259"/>
    <w:rsid w:val="00092D6D"/>
    <w:rsid w:val="000930EA"/>
    <w:rsid w:val="00094254"/>
    <w:rsid w:val="00095884"/>
    <w:rsid w:val="000966E8"/>
    <w:rsid w:val="00096ABD"/>
    <w:rsid w:val="000A0528"/>
    <w:rsid w:val="000A144D"/>
    <w:rsid w:val="000A328D"/>
    <w:rsid w:val="000A390D"/>
    <w:rsid w:val="000A3F6F"/>
    <w:rsid w:val="000A4DF8"/>
    <w:rsid w:val="000A5466"/>
    <w:rsid w:val="000A5ADF"/>
    <w:rsid w:val="000A63F5"/>
    <w:rsid w:val="000A7842"/>
    <w:rsid w:val="000B09D6"/>
    <w:rsid w:val="000B09F3"/>
    <w:rsid w:val="000B1182"/>
    <w:rsid w:val="000B1199"/>
    <w:rsid w:val="000B1688"/>
    <w:rsid w:val="000B36A7"/>
    <w:rsid w:val="000B5427"/>
    <w:rsid w:val="000B5DD6"/>
    <w:rsid w:val="000B5FCA"/>
    <w:rsid w:val="000B6132"/>
    <w:rsid w:val="000C2262"/>
    <w:rsid w:val="000C27EC"/>
    <w:rsid w:val="000C3D0E"/>
    <w:rsid w:val="000C5FB8"/>
    <w:rsid w:val="000C7809"/>
    <w:rsid w:val="000C7CBF"/>
    <w:rsid w:val="000D3013"/>
    <w:rsid w:val="000D3236"/>
    <w:rsid w:val="000D73D9"/>
    <w:rsid w:val="000D7C89"/>
    <w:rsid w:val="000E2193"/>
    <w:rsid w:val="000E2A62"/>
    <w:rsid w:val="000E4534"/>
    <w:rsid w:val="000E6B70"/>
    <w:rsid w:val="000E75FB"/>
    <w:rsid w:val="000F0294"/>
    <w:rsid w:val="000F1CB3"/>
    <w:rsid w:val="000F2728"/>
    <w:rsid w:val="000F33BB"/>
    <w:rsid w:val="000F3619"/>
    <w:rsid w:val="000F5693"/>
    <w:rsid w:val="000F64BF"/>
    <w:rsid w:val="000F79A4"/>
    <w:rsid w:val="000F7AE5"/>
    <w:rsid w:val="000F7C73"/>
    <w:rsid w:val="000F7F00"/>
    <w:rsid w:val="00101644"/>
    <w:rsid w:val="00101A77"/>
    <w:rsid w:val="00101AC0"/>
    <w:rsid w:val="001020F4"/>
    <w:rsid w:val="00103097"/>
    <w:rsid w:val="001030C3"/>
    <w:rsid w:val="001030C6"/>
    <w:rsid w:val="0010568D"/>
    <w:rsid w:val="001064A6"/>
    <w:rsid w:val="0010684A"/>
    <w:rsid w:val="00107EF0"/>
    <w:rsid w:val="00112030"/>
    <w:rsid w:val="00114920"/>
    <w:rsid w:val="001156FE"/>
    <w:rsid w:val="001238DD"/>
    <w:rsid w:val="00123BAD"/>
    <w:rsid w:val="00124127"/>
    <w:rsid w:val="00126280"/>
    <w:rsid w:val="001263CA"/>
    <w:rsid w:val="001266BF"/>
    <w:rsid w:val="00130AF0"/>
    <w:rsid w:val="00131E83"/>
    <w:rsid w:val="0013221F"/>
    <w:rsid w:val="001325EF"/>
    <w:rsid w:val="00132C17"/>
    <w:rsid w:val="00133211"/>
    <w:rsid w:val="00134351"/>
    <w:rsid w:val="00134F4E"/>
    <w:rsid w:val="00136160"/>
    <w:rsid w:val="0013760C"/>
    <w:rsid w:val="001377FC"/>
    <w:rsid w:val="00137F40"/>
    <w:rsid w:val="00140223"/>
    <w:rsid w:val="001424BC"/>
    <w:rsid w:val="00142EB9"/>
    <w:rsid w:val="00143117"/>
    <w:rsid w:val="0014546D"/>
    <w:rsid w:val="00146114"/>
    <w:rsid w:val="0014791A"/>
    <w:rsid w:val="001508A1"/>
    <w:rsid w:val="00150AA7"/>
    <w:rsid w:val="001528B3"/>
    <w:rsid w:val="001528EB"/>
    <w:rsid w:val="00152A36"/>
    <w:rsid w:val="001547EB"/>
    <w:rsid w:val="0015505B"/>
    <w:rsid w:val="00155310"/>
    <w:rsid w:val="00155C3B"/>
    <w:rsid w:val="00156F66"/>
    <w:rsid w:val="00157F77"/>
    <w:rsid w:val="0016030B"/>
    <w:rsid w:val="00160445"/>
    <w:rsid w:val="00161CFC"/>
    <w:rsid w:val="00161EA2"/>
    <w:rsid w:val="00161ECC"/>
    <w:rsid w:val="00162A58"/>
    <w:rsid w:val="00162E8F"/>
    <w:rsid w:val="00163C20"/>
    <w:rsid w:val="00165188"/>
    <w:rsid w:val="00165F5B"/>
    <w:rsid w:val="001671DC"/>
    <w:rsid w:val="0016795B"/>
    <w:rsid w:val="00167ACA"/>
    <w:rsid w:val="00170B47"/>
    <w:rsid w:val="00170C20"/>
    <w:rsid w:val="00170E49"/>
    <w:rsid w:val="0017187B"/>
    <w:rsid w:val="00174EB3"/>
    <w:rsid w:val="001754BF"/>
    <w:rsid w:val="00175520"/>
    <w:rsid w:val="00175E74"/>
    <w:rsid w:val="00177526"/>
    <w:rsid w:val="00180634"/>
    <w:rsid w:val="00180C7B"/>
    <w:rsid w:val="00181085"/>
    <w:rsid w:val="0018186B"/>
    <w:rsid w:val="00182129"/>
    <w:rsid w:val="00183F0E"/>
    <w:rsid w:val="00184846"/>
    <w:rsid w:val="00186674"/>
    <w:rsid w:val="001866ED"/>
    <w:rsid w:val="00186E54"/>
    <w:rsid w:val="00187CAD"/>
    <w:rsid w:val="0019131A"/>
    <w:rsid w:val="00193B17"/>
    <w:rsid w:val="0019491C"/>
    <w:rsid w:val="0019588E"/>
    <w:rsid w:val="00195C4F"/>
    <w:rsid w:val="0019610B"/>
    <w:rsid w:val="001966EF"/>
    <w:rsid w:val="00197748"/>
    <w:rsid w:val="00197786"/>
    <w:rsid w:val="00197CB8"/>
    <w:rsid w:val="001A2414"/>
    <w:rsid w:val="001A359D"/>
    <w:rsid w:val="001A370B"/>
    <w:rsid w:val="001A441F"/>
    <w:rsid w:val="001A4BA7"/>
    <w:rsid w:val="001A57FC"/>
    <w:rsid w:val="001A687D"/>
    <w:rsid w:val="001A6C5A"/>
    <w:rsid w:val="001B0BAA"/>
    <w:rsid w:val="001B1B9B"/>
    <w:rsid w:val="001B2696"/>
    <w:rsid w:val="001B28CB"/>
    <w:rsid w:val="001B45D2"/>
    <w:rsid w:val="001B5B34"/>
    <w:rsid w:val="001C0431"/>
    <w:rsid w:val="001C0FC5"/>
    <w:rsid w:val="001C1820"/>
    <w:rsid w:val="001C239E"/>
    <w:rsid w:val="001C4F6D"/>
    <w:rsid w:val="001C5219"/>
    <w:rsid w:val="001C5EFC"/>
    <w:rsid w:val="001D11DE"/>
    <w:rsid w:val="001D2CF5"/>
    <w:rsid w:val="001D401E"/>
    <w:rsid w:val="001D4025"/>
    <w:rsid w:val="001D542B"/>
    <w:rsid w:val="001D5DDD"/>
    <w:rsid w:val="001D63C0"/>
    <w:rsid w:val="001D6B9A"/>
    <w:rsid w:val="001D6CA6"/>
    <w:rsid w:val="001D7241"/>
    <w:rsid w:val="001D7551"/>
    <w:rsid w:val="001D76AB"/>
    <w:rsid w:val="001E013B"/>
    <w:rsid w:val="001E3767"/>
    <w:rsid w:val="001E376F"/>
    <w:rsid w:val="001E5262"/>
    <w:rsid w:val="001E66DD"/>
    <w:rsid w:val="001E7237"/>
    <w:rsid w:val="001E726C"/>
    <w:rsid w:val="001F24A5"/>
    <w:rsid w:val="001F362D"/>
    <w:rsid w:val="001F3B6E"/>
    <w:rsid w:val="001F430D"/>
    <w:rsid w:val="001F5880"/>
    <w:rsid w:val="001F69BE"/>
    <w:rsid w:val="00201E84"/>
    <w:rsid w:val="00201FC4"/>
    <w:rsid w:val="00205213"/>
    <w:rsid w:val="0020571F"/>
    <w:rsid w:val="00211497"/>
    <w:rsid w:val="002114C3"/>
    <w:rsid w:val="00212117"/>
    <w:rsid w:val="00213222"/>
    <w:rsid w:val="00214475"/>
    <w:rsid w:val="00214568"/>
    <w:rsid w:val="00216E04"/>
    <w:rsid w:val="00217341"/>
    <w:rsid w:val="00217721"/>
    <w:rsid w:val="00217E51"/>
    <w:rsid w:val="00220A8C"/>
    <w:rsid w:val="00221867"/>
    <w:rsid w:val="002225DC"/>
    <w:rsid w:val="002241B4"/>
    <w:rsid w:val="00224B8F"/>
    <w:rsid w:val="00225F76"/>
    <w:rsid w:val="00226492"/>
    <w:rsid w:val="0022687E"/>
    <w:rsid w:val="00231563"/>
    <w:rsid w:val="00233E84"/>
    <w:rsid w:val="002352A0"/>
    <w:rsid w:val="002356C2"/>
    <w:rsid w:val="002357FB"/>
    <w:rsid w:val="002358F4"/>
    <w:rsid w:val="0023642E"/>
    <w:rsid w:val="00240C65"/>
    <w:rsid w:val="00241F03"/>
    <w:rsid w:val="00242271"/>
    <w:rsid w:val="00242B3E"/>
    <w:rsid w:val="00243AC5"/>
    <w:rsid w:val="00243B0E"/>
    <w:rsid w:val="00244F16"/>
    <w:rsid w:val="00245B20"/>
    <w:rsid w:val="00246320"/>
    <w:rsid w:val="0024772A"/>
    <w:rsid w:val="00250036"/>
    <w:rsid w:val="00251A22"/>
    <w:rsid w:val="0025244C"/>
    <w:rsid w:val="00254330"/>
    <w:rsid w:val="00254A99"/>
    <w:rsid w:val="00256997"/>
    <w:rsid w:val="002602F6"/>
    <w:rsid w:val="00260378"/>
    <w:rsid w:val="00264B34"/>
    <w:rsid w:val="002652D9"/>
    <w:rsid w:val="002659A6"/>
    <w:rsid w:val="0026651F"/>
    <w:rsid w:val="0026686D"/>
    <w:rsid w:val="002712BB"/>
    <w:rsid w:val="00271B69"/>
    <w:rsid w:val="00272CB0"/>
    <w:rsid w:val="00275C95"/>
    <w:rsid w:val="002768CF"/>
    <w:rsid w:val="002770B7"/>
    <w:rsid w:val="00277460"/>
    <w:rsid w:val="00280A65"/>
    <w:rsid w:val="00280FEF"/>
    <w:rsid w:val="0028109A"/>
    <w:rsid w:val="00281DDC"/>
    <w:rsid w:val="00282FD5"/>
    <w:rsid w:val="00283B1E"/>
    <w:rsid w:val="00285AAF"/>
    <w:rsid w:val="00286DD8"/>
    <w:rsid w:val="00286F17"/>
    <w:rsid w:val="00287A2E"/>
    <w:rsid w:val="0029043C"/>
    <w:rsid w:val="00290CB4"/>
    <w:rsid w:val="00291B72"/>
    <w:rsid w:val="00291D32"/>
    <w:rsid w:val="0029218D"/>
    <w:rsid w:val="00292455"/>
    <w:rsid w:val="00292814"/>
    <w:rsid w:val="002928CA"/>
    <w:rsid w:val="00294454"/>
    <w:rsid w:val="00295525"/>
    <w:rsid w:val="00295F60"/>
    <w:rsid w:val="002A02F3"/>
    <w:rsid w:val="002A051B"/>
    <w:rsid w:val="002A28B3"/>
    <w:rsid w:val="002A6B85"/>
    <w:rsid w:val="002A6BD5"/>
    <w:rsid w:val="002B038E"/>
    <w:rsid w:val="002B0545"/>
    <w:rsid w:val="002B066A"/>
    <w:rsid w:val="002B0A1B"/>
    <w:rsid w:val="002B1B8F"/>
    <w:rsid w:val="002B1C31"/>
    <w:rsid w:val="002B2154"/>
    <w:rsid w:val="002B41F4"/>
    <w:rsid w:val="002B4A6A"/>
    <w:rsid w:val="002B4D23"/>
    <w:rsid w:val="002B7F08"/>
    <w:rsid w:val="002C2E5B"/>
    <w:rsid w:val="002C3295"/>
    <w:rsid w:val="002C58AB"/>
    <w:rsid w:val="002C64A3"/>
    <w:rsid w:val="002C6AE5"/>
    <w:rsid w:val="002D0A09"/>
    <w:rsid w:val="002D2571"/>
    <w:rsid w:val="002D3563"/>
    <w:rsid w:val="002D6CCA"/>
    <w:rsid w:val="002D7C9E"/>
    <w:rsid w:val="002E09BA"/>
    <w:rsid w:val="002E0B9B"/>
    <w:rsid w:val="002E1874"/>
    <w:rsid w:val="002E1F1D"/>
    <w:rsid w:val="002E3588"/>
    <w:rsid w:val="002E369D"/>
    <w:rsid w:val="002E414F"/>
    <w:rsid w:val="002E4D98"/>
    <w:rsid w:val="002E4FC2"/>
    <w:rsid w:val="002E621E"/>
    <w:rsid w:val="002E7FC6"/>
    <w:rsid w:val="002F1A8C"/>
    <w:rsid w:val="002F205E"/>
    <w:rsid w:val="002F2128"/>
    <w:rsid w:val="002F4EE5"/>
    <w:rsid w:val="002F6F42"/>
    <w:rsid w:val="002F74AD"/>
    <w:rsid w:val="0030357F"/>
    <w:rsid w:val="003049BB"/>
    <w:rsid w:val="003051A4"/>
    <w:rsid w:val="00306C91"/>
    <w:rsid w:val="00307EEB"/>
    <w:rsid w:val="00307F4F"/>
    <w:rsid w:val="00310B99"/>
    <w:rsid w:val="00311763"/>
    <w:rsid w:val="00311CAC"/>
    <w:rsid w:val="00311E34"/>
    <w:rsid w:val="0031250D"/>
    <w:rsid w:val="00313693"/>
    <w:rsid w:val="003149C7"/>
    <w:rsid w:val="00314D0E"/>
    <w:rsid w:val="00314DC2"/>
    <w:rsid w:val="00315B4A"/>
    <w:rsid w:val="00315C51"/>
    <w:rsid w:val="00315EDD"/>
    <w:rsid w:val="00316A41"/>
    <w:rsid w:val="0032241D"/>
    <w:rsid w:val="003227D9"/>
    <w:rsid w:val="00325D8E"/>
    <w:rsid w:val="00326910"/>
    <w:rsid w:val="00330173"/>
    <w:rsid w:val="003306ED"/>
    <w:rsid w:val="003316FD"/>
    <w:rsid w:val="00331756"/>
    <w:rsid w:val="00331834"/>
    <w:rsid w:val="003337FC"/>
    <w:rsid w:val="00333B48"/>
    <w:rsid w:val="0033453F"/>
    <w:rsid w:val="00335FD1"/>
    <w:rsid w:val="0033603E"/>
    <w:rsid w:val="003367B8"/>
    <w:rsid w:val="0033694B"/>
    <w:rsid w:val="00336994"/>
    <w:rsid w:val="0033791E"/>
    <w:rsid w:val="00337E75"/>
    <w:rsid w:val="00341BF5"/>
    <w:rsid w:val="00342785"/>
    <w:rsid w:val="0034347F"/>
    <w:rsid w:val="003445DC"/>
    <w:rsid w:val="0034506F"/>
    <w:rsid w:val="0034675A"/>
    <w:rsid w:val="00346D10"/>
    <w:rsid w:val="003475ED"/>
    <w:rsid w:val="003478BA"/>
    <w:rsid w:val="00347A0A"/>
    <w:rsid w:val="00350E2E"/>
    <w:rsid w:val="003527E3"/>
    <w:rsid w:val="00352E06"/>
    <w:rsid w:val="003564E1"/>
    <w:rsid w:val="00356990"/>
    <w:rsid w:val="00356D20"/>
    <w:rsid w:val="00360BC0"/>
    <w:rsid w:val="00360D09"/>
    <w:rsid w:val="003612EF"/>
    <w:rsid w:val="00361E7B"/>
    <w:rsid w:val="00362A3D"/>
    <w:rsid w:val="003676A9"/>
    <w:rsid w:val="00370352"/>
    <w:rsid w:val="003706F7"/>
    <w:rsid w:val="00371F2C"/>
    <w:rsid w:val="0037242E"/>
    <w:rsid w:val="00372732"/>
    <w:rsid w:val="00372A07"/>
    <w:rsid w:val="00372CDC"/>
    <w:rsid w:val="00372D8B"/>
    <w:rsid w:val="00372E07"/>
    <w:rsid w:val="0037534C"/>
    <w:rsid w:val="00375AEB"/>
    <w:rsid w:val="0037609C"/>
    <w:rsid w:val="00377834"/>
    <w:rsid w:val="003802B8"/>
    <w:rsid w:val="00380F44"/>
    <w:rsid w:val="00382420"/>
    <w:rsid w:val="00382AE9"/>
    <w:rsid w:val="00383814"/>
    <w:rsid w:val="00383844"/>
    <w:rsid w:val="003839ED"/>
    <w:rsid w:val="00384395"/>
    <w:rsid w:val="00384768"/>
    <w:rsid w:val="00384FE1"/>
    <w:rsid w:val="0038509B"/>
    <w:rsid w:val="00385F49"/>
    <w:rsid w:val="00390522"/>
    <w:rsid w:val="00391BB8"/>
    <w:rsid w:val="00393AB0"/>
    <w:rsid w:val="00394A83"/>
    <w:rsid w:val="00394DE2"/>
    <w:rsid w:val="003973EC"/>
    <w:rsid w:val="0039760C"/>
    <w:rsid w:val="003A0DB0"/>
    <w:rsid w:val="003A18AB"/>
    <w:rsid w:val="003A1B28"/>
    <w:rsid w:val="003A3092"/>
    <w:rsid w:val="003A445D"/>
    <w:rsid w:val="003A5399"/>
    <w:rsid w:val="003A5A52"/>
    <w:rsid w:val="003A5B10"/>
    <w:rsid w:val="003A600E"/>
    <w:rsid w:val="003A6762"/>
    <w:rsid w:val="003A6AC6"/>
    <w:rsid w:val="003A6F84"/>
    <w:rsid w:val="003B0436"/>
    <w:rsid w:val="003B0B28"/>
    <w:rsid w:val="003B134F"/>
    <w:rsid w:val="003B19DA"/>
    <w:rsid w:val="003B2058"/>
    <w:rsid w:val="003B2DEF"/>
    <w:rsid w:val="003B4F56"/>
    <w:rsid w:val="003B5C88"/>
    <w:rsid w:val="003B6F69"/>
    <w:rsid w:val="003B7911"/>
    <w:rsid w:val="003C062B"/>
    <w:rsid w:val="003C1C86"/>
    <w:rsid w:val="003C22CE"/>
    <w:rsid w:val="003C2C1C"/>
    <w:rsid w:val="003C5248"/>
    <w:rsid w:val="003C527B"/>
    <w:rsid w:val="003C5441"/>
    <w:rsid w:val="003C5F9D"/>
    <w:rsid w:val="003C6940"/>
    <w:rsid w:val="003C7017"/>
    <w:rsid w:val="003C7F0C"/>
    <w:rsid w:val="003D06B1"/>
    <w:rsid w:val="003D0900"/>
    <w:rsid w:val="003D0D18"/>
    <w:rsid w:val="003D1EC8"/>
    <w:rsid w:val="003D33B5"/>
    <w:rsid w:val="003D360E"/>
    <w:rsid w:val="003D382E"/>
    <w:rsid w:val="003D5126"/>
    <w:rsid w:val="003D689D"/>
    <w:rsid w:val="003D6E91"/>
    <w:rsid w:val="003D7CE8"/>
    <w:rsid w:val="003E1388"/>
    <w:rsid w:val="003E1B3A"/>
    <w:rsid w:val="003E31FB"/>
    <w:rsid w:val="003E3905"/>
    <w:rsid w:val="003E3CFF"/>
    <w:rsid w:val="003E4F3E"/>
    <w:rsid w:val="003E50DF"/>
    <w:rsid w:val="003E5932"/>
    <w:rsid w:val="003E66DE"/>
    <w:rsid w:val="003E7E19"/>
    <w:rsid w:val="003F1618"/>
    <w:rsid w:val="003F1DEC"/>
    <w:rsid w:val="003F21CF"/>
    <w:rsid w:val="003F279A"/>
    <w:rsid w:val="003F29BD"/>
    <w:rsid w:val="003F3104"/>
    <w:rsid w:val="003F46CF"/>
    <w:rsid w:val="003F4CA7"/>
    <w:rsid w:val="003F5868"/>
    <w:rsid w:val="003F6C73"/>
    <w:rsid w:val="003F7552"/>
    <w:rsid w:val="00401278"/>
    <w:rsid w:val="0040174F"/>
    <w:rsid w:val="0040240A"/>
    <w:rsid w:val="00402BF2"/>
    <w:rsid w:val="00403D22"/>
    <w:rsid w:val="00405E4E"/>
    <w:rsid w:val="00406893"/>
    <w:rsid w:val="00410A3B"/>
    <w:rsid w:val="00410D1B"/>
    <w:rsid w:val="004115FE"/>
    <w:rsid w:val="00413595"/>
    <w:rsid w:val="00413B2D"/>
    <w:rsid w:val="00413F45"/>
    <w:rsid w:val="00415266"/>
    <w:rsid w:val="00415935"/>
    <w:rsid w:val="00415D57"/>
    <w:rsid w:val="004179AC"/>
    <w:rsid w:val="00420438"/>
    <w:rsid w:val="00420A03"/>
    <w:rsid w:val="0042103B"/>
    <w:rsid w:val="00421DA6"/>
    <w:rsid w:val="00423A55"/>
    <w:rsid w:val="00424BCF"/>
    <w:rsid w:val="00425EA7"/>
    <w:rsid w:val="00425FF5"/>
    <w:rsid w:val="00426345"/>
    <w:rsid w:val="00426A16"/>
    <w:rsid w:val="00426C0F"/>
    <w:rsid w:val="00426CD8"/>
    <w:rsid w:val="00426F87"/>
    <w:rsid w:val="0042780F"/>
    <w:rsid w:val="00427BC7"/>
    <w:rsid w:val="00431753"/>
    <w:rsid w:val="0043374D"/>
    <w:rsid w:val="00433AEE"/>
    <w:rsid w:val="00434D28"/>
    <w:rsid w:val="00434D51"/>
    <w:rsid w:val="0043715C"/>
    <w:rsid w:val="00437627"/>
    <w:rsid w:val="00440128"/>
    <w:rsid w:val="00440CB1"/>
    <w:rsid w:val="004415C4"/>
    <w:rsid w:val="0044172D"/>
    <w:rsid w:val="00441E1D"/>
    <w:rsid w:val="00442574"/>
    <w:rsid w:val="004435FD"/>
    <w:rsid w:val="00443743"/>
    <w:rsid w:val="00443A57"/>
    <w:rsid w:val="00444956"/>
    <w:rsid w:val="00444E15"/>
    <w:rsid w:val="00446142"/>
    <w:rsid w:val="00446780"/>
    <w:rsid w:val="00446A8C"/>
    <w:rsid w:val="00447DCA"/>
    <w:rsid w:val="0045017E"/>
    <w:rsid w:val="00450328"/>
    <w:rsid w:val="00451F48"/>
    <w:rsid w:val="00452478"/>
    <w:rsid w:val="00453521"/>
    <w:rsid w:val="004546DA"/>
    <w:rsid w:val="00454978"/>
    <w:rsid w:val="00454D15"/>
    <w:rsid w:val="004552D9"/>
    <w:rsid w:val="00456127"/>
    <w:rsid w:val="00457069"/>
    <w:rsid w:val="00457C6C"/>
    <w:rsid w:val="0046048E"/>
    <w:rsid w:val="00460743"/>
    <w:rsid w:val="004652EE"/>
    <w:rsid w:val="00465E8E"/>
    <w:rsid w:val="00467509"/>
    <w:rsid w:val="004718DC"/>
    <w:rsid w:val="00472C88"/>
    <w:rsid w:val="00475851"/>
    <w:rsid w:val="004761D2"/>
    <w:rsid w:val="00476775"/>
    <w:rsid w:val="00476E26"/>
    <w:rsid w:val="00476E37"/>
    <w:rsid w:val="004819A1"/>
    <w:rsid w:val="004819E1"/>
    <w:rsid w:val="00481A01"/>
    <w:rsid w:val="00485076"/>
    <w:rsid w:val="00485212"/>
    <w:rsid w:val="0048774A"/>
    <w:rsid w:val="00487C5F"/>
    <w:rsid w:val="00487FE2"/>
    <w:rsid w:val="00496FF4"/>
    <w:rsid w:val="00497DD5"/>
    <w:rsid w:val="004A0195"/>
    <w:rsid w:val="004A081D"/>
    <w:rsid w:val="004A1424"/>
    <w:rsid w:val="004A1DBF"/>
    <w:rsid w:val="004A2722"/>
    <w:rsid w:val="004A47C8"/>
    <w:rsid w:val="004A4BB3"/>
    <w:rsid w:val="004A5B46"/>
    <w:rsid w:val="004A622C"/>
    <w:rsid w:val="004A7735"/>
    <w:rsid w:val="004A7F41"/>
    <w:rsid w:val="004B0DA9"/>
    <w:rsid w:val="004B1CFB"/>
    <w:rsid w:val="004B2188"/>
    <w:rsid w:val="004B2353"/>
    <w:rsid w:val="004B2461"/>
    <w:rsid w:val="004B27CE"/>
    <w:rsid w:val="004B481A"/>
    <w:rsid w:val="004C120E"/>
    <w:rsid w:val="004C1BB5"/>
    <w:rsid w:val="004C30FF"/>
    <w:rsid w:val="004C320B"/>
    <w:rsid w:val="004C40CD"/>
    <w:rsid w:val="004C4CF2"/>
    <w:rsid w:val="004C5FD5"/>
    <w:rsid w:val="004C6222"/>
    <w:rsid w:val="004C6CB1"/>
    <w:rsid w:val="004D27C2"/>
    <w:rsid w:val="004D2C24"/>
    <w:rsid w:val="004D3753"/>
    <w:rsid w:val="004D50DA"/>
    <w:rsid w:val="004D58A7"/>
    <w:rsid w:val="004D61B2"/>
    <w:rsid w:val="004D67B5"/>
    <w:rsid w:val="004D6E68"/>
    <w:rsid w:val="004D7426"/>
    <w:rsid w:val="004D762F"/>
    <w:rsid w:val="004E1C43"/>
    <w:rsid w:val="004E1DF9"/>
    <w:rsid w:val="004E2883"/>
    <w:rsid w:val="004E2A89"/>
    <w:rsid w:val="004E662E"/>
    <w:rsid w:val="004E7A7B"/>
    <w:rsid w:val="004E7E25"/>
    <w:rsid w:val="004F0A29"/>
    <w:rsid w:val="004F266F"/>
    <w:rsid w:val="004F2956"/>
    <w:rsid w:val="004F2B35"/>
    <w:rsid w:val="004F2EF1"/>
    <w:rsid w:val="004F31EF"/>
    <w:rsid w:val="004F3BAC"/>
    <w:rsid w:val="004F413C"/>
    <w:rsid w:val="004F4CB1"/>
    <w:rsid w:val="004F4F3B"/>
    <w:rsid w:val="004F5B81"/>
    <w:rsid w:val="004F6902"/>
    <w:rsid w:val="004F6D20"/>
    <w:rsid w:val="004F70F5"/>
    <w:rsid w:val="004F7551"/>
    <w:rsid w:val="00501542"/>
    <w:rsid w:val="00501E25"/>
    <w:rsid w:val="005022C1"/>
    <w:rsid w:val="00504C8A"/>
    <w:rsid w:val="00507C38"/>
    <w:rsid w:val="00507DE6"/>
    <w:rsid w:val="005120A7"/>
    <w:rsid w:val="00513AB9"/>
    <w:rsid w:val="00513E50"/>
    <w:rsid w:val="0051489B"/>
    <w:rsid w:val="005155A9"/>
    <w:rsid w:val="00515FE8"/>
    <w:rsid w:val="00517287"/>
    <w:rsid w:val="0052226E"/>
    <w:rsid w:val="00523418"/>
    <w:rsid w:val="005236FC"/>
    <w:rsid w:val="0052498F"/>
    <w:rsid w:val="00526AE5"/>
    <w:rsid w:val="00531F18"/>
    <w:rsid w:val="00532116"/>
    <w:rsid w:val="005331D1"/>
    <w:rsid w:val="00533354"/>
    <w:rsid w:val="00533A01"/>
    <w:rsid w:val="0053581D"/>
    <w:rsid w:val="005361A6"/>
    <w:rsid w:val="005365A4"/>
    <w:rsid w:val="00537641"/>
    <w:rsid w:val="00537895"/>
    <w:rsid w:val="00540439"/>
    <w:rsid w:val="00541069"/>
    <w:rsid w:val="00541CCF"/>
    <w:rsid w:val="00541FA4"/>
    <w:rsid w:val="00542A9F"/>
    <w:rsid w:val="0054464F"/>
    <w:rsid w:val="00544A0F"/>
    <w:rsid w:val="00544C78"/>
    <w:rsid w:val="00544D67"/>
    <w:rsid w:val="00545454"/>
    <w:rsid w:val="00545D1F"/>
    <w:rsid w:val="00550294"/>
    <w:rsid w:val="0055074D"/>
    <w:rsid w:val="00550A9D"/>
    <w:rsid w:val="0055146E"/>
    <w:rsid w:val="00552790"/>
    <w:rsid w:val="00553B65"/>
    <w:rsid w:val="00554FA5"/>
    <w:rsid w:val="0055630A"/>
    <w:rsid w:val="00562458"/>
    <w:rsid w:val="00563E31"/>
    <w:rsid w:val="005649F0"/>
    <w:rsid w:val="00565774"/>
    <w:rsid w:val="00567288"/>
    <w:rsid w:val="00567387"/>
    <w:rsid w:val="0057403F"/>
    <w:rsid w:val="005764A8"/>
    <w:rsid w:val="00581B85"/>
    <w:rsid w:val="00581C75"/>
    <w:rsid w:val="0058232E"/>
    <w:rsid w:val="0058391D"/>
    <w:rsid w:val="00583CC1"/>
    <w:rsid w:val="00585AE0"/>
    <w:rsid w:val="00585FF4"/>
    <w:rsid w:val="00587089"/>
    <w:rsid w:val="00590404"/>
    <w:rsid w:val="00590BED"/>
    <w:rsid w:val="00592D16"/>
    <w:rsid w:val="0059433D"/>
    <w:rsid w:val="005944D7"/>
    <w:rsid w:val="00594608"/>
    <w:rsid w:val="00594766"/>
    <w:rsid w:val="00595997"/>
    <w:rsid w:val="00595FB2"/>
    <w:rsid w:val="0059698F"/>
    <w:rsid w:val="00597270"/>
    <w:rsid w:val="005977E7"/>
    <w:rsid w:val="005A0668"/>
    <w:rsid w:val="005A0979"/>
    <w:rsid w:val="005A0C07"/>
    <w:rsid w:val="005A112D"/>
    <w:rsid w:val="005A2579"/>
    <w:rsid w:val="005A2B1B"/>
    <w:rsid w:val="005A50CF"/>
    <w:rsid w:val="005A5577"/>
    <w:rsid w:val="005A583B"/>
    <w:rsid w:val="005A59E2"/>
    <w:rsid w:val="005A5BF6"/>
    <w:rsid w:val="005B0109"/>
    <w:rsid w:val="005B3421"/>
    <w:rsid w:val="005B590E"/>
    <w:rsid w:val="005B645C"/>
    <w:rsid w:val="005C0E93"/>
    <w:rsid w:val="005C0FB1"/>
    <w:rsid w:val="005C11D2"/>
    <w:rsid w:val="005C309B"/>
    <w:rsid w:val="005C38A1"/>
    <w:rsid w:val="005C3E22"/>
    <w:rsid w:val="005C5217"/>
    <w:rsid w:val="005C7E35"/>
    <w:rsid w:val="005D1AE8"/>
    <w:rsid w:val="005D2FE3"/>
    <w:rsid w:val="005D3C90"/>
    <w:rsid w:val="005D4120"/>
    <w:rsid w:val="005D4F28"/>
    <w:rsid w:val="005D616F"/>
    <w:rsid w:val="005E0760"/>
    <w:rsid w:val="005E2264"/>
    <w:rsid w:val="005E2743"/>
    <w:rsid w:val="005E3D2F"/>
    <w:rsid w:val="005E639D"/>
    <w:rsid w:val="005E7B5F"/>
    <w:rsid w:val="005E7D70"/>
    <w:rsid w:val="005F11D1"/>
    <w:rsid w:val="005F3359"/>
    <w:rsid w:val="005F3416"/>
    <w:rsid w:val="005F3A7B"/>
    <w:rsid w:val="005F6C3A"/>
    <w:rsid w:val="005F70DA"/>
    <w:rsid w:val="00603948"/>
    <w:rsid w:val="00603D90"/>
    <w:rsid w:val="00603EA3"/>
    <w:rsid w:val="0060545D"/>
    <w:rsid w:val="00605A96"/>
    <w:rsid w:val="00605AB0"/>
    <w:rsid w:val="00606128"/>
    <w:rsid w:val="00606BB7"/>
    <w:rsid w:val="006100AD"/>
    <w:rsid w:val="00611A12"/>
    <w:rsid w:val="00615E1D"/>
    <w:rsid w:val="00616EFD"/>
    <w:rsid w:val="00617B4C"/>
    <w:rsid w:val="00620037"/>
    <w:rsid w:val="00620580"/>
    <w:rsid w:val="00621A4A"/>
    <w:rsid w:val="00621B40"/>
    <w:rsid w:val="00623496"/>
    <w:rsid w:val="00623903"/>
    <w:rsid w:val="00623F48"/>
    <w:rsid w:val="00624E26"/>
    <w:rsid w:val="00625C32"/>
    <w:rsid w:val="006278C8"/>
    <w:rsid w:val="00630166"/>
    <w:rsid w:val="00633E3A"/>
    <w:rsid w:val="00633F70"/>
    <w:rsid w:val="006342DE"/>
    <w:rsid w:val="0063588F"/>
    <w:rsid w:val="00636660"/>
    <w:rsid w:val="00636DB2"/>
    <w:rsid w:val="00637038"/>
    <w:rsid w:val="00637722"/>
    <w:rsid w:val="0064203B"/>
    <w:rsid w:val="006420FC"/>
    <w:rsid w:val="00645BF8"/>
    <w:rsid w:val="00650C87"/>
    <w:rsid w:val="00651281"/>
    <w:rsid w:val="006512AE"/>
    <w:rsid w:val="00651CB9"/>
    <w:rsid w:val="00651E27"/>
    <w:rsid w:val="006525CF"/>
    <w:rsid w:val="006532ED"/>
    <w:rsid w:val="00654262"/>
    <w:rsid w:val="00655C5B"/>
    <w:rsid w:val="00655DC1"/>
    <w:rsid w:val="00657198"/>
    <w:rsid w:val="006571C6"/>
    <w:rsid w:val="0066128A"/>
    <w:rsid w:val="0066150B"/>
    <w:rsid w:val="0066320E"/>
    <w:rsid w:val="00663BF2"/>
    <w:rsid w:val="0066474E"/>
    <w:rsid w:val="00665ED7"/>
    <w:rsid w:val="0066606C"/>
    <w:rsid w:val="006676C2"/>
    <w:rsid w:val="00667822"/>
    <w:rsid w:val="006705A8"/>
    <w:rsid w:val="00671E40"/>
    <w:rsid w:val="00671EC6"/>
    <w:rsid w:val="0067294F"/>
    <w:rsid w:val="00674324"/>
    <w:rsid w:val="00674354"/>
    <w:rsid w:val="00674A0F"/>
    <w:rsid w:val="00675089"/>
    <w:rsid w:val="00675441"/>
    <w:rsid w:val="0068029B"/>
    <w:rsid w:val="00682B94"/>
    <w:rsid w:val="00687717"/>
    <w:rsid w:val="006878B5"/>
    <w:rsid w:val="00690075"/>
    <w:rsid w:val="006913FE"/>
    <w:rsid w:val="00691719"/>
    <w:rsid w:val="006921C7"/>
    <w:rsid w:val="00693987"/>
    <w:rsid w:val="006963B7"/>
    <w:rsid w:val="00696B42"/>
    <w:rsid w:val="006A03ED"/>
    <w:rsid w:val="006A2A5D"/>
    <w:rsid w:val="006A2F2D"/>
    <w:rsid w:val="006A4A7F"/>
    <w:rsid w:val="006A4E5B"/>
    <w:rsid w:val="006A4E7A"/>
    <w:rsid w:val="006A6CCF"/>
    <w:rsid w:val="006A74B4"/>
    <w:rsid w:val="006B0997"/>
    <w:rsid w:val="006B0EB7"/>
    <w:rsid w:val="006B1C92"/>
    <w:rsid w:val="006B21D3"/>
    <w:rsid w:val="006B2787"/>
    <w:rsid w:val="006B295C"/>
    <w:rsid w:val="006B4738"/>
    <w:rsid w:val="006B59C9"/>
    <w:rsid w:val="006B6194"/>
    <w:rsid w:val="006B6F55"/>
    <w:rsid w:val="006B7598"/>
    <w:rsid w:val="006B79FA"/>
    <w:rsid w:val="006C0444"/>
    <w:rsid w:val="006C044C"/>
    <w:rsid w:val="006C1BFA"/>
    <w:rsid w:val="006C3B14"/>
    <w:rsid w:val="006C4503"/>
    <w:rsid w:val="006C4BD0"/>
    <w:rsid w:val="006C722E"/>
    <w:rsid w:val="006D1796"/>
    <w:rsid w:val="006D1A31"/>
    <w:rsid w:val="006D2538"/>
    <w:rsid w:val="006D2661"/>
    <w:rsid w:val="006D2C17"/>
    <w:rsid w:val="006D4862"/>
    <w:rsid w:val="006D51E6"/>
    <w:rsid w:val="006D551F"/>
    <w:rsid w:val="006D5E5C"/>
    <w:rsid w:val="006D7209"/>
    <w:rsid w:val="006D75B2"/>
    <w:rsid w:val="006D765E"/>
    <w:rsid w:val="006E03E4"/>
    <w:rsid w:val="006E278D"/>
    <w:rsid w:val="006E3218"/>
    <w:rsid w:val="006E33B6"/>
    <w:rsid w:val="006E5386"/>
    <w:rsid w:val="006E646E"/>
    <w:rsid w:val="006E649A"/>
    <w:rsid w:val="006E6BF1"/>
    <w:rsid w:val="006E6BF2"/>
    <w:rsid w:val="006E7AA4"/>
    <w:rsid w:val="006F005C"/>
    <w:rsid w:val="006F130A"/>
    <w:rsid w:val="006F1FB3"/>
    <w:rsid w:val="006F2541"/>
    <w:rsid w:val="006F26B0"/>
    <w:rsid w:val="006F2CB1"/>
    <w:rsid w:val="006F30BD"/>
    <w:rsid w:val="006F3C5B"/>
    <w:rsid w:val="006F3F07"/>
    <w:rsid w:val="006F4F33"/>
    <w:rsid w:val="006F6520"/>
    <w:rsid w:val="007006BA"/>
    <w:rsid w:val="007007BA"/>
    <w:rsid w:val="00702E89"/>
    <w:rsid w:val="007039A3"/>
    <w:rsid w:val="00707244"/>
    <w:rsid w:val="0070725E"/>
    <w:rsid w:val="007102F3"/>
    <w:rsid w:val="007103F1"/>
    <w:rsid w:val="00711044"/>
    <w:rsid w:val="007123DF"/>
    <w:rsid w:val="00713D91"/>
    <w:rsid w:val="00714281"/>
    <w:rsid w:val="007147A2"/>
    <w:rsid w:val="00714C48"/>
    <w:rsid w:val="00714FCC"/>
    <w:rsid w:val="00715178"/>
    <w:rsid w:val="007160A3"/>
    <w:rsid w:val="00716A87"/>
    <w:rsid w:val="00716CDB"/>
    <w:rsid w:val="00716F9F"/>
    <w:rsid w:val="00720B17"/>
    <w:rsid w:val="00721D66"/>
    <w:rsid w:val="0072307C"/>
    <w:rsid w:val="00724991"/>
    <w:rsid w:val="0072560B"/>
    <w:rsid w:val="00725DFA"/>
    <w:rsid w:val="00725ED2"/>
    <w:rsid w:val="00727B6C"/>
    <w:rsid w:val="007313BA"/>
    <w:rsid w:val="007313DE"/>
    <w:rsid w:val="00731D53"/>
    <w:rsid w:val="007321E9"/>
    <w:rsid w:val="007366B7"/>
    <w:rsid w:val="00736D97"/>
    <w:rsid w:val="007370D4"/>
    <w:rsid w:val="0073740C"/>
    <w:rsid w:val="007402F1"/>
    <w:rsid w:val="00740570"/>
    <w:rsid w:val="0074195D"/>
    <w:rsid w:val="00742446"/>
    <w:rsid w:val="00742BF7"/>
    <w:rsid w:val="00743CA6"/>
    <w:rsid w:val="007448E7"/>
    <w:rsid w:val="007450B0"/>
    <w:rsid w:val="0074526C"/>
    <w:rsid w:val="007455EA"/>
    <w:rsid w:val="00747C42"/>
    <w:rsid w:val="0075515B"/>
    <w:rsid w:val="00755444"/>
    <w:rsid w:val="007566A9"/>
    <w:rsid w:val="007569A0"/>
    <w:rsid w:val="00756EA9"/>
    <w:rsid w:val="007605D6"/>
    <w:rsid w:val="00760AFF"/>
    <w:rsid w:val="00761452"/>
    <w:rsid w:val="0076155E"/>
    <w:rsid w:val="00761CBE"/>
    <w:rsid w:val="00764D0E"/>
    <w:rsid w:val="00766A77"/>
    <w:rsid w:val="00766E81"/>
    <w:rsid w:val="00767EFD"/>
    <w:rsid w:val="00767FA3"/>
    <w:rsid w:val="00770097"/>
    <w:rsid w:val="007703BB"/>
    <w:rsid w:val="007708C4"/>
    <w:rsid w:val="00770C0B"/>
    <w:rsid w:val="00771061"/>
    <w:rsid w:val="0077145F"/>
    <w:rsid w:val="00771FCA"/>
    <w:rsid w:val="00772E70"/>
    <w:rsid w:val="00773166"/>
    <w:rsid w:val="00773570"/>
    <w:rsid w:val="0077433A"/>
    <w:rsid w:val="007754E0"/>
    <w:rsid w:val="00776672"/>
    <w:rsid w:val="007770C9"/>
    <w:rsid w:val="00777CCA"/>
    <w:rsid w:val="00777F87"/>
    <w:rsid w:val="00780D98"/>
    <w:rsid w:val="00781412"/>
    <w:rsid w:val="007832F6"/>
    <w:rsid w:val="00783D5D"/>
    <w:rsid w:val="007847D8"/>
    <w:rsid w:val="00786543"/>
    <w:rsid w:val="00787D93"/>
    <w:rsid w:val="00787EB1"/>
    <w:rsid w:val="007901F5"/>
    <w:rsid w:val="007904E1"/>
    <w:rsid w:val="00791213"/>
    <w:rsid w:val="00791F8A"/>
    <w:rsid w:val="00797610"/>
    <w:rsid w:val="007A03DF"/>
    <w:rsid w:val="007A040D"/>
    <w:rsid w:val="007A0DB8"/>
    <w:rsid w:val="007A0E99"/>
    <w:rsid w:val="007A17D9"/>
    <w:rsid w:val="007A23BF"/>
    <w:rsid w:val="007A73AD"/>
    <w:rsid w:val="007B0FA6"/>
    <w:rsid w:val="007B14EC"/>
    <w:rsid w:val="007B377B"/>
    <w:rsid w:val="007B3E74"/>
    <w:rsid w:val="007B5044"/>
    <w:rsid w:val="007B5D4E"/>
    <w:rsid w:val="007B723F"/>
    <w:rsid w:val="007C002A"/>
    <w:rsid w:val="007C0A17"/>
    <w:rsid w:val="007C15D9"/>
    <w:rsid w:val="007C3732"/>
    <w:rsid w:val="007C4EE3"/>
    <w:rsid w:val="007C5399"/>
    <w:rsid w:val="007C684B"/>
    <w:rsid w:val="007C6978"/>
    <w:rsid w:val="007C6E05"/>
    <w:rsid w:val="007D0F36"/>
    <w:rsid w:val="007D101C"/>
    <w:rsid w:val="007D23C5"/>
    <w:rsid w:val="007D3C48"/>
    <w:rsid w:val="007D48C7"/>
    <w:rsid w:val="007D4B28"/>
    <w:rsid w:val="007D5615"/>
    <w:rsid w:val="007D5ADA"/>
    <w:rsid w:val="007D63E7"/>
    <w:rsid w:val="007D6543"/>
    <w:rsid w:val="007E005D"/>
    <w:rsid w:val="007E02CB"/>
    <w:rsid w:val="007E0F83"/>
    <w:rsid w:val="007E1474"/>
    <w:rsid w:val="007E2036"/>
    <w:rsid w:val="007E296F"/>
    <w:rsid w:val="007E4CB4"/>
    <w:rsid w:val="007E70B0"/>
    <w:rsid w:val="007F0893"/>
    <w:rsid w:val="007F2EC6"/>
    <w:rsid w:val="007F4180"/>
    <w:rsid w:val="007F45EC"/>
    <w:rsid w:val="007F4D32"/>
    <w:rsid w:val="007F51D0"/>
    <w:rsid w:val="007F65D1"/>
    <w:rsid w:val="007F6CB7"/>
    <w:rsid w:val="007F6E1C"/>
    <w:rsid w:val="00801560"/>
    <w:rsid w:val="0080164C"/>
    <w:rsid w:val="008019F0"/>
    <w:rsid w:val="00803FC2"/>
    <w:rsid w:val="00806022"/>
    <w:rsid w:val="008072A8"/>
    <w:rsid w:val="008077F2"/>
    <w:rsid w:val="00807A3F"/>
    <w:rsid w:val="00810520"/>
    <w:rsid w:val="00810639"/>
    <w:rsid w:val="00810BD8"/>
    <w:rsid w:val="00812CE9"/>
    <w:rsid w:val="00813781"/>
    <w:rsid w:val="008140F9"/>
    <w:rsid w:val="0081469C"/>
    <w:rsid w:val="008147FC"/>
    <w:rsid w:val="00814ACF"/>
    <w:rsid w:val="00817A45"/>
    <w:rsid w:val="008204F3"/>
    <w:rsid w:val="00821DFC"/>
    <w:rsid w:val="008224CE"/>
    <w:rsid w:val="00827B6B"/>
    <w:rsid w:val="00827FE3"/>
    <w:rsid w:val="00830014"/>
    <w:rsid w:val="00831A23"/>
    <w:rsid w:val="008344A5"/>
    <w:rsid w:val="00835031"/>
    <w:rsid w:val="00836AA0"/>
    <w:rsid w:val="00836FF1"/>
    <w:rsid w:val="00837372"/>
    <w:rsid w:val="0084002A"/>
    <w:rsid w:val="00840092"/>
    <w:rsid w:val="008413BD"/>
    <w:rsid w:val="00843920"/>
    <w:rsid w:val="0084552A"/>
    <w:rsid w:val="00845A92"/>
    <w:rsid w:val="00847BF2"/>
    <w:rsid w:val="008503D8"/>
    <w:rsid w:val="00851920"/>
    <w:rsid w:val="00852D8E"/>
    <w:rsid w:val="008539AD"/>
    <w:rsid w:val="0085482F"/>
    <w:rsid w:val="00854CFC"/>
    <w:rsid w:val="00855C37"/>
    <w:rsid w:val="00860E99"/>
    <w:rsid w:val="00861C05"/>
    <w:rsid w:val="00861E96"/>
    <w:rsid w:val="00862F7F"/>
    <w:rsid w:val="00863657"/>
    <w:rsid w:val="008656B7"/>
    <w:rsid w:val="008658A7"/>
    <w:rsid w:val="008671DB"/>
    <w:rsid w:val="00870BA9"/>
    <w:rsid w:val="008712EE"/>
    <w:rsid w:val="008718F2"/>
    <w:rsid w:val="008729B8"/>
    <w:rsid w:val="00872CB4"/>
    <w:rsid w:val="00873BC0"/>
    <w:rsid w:val="00874C5B"/>
    <w:rsid w:val="0087616A"/>
    <w:rsid w:val="00876196"/>
    <w:rsid w:val="00876DAA"/>
    <w:rsid w:val="00877EC3"/>
    <w:rsid w:val="00877F9C"/>
    <w:rsid w:val="00880D9F"/>
    <w:rsid w:val="00881279"/>
    <w:rsid w:val="00882982"/>
    <w:rsid w:val="00882AB9"/>
    <w:rsid w:val="00882D02"/>
    <w:rsid w:val="0088325F"/>
    <w:rsid w:val="00883BE3"/>
    <w:rsid w:val="008847B7"/>
    <w:rsid w:val="00885F35"/>
    <w:rsid w:val="00887DFA"/>
    <w:rsid w:val="00891EA3"/>
    <w:rsid w:val="00892038"/>
    <w:rsid w:val="0089289E"/>
    <w:rsid w:val="008947DF"/>
    <w:rsid w:val="00897248"/>
    <w:rsid w:val="008A211B"/>
    <w:rsid w:val="008A3CC2"/>
    <w:rsid w:val="008A5B2F"/>
    <w:rsid w:val="008A7C91"/>
    <w:rsid w:val="008A7E2C"/>
    <w:rsid w:val="008B01D1"/>
    <w:rsid w:val="008B133A"/>
    <w:rsid w:val="008B55AB"/>
    <w:rsid w:val="008B65EB"/>
    <w:rsid w:val="008B779C"/>
    <w:rsid w:val="008B7DD0"/>
    <w:rsid w:val="008C0ECF"/>
    <w:rsid w:val="008C0F76"/>
    <w:rsid w:val="008C2C5E"/>
    <w:rsid w:val="008C483C"/>
    <w:rsid w:val="008C58D1"/>
    <w:rsid w:val="008C61DF"/>
    <w:rsid w:val="008C7B9E"/>
    <w:rsid w:val="008D1A1C"/>
    <w:rsid w:val="008D1A80"/>
    <w:rsid w:val="008D1E81"/>
    <w:rsid w:val="008D3345"/>
    <w:rsid w:val="008D3C03"/>
    <w:rsid w:val="008D5ACB"/>
    <w:rsid w:val="008D6273"/>
    <w:rsid w:val="008D7E34"/>
    <w:rsid w:val="008E1EB8"/>
    <w:rsid w:val="008E1FDA"/>
    <w:rsid w:val="008E25B7"/>
    <w:rsid w:val="008E42F8"/>
    <w:rsid w:val="008E4BE7"/>
    <w:rsid w:val="008E555E"/>
    <w:rsid w:val="008E63D3"/>
    <w:rsid w:val="008E66A3"/>
    <w:rsid w:val="008E737B"/>
    <w:rsid w:val="008E7424"/>
    <w:rsid w:val="008F0F01"/>
    <w:rsid w:val="008F1189"/>
    <w:rsid w:val="008F12BA"/>
    <w:rsid w:val="008F1683"/>
    <w:rsid w:val="008F19D4"/>
    <w:rsid w:val="008F204A"/>
    <w:rsid w:val="008F25A3"/>
    <w:rsid w:val="008F2A3C"/>
    <w:rsid w:val="008F3755"/>
    <w:rsid w:val="008F4252"/>
    <w:rsid w:val="008F4EB5"/>
    <w:rsid w:val="00900323"/>
    <w:rsid w:val="00901FBC"/>
    <w:rsid w:val="009020B1"/>
    <w:rsid w:val="00902478"/>
    <w:rsid w:val="0090263B"/>
    <w:rsid w:val="00903044"/>
    <w:rsid w:val="00905B2C"/>
    <w:rsid w:val="0090617D"/>
    <w:rsid w:val="009061CE"/>
    <w:rsid w:val="00910E23"/>
    <w:rsid w:val="00913038"/>
    <w:rsid w:val="00913272"/>
    <w:rsid w:val="0091369B"/>
    <w:rsid w:val="009136FE"/>
    <w:rsid w:val="0091478E"/>
    <w:rsid w:val="00914C69"/>
    <w:rsid w:val="009162B7"/>
    <w:rsid w:val="0091700C"/>
    <w:rsid w:val="00920574"/>
    <w:rsid w:val="00920C3E"/>
    <w:rsid w:val="009214D4"/>
    <w:rsid w:val="00921B73"/>
    <w:rsid w:val="00921BE2"/>
    <w:rsid w:val="00922554"/>
    <w:rsid w:val="00923403"/>
    <w:rsid w:val="0092403E"/>
    <w:rsid w:val="00930A90"/>
    <w:rsid w:val="00930FD1"/>
    <w:rsid w:val="00931D2F"/>
    <w:rsid w:val="00932A42"/>
    <w:rsid w:val="009330C9"/>
    <w:rsid w:val="00933833"/>
    <w:rsid w:val="009349B1"/>
    <w:rsid w:val="0093681E"/>
    <w:rsid w:val="00936838"/>
    <w:rsid w:val="00936952"/>
    <w:rsid w:val="00937ED0"/>
    <w:rsid w:val="0094019C"/>
    <w:rsid w:val="00940C6E"/>
    <w:rsid w:val="00940C9D"/>
    <w:rsid w:val="00940F9C"/>
    <w:rsid w:val="0094171B"/>
    <w:rsid w:val="00941943"/>
    <w:rsid w:val="00941C2E"/>
    <w:rsid w:val="00942021"/>
    <w:rsid w:val="00942873"/>
    <w:rsid w:val="00943357"/>
    <w:rsid w:val="00944565"/>
    <w:rsid w:val="00944762"/>
    <w:rsid w:val="00944F45"/>
    <w:rsid w:val="00945553"/>
    <w:rsid w:val="0094735E"/>
    <w:rsid w:val="009509AA"/>
    <w:rsid w:val="009509BC"/>
    <w:rsid w:val="00952741"/>
    <w:rsid w:val="00952C9E"/>
    <w:rsid w:val="009540B8"/>
    <w:rsid w:val="00954811"/>
    <w:rsid w:val="00954998"/>
    <w:rsid w:val="00954AAA"/>
    <w:rsid w:val="0095540B"/>
    <w:rsid w:val="00955D97"/>
    <w:rsid w:val="0095633E"/>
    <w:rsid w:val="0095667F"/>
    <w:rsid w:val="0095682A"/>
    <w:rsid w:val="00960E62"/>
    <w:rsid w:val="00961CD0"/>
    <w:rsid w:val="009645F2"/>
    <w:rsid w:val="009648A2"/>
    <w:rsid w:val="00965263"/>
    <w:rsid w:val="0096536F"/>
    <w:rsid w:val="00967186"/>
    <w:rsid w:val="00970F49"/>
    <w:rsid w:val="0097238F"/>
    <w:rsid w:val="009724A5"/>
    <w:rsid w:val="00972A9A"/>
    <w:rsid w:val="00972D68"/>
    <w:rsid w:val="0097333F"/>
    <w:rsid w:val="009733AC"/>
    <w:rsid w:val="00974871"/>
    <w:rsid w:val="00975F94"/>
    <w:rsid w:val="0097791B"/>
    <w:rsid w:val="00977E9B"/>
    <w:rsid w:val="009803A4"/>
    <w:rsid w:val="0098137D"/>
    <w:rsid w:val="00982333"/>
    <w:rsid w:val="0098309E"/>
    <w:rsid w:val="00983AE2"/>
    <w:rsid w:val="0098426F"/>
    <w:rsid w:val="00984285"/>
    <w:rsid w:val="00985B1E"/>
    <w:rsid w:val="00985BC5"/>
    <w:rsid w:val="00985D6A"/>
    <w:rsid w:val="00986A07"/>
    <w:rsid w:val="00986E24"/>
    <w:rsid w:val="00987BAA"/>
    <w:rsid w:val="00990093"/>
    <w:rsid w:val="0099275F"/>
    <w:rsid w:val="00994819"/>
    <w:rsid w:val="00995274"/>
    <w:rsid w:val="00995E8A"/>
    <w:rsid w:val="009A0EE0"/>
    <w:rsid w:val="009A1055"/>
    <w:rsid w:val="009A4B97"/>
    <w:rsid w:val="009A5200"/>
    <w:rsid w:val="009A544A"/>
    <w:rsid w:val="009A6C27"/>
    <w:rsid w:val="009A7092"/>
    <w:rsid w:val="009A712B"/>
    <w:rsid w:val="009A7610"/>
    <w:rsid w:val="009A77C4"/>
    <w:rsid w:val="009A7C29"/>
    <w:rsid w:val="009B1AF1"/>
    <w:rsid w:val="009B2BAF"/>
    <w:rsid w:val="009B3BF5"/>
    <w:rsid w:val="009B5DB8"/>
    <w:rsid w:val="009B6327"/>
    <w:rsid w:val="009B6A1C"/>
    <w:rsid w:val="009C43BB"/>
    <w:rsid w:val="009C55EC"/>
    <w:rsid w:val="009C5BEB"/>
    <w:rsid w:val="009C6B5D"/>
    <w:rsid w:val="009C7925"/>
    <w:rsid w:val="009D0DC3"/>
    <w:rsid w:val="009D12A1"/>
    <w:rsid w:val="009D3853"/>
    <w:rsid w:val="009D433B"/>
    <w:rsid w:val="009D4379"/>
    <w:rsid w:val="009D5595"/>
    <w:rsid w:val="009D62F3"/>
    <w:rsid w:val="009D6E9A"/>
    <w:rsid w:val="009E03FF"/>
    <w:rsid w:val="009E0418"/>
    <w:rsid w:val="009E07FD"/>
    <w:rsid w:val="009E1BB6"/>
    <w:rsid w:val="009E350A"/>
    <w:rsid w:val="009E374B"/>
    <w:rsid w:val="009E4137"/>
    <w:rsid w:val="009E54FD"/>
    <w:rsid w:val="009E576D"/>
    <w:rsid w:val="009E6CDF"/>
    <w:rsid w:val="009E6E2F"/>
    <w:rsid w:val="009F2023"/>
    <w:rsid w:val="009F3861"/>
    <w:rsid w:val="009F3D82"/>
    <w:rsid w:val="009F64FC"/>
    <w:rsid w:val="009F6926"/>
    <w:rsid w:val="009F6CED"/>
    <w:rsid w:val="009F70FB"/>
    <w:rsid w:val="009F7510"/>
    <w:rsid w:val="00A01190"/>
    <w:rsid w:val="00A01A68"/>
    <w:rsid w:val="00A024E9"/>
    <w:rsid w:val="00A02A63"/>
    <w:rsid w:val="00A02DAB"/>
    <w:rsid w:val="00A03C7E"/>
    <w:rsid w:val="00A05634"/>
    <w:rsid w:val="00A059DC"/>
    <w:rsid w:val="00A05FF7"/>
    <w:rsid w:val="00A06EE3"/>
    <w:rsid w:val="00A105B6"/>
    <w:rsid w:val="00A1082E"/>
    <w:rsid w:val="00A10EB5"/>
    <w:rsid w:val="00A121B3"/>
    <w:rsid w:val="00A121B9"/>
    <w:rsid w:val="00A126EB"/>
    <w:rsid w:val="00A143C7"/>
    <w:rsid w:val="00A15C0B"/>
    <w:rsid w:val="00A17099"/>
    <w:rsid w:val="00A2051A"/>
    <w:rsid w:val="00A2192D"/>
    <w:rsid w:val="00A23EDF"/>
    <w:rsid w:val="00A242AD"/>
    <w:rsid w:val="00A24399"/>
    <w:rsid w:val="00A25806"/>
    <w:rsid w:val="00A26A6F"/>
    <w:rsid w:val="00A310F9"/>
    <w:rsid w:val="00A316D9"/>
    <w:rsid w:val="00A31E98"/>
    <w:rsid w:val="00A323E7"/>
    <w:rsid w:val="00A35E52"/>
    <w:rsid w:val="00A36BAE"/>
    <w:rsid w:val="00A37137"/>
    <w:rsid w:val="00A37F0A"/>
    <w:rsid w:val="00A421B3"/>
    <w:rsid w:val="00A44AEC"/>
    <w:rsid w:val="00A46E78"/>
    <w:rsid w:val="00A51A29"/>
    <w:rsid w:val="00A53A52"/>
    <w:rsid w:val="00A53BB6"/>
    <w:rsid w:val="00A54F72"/>
    <w:rsid w:val="00A55903"/>
    <w:rsid w:val="00A55D2E"/>
    <w:rsid w:val="00A56352"/>
    <w:rsid w:val="00A5770C"/>
    <w:rsid w:val="00A6124E"/>
    <w:rsid w:val="00A62378"/>
    <w:rsid w:val="00A6646F"/>
    <w:rsid w:val="00A66B41"/>
    <w:rsid w:val="00A700E2"/>
    <w:rsid w:val="00A70250"/>
    <w:rsid w:val="00A725BB"/>
    <w:rsid w:val="00A726CE"/>
    <w:rsid w:val="00A73385"/>
    <w:rsid w:val="00A740A8"/>
    <w:rsid w:val="00A75479"/>
    <w:rsid w:val="00A75705"/>
    <w:rsid w:val="00A75A21"/>
    <w:rsid w:val="00A760E2"/>
    <w:rsid w:val="00A761B6"/>
    <w:rsid w:val="00A77460"/>
    <w:rsid w:val="00A80E7B"/>
    <w:rsid w:val="00A81C0B"/>
    <w:rsid w:val="00A81FA8"/>
    <w:rsid w:val="00A820A6"/>
    <w:rsid w:val="00A82FC8"/>
    <w:rsid w:val="00A84FEE"/>
    <w:rsid w:val="00A8535F"/>
    <w:rsid w:val="00A85730"/>
    <w:rsid w:val="00A86DAC"/>
    <w:rsid w:val="00A8723D"/>
    <w:rsid w:val="00A87703"/>
    <w:rsid w:val="00A87F7B"/>
    <w:rsid w:val="00A90341"/>
    <w:rsid w:val="00A91A73"/>
    <w:rsid w:val="00A91C32"/>
    <w:rsid w:val="00A93FFC"/>
    <w:rsid w:val="00A963ED"/>
    <w:rsid w:val="00A967F3"/>
    <w:rsid w:val="00A96931"/>
    <w:rsid w:val="00A9749E"/>
    <w:rsid w:val="00A977F2"/>
    <w:rsid w:val="00A97E6E"/>
    <w:rsid w:val="00AA5C79"/>
    <w:rsid w:val="00AB13B1"/>
    <w:rsid w:val="00AB199F"/>
    <w:rsid w:val="00AB25E7"/>
    <w:rsid w:val="00AB3C32"/>
    <w:rsid w:val="00AB45EF"/>
    <w:rsid w:val="00AB5E5F"/>
    <w:rsid w:val="00AB6279"/>
    <w:rsid w:val="00AB731D"/>
    <w:rsid w:val="00AB7A32"/>
    <w:rsid w:val="00AC2DBE"/>
    <w:rsid w:val="00AC549B"/>
    <w:rsid w:val="00AC607A"/>
    <w:rsid w:val="00AC6E8B"/>
    <w:rsid w:val="00AC7614"/>
    <w:rsid w:val="00AC766C"/>
    <w:rsid w:val="00AC798E"/>
    <w:rsid w:val="00AD0000"/>
    <w:rsid w:val="00AD3682"/>
    <w:rsid w:val="00AD4209"/>
    <w:rsid w:val="00AD44C0"/>
    <w:rsid w:val="00AD61F6"/>
    <w:rsid w:val="00AD70E0"/>
    <w:rsid w:val="00AD7167"/>
    <w:rsid w:val="00AE2239"/>
    <w:rsid w:val="00AE2E60"/>
    <w:rsid w:val="00AE59FD"/>
    <w:rsid w:val="00AE5D3D"/>
    <w:rsid w:val="00AE69EE"/>
    <w:rsid w:val="00AE7DA4"/>
    <w:rsid w:val="00AF0B65"/>
    <w:rsid w:val="00AF250C"/>
    <w:rsid w:val="00AF3374"/>
    <w:rsid w:val="00AF5A23"/>
    <w:rsid w:val="00AF601E"/>
    <w:rsid w:val="00AF694A"/>
    <w:rsid w:val="00AF795E"/>
    <w:rsid w:val="00B010E2"/>
    <w:rsid w:val="00B01C39"/>
    <w:rsid w:val="00B02C88"/>
    <w:rsid w:val="00B04285"/>
    <w:rsid w:val="00B04835"/>
    <w:rsid w:val="00B07EE8"/>
    <w:rsid w:val="00B104C6"/>
    <w:rsid w:val="00B11D84"/>
    <w:rsid w:val="00B1224E"/>
    <w:rsid w:val="00B125BF"/>
    <w:rsid w:val="00B12D57"/>
    <w:rsid w:val="00B13390"/>
    <w:rsid w:val="00B13865"/>
    <w:rsid w:val="00B13E71"/>
    <w:rsid w:val="00B15BC3"/>
    <w:rsid w:val="00B21447"/>
    <w:rsid w:val="00B223C8"/>
    <w:rsid w:val="00B2296A"/>
    <w:rsid w:val="00B22D64"/>
    <w:rsid w:val="00B24C5F"/>
    <w:rsid w:val="00B25796"/>
    <w:rsid w:val="00B27A07"/>
    <w:rsid w:val="00B27AF6"/>
    <w:rsid w:val="00B31690"/>
    <w:rsid w:val="00B31A03"/>
    <w:rsid w:val="00B3337D"/>
    <w:rsid w:val="00B34136"/>
    <w:rsid w:val="00B3437D"/>
    <w:rsid w:val="00B346C1"/>
    <w:rsid w:val="00B34944"/>
    <w:rsid w:val="00B36A21"/>
    <w:rsid w:val="00B3726C"/>
    <w:rsid w:val="00B374A8"/>
    <w:rsid w:val="00B37BEF"/>
    <w:rsid w:val="00B40658"/>
    <w:rsid w:val="00B414B8"/>
    <w:rsid w:val="00B42517"/>
    <w:rsid w:val="00B43061"/>
    <w:rsid w:val="00B432AC"/>
    <w:rsid w:val="00B43BA2"/>
    <w:rsid w:val="00B44FA5"/>
    <w:rsid w:val="00B454F7"/>
    <w:rsid w:val="00B52E6D"/>
    <w:rsid w:val="00B52ED0"/>
    <w:rsid w:val="00B53A73"/>
    <w:rsid w:val="00B54603"/>
    <w:rsid w:val="00B552DA"/>
    <w:rsid w:val="00B5608D"/>
    <w:rsid w:val="00B562E2"/>
    <w:rsid w:val="00B56A11"/>
    <w:rsid w:val="00B56ECB"/>
    <w:rsid w:val="00B572A0"/>
    <w:rsid w:val="00B57E1B"/>
    <w:rsid w:val="00B603C2"/>
    <w:rsid w:val="00B6095E"/>
    <w:rsid w:val="00B62B84"/>
    <w:rsid w:val="00B62D66"/>
    <w:rsid w:val="00B63087"/>
    <w:rsid w:val="00B63193"/>
    <w:rsid w:val="00B64C68"/>
    <w:rsid w:val="00B659F4"/>
    <w:rsid w:val="00B661B0"/>
    <w:rsid w:val="00B66398"/>
    <w:rsid w:val="00B67DCE"/>
    <w:rsid w:val="00B70C39"/>
    <w:rsid w:val="00B70F0A"/>
    <w:rsid w:val="00B726D6"/>
    <w:rsid w:val="00B72B55"/>
    <w:rsid w:val="00B735C1"/>
    <w:rsid w:val="00B7381C"/>
    <w:rsid w:val="00B73CA6"/>
    <w:rsid w:val="00B73EDF"/>
    <w:rsid w:val="00B74212"/>
    <w:rsid w:val="00B7526C"/>
    <w:rsid w:val="00B76D9A"/>
    <w:rsid w:val="00B80857"/>
    <w:rsid w:val="00B81841"/>
    <w:rsid w:val="00B8206E"/>
    <w:rsid w:val="00B8251F"/>
    <w:rsid w:val="00B832B1"/>
    <w:rsid w:val="00B85A40"/>
    <w:rsid w:val="00B87616"/>
    <w:rsid w:val="00B90617"/>
    <w:rsid w:val="00B90754"/>
    <w:rsid w:val="00B91207"/>
    <w:rsid w:val="00B9205C"/>
    <w:rsid w:val="00B920E4"/>
    <w:rsid w:val="00B94187"/>
    <w:rsid w:val="00B94B43"/>
    <w:rsid w:val="00B96AED"/>
    <w:rsid w:val="00B97073"/>
    <w:rsid w:val="00B97620"/>
    <w:rsid w:val="00BA1AB7"/>
    <w:rsid w:val="00BA3FCD"/>
    <w:rsid w:val="00BA47A8"/>
    <w:rsid w:val="00BA4DDB"/>
    <w:rsid w:val="00BA57D7"/>
    <w:rsid w:val="00BA5CA3"/>
    <w:rsid w:val="00BA6CBE"/>
    <w:rsid w:val="00BB07E1"/>
    <w:rsid w:val="00BB145E"/>
    <w:rsid w:val="00BB1A2E"/>
    <w:rsid w:val="00BB26BB"/>
    <w:rsid w:val="00BB30DF"/>
    <w:rsid w:val="00BB3339"/>
    <w:rsid w:val="00BB4244"/>
    <w:rsid w:val="00BB4CF4"/>
    <w:rsid w:val="00BB5D91"/>
    <w:rsid w:val="00BB610B"/>
    <w:rsid w:val="00BB6855"/>
    <w:rsid w:val="00BB7ADA"/>
    <w:rsid w:val="00BB7AFC"/>
    <w:rsid w:val="00BB7D7D"/>
    <w:rsid w:val="00BC096B"/>
    <w:rsid w:val="00BC15EC"/>
    <w:rsid w:val="00BC1E07"/>
    <w:rsid w:val="00BC2B1A"/>
    <w:rsid w:val="00BC3C09"/>
    <w:rsid w:val="00BC512C"/>
    <w:rsid w:val="00BC5675"/>
    <w:rsid w:val="00BC618A"/>
    <w:rsid w:val="00BC769F"/>
    <w:rsid w:val="00BC7A4C"/>
    <w:rsid w:val="00BC7FF9"/>
    <w:rsid w:val="00BD07E6"/>
    <w:rsid w:val="00BD2EED"/>
    <w:rsid w:val="00BD3855"/>
    <w:rsid w:val="00BD5628"/>
    <w:rsid w:val="00BD5AF3"/>
    <w:rsid w:val="00BD6C21"/>
    <w:rsid w:val="00BD7681"/>
    <w:rsid w:val="00BD7EF8"/>
    <w:rsid w:val="00BE0142"/>
    <w:rsid w:val="00BE22C8"/>
    <w:rsid w:val="00BE2377"/>
    <w:rsid w:val="00BE3345"/>
    <w:rsid w:val="00BE35EB"/>
    <w:rsid w:val="00BE461E"/>
    <w:rsid w:val="00BE5A4D"/>
    <w:rsid w:val="00BE61C8"/>
    <w:rsid w:val="00BE64F5"/>
    <w:rsid w:val="00BE7956"/>
    <w:rsid w:val="00BE79A6"/>
    <w:rsid w:val="00BF086C"/>
    <w:rsid w:val="00BF17F2"/>
    <w:rsid w:val="00BF1A73"/>
    <w:rsid w:val="00BF1CAD"/>
    <w:rsid w:val="00BF2508"/>
    <w:rsid w:val="00BF33D2"/>
    <w:rsid w:val="00BF37C2"/>
    <w:rsid w:val="00BF3935"/>
    <w:rsid w:val="00BF39BB"/>
    <w:rsid w:val="00BF46BB"/>
    <w:rsid w:val="00BF5719"/>
    <w:rsid w:val="00BF607C"/>
    <w:rsid w:val="00C00A00"/>
    <w:rsid w:val="00C01112"/>
    <w:rsid w:val="00C01494"/>
    <w:rsid w:val="00C01BFB"/>
    <w:rsid w:val="00C02260"/>
    <w:rsid w:val="00C025E7"/>
    <w:rsid w:val="00C0263E"/>
    <w:rsid w:val="00C02DF8"/>
    <w:rsid w:val="00C0561B"/>
    <w:rsid w:val="00C0647D"/>
    <w:rsid w:val="00C10554"/>
    <w:rsid w:val="00C10625"/>
    <w:rsid w:val="00C108ED"/>
    <w:rsid w:val="00C1184C"/>
    <w:rsid w:val="00C11A1B"/>
    <w:rsid w:val="00C11C5E"/>
    <w:rsid w:val="00C12763"/>
    <w:rsid w:val="00C12C0D"/>
    <w:rsid w:val="00C134D8"/>
    <w:rsid w:val="00C13D4D"/>
    <w:rsid w:val="00C148BC"/>
    <w:rsid w:val="00C16046"/>
    <w:rsid w:val="00C20CDF"/>
    <w:rsid w:val="00C21F6B"/>
    <w:rsid w:val="00C23456"/>
    <w:rsid w:val="00C2390A"/>
    <w:rsid w:val="00C2498B"/>
    <w:rsid w:val="00C24A0A"/>
    <w:rsid w:val="00C24E8B"/>
    <w:rsid w:val="00C25CDF"/>
    <w:rsid w:val="00C263A8"/>
    <w:rsid w:val="00C26C8D"/>
    <w:rsid w:val="00C2708E"/>
    <w:rsid w:val="00C30A10"/>
    <w:rsid w:val="00C317A4"/>
    <w:rsid w:val="00C33D18"/>
    <w:rsid w:val="00C350F0"/>
    <w:rsid w:val="00C414D7"/>
    <w:rsid w:val="00C420DF"/>
    <w:rsid w:val="00C43040"/>
    <w:rsid w:val="00C43DE8"/>
    <w:rsid w:val="00C43E3A"/>
    <w:rsid w:val="00C44D2D"/>
    <w:rsid w:val="00C44DAE"/>
    <w:rsid w:val="00C52C4B"/>
    <w:rsid w:val="00C53DDA"/>
    <w:rsid w:val="00C56B1C"/>
    <w:rsid w:val="00C56DF6"/>
    <w:rsid w:val="00C5737B"/>
    <w:rsid w:val="00C6016E"/>
    <w:rsid w:val="00C6038C"/>
    <w:rsid w:val="00C60584"/>
    <w:rsid w:val="00C6060A"/>
    <w:rsid w:val="00C60B28"/>
    <w:rsid w:val="00C6126A"/>
    <w:rsid w:val="00C62091"/>
    <w:rsid w:val="00C6258D"/>
    <w:rsid w:val="00C62A66"/>
    <w:rsid w:val="00C63628"/>
    <w:rsid w:val="00C63E52"/>
    <w:rsid w:val="00C66938"/>
    <w:rsid w:val="00C67663"/>
    <w:rsid w:val="00C705A5"/>
    <w:rsid w:val="00C729D3"/>
    <w:rsid w:val="00C729E7"/>
    <w:rsid w:val="00C72B5E"/>
    <w:rsid w:val="00C737F9"/>
    <w:rsid w:val="00C73A5B"/>
    <w:rsid w:val="00C73FA9"/>
    <w:rsid w:val="00C74081"/>
    <w:rsid w:val="00C7632C"/>
    <w:rsid w:val="00C77E0D"/>
    <w:rsid w:val="00C801D4"/>
    <w:rsid w:val="00C8146A"/>
    <w:rsid w:val="00C815B5"/>
    <w:rsid w:val="00C81AD4"/>
    <w:rsid w:val="00C82D4C"/>
    <w:rsid w:val="00C8302B"/>
    <w:rsid w:val="00C832A5"/>
    <w:rsid w:val="00C84EB8"/>
    <w:rsid w:val="00C853DA"/>
    <w:rsid w:val="00C904F1"/>
    <w:rsid w:val="00C93076"/>
    <w:rsid w:val="00C9363B"/>
    <w:rsid w:val="00C9391B"/>
    <w:rsid w:val="00C9418E"/>
    <w:rsid w:val="00C94270"/>
    <w:rsid w:val="00C9510D"/>
    <w:rsid w:val="00C9531E"/>
    <w:rsid w:val="00C96A49"/>
    <w:rsid w:val="00C96D02"/>
    <w:rsid w:val="00C96F79"/>
    <w:rsid w:val="00CA0E8F"/>
    <w:rsid w:val="00CA1042"/>
    <w:rsid w:val="00CA19D6"/>
    <w:rsid w:val="00CA2681"/>
    <w:rsid w:val="00CA2CFB"/>
    <w:rsid w:val="00CA3243"/>
    <w:rsid w:val="00CA3F81"/>
    <w:rsid w:val="00CA603F"/>
    <w:rsid w:val="00CA6FB7"/>
    <w:rsid w:val="00CA6FBA"/>
    <w:rsid w:val="00CA7651"/>
    <w:rsid w:val="00CA7C9F"/>
    <w:rsid w:val="00CA7D86"/>
    <w:rsid w:val="00CB049B"/>
    <w:rsid w:val="00CB319C"/>
    <w:rsid w:val="00CB4268"/>
    <w:rsid w:val="00CB4887"/>
    <w:rsid w:val="00CB4D62"/>
    <w:rsid w:val="00CB6FBF"/>
    <w:rsid w:val="00CB7E17"/>
    <w:rsid w:val="00CC0560"/>
    <w:rsid w:val="00CC151F"/>
    <w:rsid w:val="00CC22F9"/>
    <w:rsid w:val="00CC230B"/>
    <w:rsid w:val="00CC274B"/>
    <w:rsid w:val="00CC294E"/>
    <w:rsid w:val="00CC33DF"/>
    <w:rsid w:val="00CC4EB8"/>
    <w:rsid w:val="00CC5E64"/>
    <w:rsid w:val="00CC6A51"/>
    <w:rsid w:val="00CD0F60"/>
    <w:rsid w:val="00CD1BCC"/>
    <w:rsid w:val="00CD32E1"/>
    <w:rsid w:val="00CD3427"/>
    <w:rsid w:val="00CD4064"/>
    <w:rsid w:val="00CD4302"/>
    <w:rsid w:val="00CD58EF"/>
    <w:rsid w:val="00CD6D47"/>
    <w:rsid w:val="00CD7FC2"/>
    <w:rsid w:val="00CE0726"/>
    <w:rsid w:val="00CE0BED"/>
    <w:rsid w:val="00CE19BE"/>
    <w:rsid w:val="00CE1BF2"/>
    <w:rsid w:val="00CE2DCF"/>
    <w:rsid w:val="00CE3A87"/>
    <w:rsid w:val="00CE3AFB"/>
    <w:rsid w:val="00CE44E6"/>
    <w:rsid w:val="00CE6BE7"/>
    <w:rsid w:val="00CE755F"/>
    <w:rsid w:val="00CE7640"/>
    <w:rsid w:val="00CF13B5"/>
    <w:rsid w:val="00CF3A18"/>
    <w:rsid w:val="00CF5CF9"/>
    <w:rsid w:val="00CF6D7A"/>
    <w:rsid w:val="00CF6ED6"/>
    <w:rsid w:val="00CF759C"/>
    <w:rsid w:val="00CF7737"/>
    <w:rsid w:val="00D00C78"/>
    <w:rsid w:val="00D02C9E"/>
    <w:rsid w:val="00D03193"/>
    <w:rsid w:val="00D046FC"/>
    <w:rsid w:val="00D06F2E"/>
    <w:rsid w:val="00D11242"/>
    <w:rsid w:val="00D1169D"/>
    <w:rsid w:val="00D11CD6"/>
    <w:rsid w:val="00D13802"/>
    <w:rsid w:val="00D143D3"/>
    <w:rsid w:val="00D14BF8"/>
    <w:rsid w:val="00D14F0E"/>
    <w:rsid w:val="00D163D0"/>
    <w:rsid w:val="00D20F72"/>
    <w:rsid w:val="00D21EEE"/>
    <w:rsid w:val="00D21F92"/>
    <w:rsid w:val="00D22970"/>
    <w:rsid w:val="00D229D3"/>
    <w:rsid w:val="00D251A1"/>
    <w:rsid w:val="00D2585E"/>
    <w:rsid w:val="00D31D3C"/>
    <w:rsid w:val="00D33E71"/>
    <w:rsid w:val="00D35C26"/>
    <w:rsid w:val="00D40CD0"/>
    <w:rsid w:val="00D43239"/>
    <w:rsid w:val="00D451A1"/>
    <w:rsid w:val="00D455F3"/>
    <w:rsid w:val="00D464B0"/>
    <w:rsid w:val="00D50242"/>
    <w:rsid w:val="00D51C3C"/>
    <w:rsid w:val="00D51CD3"/>
    <w:rsid w:val="00D51E39"/>
    <w:rsid w:val="00D52EE2"/>
    <w:rsid w:val="00D53501"/>
    <w:rsid w:val="00D5386C"/>
    <w:rsid w:val="00D540A6"/>
    <w:rsid w:val="00D55EF3"/>
    <w:rsid w:val="00D5679B"/>
    <w:rsid w:val="00D569AE"/>
    <w:rsid w:val="00D57BE2"/>
    <w:rsid w:val="00D60B2A"/>
    <w:rsid w:val="00D616A7"/>
    <w:rsid w:val="00D61BC6"/>
    <w:rsid w:val="00D61BE0"/>
    <w:rsid w:val="00D6282C"/>
    <w:rsid w:val="00D62B56"/>
    <w:rsid w:val="00D6320B"/>
    <w:rsid w:val="00D63B81"/>
    <w:rsid w:val="00D643D1"/>
    <w:rsid w:val="00D64B55"/>
    <w:rsid w:val="00D66E35"/>
    <w:rsid w:val="00D6767C"/>
    <w:rsid w:val="00D67827"/>
    <w:rsid w:val="00D700A4"/>
    <w:rsid w:val="00D72B9B"/>
    <w:rsid w:val="00D72C7F"/>
    <w:rsid w:val="00D72FA5"/>
    <w:rsid w:val="00D74D0B"/>
    <w:rsid w:val="00D770DB"/>
    <w:rsid w:val="00D775D2"/>
    <w:rsid w:val="00D778B7"/>
    <w:rsid w:val="00D808FF"/>
    <w:rsid w:val="00D81187"/>
    <w:rsid w:val="00D8135F"/>
    <w:rsid w:val="00D81C55"/>
    <w:rsid w:val="00D822D3"/>
    <w:rsid w:val="00D8383E"/>
    <w:rsid w:val="00D83C9E"/>
    <w:rsid w:val="00D83D79"/>
    <w:rsid w:val="00D84487"/>
    <w:rsid w:val="00D85AB5"/>
    <w:rsid w:val="00D86210"/>
    <w:rsid w:val="00D86295"/>
    <w:rsid w:val="00D8649C"/>
    <w:rsid w:val="00D8793B"/>
    <w:rsid w:val="00D879D1"/>
    <w:rsid w:val="00D91A7B"/>
    <w:rsid w:val="00D943EA"/>
    <w:rsid w:val="00D94C2C"/>
    <w:rsid w:val="00D94CD0"/>
    <w:rsid w:val="00D96558"/>
    <w:rsid w:val="00D967FA"/>
    <w:rsid w:val="00DA0A3E"/>
    <w:rsid w:val="00DA1330"/>
    <w:rsid w:val="00DA1ADC"/>
    <w:rsid w:val="00DA2BE5"/>
    <w:rsid w:val="00DA2D7A"/>
    <w:rsid w:val="00DA34F2"/>
    <w:rsid w:val="00DB30B2"/>
    <w:rsid w:val="00DB41C9"/>
    <w:rsid w:val="00DB423A"/>
    <w:rsid w:val="00DB548B"/>
    <w:rsid w:val="00DB5765"/>
    <w:rsid w:val="00DB629A"/>
    <w:rsid w:val="00DB713F"/>
    <w:rsid w:val="00DB73C5"/>
    <w:rsid w:val="00DC106C"/>
    <w:rsid w:val="00DC2259"/>
    <w:rsid w:val="00DC2C99"/>
    <w:rsid w:val="00DC2D12"/>
    <w:rsid w:val="00DC3945"/>
    <w:rsid w:val="00DC45E1"/>
    <w:rsid w:val="00DC46C9"/>
    <w:rsid w:val="00DC47A4"/>
    <w:rsid w:val="00DC4AAE"/>
    <w:rsid w:val="00DC5248"/>
    <w:rsid w:val="00DC5536"/>
    <w:rsid w:val="00DC5C85"/>
    <w:rsid w:val="00DD058B"/>
    <w:rsid w:val="00DD0C0F"/>
    <w:rsid w:val="00DD1B81"/>
    <w:rsid w:val="00DD2029"/>
    <w:rsid w:val="00DD391B"/>
    <w:rsid w:val="00DD4837"/>
    <w:rsid w:val="00DD785C"/>
    <w:rsid w:val="00DD7BC3"/>
    <w:rsid w:val="00DD7D4D"/>
    <w:rsid w:val="00DE009F"/>
    <w:rsid w:val="00DE042E"/>
    <w:rsid w:val="00DE0739"/>
    <w:rsid w:val="00DE0E94"/>
    <w:rsid w:val="00DE12D7"/>
    <w:rsid w:val="00DE2E53"/>
    <w:rsid w:val="00DE2EE9"/>
    <w:rsid w:val="00DE2EF3"/>
    <w:rsid w:val="00DE379F"/>
    <w:rsid w:val="00DE4930"/>
    <w:rsid w:val="00DE617C"/>
    <w:rsid w:val="00DE67A0"/>
    <w:rsid w:val="00DF1C33"/>
    <w:rsid w:val="00DF2382"/>
    <w:rsid w:val="00DF2A62"/>
    <w:rsid w:val="00DF4349"/>
    <w:rsid w:val="00DF4808"/>
    <w:rsid w:val="00DF4D0D"/>
    <w:rsid w:val="00DF62FA"/>
    <w:rsid w:val="00E016DB"/>
    <w:rsid w:val="00E0197C"/>
    <w:rsid w:val="00E0237A"/>
    <w:rsid w:val="00E0254F"/>
    <w:rsid w:val="00E02B10"/>
    <w:rsid w:val="00E04084"/>
    <w:rsid w:val="00E047E0"/>
    <w:rsid w:val="00E04B3B"/>
    <w:rsid w:val="00E07445"/>
    <w:rsid w:val="00E111E4"/>
    <w:rsid w:val="00E11770"/>
    <w:rsid w:val="00E11BE3"/>
    <w:rsid w:val="00E11C33"/>
    <w:rsid w:val="00E11F09"/>
    <w:rsid w:val="00E12B3B"/>
    <w:rsid w:val="00E13054"/>
    <w:rsid w:val="00E13402"/>
    <w:rsid w:val="00E140B0"/>
    <w:rsid w:val="00E142C1"/>
    <w:rsid w:val="00E14F5A"/>
    <w:rsid w:val="00E15513"/>
    <w:rsid w:val="00E15B74"/>
    <w:rsid w:val="00E15BF2"/>
    <w:rsid w:val="00E17157"/>
    <w:rsid w:val="00E17419"/>
    <w:rsid w:val="00E2032A"/>
    <w:rsid w:val="00E20A68"/>
    <w:rsid w:val="00E21F15"/>
    <w:rsid w:val="00E23097"/>
    <w:rsid w:val="00E2327B"/>
    <w:rsid w:val="00E2589C"/>
    <w:rsid w:val="00E258B0"/>
    <w:rsid w:val="00E25B7D"/>
    <w:rsid w:val="00E2632E"/>
    <w:rsid w:val="00E270C1"/>
    <w:rsid w:val="00E31502"/>
    <w:rsid w:val="00E32462"/>
    <w:rsid w:val="00E32E34"/>
    <w:rsid w:val="00E33424"/>
    <w:rsid w:val="00E33A75"/>
    <w:rsid w:val="00E33F87"/>
    <w:rsid w:val="00E3463F"/>
    <w:rsid w:val="00E34B6C"/>
    <w:rsid w:val="00E361F5"/>
    <w:rsid w:val="00E375CE"/>
    <w:rsid w:val="00E40242"/>
    <w:rsid w:val="00E40828"/>
    <w:rsid w:val="00E40C19"/>
    <w:rsid w:val="00E40FE6"/>
    <w:rsid w:val="00E40FE8"/>
    <w:rsid w:val="00E4134D"/>
    <w:rsid w:val="00E4193F"/>
    <w:rsid w:val="00E41B0C"/>
    <w:rsid w:val="00E42341"/>
    <w:rsid w:val="00E42CBB"/>
    <w:rsid w:val="00E43520"/>
    <w:rsid w:val="00E43D61"/>
    <w:rsid w:val="00E44B8A"/>
    <w:rsid w:val="00E45966"/>
    <w:rsid w:val="00E459E1"/>
    <w:rsid w:val="00E46295"/>
    <w:rsid w:val="00E46D5F"/>
    <w:rsid w:val="00E513FC"/>
    <w:rsid w:val="00E516D9"/>
    <w:rsid w:val="00E538DB"/>
    <w:rsid w:val="00E5415A"/>
    <w:rsid w:val="00E54E2C"/>
    <w:rsid w:val="00E569EB"/>
    <w:rsid w:val="00E5716A"/>
    <w:rsid w:val="00E61630"/>
    <w:rsid w:val="00E6166A"/>
    <w:rsid w:val="00E64356"/>
    <w:rsid w:val="00E64F3E"/>
    <w:rsid w:val="00E65519"/>
    <w:rsid w:val="00E6560A"/>
    <w:rsid w:val="00E65726"/>
    <w:rsid w:val="00E662BB"/>
    <w:rsid w:val="00E673C8"/>
    <w:rsid w:val="00E67446"/>
    <w:rsid w:val="00E67A22"/>
    <w:rsid w:val="00E7044D"/>
    <w:rsid w:val="00E704EA"/>
    <w:rsid w:val="00E70611"/>
    <w:rsid w:val="00E713CD"/>
    <w:rsid w:val="00E736FF"/>
    <w:rsid w:val="00E75432"/>
    <w:rsid w:val="00E7581D"/>
    <w:rsid w:val="00E764C3"/>
    <w:rsid w:val="00E765EF"/>
    <w:rsid w:val="00E77808"/>
    <w:rsid w:val="00E82D9D"/>
    <w:rsid w:val="00E83C85"/>
    <w:rsid w:val="00E84623"/>
    <w:rsid w:val="00E84D87"/>
    <w:rsid w:val="00E85CDF"/>
    <w:rsid w:val="00E86616"/>
    <w:rsid w:val="00E872C7"/>
    <w:rsid w:val="00E87808"/>
    <w:rsid w:val="00E8790A"/>
    <w:rsid w:val="00E87ABB"/>
    <w:rsid w:val="00E87C91"/>
    <w:rsid w:val="00E9064F"/>
    <w:rsid w:val="00E910A9"/>
    <w:rsid w:val="00E91247"/>
    <w:rsid w:val="00E91411"/>
    <w:rsid w:val="00E92BF0"/>
    <w:rsid w:val="00E92C64"/>
    <w:rsid w:val="00E93541"/>
    <w:rsid w:val="00E949EC"/>
    <w:rsid w:val="00E953CE"/>
    <w:rsid w:val="00E958E8"/>
    <w:rsid w:val="00E96623"/>
    <w:rsid w:val="00E96668"/>
    <w:rsid w:val="00EA0652"/>
    <w:rsid w:val="00EA1782"/>
    <w:rsid w:val="00EA1F24"/>
    <w:rsid w:val="00EA2DB8"/>
    <w:rsid w:val="00EA39A7"/>
    <w:rsid w:val="00EA7125"/>
    <w:rsid w:val="00EB1681"/>
    <w:rsid w:val="00EB2CB4"/>
    <w:rsid w:val="00EB3A1F"/>
    <w:rsid w:val="00EB3E97"/>
    <w:rsid w:val="00EB4EA5"/>
    <w:rsid w:val="00EB55BA"/>
    <w:rsid w:val="00EC1A48"/>
    <w:rsid w:val="00EC26FE"/>
    <w:rsid w:val="00EC3B54"/>
    <w:rsid w:val="00EC3F97"/>
    <w:rsid w:val="00EC432B"/>
    <w:rsid w:val="00EC6662"/>
    <w:rsid w:val="00EC675E"/>
    <w:rsid w:val="00EC78FA"/>
    <w:rsid w:val="00ED01AD"/>
    <w:rsid w:val="00ED2146"/>
    <w:rsid w:val="00ED2BB9"/>
    <w:rsid w:val="00ED4146"/>
    <w:rsid w:val="00ED5710"/>
    <w:rsid w:val="00EE1BDD"/>
    <w:rsid w:val="00EE3FFB"/>
    <w:rsid w:val="00EE479C"/>
    <w:rsid w:val="00EE5946"/>
    <w:rsid w:val="00EE5EA2"/>
    <w:rsid w:val="00EE63FC"/>
    <w:rsid w:val="00EE6849"/>
    <w:rsid w:val="00EF0613"/>
    <w:rsid w:val="00EF0D66"/>
    <w:rsid w:val="00EF26F9"/>
    <w:rsid w:val="00EF2A94"/>
    <w:rsid w:val="00EF33C1"/>
    <w:rsid w:val="00EF38CF"/>
    <w:rsid w:val="00EF52A4"/>
    <w:rsid w:val="00F0078D"/>
    <w:rsid w:val="00F023EE"/>
    <w:rsid w:val="00F03239"/>
    <w:rsid w:val="00F03C21"/>
    <w:rsid w:val="00F03D21"/>
    <w:rsid w:val="00F04158"/>
    <w:rsid w:val="00F04E5C"/>
    <w:rsid w:val="00F05565"/>
    <w:rsid w:val="00F0582D"/>
    <w:rsid w:val="00F06F74"/>
    <w:rsid w:val="00F07A2D"/>
    <w:rsid w:val="00F104D7"/>
    <w:rsid w:val="00F10D78"/>
    <w:rsid w:val="00F11249"/>
    <w:rsid w:val="00F11F0B"/>
    <w:rsid w:val="00F1265E"/>
    <w:rsid w:val="00F129BB"/>
    <w:rsid w:val="00F13ED6"/>
    <w:rsid w:val="00F13F50"/>
    <w:rsid w:val="00F14A5A"/>
    <w:rsid w:val="00F15D9E"/>
    <w:rsid w:val="00F16B52"/>
    <w:rsid w:val="00F17C0E"/>
    <w:rsid w:val="00F210AC"/>
    <w:rsid w:val="00F21403"/>
    <w:rsid w:val="00F249C2"/>
    <w:rsid w:val="00F253C7"/>
    <w:rsid w:val="00F279A4"/>
    <w:rsid w:val="00F30C0A"/>
    <w:rsid w:val="00F3232F"/>
    <w:rsid w:val="00F33BB7"/>
    <w:rsid w:val="00F34C18"/>
    <w:rsid w:val="00F35481"/>
    <w:rsid w:val="00F3562D"/>
    <w:rsid w:val="00F3664A"/>
    <w:rsid w:val="00F3686E"/>
    <w:rsid w:val="00F411E8"/>
    <w:rsid w:val="00F4209F"/>
    <w:rsid w:val="00F42383"/>
    <w:rsid w:val="00F43110"/>
    <w:rsid w:val="00F438B4"/>
    <w:rsid w:val="00F43CC8"/>
    <w:rsid w:val="00F4428C"/>
    <w:rsid w:val="00F454DA"/>
    <w:rsid w:val="00F45639"/>
    <w:rsid w:val="00F469A1"/>
    <w:rsid w:val="00F46FC6"/>
    <w:rsid w:val="00F47BA8"/>
    <w:rsid w:val="00F50150"/>
    <w:rsid w:val="00F5048C"/>
    <w:rsid w:val="00F50D8A"/>
    <w:rsid w:val="00F522B1"/>
    <w:rsid w:val="00F52791"/>
    <w:rsid w:val="00F54043"/>
    <w:rsid w:val="00F54E07"/>
    <w:rsid w:val="00F56F04"/>
    <w:rsid w:val="00F577C0"/>
    <w:rsid w:val="00F613BC"/>
    <w:rsid w:val="00F61BFF"/>
    <w:rsid w:val="00F64C25"/>
    <w:rsid w:val="00F651BA"/>
    <w:rsid w:val="00F6525F"/>
    <w:rsid w:val="00F65D79"/>
    <w:rsid w:val="00F66421"/>
    <w:rsid w:val="00F6669A"/>
    <w:rsid w:val="00F67366"/>
    <w:rsid w:val="00F67D49"/>
    <w:rsid w:val="00F70383"/>
    <w:rsid w:val="00F70E3F"/>
    <w:rsid w:val="00F71B14"/>
    <w:rsid w:val="00F731E5"/>
    <w:rsid w:val="00F7330B"/>
    <w:rsid w:val="00F73509"/>
    <w:rsid w:val="00F763B1"/>
    <w:rsid w:val="00F81319"/>
    <w:rsid w:val="00F8194F"/>
    <w:rsid w:val="00F819C2"/>
    <w:rsid w:val="00F8574E"/>
    <w:rsid w:val="00F85A56"/>
    <w:rsid w:val="00F8713E"/>
    <w:rsid w:val="00F908DC"/>
    <w:rsid w:val="00F928CB"/>
    <w:rsid w:val="00F9425D"/>
    <w:rsid w:val="00F94F1D"/>
    <w:rsid w:val="00F967F6"/>
    <w:rsid w:val="00F97AE9"/>
    <w:rsid w:val="00FA0253"/>
    <w:rsid w:val="00FA2C3A"/>
    <w:rsid w:val="00FA4A20"/>
    <w:rsid w:val="00FA4DDD"/>
    <w:rsid w:val="00FA6311"/>
    <w:rsid w:val="00FB01B5"/>
    <w:rsid w:val="00FB0DA0"/>
    <w:rsid w:val="00FB2722"/>
    <w:rsid w:val="00FB2854"/>
    <w:rsid w:val="00FB2D8A"/>
    <w:rsid w:val="00FB3F04"/>
    <w:rsid w:val="00FB3FF4"/>
    <w:rsid w:val="00FB4BBC"/>
    <w:rsid w:val="00FC1F1B"/>
    <w:rsid w:val="00FC207C"/>
    <w:rsid w:val="00FC394A"/>
    <w:rsid w:val="00FC3A86"/>
    <w:rsid w:val="00FC4760"/>
    <w:rsid w:val="00FD2D9B"/>
    <w:rsid w:val="00FD3EA7"/>
    <w:rsid w:val="00FD44F9"/>
    <w:rsid w:val="00FD4696"/>
    <w:rsid w:val="00FD52DD"/>
    <w:rsid w:val="00FD7765"/>
    <w:rsid w:val="00FE0974"/>
    <w:rsid w:val="00FE2780"/>
    <w:rsid w:val="00FE2A0E"/>
    <w:rsid w:val="00FE2FAF"/>
    <w:rsid w:val="00FE358B"/>
    <w:rsid w:val="00FE504D"/>
    <w:rsid w:val="00FE676D"/>
    <w:rsid w:val="00FE68EA"/>
    <w:rsid w:val="00FE71F2"/>
    <w:rsid w:val="00FE7293"/>
    <w:rsid w:val="00FE76FD"/>
    <w:rsid w:val="00FF0C6B"/>
    <w:rsid w:val="00FF0E71"/>
    <w:rsid w:val="00FF2FB1"/>
    <w:rsid w:val="00FF36D3"/>
    <w:rsid w:val="00FF3D8E"/>
    <w:rsid w:val="00FF4C69"/>
    <w:rsid w:val="00FF4F18"/>
    <w:rsid w:val="00FF5FCF"/>
    <w:rsid w:val="00FF6953"/>
    <w:rsid w:val="01992A24"/>
    <w:rsid w:val="02A64777"/>
    <w:rsid w:val="02E27F7D"/>
    <w:rsid w:val="042943E8"/>
    <w:rsid w:val="04710602"/>
    <w:rsid w:val="04D7088A"/>
    <w:rsid w:val="04F550AA"/>
    <w:rsid w:val="04FF2195"/>
    <w:rsid w:val="05310009"/>
    <w:rsid w:val="059E3E15"/>
    <w:rsid w:val="06EF4AE5"/>
    <w:rsid w:val="07F41CF0"/>
    <w:rsid w:val="08E91129"/>
    <w:rsid w:val="09DD5D57"/>
    <w:rsid w:val="0A063254"/>
    <w:rsid w:val="0A344230"/>
    <w:rsid w:val="0B116715"/>
    <w:rsid w:val="0B4E34C6"/>
    <w:rsid w:val="0B886F7D"/>
    <w:rsid w:val="0B995089"/>
    <w:rsid w:val="0BA36C6F"/>
    <w:rsid w:val="0D316E18"/>
    <w:rsid w:val="0FDC19E8"/>
    <w:rsid w:val="0FEA3A6E"/>
    <w:rsid w:val="101F05FC"/>
    <w:rsid w:val="10E50428"/>
    <w:rsid w:val="10F16DCD"/>
    <w:rsid w:val="111B2557"/>
    <w:rsid w:val="12C42B13"/>
    <w:rsid w:val="12F77E1B"/>
    <w:rsid w:val="142573E4"/>
    <w:rsid w:val="15DF32D1"/>
    <w:rsid w:val="160A26DF"/>
    <w:rsid w:val="16307361"/>
    <w:rsid w:val="16911E9F"/>
    <w:rsid w:val="169D3553"/>
    <w:rsid w:val="169F5708"/>
    <w:rsid w:val="16DA0303"/>
    <w:rsid w:val="16E62715"/>
    <w:rsid w:val="177B641D"/>
    <w:rsid w:val="17F14DDF"/>
    <w:rsid w:val="18070DF2"/>
    <w:rsid w:val="1858672E"/>
    <w:rsid w:val="1927589A"/>
    <w:rsid w:val="192F4A36"/>
    <w:rsid w:val="197762DD"/>
    <w:rsid w:val="19E82D37"/>
    <w:rsid w:val="1A3B730B"/>
    <w:rsid w:val="1CF3514C"/>
    <w:rsid w:val="1D64381E"/>
    <w:rsid w:val="1DCF1B83"/>
    <w:rsid w:val="1E297B6C"/>
    <w:rsid w:val="1E351E6A"/>
    <w:rsid w:val="1EC822F6"/>
    <w:rsid w:val="1ECF36EA"/>
    <w:rsid w:val="1EF777AF"/>
    <w:rsid w:val="1FBF409D"/>
    <w:rsid w:val="1FCB24E2"/>
    <w:rsid w:val="20191E9C"/>
    <w:rsid w:val="21220D00"/>
    <w:rsid w:val="221A1A4B"/>
    <w:rsid w:val="221E2698"/>
    <w:rsid w:val="22352338"/>
    <w:rsid w:val="230C062E"/>
    <w:rsid w:val="23846AEF"/>
    <w:rsid w:val="23CD3F35"/>
    <w:rsid w:val="23E65DA1"/>
    <w:rsid w:val="2549001C"/>
    <w:rsid w:val="262E5F76"/>
    <w:rsid w:val="278E2F9A"/>
    <w:rsid w:val="278E34D5"/>
    <w:rsid w:val="27CC2C14"/>
    <w:rsid w:val="293E3512"/>
    <w:rsid w:val="2956041F"/>
    <w:rsid w:val="297053DF"/>
    <w:rsid w:val="2AF5733A"/>
    <w:rsid w:val="2B05199B"/>
    <w:rsid w:val="2BC563F1"/>
    <w:rsid w:val="2BD4136D"/>
    <w:rsid w:val="2BFC4F9F"/>
    <w:rsid w:val="2C2F2E5B"/>
    <w:rsid w:val="2D426ED6"/>
    <w:rsid w:val="2DB60D44"/>
    <w:rsid w:val="2DC0019C"/>
    <w:rsid w:val="2DC2617B"/>
    <w:rsid w:val="2E1C3845"/>
    <w:rsid w:val="2FAE38E0"/>
    <w:rsid w:val="2FC179AC"/>
    <w:rsid w:val="2FE70FAB"/>
    <w:rsid w:val="30D83F02"/>
    <w:rsid w:val="310D77FB"/>
    <w:rsid w:val="319607FA"/>
    <w:rsid w:val="31D9148B"/>
    <w:rsid w:val="3229683B"/>
    <w:rsid w:val="32C30AF4"/>
    <w:rsid w:val="330F7C45"/>
    <w:rsid w:val="333C6176"/>
    <w:rsid w:val="33707BCD"/>
    <w:rsid w:val="338102BC"/>
    <w:rsid w:val="34BE73F7"/>
    <w:rsid w:val="34C76929"/>
    <w:rsid w:val="36592B9B"/>
    <w:rsid w:val="36C4187C"/>
    <w:rsid w:val="370B49B9"/>
    <w:rsid w:val="37321D6A"/>
    <w:rsid w:val="374A6DC6"/>
    <w:rsid w:val="37AD13F0"/>
    <w:rsid w:val="37E13198"/>
    <w:rsid w:val="39221B61"/>
    <w:rsid w:val="39406294"/>
    <w:rsid w:val="39D44D17"/>
    <w:rsid w:val="3A2B12A7"/>
    <w:rsid w:val="3A452D5C"/>
    <w:rsid w:val="3B374E9C"/>
    <w:rsid w:val="3BE127E5"/>
    <w:rsid w:val="3C4A7C4B"/>
    <w:rsid w:val="3CAC748F"/>
    <w:rsid w:val="3D9A41CA"/>
    <w:rsid w:val="3DF15DAF"/>
    <w:rsid w:val="3E646581"/>
    <w:rsid w:val="3EFF7E5A"/>
    <w:rsid w:val="3F51591E"/>
    <w:rsid w:val="3FA70E1B"/>
    <w:rsid w:val="3FAF14E4"/>
    <w:rsid w:val="3FD403DE"/>
    <w:rsid w:val="41700164"/>
    <w:rsid w:val="421373D0"/>
    <w:rsid w:val="427F57B3"/>
    <w:rsid w:val="42C43A19"/>
    <w:rsid w:val="43731F9A"/>
    <w:rsid w:val="43AD2CD4"/>
    <w:rsid w:val="44907C3B"/>
    <w:rsid w:val="45241161"/>
    <w:rsid w:val="459C7DF3"/>
    <w:rsid w:val="45C967F5"/>
    <w:rsid w:val="461D5993"/>
    <w:rsid w:val="465F0B43"/>
    <w:rsid w:val="471415BF"/>
    <w:rsid w:val="47BB0620"/>
    <w:rsid w:val="4800731A"/>
    <w:rsid w:val="4989458D"/>
    <w:rsid w:val="49AA1EB2"/>
    <w:rsid w:val="49F51014"/>
    <w:rsid w:val="4A0B01F8"/>
    <w:rsid w:val="4A8061AA"/>
    <w:rsid w:val="4A9B3349"/>
    <w:rsid w:val="4B2332A6"/>
    <w:rsid w:val="4BA76BC0"/>
    <w:rsid w:val="4C45481B"/>
    <w:rsid w:val="4C7153F5"/>
    <w:rsid w:val="4C81727E"/>
    <w:rsid w:val="4C940EBC"/>
    <w:rsid w:val="4CC21042"/>
    <w:rsid w:val="4D026B14"/>
    <w:rsid w:val="4D331F40"/>
    <w:rsid w:val="4DD03C33"/>
    <w:rsid w:val="4E936FE5"/>
    <w:rsid w:val="4E946A0E"/>
    <w:rsid w:val="4EF7702D"/>
    <w:rsid w:val="50327BA3"/>
    <w:rsid w:val="50622C7A"/>
    <w:rsid w:val="509E7570"/>
    <w:rsid w:val="511F4FD0"/>
    <w:rsid w:val="517D5E7F"/>
    <w:rsid w:val="51E8779D"/>
    <w:rsid w:val="5253098E"/>
    <w:rsid w:val="533D97EE"/>
    <w:rsid w:val="53C5766A"/>
    <w:rsid w:val="543E663B"/>
    <w:rsid w:val="549A3F25"/>
    <w:rsid w:val="54FA3343"/>
    <w:rsid w:val="5511700B"/>
    <w:rsid w:val="55216B22"/>
    <w:rsid w:val="55D83373"/>
    <w:rsid w:val="563C581B"/>
    <w:rsid w:val="56B112B8"/>
    <w:rsid w:val="56BA29F4"/>
    <w:rsid w:val="571A7E3F"/>
    <w:rsid w:val="576135B0"/>
    <w:rsid w:val="576E0986"/>
    <w:rsid w:val="578C2807"/>
    <w:rsid w:val="58B36135"/>
    <w:rsid w:val="58C074BE"/>
    <w:rsid w:val="59305585"/>
    <w:rsid w:val="594919CB"/>
    <w:rsid w:val="59CB51D7"/>
    <w:rsid w:val="5A517CF1"/>
    <w:rsid w:val="5A930A90"/>
    <w:rsid w:val="5AEB20AC"/>
    <w:rsid w:val="5B533D47"/>
    <w:rsid w:val="5CDC56DF"/>
    <w:rsid w:val="5D206234"/>
    <w:rsid w:val="5D9B7B77"/>
    <w:rsid w:val="5DEE5FA5"/>
    <w:rsid w:val="5DFFBBCC"/>
    <w:rsid w:val="5E9D3AC8"/>
    <w:rsid w:val="5EC56345"/>
    <w:rsid w:val="5EE75F38"/>
    <w:rsid w:val="5EF01A3F"/>
    <w:rsid w:val="5FAB6B76"/>
    <w:rsid w:val="5FEF7C89"/>
    <w:rsid w:val="60427C5D"/>
    <w:rsid w:val="607E7999"/>
    <w:rsid w:val="608A1A1F"/>
    <w:rsid w:val="612461EF"/>
    <w:rsid w:val="61585C2F"/>
    <w:rsid w:val="62354DE3"/>
    <w:rsid w:val="638A7BED"/>
    <w:rsid w:val="63A131C2"/>
    <w:rsid w:val="647937F6"/>
    <w:rsid w:val="64BD0615"/>
    <w:rsid w:val="64D92688"/>
    <w:rsid w:val="65A7591F"/>
    <w:rsid w:val="65FF4837"/>
    <w:rsid w:val="66DF78CE"/>
    <w:rsid w:val="66E55FE9"/>
    <w:rsid w:val="67165838"/>
    <w:rsid w:val="67191A6E"/>
    <w:rsid w:val="67AB1D56"/>
    <w:rsid w:val="67C116AC"/>
    <w:rsid w:val="68DF6317"/>
    <w:rsid w:val="6946632A"/>
    <w:rsid w:val="6961142C"/>
    <w:rsid w:val="696F58A5"/>
    <w:rsid w:val="69C24894"/>
    <w:rsid w:val="69F745C9"/>
    <w:rsid w:val="6A031098"/>
    <w:rsid w:val="6A3E6297"/>
    <w:rsid w:val="6A681638"/>
    <w:rsid w:val="6AB1775C"/>
    <w:rsid w:val="6B5B8058"/>
    <w:rsid w:val="6C4C4BAA"/>
    <w:rsid w:val="6CE77FFE"/>
    <w:rsid w:val="6E056B89"/>
    <w:rsid w:val="6E374FFD"/>
    <w:rsid w:val="6FF39579"/>
    <w:rsid w:val="6FFE228A"/>
    <w:rsid w:val="6FFE7FA9"/>
    <w:rsid w:val="70230C37"/>
    <w:rsid w:val="709E6CED"/>
    <w:rsid w:val="715D7825"/>
    <w:rsid w:val="71B9671F"/>
    <w:rsid w:val="72A74FF1"/>
    <w:rsid w:val="73267C07"/>
    <w:rsid w:val="733C36EC"/>
    <w:rsid w:val="736036C2"/>
    <w:rsid w:val="748C2460"/>
    <w:rsid w:val="74962C31"/>
    <w:rsid w:val="750033AF"/>
    <w:rsid w:val="75105690"/>
    <w:rsid w:val="755EC03F"/>
    <w:rsid w:val="75C6A22D"/>
    <w:rsid w:val="75FC6AC3"/>
    <w:rsid w:val="76D55C89"/>
    <w:rsid w:val="78332F27"/>
    <w:rsid w:val="791C61F4"/>
    <w:rsid w:val="79584959"/>
    <w:rsid w:val="797C69C1"/>
    <w:rsid w:val="79C835E8"/>
    <w:rsid w:val="7A147F78"/>
    <w:rsid w:val="7ADB6F81"/>
    <w:rsid w:val="7AF7379A"/>
    <w:rsid w:val="7B4E6013"/>
    <w:rsid w:val="7B6F3A41"/>
    <w:rsid w:val="7BA1C1A5"/>
    <w:rsid w:val="7BDE667A"/>
    <w:rsid w:val="7C6575D1"/>
    <w:rsid w:val="7CD32A90"/>
    <w:rsid w:val="7D0A66C6"/>
    <w:rsid w:val="7D4A5387"/>
    <w:rsid w:val="7DCE2BE8"/>
    <w:rsid w:val="7DFF35B2"/>
    <w:rsid w:val="7E255FDC"/>
    <w:rsid w:val="7EB85E2A"/>
    <w:rsid w:val="7ED604E0"/>
    <w:rsid w:val="7F71201A"/>
    <w:rsid w:val="7FA866C0"/>
    <w:rsid w:val="9F6F228E"/>
    <w:rsid w:val="C69EBFBD"/>
    <w:rsid w:val="EBBB493A"/>
    <w:rsid w:val="F9FE2A76"/>
    <w:rsid w:val="FF73D66C"/>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1"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1" w:semiHidden="0" w:name="annotation reference"/>
    <w:lsdException w:qFormat="1" w:unhideWhenUsed="0" w:uiPriority="0" w:semiHidden="0" w:name="line number"/>
    <w:lsdException w:qFormat="1" w:unhideWhenUsed="0" w:uiPriority="0" w:semiHidden="0" w:name="page number"/>
    <w:lsdException w:qFormat="1" w:uiPriority="1" w:semiHidden="0" w:name="endnote reference"/>
    <w:lsdException w:qFormat="1" w:uiPriority="1" w:semiHidden="0" w:name="endnote text"/>
    <w:lsdException w:unhideWhenUsed="0" w:uiPriority="0" w:semiHidden="0" w:name="table of authorities"/>
    <w:lsdException w:qFormat="1" w:unhideWhenUsed="0" w:uiPriority="0" w:semiHidden="0" w:name="macro"/>
    <w:lsdException w:qFormat="1"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1"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1"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1"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78"/>
    <w:qFormat/>
    <w:uiPriority w:val="9"/>
    <w:pPr>
      <w:keepNext/>
      <w:jc w:val="center"/>
      <w:outlineLvl w:val="0"/>
    </w:pPr>
    <w:rPr>
      <w:rFonts w:ascii="楷体_GB2312" w:eastAsia="楷体_GB2312"/>
      <w:b/>
      <w:bCs/>
    </w:rPr>
  </w:style>
  <w:style w:type="paragraph" w:styleId="2">
    <w:name w:val="heading 2"/>
    <w:basedOn w:val="1"/>
    <w:next w:val="1"/>
    <w:link w:val="79"/>
    <w:qFormat/>
    <w:uiPriority w:val="9"/>
    <w:pPr>
      <w:keepNext/>
      <w:keepLines/>
      <w:spacing w:before="260" w:after="260" w:line="416" w:lineRule="auto"/>
      <w:outlineLvl w:val="1"/>
    </w:pPr>
    <w:rPr>
      <w:rFonts w:ascii="Cambria" w:hAnsi="Cambria"/>
      <w:b/>
      <w:bCs/>
      <w:sz w:val="32"/>
      <w:szCs w:val="32"/>
    </w:rPr>
  </w:style>
  <w:style w:type="paragraph" w:styleId="5">
    <w:name w:val="heading 3"/>
    <w:basedOn w:val="2"/>
    <w:next w:val="1"/>
    <w:link w:val="80"/>
    <w:qFormat/>
    <w:uiPriority w:val="9"/>
    <w:pPr>
      <w:outlineLvl w:val="2"/>
    </w:pPr>
  </w:style>
  <w:style w:type="paragraph" w:styleId="6">
    <w:name w:val="heading 4"/>
    <w:basedOn w:val="1"/>
    <w:next w:val="1"/>
    <w:link w:val="81"/>
    <w:qFormat/>
    <w:uiPriority w:val="0"/>
    <w:pPr>
      <w:keepNext/>
      <w:keepLines/>
      <w:spacing w:before="280" w:after="290" w:line="376" w:lineRule="auto"/>
      <w:outlineLvl w:val="3"/>
    </w:pPr>
    <w:rPr>
      <w:rFonts w:ascii="Cambria" w:hAnsi="Cambria"/>
      <w:b/>
      <w:bCs/>
      <w:sz w:val="28"/>
      <w:szCs w:val="28"/>
    </w:rPr>
  </w:style>
  <w:style w:type="paragraph" w:styleId="7">
    <w:name w:val="heading 5"/>
    <w:basedOn w:val="1"/>
    <w:next w:val="1"/>
    <w:link w:val="82"/>
    <w:qFormat/>
    <w:uiPriority w:val="9"/>
    <w:pPr>
      <w:keepNext/>
      <w:keepLines/>
      <w:spacing w:before="280" w:after="290" w:line="376" w:lineRule="auto"/>
      <w:outlineLvl w:val="4"/>
    </w:pPr>
    <w:rPr>
      <w:b/>
      <w:bCs/>
      <w:sz w:val="28"/>
      <w:szCs w:val="28"/>
    </w:rPr>
  </w:style>
  <w:style w:type="paragraph" w:styleId="8">
    <w:name w:val="heading 6"/>
    <w:basedOn w:val="1"/>
    <w:next w:val="1"/>
    <w:link w:val="83"/>
    <w:qFormat/>
    <w:uiPriority w:val="9"/>
    <w:pPr>
      <w:keepNext/>
      <w:keepLines/>
      <w:spacing w:before="240" w:after="64" w:line="320" w:lineRule="auto"/>
      <w:outlineLvl w:val="5"/>
    </w:pPr>
    <w:rPr>
      <w:rFonts w:ascii="Cambria" w:hAnsi="Cambria"/>
      <w:b/>
      <w:bCs/>
      <w:sz w:val="24"/>
    </w:rPr>
  </w:style>
  <w:style w:type="paragraph" w:styleId="9">
    <w:name w:val="heading 7"/>
    <w:basedOn w:val="1"/>
    <w:next w:val="1"/>
    <w:link w:val="166"/>
    <w:qFormat/>
    <w:uiPriority w:val="9"/>
    <w:pPr>
      <w:keepNext/>
      <w:keepLines/>
      <w:adjustRightInd w:val="0"/>
      <w:spacing w:before="240" w:after="64" w:line="320" w:lineRule="atLeast"/>
      <w:textAlignment w:val="baseline"/>
      <w:outlineLvl w:val="6"/>
    </w:pPr>
    <w:rPr>
      <w:rFonts w:eastAsia="等线"/>
      <w:b/>
      <w:sz w:val="24"/>
    </w:rPr>
  </w:style>
  <w:style w:type="paragraph" w:styleId="10">
    <w:name w:val="heading 8"/>
    <w:basedOn w:val="1"/>
    <w:next w:val="1"/>
    <w:link w:val="167"/>
    <w:qFormat/>
    <w:uiPriority w:val="9"/>
    <w:pPr>
      <w:keepNext/>
      <w:keepLines/>
      <w:adjustRightInd w:val="0"/>
      <w:spacing w:before="240" w:after="64" w:line="320" w:lineRule="atLeast"/>
      <w:textAlignment w:val="baseline"/>
      <w:outlineLvl w:val="7"/>
    </w:pPr>
    <w:rPr>
      <w:rFonts w:ascii="Arial" w:hAnsi="Arial" w:eastAsia="黑体"/>
      <w:sz w:val="24"/>
    </w:rPr>
  </w:style>
  <w:style w:type="paragraph" w:styleId="11">
    <w:name w:val="heading 9"/>
    <w:basedOn w:val="1"/>
    <w:next w:val="1"/>
    <w:link w:val="168"/>
    <w:qFormat/>
    <w:uiPriority w:val="9"/>
    <w:pPr>
      <w:keepNext/>
      <w:keepLines/>
      <w:adjustRightInd w:val="0"/>
      <w:spacing w:before="240" w:after="64" w:line="320" w:lineRule="atLeast"/>
      <w:textAlignment w:val="baseline"/>
      <w:outlineLvl w:val="8"/>
    </w:pPr>
    <w:rPr>
      <w:rFonts w:ascii="Arial" w:hAnsi="Arial" w:eastAsia="黑体"/>
      <w:sz w:val="24"/>
    </w:rPr>
  </w:style>
  <w:style w:type="character" w:default="1" w:styleId="66">
    <w:name w:val="Default Paragraph Font"/>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3">
    <w:name w:val="macro"/>
    <w:link w:val="429"/>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Wingdings" w:hAnsi="Wingdings" w:eastAsia="Times New Roman" w:cs="Times New Roman"/>
      <w:kern w:val="2"/>
      <w:sz w:val="24"/>
      <w:szCs w:val="24"/>
      <w:lang w:val="en-US" w:eastAsia="zh-CN" w:bidi="ar-SA"/>
    </w:rPr>
  </w:style>
  <w:style w:type="paragraph" w:styleId="12">
    <w:name w:val="toc 7"/>
    <w:basedOn w:val="1"/>
    <w:next w:val="1"/>
    <w:qFormat/>
    <w:uiPriority w:val="39"/>
    <w:pPr>
      <w:autoSpaceDE w:val="0"/>
      <w:autoSpaceDN w:val="0"/>
      <w:adjustRightInd w:val="0"/>
      <w:ind w:left="2520" w:leftChars="1200"/>
      <w:jc w:val="left"/>
    </w:pPr>
    <w:rPr>
      <w:rFonts w:ascii="等线" w:hAnsi="等线" w:eastAsia="等线" w:cs="等线"/>
      <w:kern w:val="0"/>
      <w:sz w:val="20"/>
      <w:szCs w:val="20"/>
    </w:rPr>
  </w:style>
  <w:style w:type="paragraph" w:styleId="13">
    <w:name w:val="Note Heading"/>
    <w:basedOn w:val="1"/>
    <w:next w:val="1"/>
    <w:link w:val="420"/>
    <w:qFormat/>
    <w:uiPriority w:val="0"/>
    <w:pPr>
      <w:spacing w:line="360" w:lineRule="auto"/>
      <w:ind w:firstLine="200" w:firstLineChars="200"/>
      <w:jc w:val="center"/>
    </w:pPr>
    <w:rPr>
      <w:rFonts w:ascii="DFKai-SB" w:hAnsi="DFKai-SB" w:eastAsia="DFKai-SB" w:cs="等线"/>
      <w:sz w:val="20"/>
      <w:szCs w:val="20"/>
      <w:lang w:eastAsia="zh-TW"/>
    </w:rPr>
  </w:style>
  <w:style w:type="paragraph" w:styleId="14">
    <w:name w:val="List Bullet 4"/>
    <w:basedOn w:val="1"/>
    <w:qFormat/>
    <w:uiPriority w:val="0"/>
    <w:pPr>
      <w:numPr>
        <w:ilvl w:val="0"/>
        <w:numId w:val="1"/>
      </w:numPr>
    </w:pPr>
  </w:style>
  <w:style w:type="paragraph" w:styleId="15">
    <w:name w:val="List Number"/>
    <w:basedOn w:val="1"/>
    <w:qFormat/>
    <w:uiPriority w:val="0"/>
    <w:pPr>
      <w:tabs>
        <w:tab w:val="left" w:pos="360"/>
      </w:tabs>
      <w:ind w:left="360" w:hanging="360" w:hangingChars="200"/>
    </w:pPr>
    <w:rPr>
      <w:rFonts w:ascii="等线" w:hAnsi="等线" w:eastAsia="等线" w:cs="等线"/>
    </w:rPr>
  </w:style>
  <w:style w:type="paragraph" w:styleId="16">
    <w:name w:val="Normal Indent"/>
    <w:basedOn w:val="1"/>
    <w:link w:val="102"/>
    <w:qFormat/>
    <w:uiPriority w:val="0"/>
    <w:pPr>
      <w:adjustRightInd w:val="0"/>
      <w:spacing w:line="312" w:lineRule="atLeast"/>
      <w:ind w:firstLine="420"/>
      <w:textAlignment w:val="baseline"/>
    </w:pPr>
    <w:rPr>
      <w:kern w:val="0"/>
      <w:szCs w:val="20"/>
    </w:rPr>
  </w:style>
  <w:style w:type="paragraph" w:styleId="17">
    <w:name w:val="caption"/>
    <w:basedOn w:val="1"/>
    <w:next w:val="1"/>
    <w:qFormat/>
    <w:uiPriority w:val="0"/>
    <w:rPr>
      <w:rFonts w:ascii="Cambria" w:hAnsi="Cambria" w:eastAsia="黑体"/>
      <w:sz w:val="20"/>
      <w:szCs w:val="20"/>
    </w:rPr>
  </w:style>
  <w:style w:type="paragraph" w:styleId="18">
    <w:name w:val="List Bullet"/>
    <w:basedOn w:val="1"/>
    <w:qFormat/>
    <w:uiPriority w:val="0"/>
    <w:pPr>
      <w:tabs>
        <w:tab w:val="left" w:pos="360"/>
      </w:tabs>
      <w:ind w:left="360" w:hanging="360"/>
    </w:pPr>
    <w:rPr>
      <w:rFonts w:ascii="Century Gothic" w:hAnsi="Century Gothic" w:eastAsia="等线" w:cs="等线"/>
      <w:szCs w:val="22"/>
    </w:rPr>
  </w:style>
  <w:style w:type="paragraph" w:styleId="19">
    <w:name w:val="Document Map"/>
    <w:basedOn w:val="1"/>
    <w:link w:val="205"/>
    <w:qFormat/>
    <w:uiPriority w:val="0"/>
    <w:pPr>
      <w:shd w:val="clear" w:color="auto" w:fill="000080"/>
    </w:pPr>
  </w:style>
  <w:style w:type="paragraph" w:styleId="20">
    <w:name w:val="toa heading"/>
    <w:basedOn w:val="1"/>
    <w:next w:val="1"/>
    <w:qFormat/>
    <w:uiPriority w:val="0"/>
    <w:pPr>
      <w:spacing w:before="120" w:line="560" w:lineRule="exact"/>
      <w:ind w:firstLine="200" w:firstLineChars="200"/>
    </w:pPr>
    <w:rPr>
      <w:rFonts w:ascii="Arial" w:hAnsi="Arial" w:cs="Arial"/>
      <w:sz w:val="24"/>
    </w:rPr>
  </w:style>
  <w:style w:type="paragraph" w:styleId="21">
    <w:name w:val="annotation text"/>
    <w:basedOn w:val="1"/>
    <w:link w:val="113"/>
    <w:qFormat/>
    <w:uiPriority w:val="1"/>
    <w:pPr>
      <w:jc w:val="left"/>
    </w:pPr>
  </w:style>
  <w:style w:type="paragraph" w:styleId="22">
    <w:name w:val="Salutation"/>
    <w:basedOn w:val="1"/>
    <w:next w:val="1"/>
    <w:link w:val="408"/>
    <w:qFormat/>
    <w:uiPriority w:val="0"/>
    <w:pPr>
      <w:tabs>
        <w:tab w:val="left" w:pos="840"/>
      </w:tabs>
      <w:autoSpaceDE w:val="0"/>
      <w:autoSpaceDN w:val="0"/>
      <w:adjustRightInd w:val="0"/>
      <w:jc w:val="left"/>
    </w:pPr>
    <w:rPr>
      <w:rFonts w:ascii="等线" w:hAnsi="等线" w:eastAsia="等线" w:cs="等线"/>
      <w:kern w:val="0"/>
      <w:sz w:val="24"/>
      <w:szCs w:val="20"/>
    </w:rPr>
  </w:style>
  <w:style w:type="paragraph" w:styleId="23">
    <w:name w:val="Body Text 3"/>
    <w:basedOn w:val="1"/>
    <w:link w:val="423"/>
    <w:qFormat/>
    <w:uiPriority w:val="0"/>
    <w:pPr>
      <w:autoSpaceDE w:val="0"/>
      <w:autoSpaceDN w:val="0"/>
      <w:adjustRightInd w:val="0"/>
      <w:jc w:val="center"/>
    </w:pPr>
    <w:rPr>
      <w:rFonts w:ascii="等线" w:hAnsi="等线" w:eastAsia="等线" w:cs="等线"/>
      <w:kern w:val="0"/>
      <w:sz w:val="20"/>
      <w:szCs w:val="20"/>
    </w:rPr>
  </w:style>
  <w:style w:type="paragraph" w:styleId="24">
    <w:name w:val="List Bullet 3"/>
    <w:basedOn w:val="1"/>
    <w:qFormat/>
    <w:uiPriority w:val="0"/>
    <w:pPr>
      <w:tabs>
        <w:tab w:val="left" w:pos="1321"/>
        <w:tab w:val="left" w:pos="2281"/>
      </w:tabs>
      <w:adjustRightInd w:val="0"/>
      <w:spacing w:line="360" w:lineRule="atLeast"/>
      <w:ind w:left="1321" w:leftChars="600" w:hanging="200" w:hangingChars="200"/>
      <w:jc w:val="left"/>
      <w:textAlignment w:val="baseline"/>
    </w:pPr>
    <w:rPr>
      <w:rFonts w:ascii="等线" w:hAnsi="等线" w:eastAsia="PMingLiU" w:cs="等线"/>
      <w:kern w:val="0"/>
      <w:sz w:val="24"/>
      <w:szCs w:val="20"/>
      <w:lang w:eastAsia="zh-TW"/>
    </w:rPr>
  </w:style>
  <w:style w:type="paragraph" w:styleId="25">
    <w:name w:val="Body Text"/>
    <w:basedOn w:val="1"/>
    <w:next w:val="26"/>
    <w:link w:val="89"/>
    <w:qFormat/>
    <w:uiPriority w:val="99"/>
    <w:pPr>
      <w:spacing w:after="120"/>
    </w:pPr>
  </w:style>
  <w:style w:type="paragraph" w:styleId="26">
    <w:name w:val="Body Text First Indent"/>
    <w:basedOn w:val="25"/>
    <w:next w:val="1"/>
    <w:link w:val="101"/>
    <w:qFormat/>
    <w:uiPriority w:val="0"/>
    <w:pPr>
      <w:ind w:firstLine="420" w:firstLineChars="100"/>
    </w:pPr>
  </w:style>
  <w:style w:type="paragraph" w:styleId="27">
    <w:name w:val="Body Text Indent"/>
    <w:basedOn w:val="1"/>
    <w:link w:val="90"/>
    <w:qFormat/>
    <w:uiPriority w:val="0"/>
    <w:pPr>
      <w:ind w:left="480" w:hanging="480" w:hangingChars="200"/>
    </w:pPr>
    <w:rPr>
      <w:sz w:val="24"/>
    </w:rPr>
  </w:style>
  <w:style w:type="paragraph" w:styleId="28">
    <w:name w:val="List Number 3"/>
    <w:basedOn w:val="1"/>
    <w:qFormat/>
    <w:uiPriority w:val="0"/>
    <w:pPr>
      <w:tabs>
        <w:tab w:val="left" w:pos="1200"/>
      </w:tabs>
      <w:ind w:left="1200" w:leftChars="400" w:hanging="360" w:hangingChars="200"/>
    </w:pPr>
    <w:rPr>
      <w:rFonts w:ascii="等线" w:hAnsi="等线" w:eastAsia="等线" w:cs="等线"/>
    </w:rPr>
  </w:style>
  <w:style w:type="paragraph" w:styleId="29">
    <w:name w:val="List 2"/>
    <w:basedOn w:val="1"/>
    <w:qFormat/>
    <w:uiPriority w:val="0"/>
    <w:pPr>
      <w:autoSpaceDE w:val="0"/>
      <w:autoSpaceDN w:val="0"/>
      <w:adjustRightInd w:val="0"/>
      <w:ind w:left="100" w:hanging="200"/>
      <w:textAlignment w:val="baseline"/>
    </w:pPr>
    <w:rPr>
      <w:rFonts w:ascii="等线" w:hAnsi="等线" w:eastAsia="等线" w:cs="等线"/>
      <w:kern w:val="0"/>
      <w:sz w:val="28"/>
      <w:szCs w:val="20"/>
    </w:rPr>
  </w:style>
  <w:style w:type="paragraph" w:styleId="30">
    <w:name w:val="Block Text"/>
    <w:basedOn w:val="1"/>
    <w:qFormat/>
    <w:uiPriority w:val="0"/>
    <w:pPr>
      <w:adjustRightInd w:val="0"/>
      <w:spacing w:line="360" w:lineRule="atLeast"/>
      <w:ind w:left="1260" w:leftChars="525" w:right="22" w:rightChars="9" w:firstLine="200" w:firstLineChars="200"/>
      <w:jc w:val="left"/>
      <w:textAlignment w:val="baseline"/>
    </w:pPr>
    <w:rPr>
      <w:rFonts w:ascii="DFKai-SB" w:hAnsi="DFKai-SB" w:eastAsia="DFKai-SB" w:cs="等线"/>
      <w:kern w:val="0"/>
      <w:sz w:val="28"/>
      <w:szCs w:val="20"/>
      <w:lang w:eastAsia="zh-TW"/>
    </w:rPr>
  </w:style>
  <w:style w:type="paragraph" w:styleId="31">
    <w:name w:val="List Bullet 2"/>
    <w:basedOn w:val="1"/>
    <w:qFormat/>
    <w:uiPriority w:val="0"/>
    <w:pPr>
      <w:tabs>
        <w:tab w:val="left" w:pos="780"/>
      </w:tabs>
      <w:spacing w:line="360" w:lineRule="auto"/>
      <w:ind w:left="780" w:leftChars="200" w:hanging="360" w:hangingChars="200"/>
    </w:pPr>
    <w:rPr>
      <w:rFonts w:ascii="等线" w:hAnsi="等线" w:eastAsia="等线" w:cs="等线"/>
    </w:rPr>
  </w:style>
  <w:style w:type="paragraph" w:styleId="32">
    <w:name w:val="toc 5"/>
    <w:basedOn w:val="1"/>
    <w:next w:val="1"/>
    <w:qFormat/>
    <w:uiPriority w:val="39"/>
    <w:pPr>
      <w:autoSpaceDE w:val="0"/>
      <w:autoSpaceDN w:val="0"/>
      <w:adjustRightInd w:val="0"/>
      <w:ind w:left="1680" w:leftChars="800"/>
      <w:jc w:val="left"/>
    </w:pPr>
    <w:rPr>
      <w:rFonts w:ascii="等线" w:hAnsi="等线" w:eastAsia="等线" w:cs="等线"/>
      <w:kern w:val="0"/>
      <w:sz w:val="20"/>
      <w:szCs w:val="20"/>
    </w:rPr>
  </w:style>
  <w:style w:type="paragraph" w:styleId="33">
    <w:name w:val="toc 3"/>
    <w:basedOn w:val="1"/>
    <w:next w:val="1"/>
    <w:qFormat/>
    <w:uiPriority w:val="39"/>
    <w:pPr>
      <w:ind w:left="840" w:leftChars="400"/>
    </w:pPr>
  </w:style>
  <w:style w:type="paragraph" w:styleId="34">
    <w:name w:val="Plain Text"/>
    <w:basedOn w:val="1"/>
    <w:next w:val="35"/>
    <w:link w:val="91"/>
    <w:qFormat/>
    <w:uiPriority w:val="0"/>
    <w:pPr>
      <w:widowControl/>
      <w:overflowPunct w:val="0"/>
      <w:autoSpaceDE w:val="0"/>
      <w:autoSpaceDN w:val="0"/>
      <w:adjustRightInd w:val="0"/>
      <w:jc w:val="left"/>
      <w:textAlignment w:val="baseline"/>
    </w:pPr>
    <w:rPr>
      <w:rFonts w:ascii="宋体" w:hAnsi="Courier New"/>
      <w:kern w:val="0"/>
      <w:szCs w:val="21"/>
    </w:rPr>
  </w:style>
  <w:style w:type="paragraph" w:styleId="35">
    <w:name w:val="toc 2"/>
    <w:basedOn w:val="1"/>
    <w:next w:val="1"/>
    <w:qFormat/>
    <w:uiPriority w:val="39"/>
    <w:pPr>
      <w:ind w:left="420" w:leftChars="200"/>
    </w:pPr>
  </w:style>
  <w:style w:type="paragraph" w:styleId="36">
    <w:name w:val="List Number 4"/>
    <w:basedOn w:val="1"/>
    <w:qFormat/>
    <w:uiPriority w:val="0"/>
    <w:pPr>
      <w:tabs>
        <w:tab w:val="left" w:pos="840"/>
      </w:tabs>
      <w:autoSpaceDE w:val="0"/>
      <w:autoSpaceDN w:val="0"/>
      <w:adjustRightInd w:val="0"/>
      <w:spacing w:line="360" w:lineRule="atLeast"/>
      <w:ind w:left="840" w:hanging="420"/>
      <w:jc w:val="left"/>
    </w:pPr>
    <w:rPr>
      <w:rFonts w:ascii="等线" w:hAnsi="等线" w:eastAsia="等线" w:cs="等线"/>
      <w:kern w:val="0"/>
      <w:sz w:val="24"/>
      <w:szCs w:val="20"/>
    </w:rPr>
  </w:style>
  <w:style w:type="paragraph" w:styleId="37">
    <w:name w:val="toc 8"/>
    <w:basedOn w:val="1"/>
    <w:next w:val="1"/>
    <w:qFormat/>
    <w:uiPriority w:val="39"/>
    <w:pPr>
      <w:autoSpaceDE w:val="0"/>
      <w:autoSpaceDN w:val="0"/>
      <w:adjustRightInd w:val="0"/>
      <w:ind w:left="2940" w:leftChars="1400"/>
      <w:jc w:val="left"/>
    </w:pPr>
    <w:rPr>
      <w:rFonts w:ascii="等线" w:hAnsi="等线" w:eastAsia="等线" w:cs="等线"/>
      <w:kern w:val="0"/>
      <w:sz w:val="20"/>
      <w:szCs w:val="20"/>
    </w:rPr>
  </w:style>
  <w:style w:type="paragraph" w:styleId="38">
    <w:name w:val="Date"/>
    <w:basedOn w:val="1"/>
    <w:next w:val="1"/>
    <w:link w:val="84"/>
    <w:qFormat/>
    <w:uiPriority w:val="0"/>
    <w:pPr>
      <w:ind w:left="100" w:leftChars="2500"/>
    </w:pPr>
  </w:style>
  <w:style w:type="paragraph" w:styleId="39">
    <w:name w:val="Body Text Indent 2"/>
    <w:basedOn w:val="1"/>
    <w:link w:val="305"/>
    <w:qFormat/>
    <w:uiPriority w:val="0"/>
    <w:pPr>
      <w:spacing w:line="500" w:lineRule="exact"/>
      <w:ind w:firstLine="511" w:firstLineChars="213"/>
    </w:pPr>
    <w:rPr>
      <w:sz w:val="24"/>
    </w:rPr>
  </w:style>
  <w:style w:type="paragraph" w:styleId="40">
    <w:name w:val="endnote text"/>
    <w:basedOn w:val="1"/>
    <w:link w:val="758"/>
    <w:unhideWhenUsed/>
    <w:qFormat/>
    <w:uiPriority w:val="1"/>
    <w:pPr>
      <w:snapToGrid w:val="0"/>
      <w:spacing w:line="360" w:lineRule="auto"/>
      <w:ind w:firstLine="200" w:firstLineChars="200"/>
      <w:jc w:val="left"/>
    </w:pPr>
    <w:rPr>
      <w:sz w:val="28"/>
    </w:rPr>
  </w:style>
  <w:style w:type="paragraph" w:styleId="41">
    <w:name w:val="Balloon Text"/>
    <w:basedOn w:val="1"/>
    <w:link w:val="268"/>
    <w:qFormat/>
    <w:uiPriority w:val="0"/>
    <w:rPr>
      <w:sz w:val="18"/>
      <w:szCs w:val="18"/>
    </w:rPr>
  </w:style>
  <w:style w:type="paragraph" w:styleId="42">
    <w:name w:val="footer"/>
    <w:basedOn w:val="1"/>
    <w:link w:val="88"/>
    <w:qFormat/>
    <w:uiPriority w:val="99"/>
    <w:pPr>
      <w:tabs>
        <w:tab w:val="center" w:pos="4153"/>
        <w:tab w:val="right" w:pos="8306"/>
      </w:tabs>
      <w:snapToGrid w:val="0"/>
      <w:jc w:val="left"/>
    </w:pPr>
    <w:rPr>
      <w:sz w:val="18"/>
      <w:szCs w:val="18"/>
    </w:rPr>
  </w:style>
  <w:style w:type="paragraph" w:styleId="43">
    <w:name w:val="envelope return"/>
    <w:basedOn w:val="1"/>
    <w:qFormat/>
    <w:uiPriority w:val="0"/>
    <w:pPr>
      <w:snapToGrid w:val="0"/>
      <w:spacing w:line="360" w:lineRule="auto"/>
      <w:ind w:firstLine="200" w:firstLineChars="200"/>
    </w:pPr>
    <w:rPr>
      <w:rFonts w:ascii="Arial" w:hAnsi="Arial" w:eastAsia="等线" w:cs="等线"/>
      <w:spacing w:val="-10"/>
      <w:szCs w:val="20"/>
    </w:rPr>
  </w:style>
  <w:style w:type="paragraph" w:styleId="44">
    <w:name w:val="header"/>
    <w:basedOn w:val="1"/>
    <w:link w:val="371"/>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440"/>
    <w:qFormat/>
    <w:uiPriority w:val="0"/>
    <w:pPr>
      <w:autoSpaceDE w:val="0"/>
      <w:autoSpaceDN w:val="0"/>
      <w:adjustRightInd w:val="0"/>
      <w:spacing w:after="600" w:line="312" w:lineRule="atLeast"/>
      <w:jc w:val="center"/>
      <w:textAlignment w:val="baseline"/>
    </w:pPr>
    <w:rPr>
      <w:rFonts w:ascii="等线" w:hAnsi="等线" w:eastAsia="黑体" w:cs="等线"/>
      <w:kern w:val="0"/>
      <w:sz w:val="24"/>
      <w:szCs w:val="20"/>
    </w:rPr>
  </w:style>
  <w:style w:type="paragraph" w:styleId="46">
    <w:name w:val="toc 1"/>
    <w:basedOn w:val="1"/>
    <w:next w:val="1"/>
    <w:qFormat/>
    <w:uiPriority w:val="39"/>
    <w:pPr>
      <w:tabs>
        <w:tab w:val="right" w:leader="dot" w:pos="9628"/>
      </w:tabs>
      <w:spacing w:line="480" w:lineRule="auto"/>
    </w:pPr>
    <w:rPr>
      <w:rFonts w:ascii="Arial" w:hAnsi="Arial" w:eastAsia="新宋体" w:cs="Arial"/>
      <w:bCs/>
      <w:sz w:val="24"/>
    </w:rPr>
  </w:style>
  <w:style w:type="paragraph" w:styleId="47">
    <w:name w:val="toc 4"/>
    <w:basedOn w:val="1"/>
    <w:next w:val="1"/>
    <w:qFormat/>
    <w:uiPriority w:val="39"/>
    <w:pPr>
      <w:autoSpaceDE w:val="0"/>
      <w:autoSpaceDN w:val="0"/>
      <w:adjustRightInd w:val="0"/>
      <w:ind w:left="1260" w:leftChars="600"/>
      <w:jc w:val="left"/>
    </w:pPr>
    <w:rPr>
      <w:rFonts w:ascii="等线" w:hAnsi="等线" w:eastAsia="等线" w:cs="等线"/>
      <w:kern w:val="0"/>
      <w:sz w:val="20"/>
      <w:szCs w:val="20"/>
    </w:rPr>
  </w:style>
  <w:style w:type="paragraph" w:styleId="48">
    <w:name w:val="Subtitle"/>
    <w:basedOn w:val="1"/>
    <w:next w:val="1"/>
    <w:link w:val="436"/>
    <w:qFormat/>
    <w:uiPriority w:val="0"/>
    <w:pPr>
      <w:spacing w:before="240" w:after="60" w:line="312" w:lineRule="auto"/>
      <w:jc w:val="center"/>
      <w:outlineLvl w:val="1"/>
    </w:pPr>
    <w:rPr>
      <w:rFonts w:ascii="Verdana" w:hAnsi="Verdana" w:eastAsia="仿宋_GB2312"/>
      <w:b/>
      <w:bCs/>
      <w:kern w:val="28"/>
      <w:sz w:val="32"/>
      <w:szCs w:val="32"/>
    </w:rPr>
  </w:style>
  <w:style w:type="paragraph" w:styleId="49">
    <w:name w:val="List Number 5"/>
    <w:basedOn w:val="1"/>
    <w:qFormat/>
    <w:uiPriority w:val="0"/>
    <w:pPr>
      <w:tabs>
        <w:tab w:val="left" w:pos="2040"/>
      </w:tabs>
      <w:autoSpaceDE w:val="0"/>
      <w:autoSpaceDN w:val="0"/>
      <w:adjustRightInd w:val="0"/>
      <w:spacing w:line="400" w:lineRule="exact"/>
      <w:ind w:left="2040" w:hanging="360"/>
      <w:jc w:val="left"/>
    </w:pPr>
    <w:rPr>
      <w:rFonts w:ascii="等线" w:hAnsi="等线" w:eastAsia="等线" w:cs="等线"/>
      <w:kern w:val="0"/>
      <w:sz w:val="24"/>
      <w:szCs w:val="20"/>
    </w:rPr>
  </w:style>
  <w:style w:type="paragraph" w:styleId="50">
    <w:name w:val="footnote text"/>
    <w:basedOn w:val="1"/>
    <w:link w:val="435"/>
    <w:qFormat/>
    <w:uiPriority w:val="0"/>
    <w:pPr>
      <w:snapToGrid w:val="0"/>
      <w:spacing w:line="360" w:lineRule="auto"/>
      <w:ind w:firstLine="200" w:firstLineChars="200"/>
      <w:jc w:val="left"/>
    </w:pPr>
    <w:rPr>
      <w:rFonts w:ascii="等线" w:hAnsi="等线" w:eastAsia="等线" w:cs="等线"/>
      <w:sz w:val="18"/>
      <w:szCs w:val="18"/>
    </w:rPr>
  </w:style>
  <w:style w:type="paragraph" w:styleId="51">
    <w:name w:val="toc 6"/>
    <w:basedOn w:val="1"/>
    <w:next w:val="1"/>
    <w:qFormat/>
    <w:uiPriority w:val="39"/>
    <w:pPr>
      <w:autoSpaceDE w:val="0"/>
      <w:autoSpaceDN w:val="0"/>
      <w:adjustRightInd w:val="0"/>
      <w:ind w:left="2100" w:leftChars="1000"/>
      <w:jc w:val="left"/>
    </w:pPr>
    <w:rPr>
      <w:rFonts w:ascii="等线" w:hAnsi="等线" w:eastAsia="等线" w:cs="等线"/>
      <w:kern w:val="0"/>
      <w:sz w:val="20"/>
      <w:szCs w:val="20"/>
    </w:rPr>
  </w:style>
  <w:style w:type="paragraph" w:styleId="52">
    <w:name w:val="Body Text Indent 3"/>
    <w:basedOn w:val="1"/>
    <w:link w:val="202"/>
    <w:qFormat/>
    <w:uiPriority w:val="0"/>
    <w:pPr>
      <w:spacing w:line="500" w:lineRule="exact"/>
      <w:ind w:left="511" w:hanging="511" w:hangingChars="213"/>
    </w:pPr>
    <w:rPr>
      <w:sz w:val="24"/>
    </w:rPr>
  </w:style>
  <w:style w:type="paragraph" w:styleId="53">
    <w:name w:val="table of figures"/>
    <w:basedOn w:val="1"/>
    <w:next w:val="1"/>
    <w:qFormat/>
    <w:uiPriority w:val="0"/>
    <w:pPr>
      <w:spacing w:line="360" w:lineRule="auto"/>
      <w:ind w:left="840" w:leftChars="200" w:hanging="420" w:hangingChars="200"/>
    </w:pPr>
    <w:rPr>
      <w:rFonts w:ascii="等线" w:hAnsi="等线" w:eastAsia="等线" w:cs="等线"/>
      <w:szCs w:val="20"/>
    </w:rPr>
  </w:style>
  <w:style w:type="paragraph" w:styleId="54">
    <w:name w:val="toc 9"/>
    <w:basedOn w:val="1"/>
    <w:next w:val="1"/>
    <w:qFormat/>
    <w:uiPriority w:val="39"/>
    <w:pPr>
      <w:autoSpaceDE w:val="0"/>
      <w:autoSpaceDN w:val="0"/>
      <w:adjustRightInd w:val="0"/>
      <w:ind w:left="3360" w:leftChars="1600"/>
      <w:jc w:val="left"/>
    </w:pPr>
    <w:rPr>
      <w:rFonts w:ascii="等线" w:hAnsi="等线" w:eastAsia="等线" w:cs="等线"/>
      <w:kern w:val="0"/>
      <w:sz w:val="20"/>
      <w:szCs w:val="20"/>
    </w:rPr>
  </w:style>
  <w:style w:type="paragraph" w:styleId="55">
    <w:name w:val="Body Text 2"/>
    <w:basedOn w:val="1"/>
    <w:link w:val="434"/>
    <w:qFormat/>
    <w:uiPriority w:val="0"/>
    <w:pPr>
      <w:autoSpaceDE w:val="0"/>
      <w:autoSpaceDN w:val="0"/>
      <w:adjustRightInd w:val="0"/>
      <w:spacing w:after="120" w:line="480" w:lineRule="auto"/>
      <w:jc w:val="left"/>
    </w:pPr>
    <w:rPr>
      <w:rFonts w:ascii="等线" w:hAnsi="等线" w:eastAsia="等线" w:cs="等线"/>
      <w:kern w:val="0"/>
      <w:sz w:val="20"/>
      <w:szCs w:val="20"/>
    </w:rPr>
  </w:style>
  <w:style w:type="paragraph" w:styleId="56">
    <w:name w:val="Message Header"/>
    <w:basedOn w:val="1"/>
    <w:link w:val="437"/>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60" w:lineRule="atLeast"/>
      <w:ind w:left="1080" w:leftChars="400" w:hanging="1080" w:hangingChars="400"/>
      <w:jc w:val="left"/>
      <w:textAlignment w:val="baseline"/>
    </w:pPr>
    <w:rPr>
      <w:rFonts w:eastAsia="仿宋_GB2312"/>
    </w:rPr>
  </w:style>
  <w:style w:type="paragraph" w:styleId="57">
    <w:name w:val="HTML Preformatted"/>
    <w:basedOn w:val="1"/>
    <w:link w:val="43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200" w:firstLineChars="200"/>
      <w:jc w:val="left"/>
    </w:pPr>
    <w:rPr>
      <w:rFonts w:ascii="黑体" w:hAnsi="Courier New" w:eastAsia="黑体"/>
      <w:kern w:val="0"/>
      <w:sz w:val="20"/>
      <w:szCs w:val="20"/>
    </w:rPr>
  </w:style>
  <w:style w:type="paragraph" w:styleId="58">
    <w:name w:val="Normal (Web)"/>
    <w:basedOn w:val="1"/>
    <w:link w:val="165"/>
    <w:qFormat/>
    <w:uiPriority w:val="1"/>
    <w:pPr>
      <w:widowControl/>
      <w:spacing w:before="100" w:beforeAutospacing="1" w:after="100" w:afterAutospacing="1"/>
      <w:jc w:val="left"/>
    </w:pPr>
    <w:rPr>
      <w:rFonts w:ascii="宋体" w:hAnsi="宋体"/>
      <w:kern w:val="0"/>
      <w:sz w:val="24"/>
    </w:rPr>
  </w:style>
  <w:style w:type="paragraph" w:styleId="59">
    <w:name w:val="index 1"/>
    <w:basedOn w:val="1"/>
    <w:next w:val="1"/>
    <w:qFormat/>
    <w:uiPriority w:val="0"/>
    <w:pPr>
      <w:spacing w:line="360" w:lineRule="auto"/>
      <w:ind w:firstLine="200" w:firstLineChars="200"/>
    </w:pPr>
    <w:rPr>
      <w:rFonts w:ascii="等线" w:hAnsi="等线" w:eastAsia="等线" w:cs="等线"/>
      <w:szCs w:val="20"/>
    </w:rPr>
  </w:style>
  <w:style w:type="paragraph" w:styleId="60">
    <w:name w:val="Title"/>
    <w:basedOn w:val="1"/>
    <w:link w:val="156"/>
    <w:qFormat/>
    <w:uiPriority w:val="0"/>
    <w:pPr>
      <w:autoSpaceDE w:val="0"/>
      <w:autoSpaceDN w:val="0"/>
      <w:adjustRightInd w:val="0"/>
      <w:spacing w:before="240" w:after="60"/>
      <w:jc w:val="center"/>
      <w:outlineLvl w:val="0"/>
    </w:pPr>
    <w:rPr>
      <w:rFonts w:ascii="Verdana" w:hAnsi="Verdana" w:eastAsia="仿宋_GB2312"/>
      <w:b/>
      <w:bCs/>
      <w:kern w:val="0"/>
      <w:sz w:val="32"/>
      <w:szCs w:val="32"/>
    </w:rPr>
  </w:style>
  <w:style w:type="paragraph" w:styleId="61">
    <w:name w:val="annotation subject"/>
    <w:basedOn w:val="21"/>
    <w:next w:val="21"/>
    <w:link w:val="169"/>
    <w:qFormat/>
    <w:uiPriority w:val="1"/>
    <w:rPr>
      <w:b/>
      <w:bCs/>
    </w:rPr>
  </w:style>
  <w:style w:type="paragraph" w:styleId="62">
    <w:name w:val="Body Text First Indent 2"/>
    <w:basedOn w:val="27"/>
    <w:link w:val="438"/>
    <w:unhideWhenUsed/>
    <w:qFormat/>
    <w:uiPriority w:val="0"/>
    <w:pPr>
      <w:spacing w:after="120"/>
      <w:ind w:left="420" w:leftChars="200" w:firstLine="420" w:firstLineChars="200"/>
    </w:pPr>
    <w:rPr>
      <w:sz w:val="21"/>
    </w:rPr>
  </w:style>
  <w:style w:type="table" w:styleId="64">
    <w:name w:val="Table Grid"/>
    <w:basedOn w:val="6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3"/>
    <w:qFormat/>
    <w:uiPriority w:val="0"/>
    <w:pPr>
      <w:widowControl w:val="0"/>
      <w:jc w:val="both"/>
    </w:pPr>
    <w:rPr>
      <w:rFonts w:hint="eastAsia" w:ascii="等线" w:hAnsi="等线" w:eastAsia="等线" w:cs="等线"/>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67">
    <w:name w:val="Strong"/>
    <w:qFormat/>
    <w:uiPriority w:val="0"/>
    <w:rPr>
      <w:b/>
      <w:bCs/>
    </w:rPr>
  </w:style>
  <w:style w:type="character" w:styleId="68">
    <w:name w:val="endnote reference"/>
    <w:unhideWhenUsed/>
    <w:qFormat/>
    <w:uiPriority w:val="1"/>
    <w:rPr>
      <w:vertAlign w:val="superscript"/>
    </w:rPr>
  </w:style>
  <w:style w:type="character" w:styleId="69">
    <w:name w:val="page number"/>
    <w:basedOn w:val="66"/>
    <w:qFormat/>
    <w:uiPriority w:val="0"/>
  </w:style>
  <w:style w:type="character" w:styleId="70">
    <w:name w:val="FollowedHyperlink"/>
    <w:qFormat/>
    <w:uiPriority w:val="0"/>
    <w:rPr>
      <w:color w:val="800080"/>
      <w:u w:val="single"/>
    </w:rPr>
  </w:style>
  <w:style w:type="character" w:styleId="71">
    <w:name w:val="Emphasis"/>
    <w:qFormat/>
    <w:uiPriority w:val="1"/>
    <w:rPr>
      <w:i/>
      <w:iCs/>
    </w:rPr>
  </w:style>
  <w:style w:type="character" w:styleId="72">
    <w:name w:val="line number"/>
    <w:basedOn w:val="66"/>
    <w:qFormat/>
    <w:uiPriority w:val="0"/>
  </w:style>
  <w:style w:type="character" w:styleId="73">
    <w:name w:val="Hyperlink"/>
    <w:basedOn w:val="66"/>
    <w:qFormat/>
    <w:uiPriority w:val="99"/>
    <w:rPr>
      <w:color w:val="000000"/>
      <w:sz w:val="20"/>
      <w:szCs w:val="20"/>
      <w:u w:val="none"/>
    </w:rPr>
  </w:style>
  <w:style w:type="character" w:styleId="74">
    <w:name w:val="annotation reference"/>
    <w:qFormat/>
    <w:uiPriority w:val="1"/>
    <w:rPr>
      <w:sz w:val="21"/>
      <w:szCs w:val="21"/>
    </w:rPr>
  </w:style>
  <w:style w:type="character" w:styleId="75">
    <w:name w:val="HTML Cite"/>
    <w:qFormat/>
    <w:uiPriority w:val="0"/>
    <w:rPr>
      <w:color w:val="008000"/>
    </w:rPr>
  </w:style>
  <w:style w:type="paragraph" w:customStyle="1" w:styleId="76">
    <w:name w:val="[Normal]"/>
    <w:qFormat/>
    <w:uiPriority w:val="0"/>
    <w:rPr>
      <w:rFonts w:ascii="宋体" w:hAnsi="宋体" w:eastAsia="宋体" w:cs="Times New Roman"/>
      <w:sz w:val="24"/>
      <w:szCs w:val="22"/>
      <w:lang w:val="zh-CN" w:eastAsia="zh-CN" w:bidi="ar-SA"/>
    </w:rPr>
  </w:style>
  <w:style w:type="paragraph" w:customStyle="1" w:styleId="77">
    <w:name w:val="样式 10 磅"/>
    <w:qFormat/>
    <w:uiPriority w:val="0"/>
    <w:pPr>
      <w:widowControl w:val="0"/>
      <w:jc w:val="both"/>
    </w:pPr>
    <w:rPr>
      <w:rFonts w:ascii="Calibri" w:hAnsi="Calibri" w:eastAsia="宋体" w:cs="Times New Roman"/>
      <w:kern w:val="2"/>
      <w:sz w:val="21"/>
      <w:szCs w:val="24"/>
      <w:lang w:val="en-US" w:eastAsia="zh-CN" w:bidi="ar-SA"/>
    </w:rPr>
  </w:style>
  <w:style w:type="character" w:customStyle="1" w:styleId="78">
    <w:name w:val="标题 1 字符1"/>
    <w:link w:val="4"/>
    <w:qFormat/>
    <w:uiPriority w:val="9"/>
    <w:rPr>
      <w:rFonts w:ascii="楷体_GB2312" w:eastAsia="楷体_GB2312"/>
      <w:b/>
      <w:bCs/>
      <w:kern w:val="2"/>
      <w:sz w:val="21"/>
      <w:szCs w:val="24"/>
    </w:rPr>
  </w:style>
  <w:style w:type="character" w:customStyle="1" w:styleId="79">
    <w:name w:val="标题 2 字符"/>
    <w:link w:val="2"/>
    <w:qFormat/>
    <w:uiPriority w:val="9"/>
    <w:rPr>
      <w:rFonts w:ascii="Cambria" w:hAnsi="Cambria" w:eastAsia="宋体" w:cs="Times New Roman"/>
      <w:b/>
      <w:bCs/>
      <w:kern w:val="2"/>
      <w:sz w:val="32"/>
      <w:szCs w:val="32"/>
    </w:rPr>
  </w:style>
  <w:style w:type="character" w:customStyle="1" w:styleId="80">
    <w:name w:val="标题 3 字符1"/>
    <w:link w:val="5"/>
    <w:qFormat/>
    <w:uiPriority w:val="9"/>
    <w:rPr>
      <w:b/>
      <w:bCs/>
      <w:kern w:val="2"/>
      <w:sz w:val="32"/>
      <w:szCs w:val="32"/>
      <w:lang w:bidi="ar-SA"/>
    </w:rPr>
  </w:style>
  <w:style w:type="character" w:customStyle="1" w:styleId="81">
    <w:name w:val="标题 4 字符1"/>
    <w:link w:val="6"/>
    <w:qFormat/>
    <w:uiPriority w:val="0"/>
    <w:rPr>
      <w:rFonts w:ascii="Cambria" w:hAnsi="Cambria" w:eastAsia="宋体"/>
      <w:b/>
      <w:bCs/>
      <w:kern w:val="2"/>
      <w:sz w:val="28"/>
      <w:szCs w:val="28"/>
      <w:lang w:bidi="ar-SA"/>
    </w:rPr>
  </w:style>
  <w:style w:type="character" w:customStyle="1" w:styleId="82">
    <w:name w:val="标题 5 字符1"/>
    <w:link w:val="7"/>
    <w:qFormat/>
    <w:uiPriority w:val="9"/>
    <w:rPr>
      <w:b/>
      <w:bCs/>
      <w:kern w:val="2"/>
      <w:sz w:val="28"/>
      <w:szCs w:val="28"/>
    </w:rPr>
  </w:style>
  <w:style w:type="character" w:customStyle="1" w:styleId="83">
    <w:name w:val="标题 6 字符1"/>
    <w:link w:val="8"/>
    <w:qFormat/>
    <w:uiPriority w:val="9"/>
    <w:rPr>
      <w:rFonts w:ascii="Cambria" w:hAnsi="Cambria" w:eastAsia="宋体" w:cs="Times New Roman"/>
      <w:b/>
      <w:bCs/>
      <w:kern w:val="2"/>
      <w:sz w:val="24"/>
      <w:szCs w:val="24"/>
    </w:rPr>
  </w:style>
  <w:style w:type="character" w:customStyle="1" w:styleId="84">
    <w:name w:val="日期 字符"/>
    <w:link w:val="38"/>
    <w:qFormat/>
    <w:uiPriority w:val="0"/>
    <w:rPr>
      <w:kern w:val="2"/>
      <w:sz w:val="21"/>
      <w:szCs w:val="24"/>
    </w:rPr>
  </w:style>
  <w:style w:type="character" w:customStyle="1" w:styleId="85">
    <w:name w:val="样式6 列表并列 Char"/>
    <w:link w:val="86"/>
    <w:qFormat/>
    <w:uiPriority w:val="0"/>
    <w:rPr>
      <w:rFonts w:ascii="Arial" w:hAnsi="Arial" w:cs="Arial"/>
      <w:kern w:val="21"/>
      <w:sz w:val="21"/>
      <w:szCs w:val="24"/>
    </w:rPr>
  </w:style>
  <w:style w:type="paragraph" w:customStyle="1" w:styleId="86">
    <w:name w:val="样式6 列表并列"/>
    <w:link w:val="85"/>
    <w:qFormat/>
    <w:uiPriority w:val="0"/>
    <w:pPr>
      <w:widowControl w:val="0"/>
      <w:tabs>
        <w:tab w:val="left" w:pos="0"/>
      </w:tabs>
      <w:spacing w:before="40" w:after="40" w:line="240" w:lineRule="atLeast"/>
      <w:ind w:left="840" w:hanging="420"/>
    </w:pPr>
    <w:rPr>
      <w:rFonts w:ascii="Arial" w:hAnsi="Arial" w:eastAsia="宋体" w:cs="Arial"/>
      <w:kern w:val="21"/>
      <w:sz w:val="21"/>
      <w:szCs w:val="24"/>
      <w:lang w:val="en-US" w:eastAsia="zh-CN" w:bidi="ar-SA"/>
    </w:rPr>
  </w:style>
  <w:style w:type="character" w:customStyle="1" w:styleId="87">
    <w:name w:val="Texte Char Char"/>
    <w:qFormat/>
    <w:uiPriority w:val="0"/>
    <w:rPr>
      <w:rFonts w:ascii="宋体" w:hAnsi="Courier New" w:eastAsia="宋体"/>
      <w:sz w:val="21"/>
      <w:szCs w:val="21"/>
      <w:lang w:val="en-US" w:eastAsia="zh-CN" w:bidi="ar-SA"/>
    </w:rPr>
  </w:style>
  <w:style w:type="character" w:customStyle="1" w:styleId="88">
    <w:name w:val="页脚 字符"/>
    <w:link w:val="42"/>
    <w:qFormat/>
    <w:uiPriority w:val="99"/>
    <w:rPr>
      <w:kern w:val="2"/>
      <w:sz w:val="18"/>
      <w:szCs w:val="18"/>
    </w:rPr>
  </w:style>
  <w:style w:type="character" w:customStyle="1" w:styleId="89">
    <w:name w:val="正文文本 字符1"/>
    <w:link w:val="25"/>
    <w:qFormat/>
    <w:uiPriority w:val="99"/>
    <w:rPr>
      <w:kern w:val="2"/>
      <w:sz w:val="21"/>
      <w:szCs w:val="24"/>
    </w:rPr>
  </w:style>
  <w:style w:type="character" w:customStyle="1" w:styleId="90">
    <w:name w:val="正文文本缩进 字符1"/>
    <w:link w:val="27"/>
    <w:qFormat/>
    <w:uiPriority w:val="0"/>
    <w:rPr>
      <w:kern w:val="2"/>
      <w:sz w:val="24"/>
      <w:szCs w:val="24"/>
    </w:rPr>
  </w:style>
  <w:style w:type="character" w:customStyle="1" w:styleId="91">
    <w:name w:val="纯文本 字符1"/>
    <w:link w:val="34"/>
    <w:qFormat/>
    <w:uiPriority w:val="0"/>
    <w:rPr>
      <w:rFonts w:ascii="宋体" w:hAnsi="Courier New" w:eastAsia="宋体"/>
      <w:sz w:val="21"/>
      <w:szCs w:val="21"/>
      <w:lang w:val="en-US" w:eastAsia="zh-CN" w:bidi="ar-SA"/>
    </w:rPr>
  </w:style>
  <w:style w:type="character" w:customStyle="1" w:styleId="92">
    <w:name w:val="font31"/>
    <w:basedOn w:val="66"/>
    <w:qFormat/>
    <w:uiPriority w:val="0"/>
    <w:rPr>
      <w:rFonts w:hint="eastAsia" w:ascii="新宋体" w:hAnsi="新宋体" w:eastAsia="新宋体" w:cs="新宋体"/>
      <w:color w:val="000000"/>
      <w:sz w:val="22"/>
      <w:szCs w:val="22"/>
      <w:u w:val="none"/>
    </w:rPr>
  </w:style>
  <w:style w:type="character" w:customStyle="1" w:styleId="93">
    <w:name w:val="style21"/>
    <w:qFormat/>
    <w:uiPriority w:val="0"/>
    <w:rPr>
      <w:sz w:val="15"/>
      <w:szCs w:val="15"/>
    </w:rPr>
  </w:style>
  <w:style w:type="character" w:customStyle="1" w:styleId="94">
    <w:name w:val="BZ_正文 Char"/>
    <w:link w:val="95"/>
    <w:qFormat/>
    <w:uiPriority w:val="0"/>
    <w:rPr>
      <w:rFonts w:ascii="宋体" w:hAnsi="宋体" w:eastAsia="宋体"/>
      <w:kern w:val="2"/>
      <w:sz w:val="24"/>
      <w:szCs w:val="24"/>
    </w:rPr>
  </w:style>
  <w:style w:type="paragraph" w:customStyle="1" w:styleId="95">
    <w:name w:val="BZ_正文"/>
    <w:basedOn w:val="1"/>
    <w:link w:val="94"/>
    <w:qFormat/>
    <w:uiPriority w:val="0"/>
    <w:pPr>
      <w:widowControl/>
      <w:spacing w:line="360" w:lineRule="auto"/>
      <w:ind w:firstLine="480" w:firstLineChars="200"/>
    </w:pPr>
    <w:rPr>
      <w:rFonts w:ascii="宋体" w:hAnsi="宋体"/>
      <w:sz w:val="24"/>
      <w:shd w:val="clear" w:color="auto" w:fill="FFFFFF"/>
    </w:rPr>
  </w:style>
  <w:style w:type="character" w:customStyle="1" w:styleId="96">
    <w:name w:val="Char Char Char"/>
    <w:qFormat/>
    <w:uiPriority w:val="0"/>
    <w:rPr>
      <w:rFonts w:ascii="宋体" w:hAnsi="Courier New" w:eastAsia="宋体"/>
      <w:sz w:val="21"/>
      <w:szCs w:val="21"/>
      <w:lang w:val="en-US" w:eastAsia="zh-CN" w:bidi="ar-SA"/>
    </w:rPr>
  </w:style>
  <w:style w:type="character" w:customStyle="1" w:styleId="97">
    <w:name w:val="font21"/>
    <w:qFormat/>
    <w:uiPriority w:val="0"/>
    <w:rPr>
      <w:rFonts w:hint="eastAsia" w:ascii="宋体" w:hAnsi="宋体" w:eastAsia="宋体" w:cs="宋体"/>
      <w:b/>
      <w:color w:val="000000"/>
      <w:sz w:val="21"/>
      <w:szCs w:val="21"/>
      <w:u w:val="none"/>
    </w:rPr>
  </w:style>
  <w:style w:type="character" w:customStyle="1" w:styleId="98">
    <w:name w:val="font11"/>
    <w:qFormat/>
    <w:uiPriority w:val="0"/>
    <w:rPr>
      <w:rFonts w:hint="default" w:ascii="Times New Roman" w:hAnsi="Times New Roman" w:eastAsia="仿宋_GB2312" w:cs="Times New Roman"/>
      <w:b/>
      <w:color w:val="000000"/>
      <w:sz w:val="21"/>
      <w:szCs w:val="21"/>
      <w:u w:val="none"/>
    </w:rPr>
  </w:style>
  <w:style w:type="character" w:customStyle="1" w:styleId="99">
    <w:name w:val="正文1 Char"/>
    <w:link w:val="100"/>
    <w:qFormat/>
    <w:uiPriority w:val="0"/>
    <w:rPr>
      <w:sz w:val="24"/>
      <w:lang w:val="en-US" w:eastAsia="zh-CN" w:bidi="ar-SA"/>
    </w:rPr>
  </w:style>
  <w:style w:type="paragraph" w:customStyle="1" w:styleId="100">
    <w:name w:val="正文1"/>
    <w:link w:val="99"/>
    <w:qFormat/>
    <w:uiPriority w:val="0"/>
    <w:pPr>
      <w:spacing w:beforeLines="50" w:afterLines="50"/>
      <w:ind w:firstLine="200" w:firstLineChars="200"/>
    </w:pPr>
    <w:rPr>
      <w:rFonts w:ascii="Times New Roman" w:hAnsi="Times New Roman" w:eastAsia="宋体" w:cs="Times New Roman"/>
      <w:sz w:val="24"/>
      <w:lang w:val="en-US" w:eastAsia="zh-CN" w:bidi="ar-SA"/>
    </w:rPr>
  </w:style>
  <w:style w:type="character" w:customStyle="1" w:styleId="101">
    <w:name w:val="正文首行缩进 字符1"/>
    <w:basedOn w:val="89"/>
    <w:link w:val="26"/>
    <w:qFormat/>
    <w:uiPriority w:val="0"/>
    <w:rPr>
      <w:kern w:val="2"/>
      <w:sz w:val="21"/>
      <w:szCs w:val="24"/>
    </w:rPr>
  </w:style>
  <w:style w:type="character" w:customStyle="1" w:styleId="102">
    <w:name w:val="正文缩进 字符1"/>
    <w:link w:val="16"/>
    <w:qFormat/>
    <w:uiPriority w:val="0"/>
    <w:rPr>
      <w:rFonts w:eastAsia="宋体"/>
      <w:sz w:val="21"/>
      <w:lang w:val="en-US" w:eastAsia="zh-CN" w:bidi="ar-SA"/>
    </w:rPr>
  </w:style>
  <w:style w:type="character" w:customStyle="1" w:styleId="103">
    <w:name w:val="BZ_题注_图 Char"/>
    <w:link w:val="104"/>
    <w:qFormat/>
    <w:uiPriority w:val="0"/>
    <w:rPr>
      <w:rFonts w:eastAsia="黑体"/>
      <w:kern w:val="2"/>
      <w:sz w:val="21"/>
      <w:szCs w:val="21"/>
    </w:rPr>
  </w:style>
  <w:style w:type="paragraph" w:customStyle="1" w:styleId="104">
    <w:name w:val="BZ_题注_图"/>
    <w:basedOn w:val="17"/>
    <w:next w:val="1"/>
    <w:link w:val="103"/>
    <w:qFormat/>
    <w:uiPriority w:val="0"/>
    <w:pPr>
      <w:widowControl/>
      <w:spacing w:beforeLines="50" w:afterLines="50"/>
      <w:jc w:val="center"/>
    </w:pPr>
    <w:rPr>
      <w:rFonts w:ascii="Times New Roman" w:hAnsi="Times New Roman"/>
      <w:sz w:val="21"/>
      <w:szCs w:val="21"/>
    </w:rPr>
  </w:style>
  <w:style w:type="character" w:customStyle="1" w:styleId="105">
    <w:name w:val="文档正文 Char"/>
    <w:link w:val="106"/>
    <w:qFormat/>
    <w:uiPriority w:val="0"/>
    <w:rPr>
      <w:rFonts w:ascii="Tahoma" w:hAnsi="Tahoma" w:eastAsia="仿宋_GB2312"/>
      <w:sz w:val="28"/>
      <w:lang w:val="en-US" w:eastAsia="zh-CN" w:bidi="ar-SA"/>
    </w:rPr>
  </w:style>
  <w:style w:type="paragraph" w:customStyle="1" w:styleId="106">
    <w:name w:val="文档正文"/>
    <w:basedOn w:val="1"/>
    <w:link w:val="105"/>
    <w:qFormat/>
    <w:uiPriority w:val="0"/>
    <w:pPr>
      <w:spacing w:line="360" w:lineRule="auto"/>
      <w:ind w:firstLine="480" w:firstLineChars="200"/>
    </w:pPr>
    <w:rPr>
      <w:rFonts w:ascii="Tahoma" w:hAnsi="Tahoma" w:eastAsia="仿宋_GB2312"/>
      <w:kern w:val="0"/>
      <w:sz w:val="28"/>
      <w:szCs w:val="20"/>
    </w:rPr>
  </w:style>
  <w:style w:type="character" w:customStyle="1" w:styleId="107">
    <w:name w:val="unnamed51"/>
    <w:qFormat/>
    <w:uiPriority w:val="0"/>
    <w:rPr>
      <w:sz w:val="22"/>
      <w:szCs w:val="22"/>
    </w:rPr>
  </w:style>
  <w:style w:type="character" w:customStyle="1" w:styleId="108">
    <w:name w:val="Char Char2"/>
    <w:qFormat/>
    <w:uiPriority w:val="0"/>
    <w:rPr>
      <w:rFonts w:ascii="宋体" w:hAnsi="Courier New" w:eastAsia="宋体"/>
      <w:kern w:val="2"/>
      <w:sz w:val="21"/>
      <w:lang w:val="en-US" w:eastAsia="zh-CN"/>
    </w:rPr>
  </w:style>
  <w:style w:type="character" w:customStyle="1" w:styleId="109">
    <w:name w:val="BZ_三级标题 Char"/>
    <w:link w:val="110"/>
    <w:qFormat/>
    <w:uiPriority w:val="0"/>
    <w:rPr>
      <w:rFonts w:eastAsia="黑体"/>
      <w:b/>
      <w:bCs/>
      <w:kern w:val="2"/>
      <w:sz w:val="28"/>
      <w:szCs w:val="28"/>
    </w:rPr>
  </w:style>
  <w:style w:type="paragraph" w:customStyle="1" w:styleId="110">
    <w:name w:val="BZ_三级标题"/>
    <w:basedOn w:val="5"/>
    <w:next w:val="95"/>
    <w:link w:val="109"/>
    <w:qFormat/>
    <w:uiPriority w:val="0"/>
    <w:pPr>
      <w:spacing w:line="240" w:lineRule="auto"/>
      <w:ind w:left="720" w:hanging="720"/>
    </w:pPr>
    <w:rPr>
      <w:rFonts w:eastAsia="黑体"/>
      <w:sz w:val="28"/>
      <w:szCs w:val="28"/>
    </w:rPr>
  </w:style>
  <w:style w:type="character" w:customStyle="1" w:styleId="111">
    <w:name w:val="哈哈正文 Char"/>
    <w:link w:val="112"/>
    <w:qFormat/>
    <w:uiPriority w:val="0"/>
    <w:rPr>
      <w:rFonts w:ascii="宋体" w:hAnsi="宋体" w:eastAsia="宋体" w:cs="宋体"/>
      <w:kern w:val="2"/>
      <w:sz w:val="24"/>
      <w:lang w:val="en-US" w:eastAsia="zh-CN" w:bidi="ar-SA"/>
    </w:rPr>
  </w:style>
  <w:style w:type="paragraph" w:customStyle="1" w:styleId="112">
    <w:name w:val="哈哈正文"/>
    <w:basedOn w:val="1"/>
    <w:link w:val="111"/>
    <w:qFormat/>
    <w:uiPriority w:val="0"/>
    <w:pPr>
      <w:spacing w:line="360" w:lineRule="auto"/>
      <w:ind w:firstLine="200" w:firstLineChars="200"/>
    </w:pPr>
    <w:rPr>
      <w:rFonts w:ascii="宋体" w:hAnsi="宋体" w:cs="宋体"/>
      <w:sz w:val="24"/>
      <w:szCs w:val="20"/>
    </w:rPr>
  </w:style>
  <w:style w:type="character" w:customStyle="1" w:styleId="113">
    <w:name w:val="批注文字 字符"/>
    <w:link w:val="21"/>
    <w:qFormat/>
    <w:uiPriority w:val="1"/>
    <w:rPr>
      <w:kern w:val="2"/>
      <w:sz w:val="21"/>
      <w:szCs w:val="24"/>
    </w:rPr>
  </w:style>
  <w:style w:type="character" w:customStyle="1" w:styleId="114">
    <w:name w:val="fontstyle01"/>
    <w:qFormat/>
    <w:uiPriority w:val="0"/>
    <w:rPr>
      <w:rFonts w:hint="eastAsia" w:ascii="楷体" w:hAnsi="楷体" w:eastAsia="楷体"/>
      <w:color w:val="000000"/>
      <w:sz w:val="24"/>
      <w:szCs w:val="24"/>
    </w:rPr>
  </w:style>
  <w:style w:type="character" w:customStyle="1" w:styleId="115">
    <w:name w:val="List Paragraph Char"/>
    <w:link w:val="116"/>
    <w:qFormat/>
    <w:uiPriority w:val="0"/>
    <w:rPr>
      <w:rFonts w:ascii="Calibri" w:hAnsi="Calibri" w:eastAsia="宋体"/>
      <w:kern w:val="2"/>
      <w:sz w:val="21"/>
      <w:szCs w:val="22"/>
      <w:lang w:val="en-US" w:eastAsia="zh-CN" w:bidi="ar-SA"/>
    </w:rPr>
  </w:style>
  <w:style w:type="paragraph" w:customStyle="1" w:styleId="116">
    <w:name w:val="列出段落1"/>
    <w:basedOn w:val="1"/>
    <w:link w:val="115"/>
    <w:qFormat/>
    <w:uiPriority w:val="0"/>
    <w:pPr>
      <w:ind w:firstLine="420" w:firstLineChars="200"/>
    </w:pPr>
    <w:rPr>
      <w:rFonts w:ascii="Calibri" w:hAnsi="Calibri"/>
      <w:szCs w:val="22"/>
    </w:rPr>
  </w:style>
  <w:style w:type="paragraph" w:customStyle="1" w:styleId="117">
    <w:name w:val="正文2"/>
    <w:basedOn w:val="1"/>
    <w:qFormat/>
    <w:uiPriority w:val="0"/>
    <w:pPr>
      <w:spacing w:before="156" w:line="360" w:lineRule="auto"/>
      <w:ind w:firstLine="510" w:firstLineChars="200"/>
    </w:pPr>
    <w:rPr>
      <w:sz w:val="24"/>
      <w:szCs w:val="20"/>
    </w:rPr>
  </w:style>
  <w:style w:type="paragraph" w:customStyle="1" w:styleId="118">
    <w:name w:val="Char Char Char Char"/>
    <w:basedOn w:val="19"/>
    <w:qFormat/>
    <w:uiPriority w:val="0"/>
    <w:rPr>
      <w:rFonts w:ascii="Tahoma" w:hAnsi="Tahoma"/>
      <w:sz w:val="24"/>
    </w:rPr>
  </w:style>
  <w:style w:type="paragraph" w:customStyle="1" w:styleId="119">
    <w:name w:val="Char1 Char Char Char"/>
    <w:basedOn w:val="1"/>
    <w:qFormat/>
    <w:uiPriority w:val="0"/>
    <w:rPr>
      <w:rFonts w:ascii="Tahoma" w:hAnsi="Tahoma"/>
      <w:sz w:val="24"/>
      <w:szCs w:val="20"/>
    </w:rPr>
  </w:style>
  <w:style w:type="paragraph" w:customStyle="1" w:styleId="120">
    <w:name w:val="style31"/>
    <w:basedOn w:val="1"/>
    <w:qFormat/>
    <w:uiPriority w:val="0"/>
    <w:pPr>
      <w:widowControl/>
      <w:spacing w:before="100" w:beforeAutospacing="1" w:after="100" w:afterAutospacing="1"/>
      <w:jc w:val="left"/>
    </w:pPr>
    <w:rPr>
      <w:rFonts w:ascii="宋体" w:hAnsi="宋体" w:cs="宋体"/>
      <w:kern w:val="0"/>
      <w:sz w:val="24"/>
    </w:rPr>
  </w:style>
  <w:style w:type="paragraph" w:customStyle="1" w:styleId="121">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122">
    <w:name w:val="Char Char Char Char Char Char Char Char Char Char Char Char Char1"/>
    <w:basedOn w:val="1"/>
    <w:qFormat/>
    <w:uiPriority w:val="0"/>
    <w:rPr>
      <w:rFonts w:ascii="Tahoma" w:hAnsi="Tahoma"/>
      <w:sz w:val="24"/>
      <w:szCs w:val="20"/>
    </w:rPr>
  </w:style>
  <w:style w:type="paragraph" w:styleId="123">
    <w:name w:val="List Paragraph"/>
    <w:basedOn w:val="1"/>
    <w:qFormat/>
    <w:uiPriority w:val="0"/>
    <w:pPr>
      <w:ind w:firstLine="420" w:firstLineChars="200"/>
    </w:pPr>
  </w:style>
  <w:style w:type="paragraph" w:customStyle="1" w:styleId="124">
    <w:name w:val="BZ_六级标题"/>
    <w:basedOn w:val="8"/>
    <w:next w:val="95"/>
    <w:qFormat/>
    <w:uiPriority w:val="0"/>
    <w:pPr>
      <w:widowControl/>
      <w:tabs>
        <w:tab w:val="left" w:pos="360"/>
      </w:tabs>
      <w:spacing w:beforeLines="50" w:afterLines="50" w:line="240" w:lineRule="auto"/>
    </w:pPr>
    <w:rPr>
      <w:rFonts w:eastAsia="黑体"/>
    </w:rPr>
  </w:style>
  <w:style w:type="paragraph" w:customStyle="1" w:styleId="125">
    <w:name w:val="正文－恩普"/>
    <w:basedOn w:val="16"/>
    <w:qFormat/>
    <w:uiPriority w:val="0"/>
    <w:pPr>
      <w:framePr w:wrap="around" w:vAnchor="text" w:hAnchor="text" w:y="1"/>
      <w:adjustRightInd/>
      <w:spacing w:line="360" w:lineRule="auto"/>
      <w:ind w:firstLine="200" w:firstLineChars="200"/>
      <w:textAlignment w:val="auto"/>
    </w:pPr>
    <w:rPr>
      <w:kern w:val="2"/>
      <w:sz w:val="24"/>
      <w:szCs w:val="24"/>
    </w:rPr>
  </w:style>
  <w:style w:type="paragraph" w:customStyle="1" w:styleId="126">
    <w:name w:val="Char Char Char Char2"/>
    <w:basedOn w:val="19"/>
    <w:qFormat/>
    <w:uiPriority w:val="0"/>
  </w:style>
  <w:style w:type="paragraph" w:customStyle="1" w:styleId="127">
    <w:name w:val="默认段落字体 Para Char"/>
    <w:basedOn w:val="1"/>
    <w:qFormat/>
    <w:uiPriority w:val="0"/>
    <w:pPr>
      <w:tabs>
        <w:tab w:val="left" w:pos="360"/>
      </w:tabs>
      <w:adjustRightInd w:val="0"/>
      <w:textAlignment w:val="baseline"/>
    </w:pPr>
    <w:rPr>
      <w:kern w:val="0"/>
      <w:sz w:val="24"/>
      <w:szCs w:val="20"/>
    </w:rPr>
  </w:style>
  <w:style w:type="paragraph" w:customStyle="1" w:styleId="128">
    <w:name w:val="Char Char Char Char Char Char Char1"/>
    <w:basedOn w:val="1"/>
    <w:qFormat/>
    <w:uiPriority w:val="0"/>
    <w:rPr>
      <w:rFonts w:ascii="仿宋_GB2312" w:eastAsia="仿宋_GB2312"/>
      <w:b/>
      <w:sz w:val="32"/>
      <w:szCs w:val="32"/>
    </w:rPr>
  </w:style>
  <w:style w:type="paragraph" w:customStyle="1" w:styleId="129">
    <w:name w:val="简单回函地址"/>
    <w:basedOn w:val="1"/>
    <w:qFormat/>
    <w:uiPriority w:val="0"/>
  </w:style>
  <w:style w:type="paragraph" w:customStyle="1" w:styleId="130">
    <w:name w:val="Char Char7 Char"/>
    <w:basedOn w:val="1"/>
    <w:qFormat/>
    <w:uiPriority w:val="0"/>
    <w:pPr>
      <w:tabs>
        <w:tab w:val="left" w:pos="425"/>
      </w:tabs>
      <w:ind w:left="420" w:leftChars="200" w:firstLine="270" w:firstLineChars="150"/>
    </w:pPr>
  </w:style>
  <w:style w:type="paragraph" w:customStyle="1" w:styleId="131">
    <w:name w:val="BZ_一级标题"/>
    <w:basedOn w:val="4"/>
    <w:next w:val="95"/>
    <w:link w:val="175"/>
    <w:qFormat/>
    <w:uiPriority w:val="0"/>
    <w:pPr>
      <w:keepLines/>
      <w:widowControl/>
      <w:spacing w:beforeLines="50" w:afterLines="50"/>
      <w:ind w:left="432" w:hanging="432"/>
      <w:jc w:val="both"/>
    </w:pPr>
    <w:rPr>
      <w:rFonts w:ascii="Times New Roman" w:eastAsia="华文中宋"/>
      <w:kern w:val="44"/>
      <w:sz w:val="36"/>
      <w:szCs w:val="36"/>
    </w:rPr>
  </w:style>
  <w:style w:type="paragraph" w:customStyle="1" w:styleId="132">
    <w:name w:val="保留正文"/>
    <w:basedOn w:val="25"/>
    <w:qFormat/>
    <w:uiPriority w:val="0"/>
    <w:pPr>
      <w:keepNext/>
      <w:spacing w:after="160"/>
    </w:pPr>
  </w:style>
  <w:style w:type="paragraph" w:customStyle="1" w:styleId="133">
    <w:name w:val="Char Char Char Char Char Char Char"/>
    <w:basedOn w:val="1"/>
    <w:qFormat/>
    <w:uiPriority w:val="0"/>
    <w:rPr>
      <w:rFonts w:ascii="仿宋_GB2312" w:eastAsia="仿宋_GB2312"/>
      <w:b/>
      <w:sz w:val="32"/>
      <w:szCs w:val="32"/>
    </w:rPr>
  </w:style>
  <w:style w:type="paragraph" w:customStyle="1" w:styleId="134">
    <w:name w:val="xl55"/>
    <w:basedOn w:val="1"/>
    <w:qFormat/>
    <w:uiPriority w:val="0"/>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135">
    <w:name w:val="Char Char"/>
    <w:basedOn w:val="1"/>
    <w:qFormat/>
    <w:uiPriority w:val="0"/>
    <w:rPr>
      <w:rFonts w:ascii="仿宋_GB2312" w:eastAsia="仿宋_GB2312"/>
      <w:b/>
      <w:sz w:val="32"/>
      <w:szCs w:val="32"/>
    </w:rPr>
  </w:style>
  <w:style w:type="paragraph" w:customStyle="1" w:styleId="136">
    <w:name w:val="CM106"/>
    <w:basedOn w:val="137"/>
    <w:next w:val="137"/>
    <w:qFormat/>
    <w:uiPriority w:val="0"/>
    <w:rPr>
      <w:rFonts w:ascii="宋体" w:cs="Times New Roman"/>
      <w:color w:val="auto"/>
    </w:rPr>
  </w:style>
  <w:style w:type="paragraph" w:customStyle="1" w:styleId="137">
    <w:name w:val="Default"/>
    <w:qFormat/>
    <w:uiPriority w:val="99"/>
    <w:pPr>
      <w:widowControl w:val="0"/>
      <w:autoSpaceDE w:val="0"/>
      <w:autoSpaceDN w:val="0"/>
      <w:adjustRightInd w:val="0"/>
    </w:pPr>
    <w:rPr>
      <w:rFonts w:ascii="仿宋_GB2312" w:hAnsi="Times New Roman" w:eastAsia="宋体" w:cs="仿宋_GB2312"/>
      <w:color w:val="000000"/>
      <w:sz w:val="24"/>
      <w:szCs w:val="24"/>
      <w:lang w:val="en-US" w:eastAsia="zh-CN" w:bidi="ar-SA"/>
    </w:rPr>
  </w:style>
  <w:style w:type="paragraph" w:customStyle="1" w:styleId="138">
    <w:name w:val="Char Char Char Char1"/>
    <w:basedOn w:val="1"/>
    <w:qFormat/>
    <w:uiPriority w:val="0"/>
    <w:rPr>
      <w:rFonts w:ascii="Tahoma" w:hAnsi="Tahoma"/>
      <w:sz w:val="24"/>
      <w:szCs w:val="20"/>
    </w:rPr>
  </w:style>
  <w:style w:type="paragraph" w:customStyle="1" w:styleId="139">
    <w:name w:val="Char Char Char Char Char Char Char Char Char Char Char Char Char"/>
    <w:basedOn w:val="1"/>
    <w:qFormat/>
    <w:uiPriority w:val="0"/>
    <w:rPr>
      <w:rFonts w:ascii="Tahoma" w:hAnsi="Tahoma"/>
      <w:sz w:val="24"/>
      <w:szCs w:val="20"/>
    </w:rPr>
  </w:style>
  <w:style w:type="paragraph" w:customStyle="1" w:styleId="140">
    <w:name w:val="Char Char1 Char Char Char Char Char Char"/>
    <w:basedOn w:val="1"/>
    <w:qFormat/>
    <w:uiPriority w:val="0"/>
    <w:pPr>
      <w:widowControl/>
      <w:spacing w:after="160" w:line="240" w:lineRule="exact"/>
      <w:jc w:val="left"/>
    </w:pPr>
    <w:rPr>
      <w:rFonts w:ascii="宋体" w:hAnsi="宋体" w:cs="宋体"/>
      <w:kern w:val="0"/>
      <w:szCs w:val="20"/>
    </w:rPr>
  </w:style>
  <w:style w:type="paragraph" w:customStyle="1" w:styleId="141">
    <w:name w:val="BZ_五级标题"/>
    <w:basedOn w:val="7"/>
    <w:next w:val="95"/>
    <w:qFormat/>
    <w:uiPriority w:val="0"/>
    <w:pPr>
      <w:widowControl/>
      <w:spacing w:beforeLines="50" w:afterLines="50" w:line="240" w:lineRule="auto"/>
    </w:pPr>
    <w:rPr>
      <w:rFonts w:eastAsia="黑体"/>
      <w:b w:val="0"/>
      <w:sz w:val="24"/>
      <w:szCs w:val="24"/>
    </w:rPr>
  </w:style>
  <w:style w:type="paragraph" w:customStyle="1" w:styleId="142">
    <w:name w:val="Char Char Char Char Char Char Char Char Char Char Char Char Char2"/>
    <w:basedOn w:val="1"/>
    <w:qFormat/>
    <w:uiPriority w:val="0"/>
    <w:rPr>
      <w:rFonts w:ascii="Tahoma" w:hAnsi="Tahoma"/>
      <w:sz w:val="24"/>
      <w:szCs w:val="20"/>
    </w:rPr>
  </w:style>
  <w:style w:type="paragraph" w:customStyle="1" w:styleId="143">
    <w:name w:val="Char Char Char Char Char Char Char2"/>
    <w:basedOn w:val="1"/>
    <w:qFormat/>
    <w:uiPriority w:val="0"/>
    <w:rPr>
      <w:rFonts w:ascii="仿宋_GB2312" w:eastAsia="仿宋_GB2312"/>
      <w:b/>
      <w:sz w:val="32"/>
      <w:szCs w:val="32"/>
    </w:rPr>
  </w:style>
  <w:style w:type="paragraph" w:customStyle="1" w:styleId="144">
    <w:name w:val="1"/>
    <w:basedOn w:val="16"/>
    <w:qFormat/>
    <w:uiPriority w:val="99"/>
    <w:pPr>
      <w:framePr w:wrap="around" w:vAnchor="text" w:hAnchor="text" w:y="1"/>
      <w:adjustRightInd/>
      <w:spacing w:line="360" w:lineRule="auto"/>
      <w:ind w:firstLine="200" w:firstLineChars="200"/>
      <w:textAlignment w:val="auto"/>
    </w:pPr>
    <w:rPr>
      <w:kern w:val="2"/>
      <w:sz w:val="24"/>
      <w:szCs w:val="24"/>
    </w:rPr>
  </w:style>
  <w:style w:type="paragraph" w:customStyle="1" w:styleId="145">
    <w:name w:val="样式 Arial 小四 首行缩进:  0.85 厘米"/>
    <w:basedOn w:val="1"/>
    <w:qFormat/>
    <w:uiPriority w:val="0"/>
    <w:pPr>
      <w:spacing w:line="360" w:lineRule="auto"/>
      <w:ind w:firstLine="482"/>
    </w:pPr>
    <w:rPr>
      <w:rFonts w:ascii="Arial" w:hAnsi="Arial" w:cs="宋体"/>
      <w:sz w:val="24"/>
      <w:szCs w:val="20"/>
    </w:rPr>
  </w:style>
  <w:style w:type="paragraph" w:customStyle="1" w:styleId="146">
    <w:name w:val="修订1"/>
    <w:qFormat/>
    <w:uiPriority w:val="99"/>
    <w:rPr>
      <w:rFonts w:ascii="Times New Roman" w:hAnsi="Times New Roman" w:eastAsia="宋体" w:cs="Times New Roman"/>
      <w:kern w:val="2"/>
      <w:sz w:val="21"/>
      <w:szCs w:val="24"/>
      <w:lang w:val="en-US" w:eastAsia="zh-CN" w:bidi="ar-SA"/>
    </w:rPr>
  </w:style>
  <w:style w:type="paragraph" w:customStyle="1" w:styleId="147">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148">
    <w:name w:val="BZ_二级标题"/>
    <w:basedOn w:val="2"/>
    <w:next w:val="133"/>
    <w:qFormat/>
    <w:uiPriority w:val="0"/>
    <w:pPr>
      <w:widowControl/>
      <w:spacing w:beforeLines="50" w:afterLines="50" w:line="240" w:lineRule="auto"/>
      <w:ind w:left="576" w:hanging="576"/>
    </w:pPr>
    <w:rPr>
      <w:rFonts w:ascii="Times New Roman" w:hAnsi="Times New Roman" w:eastAsia="楷体"/>
    </w:rPr>
  </w:style>
  <w:style w:type="paragraph" w:customStyle="1" w:styleId="149">
    <w:name w:val="Char1 Char Char Char1"/>
    <w:basedOn w:val="1"/>
    <w:qFormat/>
    <w:uiPriority w:val="0"/>
    <w:rPr>
      <w:rFonts w:ascii="仿宋_GB2312" w:eastAsia="仿宋_GB2312"/>
      <w:b/>
      <w:sz w:val="32"/>
      <w:szCs w:val="32"/>
    </w:rPr>
  </w:style>
  <w:style w:type="character" w:customStyle="1" w:styleId="150">
    <w:name w:val="纯文本 Char1"/>
    <w:qFormat/>
    <w:uiPriority w:val="0"/>
    <w:rPr>
      <w:rFonts w:ascii="宋体" w:hAnsi="Courier New"/>
      <w:kern w:val="2"/>
      <w:sz w:val="21"/>
      <w:szCs w:val="24"/>
    </w:rPr>
  </w:style>
  <w:style w:type="paragraph" w:customStyle="1" w:styleId="151">
    <w:name w:val="样式6"/>
    <w:basedOn w:val="1"/>
    <w:qFormat/>
    <w:uiPriority w:val="0"/>
    <w:pPr>
      <w:spacing w:line="360" w:lineRule="auto"/>
      <w:ind w:firstLine="200" w:firstLineChars="200"/>
      <w:jc w:val="left"/>
    </w:pPr>
    <w:rPr>
      <w:sz w:val="24"/>
    </w:rPr>
  </w:style>
  <w:style w:type="paragraph" w:customStyle="1" w:styleId="152">
    <w:name w:val="正文空2格  1."/>
    <w:basedOn w:val="1"/>
    <w:qFormat/>
    <w:uiPriority w:val="0"/>
    <w:pPr>
      <w:adjustRightInd w:val="0"/>
      <w:spacing w:line="360" w:lineRule="auto"/>
      <w:ind w:firstLine="480" w:firstLineChars="200"/>
      <w:textAlignment w:val="baseline"/>
    </w:pPr>
    <w:rPr>
      <w:rFonts w:ascii="宋体" w:eastAsia="仿宋" w:cs="宋体"/>
      <w:kern w:val="0"/>
      <w:sz w:val="28"/>
      <w:szCs w:val="20"/>
    </w:rPr>
  </w:style>
  <w:style w:type="character" w:customStyle="1" w:styleId="153">
    <w:name w:val="正文首行缩进2字符 Char"/>
    <w:link w:val="154"/>
    <w:qFormat/>
    <w:uiPriority w:val="0"/>
    <w:rPr>
      <w:rFonts w:eastAsia="仿宋"/>
      <w:sz w:val="28"/>
    </w:rPr>
  </w:style>
  <w:style w:type="paragraph" w:customStyle="1" w:styleId="154">
    <w:name w:val="正文首行缩进2字符"/>
    <w:basedOn w:val="1"/>
    <w:link w:val="153"/>
    <w:qFormat/>
    <w:uiPriority w:val="0"/>
    <w:pPr>
      <w:spacing w:line="360" w:lineRule="auto"/>
      <w:ind w:firstLine="200" w:firstLineChars="200"/>
    </w:pPr>
    <w:rPr>
      <w:rFonts w:eastAsia="仿宋"/>
      <w:kern w:val="0"/>
      <w:sz w:val="28"/>
      <w:szCs w:val="20"/>
    </w:rPr>
  </w:style>
  <w:style w:type="character" w:customStyle="1" w:styleId="155">
    <w:name w:val="generalinfo-address-text"/>
    <w:basedOn w:val="66"/>
    <w:qFormat/>
    <w:uiPriority w:val="0"/>
  </w:style>
  <w:style w:type="character" w:customStyle="1" w:styleId="156">
    <w:name w:val="标题 字符"/>
    <w:link w:val="60"/>
    <w:qFormat/>
    <w:uiPriority w:val="0"/>
    <w:rPr>
      <w:rFonts w:ascii="Verdana" w:hAnsi="Verdana" w:eastAsia="仿宋_GB2312"/>
      <w:b/>
      <w:bCs/>
      <w:sz w:val="32"/>
      <w:szCs w:val="32"/>
    </w:rPr>
  </w:style>
  <w:style w:type="paragraph" w:customStyle="1" w:styleId="157">
    <w:name w:val="方案正文"/>
    <w:basedOn w:val="1"/>
    <w:link w:val="158"/>
    <w:qFormat/>
    <w:uiPriority w:val="0"/>
    <w:pPr>
      <w:spacing w:line="360" w:lineRule="auto"/>
      <w:ind w:firstLine="200" w:firstLineChars="200"/>
    </w:pPr>
    <w:rPr>
      <w:rFonts w:ascii="Century Gothic" w:hAnsi="Century Gothic"/>
      <w:szCs w:val="28"/>
    </w:rPr>
  </w:style>
  <w:style w:type="character" w:customStyle="1" w:styleId="158">
    <w:name w:val="方案正文 字符"/>
    <w:link w:val="157"/>
    <w:qFormat/>
    <w:uiPriority w:val="0"/>
    <w:rPr>
      <w:rFonts w:ascii="Century Gothic" w:hAnsi="Century Gothic" w:cs="Times New Roman"/>
      <w:kern w:val="2"/>
      <w:sz w:val="21"/>
      <w:szCs w:val="28"/>
    </w:rPr>
  </w:style>
  <w:style w:type="paragraph" w:customStyle="1" w:styleId="159">
    <w:name w:val="正文缩进1"/>
    <w:basedOn w:val="1"/>
    <w:qFormat/>
    <w:uiPriority w:val="0"/>
    <w:pPr>
      <w:spacing w:line="360" w:lineRule="auto"/>
      <w:ind w:firstLine="454"/>
      <w:jc w:val="left"/>
    </w:pPr>
    <w:rPr>
      <w:sz w:val="24"/>
    </w:rPr>
  </w:style>
  <w:style w:type="character" w:customStyle="1" w:styleId="160">
    <w:name w:val="ant-form-item-children"/>
    <w:basedOn w:val="66"/>
    <w:qFormat/>
    <w:uiPriority w:val="0"/>
  </w:style>
  <w:style w:type="paragraph" w:customStyle="1" w:styleId="161">
    <w:name w:val="BZ_四级标题"/>
    <w:basedOn w:val="6"/>
    <w:next w:val="1"/>
    <w:link w:val="309"/>
    <w:qFormat/>
    <w:uiPriority w:val="0"/>
    <w:pPr>
      <w:widowControl/>
      <w:spacing w:beforeLines="50" w:afterLines="50" w:line="240" w:lineRule="auto"/>
      <w:ind w:left="864" w:hanging="864"/>
    </w:pPr>
    <w:rPr>
      <w:rFonts w:ascii="Times New Roman" w:hAnsi="Times New Roman" w:eastAsia="黑体"/>
      <w:b w:val="0"/>
      <w:sz w:val="24"/>
    </w:rPr>
  </w:style>
  <w:style w:type="paragraph" w:customStyle="1" w:styleId="162">
    <w:name w:val="_Style 10"/>
    <w:basedOn w:val="1"/>
    <w:qFormat/>
    <w:uiPriority w:val="0"/>
    <w:pPr>
      <w:spacing w:beforeLines="50" w:afterLines="50"/>
    </w:pPr>
    <w:rPr>
      <w:rFonts w:ascii="Calibri" w:hAnsi="Calibri"/>
      <w:szCs w:val="20"/>
    </w:rPr>
  </w:style>
  <w:style w:type="paragraph" w:customStyle="1" w:styleId="163">
    <w:name w:val="样式"/>
    <w:qFormat/>
    <w:uiPriority w:val="0"/>
    <w:pPr>
      <w:widowControl w:val="0"/>
      <w:autoSpaceDE w:val="0"/>
      <w:autoSpaceDN w:val="0"/>
      <w:adjustRightInd w:val="0"/>
    </w:pPr>
    <w:rPr>
      <w:rFonts w:ascii="宋体" w:hAnsi="Calibri" w:eastAsia="宋体" w:cs="宋体"/>
      <w:sz w:val="24"/>
      <w:szCs w:val="24"/>
      <w:lang w:val="en-US" w:eastAsia="zh-CN" w:bidi="ar-SA"/>
    </w:rPr>
  </w:style>
  <w:style w:type="paragraph" w:customStyle="1" w:styleId="164">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5">
    <w:name w:val="普通(网站) 字符"/>
    <w:link w:val="58"/>
    <w:qFormat/>
    <w:uiPriority w:val="0"/>
    <w:rPr>
      <w:rFonts w:ascii="宋体" w:hAnsi="宋体" w:cs="宋体"/>
      <w:sz w:val="24"/>
      <w:szCs w:val="24"/>
    </w:rPr>
  </w:style>
  <w:style w:type="character" w:customStyle="1" w:styleId="166">
    <w:name w:val="标题 7 字符1"/>
    <w:basedOn w:val="66"/>
    <w:link w:val="9"/>
    <w:qFormat/>
    <w:uiPriority w:val="9"/>
    <w:rPr>
      <w:rFonts w:eastAsia="等线"/>
      <w:b/>
      <w:kern w:val="2"/>
      <w:sz w:val="24"/>
      <w:szCs w:val="24"/>
    </w:rPr>
  </w:style>
  <w:style w:type="character" w:customStyle="1" w:styleId="167">
    <w:name w:val="标题 8 字符1"/>
    <w:basedOn w:val="66"/>
    <w:link w:val="10"/>
    <w:qFormat/>
    <w:uiPriority w:val="9"/>
    <w:rPr>
      <w:rFonts w:ascii="Arial" w:hAnsi="Arial" w:eastAsia="黑体"/>
      <w:kern w:val="2"/>
      <w:sz w:val="24"/>
      <w:szCs w:val="24"/>
    </w:rPr>
  </w:style>
  <w:style w:type="character" w:customStyle="1" w:styleId="168">
    <w:name w:val="标题 9 字符1"/>
    <w:basedOn w:val="66"/>
    <w:link w:val="11"/>
    <w:qFormat/>
    <w:uiPriority w:val="9"/>
    <w:rPr>
      <w:rFonts w:ascii="Arial" w:hAnsi="Arial" w:eastAsia="黑体"/>
      <w:kern w:val="2"/>
      <w:sz w:val="24"/>
      <w:szCs w:val="24"/>
    </w:rPr>
  </w:style>
  <w:style w:type="character" w:customStyle="1" w:styleId="169">
    <w:name w:val="批注主题 字符"/>
    <w:link w:val="61"/>
    <w:qFormat/>
    <w:uiPriority w:val="1"/>
    <w:rPr>
      <w:b/>
      <w:bCs/>
      <w:kern w:val="2"/>
      <w:sz w:val="21"/>
      <w:szCs w:val="24"/>
    </w:rPr>
  </w:style>
  <w:style w:type="character" w:customStyle="1" w:styleId="170">
    <w:name w:val="Char Char112"/>
    <w:qFormat/>
    <w:uiPriority w:val="0"/>
    <w:rPr>
      <w:rFonts w:eastAsia="仿宋_GB2312"/>
      <w:kern w:val="2"/>
      <w:sz w:val="21"/>
      <w:szCs w:val="24"/>
      <w:lang w:val="en-US" w:eastAsia="zh-CN" w:bidi="ar-SA"/>
    </w:rPr>
  </w:style>
  <w:style w:type="character" w:customStyle="1" w:styleId="171">
    <w:name w:val="No Spacing Char"/>
    <w:link w:val="172"/>
    <w:qFormat/>
    <w:uiPriority w:val="0"/>
    <w:rPr>
      <w:rFonts w:ascii="Calibri" w:hAnsi="Calibri" w:eastAsia="仿宋_GB2312"/>
      <w:sz w:val="28"/>
      <w:szCs w:val="22"/>
    </w:rPr>
  </w:style>
  <w:style w:type="paragraph" w:customStyle="1" w:styleId="172">
    <w:name w:val="无间隔1"/>
    <w:link w:val="171"/>
    <w:qFormat/>
    <w:uiPriority w:val="0"/>
    <w:pPr>
      <w:widowControl w:val="0"/>
      <w:ind w:firstLine="200" w:firstLineChars="200"/>
      <w:jc w:val="both"/>
    </w:pPr>
    <w:rPr>
      <w:rFonts w:ascii="Calibri" w:hAnsi="Calibri" w:eastAsia="仿宋_GB2312" w:cs="Times New Roman"/>
      <w:sz w:val="28"/>
      <w:szCs w:val="22"/>
      <w:lang w:val="en-US" w:eastAsia="zh-CN" w:bidi="ar-SA"/>
    </w:rPr>
  </w:style>
  <w:style w:type="character" w:customStyle="1" w:styleId="173">
    <w:name w:val="Char Char14"/>
    <w:qFormat/>
    <w:uiPriority w:val="0"/>
    <w:rPr>
      <w:rFonts w:eastAsia="仿宋_GB2312"/>
      <w:kern w:val="2"/>
      <w:sz w:val="21"/>
      <w:szCs w:val="24"/>
      <w:lang w:val="en-US" w:eastAsia="zh-CN" w:bidi="ar-SA"/>
    </w:rPr>
  </w:style>
  <w:style w:type="character" w:customStyle="1" w:styleId="174">
    <w:name w:val="明显强调1"/>
    <w:qFormat/>
    <w:uiPriority w:val="0"/>
    <w:rPr>
      <w:rFonts w:eastAsia="宋体"/>
      <w:b/>
      <w:bCs/>
      <w:iCs/>
      <w:color w:val="auto"/>
      <w:sz w:val="24"/>
    </w:rPr>
  </w:style>
  <w:style w:type="character" w:customStyle="1" w:styleId="175">
    <w:name w:val="BZ_一级标题 Char"/>
    <w:link w:val="131"/>
    <w:qFormat/>
    <w:uiPriority w:val="0"/>
    <w:rPr>
      <w:rFonts w:eastAsia="华文中宋"/>
      <w:b/>
      <w:bCs/>
      <w:kern w:val="44"/>
      <w:sz w:val="36"/>
      <w:szCs w:val="36"/>
    </w:rPr>
  </w:style>
  <w:style w:type="character" w:customStyle="1" w:styleId="176">
    <w:name w:val="样式 宋体 小四 行距: 1.5 倍行距 Char"/>
    <w:link w:val="177"/>
    <w:qFormat/>
    <w:uiPriority w:val="0"/>
    <w:rPr>
      <w:rFonts w:ascii="宋体" w:hAnsi="宋体" w:cs="宋体"/>
      <w:kern w:val="2"/>
      <w:sz w:val="24"/>
    </w:rPr>
  </w:style>
  <w:style w:type="paragraph" w:customStyle="1" w:styleId="177">
    <w:name w:val="样式 宋体 小四 行距: 1.5 倍行距"/>
    <w:basedOn w:val="1"/>
    <w:link w:val="176"/>
    <w:qFormat/>
    <w:uiPriority w:val="0"/>
    <w:pPr>
      <w:spacing w:line="360" w:lineRule="auto"/>
      <w:ind w:firstLine="540" w:firstLineChars="225"/>
    </w:pPr>
    <w:rPr>
      <w:rFonts w:ascii="宋体" w:hAnsi="宋体" w:cs="宋体"/>
      <w:sz w:val="24"/>
      <w:szCs w:val="20"/>
    </w:rPr>
  </w:style>
  <w:style w:type="character" w:customStyle="1" w:styleId="178">
    <w:name w:val="正文1 Char Char"/>
    <w:qFormat/>
    <w:uiPriority w:val="0"/>
    <w:rPr>
      <w:rFonts w:ascii="仿宋_GB2312" w:hAnsi="仿宋_GB2312" w:eastAsia="仿宋_GB2312" w:cs="仿宋_GB2312"/>
      <w:sz w:val="21"/>
      <w:lang w:val="en-US" w:eastAsia="zh-CN" w:bidi="ar-SA"/>
    </w:rPr>
  </w:style>
  <w:style w:type="character" w:customStyle="1" w:styleId="179">
    <w:name w:val="编号正文缩进 Char Char"/>
    <w:link w:val="180"/>
    <w:qFormat/>
    <w:uiPriority w:val="0"/>
    <w:rPr>
      <w:kern w:val="2"/>
      <w:sz w:val="24"/>
      <w:szCs w:val="24"/>
    </w:rPr>
  </w:style>
  <w:style w:type="paragraph" w:customStyle="1" w:styleId="180">
    <w:name w:val="编号正文缩进"/>
    <w:basedOn w:val="16"/>
    <w:link w:val="179"/>
    <w:qFormat/>
    <w:uiPriority w:val="0"/>
    <w:pPr>
      <w:tabs>
        <w:tab w:val="left" w:pos="1497"/>
      </w:tabs>
      <w:spacing w:line="400" w:lineRule="atLeast"/>
      <w:ind w:left="567" w:firstLine="510"/>
    </w:pPr>
    <w:rPr>
      <w:kern w:val="2"/>
      <w:sz w:val="24"/>
      <w:szCs w:val="24"/>
    </w:rPr>
  </w:style>
  <w:style w:type="character" w:customStyle="1" w:styleId="181">
    <w:name w:val="Char Char18"/>
    <w:qFormat/>
    <w:uiPriority w:val="0"/>
    <w:rPr>
      <w:b/>
      <w:bCs/>
      <w:kern w:val="2"/>
      <w:sz w:val="32"/>
      <w:szCs w:val="32"/>
    </w:rPr>
  </w:style>
  <w:style w:type="character" w:customStyle="1" w:styleId="182">
    <w:name w:val="样式1 Char"/>
    <w:link w:val="183"/>
    <w:qFormat/>
    <w:uiPriority w:val="0"/>
    <w:rPr>
      <w:rFonts w:ascii="楷体_GB2312" w:hAnsi="Calibri" w:eastAsia="楷体_GB2312"/>
      <w:kern w:val="2"/>
      <w:sz w:val="24"/>
      <w:szCs w:val="24"/>
    </w:rPr>
  </w:style>
  <w:style w:type="paragraph" w:customStyle="1" w:styleId="183">
    <w:name w:val="样式1"/>
    <w:basedOn w:val="184"/>
    <w:link w:val="182"/>
    <w:qFormat/>
    <w:uiPriority w:val="0"/>
    <w:pPr>
      <w:spacing w:line="360" w:lineRule="auto"/>
      <w:ind w:firstLine="480"/>
    </w:pPr>
    <w:rPr>
      <w:rFonts w:ascii="楷体_GB2312" w:eastAsia="楷体_GB2312" w:cs="Times New Roman"/>
      <w:sz w:val="24"/>
      <w:szCs w:val="24"/>
    </w:rPr>
  </w:style>
  <w:style w:type="paragraph" w:customStyle="1" w:styleId="184">
    <w:name w:val="列出段落11"/>
    <w:basedOn w:val="1"/>
    <w:qFormat/>
    <w:uiPriority w:val="34"/>
    <w:pPr>
      <w:ind w:firstLine="420" w:firstLineChars="200"/>
    </w:pPr>
    <w:rPr>
      <w:rFonts w:ascii="Calibri" w:hAnsi="Calibri" w:eastAsia="等线" w:cs="黑体"/>
      <w:szCs w:val="22"/>
    </w:rPr>
  </w:style>
  <w:style w:type="character" w:customStyle="1" w:styleId="185">
    <w:name w:val="Style3"/>
    <w:qFormat/>
    <w:uiPriority w:val="0"/>
    <w:rPr>
      <w:rFonts w:ascii="Century Gothic" w:hAnsi="仿宋_GB2312" w:eastAsia="仿宋_GB2312" w:cs="新宋体"/>
      <w:szCs w:val="22"/>
      <w:lang w:eastAsia="zh-CN"/>
    </w:rPr>
  </w:style>
  <w:style w:type="character" w:customStyle="1" w:styleId="186">
    <w:name w:val="副标题 Char1"/>
    <w:qFormat/>
    <w:uiPriority w:val="11"/>
    <w:rPr>
      <w:rFonts w:ascii="Cambria" w:hAnsi="Cambria" w:cs="Times New Roman"/>
      <w:b/>
      <w:bCs/>
      <w:kern w:val="28"/>
      <w:sz w:val="32"/>
      <w:szCs w:val="32"/>
    </w:rPr>
  </w:style>
  <w:style w:type="character" w:customStyle="1" w:styleId="187">
    <w:name w:val="Style4"/>
    <w:qFormat/>
    <w:uiPriority w:val="0"/>
    <w:rPr>
      <w:rFonts w:ascii="Century Gothic" w:hAnsi="仿宋_GB2312" w:eastAsia="仿宋_GB2312" w:cs="新宋体"/>
      <w:szCs w:val="22"/>
      <w:lang w:eastAsia="zh-CN"/>
    </w:rPr>
  </w:style>
  <w:style w:type="character" w:customStyle="1" w:styleId="188">
    <w:name w:val="页眉注释 Char Char"/>
    <w:link w:val="189"/>
    <w:qFormat/>
    <w:uiPriority w:val="0"/>
    <w:rPr>
      <w:rFonts w:ascii="华文细黑" w:hAnsi="华文细黑" w:eastAsia="华文细黑"/>
      <w:b/>
      <w:color w:val="FFFFFF"/>
      <w:kern w:val="2"/>
      <w:sz w:val="18"/>
      <w:szCs w:val="18"/>
    </w:rPr>
  </w:style>
  <w:style w:type="paragraph" w:customStyle="1" w:styleId="189">
    <w:name w:val="页眉注释"/>
    <w:basedOn w:val="1"/>
    <w:link w:val="188"/>
    <w:qFormat/>
    <w:uiPriority w:val="0"/>
    <w:pPr>
      <w:spacing w:line="0" w:lineRule="atLeast"/>
      <w:jc w:val="center"/>
    </w:pPr>
    <w:rPr>
      <w:rFonts w:ascii="华文细黑" w:hAnsi="华文细黑" w:eastAsia="华文细黑"/>
      <w:b/>
      <w:color w:val="FFFFFF"/>
      <w:sz w:val="18"/>
      <w:szCs w:val="18"/>
    </w:rPr>
  </w:style>
  <w:style w:type="character" w:customStyle="1" w:styleId="190">
    <w:name w:val="heading 2 Char1"/>
    <w:qFormat/>
    <w:uiPriority w:val="0"/>
    <w:rPr>
      <w:rFonts w:ascii="Verdana" w:hAnsi="Verdana" w:eastAsia="仿宋_GB2312"/>
      <w:b/>
      <w:bCs/>
      <w:kern w:val="2"/>
      <w:sz w:val="32"/>
      <w:szCs w:val="32"/>
      <w:lang w:val="en-US" w:eastAsia="zh-CN" w:bidi="ar-SA"/>
    </w:rPr>
  </w:style>
  <w:style w:type="character" w:customStyle="1" w:styleId="191">
    <w:name w:val="heading 4 Char"/>
    <w:qFormat/>
    <w:uiPriority w:val="0"/>
    <w:rPr>
      <w:rFonts w:ascii="Tahoma" w:hAnsi="Tahoma" w:eastAsia="Helvetica" w:cs="新宋体"/>
      <w:sz w:val="21"/>
      <w:szCs w:val="21"/>
    </w:rPr>
  </w:style>
  <w:style w:type="character" w:customStyle="1" w:styleId="192">
    <w:name w:val="Char Char16"/>
    <w:qFormat/>
    <w:uiPriority w:val="0"/>
    <w:rPr>
      <w:b/>
      <w:bCs/>
      <w:kern w:val="2"/>
      <w:sz w:val="28"/>
      <w:szCs w:val="28"/>
    </w:rPr>
  </w:style>
  <w:style w:type="character" w:customStyle="1" w:styleId="193">
    <w:name w:val="Char Char23"/>
    <w:qFormat/>
    <w:uiPriority w:val="0"/>
    <w:rPr>
      <w:rFonts w:eastAsia="仿宋_GB2312"/>
      <w:b/>
      <w:bCs/>
      <w:kern w:val="2"/>
      <w:sz w:val="32"/>
      <w:szCs w:val="32"/>
      <w:lang w:val="en-US" w:eastAsia="zh-CN" w:bidi="ar-SA"/>
    </w:rPr>
  </w:style>
  <w:style w:type="character" w:customStyle="1" w:styleId="194">
    <w:name w:val="apple-converted-space"/>
    <w:qFormat/>
    <w:uiPriority w:val="0"/>
  </w:style>
  <w:style w:type="character" w:customStyle="1" w:styleId="195">
    <w:name w:val="Char Char25"/>
    <w:qFormat/>
    <w:uiPriority w:val="0"/>
    <w:rPr>
      <w:rFonts w:ascii="Arial Unicode MS" w:eastAsia="Arial Unicode MS"/>
      <w:b/>
      <w:bCs/>
      <w:kern w:val="2"/>
      <w:sz w:val="21"/>
      <w:szCs w:val="24"/>
      <w:lang w:val="en-US" w:eastAsia="zh-CN" w:bidi="ar-SA"/>
    </w:rPr>
  </w:style>
  <w:style w:type="character" w:customStyle="1" w:styleId="196">
    <w:name w:val="heading 3 Char1"/>
    <w:qFormat/>
    <w:uiPriority w:val="0"/>
    <w:rPr>
      <w:rFonts w:eastAsia="仿宋_GB2312"/>
      <w:b/>
      <w:bCs/>
      <w:kern w:val="2"/>
      <w:sz w:val="32"/>
      <w:szCs w:val="32"/>
      <w:lang w:val="en-US" w:eastAsia="zh-CN" w:bidi="ar-SA"/>
    </w:rPr>
  </w:style>
  <w:style w:type="character" w:customStyle="1" w:styleId="197">
    <w:name w:val="不明显强调1"/>
    <w:qFormat/>
    <w:uiPriority w:val="0"/>
    <w:rPr>
      <w:i/>
      <w:iCs/>
      <w:color w:val="808080"/>
    </w:rPr>
  </w:style>
  <w:style w:type="character" w:customStyle="1" w:styleId="198">
    <w:name w:val="pt141"/>
    <w:qFormat/>
    <w:uiPriority w:val="0"/>
    <w:rPr>
      <w:color w:val="330066"/>
      <w:spacing w:val="450"/>
      <w:sz w:val="22"/>
      <w:szCs w:val="22"/>
    </w:rPr>
  </w:style>
  <w:style w:type="character" w:customStyle="1" w:styleId="199">
    <w:name w:val="无间隔 字符"/>
    <w:link w:val="200"/>
    <w:qFormat/>
    <w:uiPriority w:val="1"/>
    <w:rPr>
      <w:rFonts w:ascii="Century Gothic" w:hAnsi="Century Gothic" w:eastAsia="Times New Roman"/>
      <w:sz w:val="22"/>
      <w:szCs w:val="22"/>
    </w:rPr>
  </w:style>
  <w:style w:type="paragraph" w:styleId="200">
    <w:name w:val="No Spacing"/>
    <w:link w:val="199"/>
    <w:qFormat/>
    <w:uiPriority w:val="1"/>
    <w:rPr>
      <w:rFonts w:ascii="Century Gothic" w:hAnsi="Century Gothic" w:eastAsia="Times New Roman" w:cs="Times New Roman"/>
      <w:sz w:val="22"/>
      <w:szCs w:val="22"/>
      <w:lang w:val="en-US" w:eastAsia="zh-CN" w:bidi="ar-SA"/>
    </w:rPr>
  </w:style>
  <w:style w:type="character" w:customStyle="1" w:styleId="201">
    <w:name w:val="明显参考1"/>
    <w:qFormat/>
    <w:uiPriority w:val="0"/>
    <w:rPr>
      <w:b/>
      <w:bCs/>
      <w:smallCaps/>
      <w:color w:val="C0504D"/>
      <w:spacing w:val="5"/>
      <w:u w:val="single"/>
    </w:rPr>
  </w:style>
  <w:style w:type="character" w:customStyle="1" w:styleId="202">
    <w:name w:val="正文文本缩进 3 字符1"/>
    <w:link w:val="52"/>
    <w:qFormat/>
    <w:uiPriority w:val="0"/>
    <w:rPr>
      <w:kern w:val="2"/>
      <w:sz w:val="24"/>
      <w:szCs w:val="24"/>
    </w:rPr>
  </w:style>
  <w:style w:type="character" w:customStyle="1" w:styleId="203">
    <w:name w:val="样式2 Char"/>
    <w:link w:val="204"/>
    <w:qFormat/>
    <w:uiPriority w:val="0"/>
    <w:rPr>
      <w:rFonts w:ascii="仿宋_GB2312" w:hAnsi="仿宋_GB2312" w:eastAsia="仿宋_GB2312"/>
      <w:bCs/>
      <w:kern w:val="2"/>
      <w:sz w:val="28"/>
      <w:szCs w:val="28"/>
    </w:rPr>
  </w:style>
  <w:style w:type="paragraph" w:customStyle="1" w:styleId="204">
    <w:name w:val="样式2"/>
    <w:basedOn w:val="2"/>
    <w:link w:val="203"/>
    <w:qFormat/>
    <w:uiPriority w:val="0"/>
    <w:pPr>
      <w:snapToGrid w:val="0"/>
      <w:spacing w:afterLines="50" w:line="480" w:lineRule="exact"/>
      <w:ind w:firstLine="556"/>
    </w:pPr>
    <w:rPr>
      <w:rFonts w:ascii="仿宋_GB2312" w:hAnsi="仿宋_GB2312" w:eastAsia="仿宋_GB2312"/>
      <w:b w:val="0"/>
      <w:sz w:val="28"/>
      <w:szCs w:val="28"/>
    </w:rPr>
  </w:style>
  <w:style w:type="character" w:customStyle="1" w:styleId="205">
    <w:name w:val="文档结构图 字符1"/>
    <w:link w:val="19"/>
    <w:qFormat/>
    <w:uiPriority w:val="0"/>
    <w:rPr>
      <w:kern w:val="2"/>
      <w:sz w:val="21"/>
      <w:szCs w:val="24"/>
      <w:shd w:val="clear" w:color="auto" w:fill="000080"/>
    </w:rPr>
  </w:style>
  <w:style w:type="character" w:customStyle="1" w:styleId="206">
    <w:name w:val="1233 Char"/>
    <w:link w:val="207"/>
    <w:qFormat/>
    <w:uiPriority w:val="0"/>
    <w:rPr>
      <w:rFonts w:ascii="仿宋" w:hAnsi="仿宋" w:eastAsia="仿宋"/>
      <w:b/>
      <w:bCs/>
      <w:kern w:val="44"/>
      <w:sz w:val="24"/>
      <w:szCs w:val="24"/>
    </w:rPr>
  </w:style>
  <w:style w:type="paragraph" w:customStyle="1" w:styleId="207">
    <w:name w:val="1233"/>
    <w:basedOn w:val="4"/>
    <w:link w:val="206"/>
    <w:qFormat/>
    <w:uiPriority w:val="0"/>
    <w:pPr>
      <w:keepLines/>
      <w:spacing w:line="360" w:lineRule="auto"/>
      <w:ind w:firstLine="200" w:firstLineChars="200"/>
      <w:jc w:val="both"/>
    </w:pPr>
    <w:rPr>
      <w:rFonts w:ascii="仿宋" w:hAnsi="仿宋" w:eastAsia="仿宋"/>
      <w:kern w:val="44"/>
      <w:sz w:val="24"/>
    </w:rPr>
  </w:style>
  <w:style w:type="character" w:customStyle="1" w:styleId="208">
    <w:name w:val="heading 2 Char"/>
    <w:qFormat/>
    <w:uiPriority w:val="0"/>
    <w:rPr>
      <w:rFonts w:ascii="Tahoma" w:hAnsi="Tahoma" w:eastAsia="Helvetica" w:cs="新宋体"/>
      <w:sz w:val="30"/>
      <w:szCs w:val="24"/>
    </w:rPr>
  </w:style>
  <w:style w:type="character" w:customStyle="1" w:styleId="209">
    <w:name w:val="Intense Emphasis1"/>
    <w:qFormat/>
    <w:uiPriority w:val="0"/>
    <w:rPr>
      <w:b/>
      <w:bCs/>
      <w:i/>
      <w:iCs/>
      <w:color w:val="4F81BD"/>
    </w:rPr>
  </w:style>
  <w:style w:type="character" w:customStyle="1" w:styleId="210">
    <w:name w:val="emailstyle16"/>
    <w:qFormat/>
    <w:uiPriority w:val="0"/>
    <w:rPr>
      <w:rFonts w:ascii="Arial" w:hAnsi="Arial" w:eastAsia="宋体" w:cs="Arial"/>
      <w:color w:val="auto"/>
      <w:kern w:val="2"/>
      <w:sz w:val="20"/>
      <w:szCs w:val="24"/>
      <w:lang w:val="en-US" w:eastAsia="zh-CN" w:bidi="ar-SA"/>
    </w:rPr>
  </w:style>
  <w:style w:type="character" w:customStyle="1" w:styleId="211">
    <w:name w:val="正文靠右 Char Char"/>
    <w:link w:val="212"/>
    <w:qFormat/>
    <w:uiPriority w:val="0"/>
    <w:rPr>
      <w:kern w:val="2"/>
      <w:sz w:val="21"/>
      <w:szCs w:val="24"/>
    </w:rPr>
  </w:style>
  <w:style w:type="paragraph" w:customStyle="1" w:styleId="212">
    <w:name w:val="正文靠右"/>
    <w:basedOn w:val="1"/>
    <w:link w:val="211"/>
    <w:qFormat/>
    <w:uiPriority w:val="0"/>
    <w:pPr>
      <w:jc w:val="right"/>
    </w:pPr>
  </w:style>
  <w:style w:type="character" w:customStyle="1" w:styleId="213">
    <w:name w:val="Char Char111"/>
    <w:qFormat/>
    <w:uiPriority w:val="0"/>
    <w:rPr>
      <w:rFonts w:ascii="新宋体" w:hAnsi="新宋体" w:eastAsia="仿宋_GB2312" w:cs="新宋体"/>
      <w:sz w:val="18"/>
      <w:szCs w:val="18"/>
    </w:rPr>
  </w:style>
  <w:style w:type="character" w:customStyle="1" w:styleId="214">
    <w:name w:val="HTML 预设格式 Char1"/>
    <w:qFormat/>
    <w:uiPriority w:val="0"/>
    <w:rPr>
      <w:rFonts w:ascii="宋体" w:hAnsi="宋体" w:cs="宋体"/>
      <w:sz w:val="24"/>
      <w:szCs w:val="24"/>
    </w:rPr>
  </w:style>
  <w:style w:type="character" w:customStyle="1" w:styleId="215">
    <w:name w:val="正文缩进 字符"/>
    <w:qFormat/>
    <w:uiPriority w:val="0"/>
    <w:rPr>
      <w:sz w:val="28"/>
    </w:rPr>
  </w:style>
  <w:style w:type="character" w:customStyle="1" w:styleId="216">
    <w:name w:val="Style1"/>
    <w:qFormat/>
    <w:uiPriority w:val="0"/>
    <w:rPr>
      <w:rFonts w:ascii="Century Gothic" w:hAnsi="仿宋_GB2312" w:eastAsia="仿宋_GB2312" w:cs="新宋体"/>
      <w:sz w:val="22"/>
      <w:szCs w:val="22"/>
      <w:lang w:eastAsia="zh-CN"/>
    </w:rPr>
  </w:style>
  <w:style w:type="character" w:customStyle="1" w:styleId="217">
    <w:name w:val="BZ_封面_名称 Char"/>
    <w:link w:val="218"/>
    <w:qFormat/>
    <w:uiPriority w:val="0"/>
    <w:rPr>
      <w:rFonts w:eastAsia="黑体"/>
      <w:kern w:val="2"/>
      <w:sz w:val="44"/>
      <w:szCs w:val="44"/>
    </w:rPr>
  </w:style>
  <w:style w:type="paragraph" w:customStyle="1" w:styleId="218">
    <w:name w:val="BZ_封面_名称"/>
    <w:basedOn w:val="1"/>
    <w:link w:val="217"/>
    <w:qFormat/>
    <w:uiPriority w:val="0"/>
    <w:pPr>
      <w:widowControl/>
      <w:jc w:val="center"/>
    </w:pPr>
    <w:rPr>
      <w:rFonts w:eastAsia="黑体"/>
      <w:sz w:val="44"/>
      <w:szCs w:val="44"/>
    </w:rPr>
  </w:style>
  <w:style w:type="character" w:customStyle="1" w:styleId="219">
    <w:name w:val="个人答复风格"/>
    <w:qFormat/>
    <w:uiPriority w:val="0"/>
    <w:rPr>
      <w:rFonts w:ascii="Arial" w:hAnsi="Arial" w:eastAsia="宋体" w:cs="Arial"/>
      <w:color w:val="auto"/>
      <w:kern w:val="2"/>
      <w:sz w:val="20"/>
      <w:szCs w:val="24"/>
      <w:lang w:val="en-US" w:eastAsia="zh-CN" w:bidi="ar-SA"/>
    </w:rPr>
  </w:style>
  <w:style w:type="character" w:customStyle="1" w:styleId="220">
    <w:name w:val="kpk:3级 Char"/>
    <w:link w:val="221"/>
    <w:qFormat/>
    <w:uiPriority w:val="0"/>
    <w:rPr>
      <w:rFonts w:ascii="黑体" w:eastAsia="黑体"/>
      <w:b/>
      <w:bCs/>
      <w:kern w:val="2"/>
      <w:sz w:val="24"/>
      <w:szCs w:val="24"/>
    </w:rPr>
  </w:style>
  <w:style w:type="paragraph" w:customStyle="1" w:styleId="221">
    <w:name w:val="kpk:3级"/>
    <w:basedOn w:val="5"/>
    <w:link w:val="220"/>
    <w:qFormat/>
    <w:uiPriority w:val="0"/>
    <w:pPr>
      <w:tabs>
        <w:tab w:val="left" w:pos="420"/>
      </w:tabs>
      <w:spacing w:before="0" w:after="0" w:line="360" w:lineRule="auto"/>
      <w:ind w:left="420" w:hanging="420"/>
    </w:pPr>
    <w:rPr>
      <w:rFonts w:ascii="黑体" w:eastAsia="黑体"/>
      <w:sz w:val="24"/>
      <w:szCs w:val="24"/>
    </w:rPr>
  </w:style>
  <w:style w:type="character" w:customStyle="1" w:styleId="222">
    <w:name w:val="Char Char19"/>
    <w:qFormat/>
    <w:uiPriority w:val="0"/>
    <w:rPr>
      <w:rFonts w:ascii="Tahoma" w:hAnsi="Tahoma" w:eastAsia="Helvetica"/>
      <w:sz w:val="21"/>
      <w:szCs w:val="21"/>
      <w:lang w:val="en-US" w:eastAsia="zh-CN" w:bidi="ar-SA"/>
    </w:rPr>
  </w:style>
  <w:style w:type="character" w:customStyle="1" w:styleId="223">
    <w:name w:val="Table Text Char Char"/>
    <w:qFormat/>
    <w:uiPriority w:val="0"/>
    <w:rPr>
      <w:rFonts w:eastAsia="仿宋_GB2312"/>
      <w:sz w:val="24"/>
      <w:lang w:bidi="ar-SA"/>
    </w:rPr>
  </w:style>
  <w:style w:type="character" w:customStyle="1" w:styleId="224">
    <w:name w:val="heading 4 Char1"/>
    <w:qFormat/>
    <w:uiPriority w:val="0"/>
    <w:rPr>
      <w:rFonts w:ascii="Verdana" w:hAnsi="Verdana" w:eastAsia="仿宋_GB2312"/>
      <w:b/>
      <w:bCs/>
      <w:kern w:val="2"/>
      <w:sz w:val="28"/>
      <w:szCs w:val="28"/>
      <w:lang w:val="en-US" w:eastAsia="zh-CN" w:bidi="ar-SA"/>
    </w:rPr>
  </w:style>
  <w:style w:type="character" w:customStyle="1" w:styleId="225">
    <w:name w:val="a61"/>
    <w:qFormat/>
    <w:uiPriority w:val="0"/>
    <w:rPr>
      <w:rFonts w:hint="eastAsia" w:ascii="宋体" w:hAnsi="宋体" w:eastAsia="宋体"/>
      <w:kern w:val="2"/>
      <w:sz w:val="23"/>
      <w:szCs w:val="23"/>
      <w:lang w:val="en-US" w:eastAsia="zh-CN" w:bidi="ar-SA"/>
    </w:rPr>
  </w:style>
  <w:style w:type="character" w:customStyle="1" w:styleId="226">
    <w:name w:val="kpk:4级 Char1"/>
    <w:link w:val="227"/>
    <w:qFormat/>
    <w:uiPriority w:val="0"/>
    <w:rPr>
      <w:rFonts w:ascii="Arial" w:hAnsi="Arial" w:eastAsia="黑体"/>
      <w:bCs/>
      <w:sz w:val="24"/>
      <w:szCs w:val="28"/>
    </w:rPr>
  </w:style>
  <w:style w:type="paragraph" w:customStyle="1" w:styleId="227">
    <w:name w:val="kpk:4级"/>
    <w:basedOn w:val="6"/>
    <w:link w:val="226"/>
    <w:qFormat/>
    <w:uiPriority w:val="0"/>
    <w:pPr>
      <w:tabs>
        <w:tab w:val="left" w:pos="-142"/>
        <w:tab w:val="left" w:pos="0"/>
        <w:tab w:val="left" w:pos="284"/>
        <w:tab w:val="left" w:pos="780"/>
      </w:tabs>
      <w:spacing w:before="0" w:after="0" w:line="360" w:lineRule="auto"/>
      <w:ind w:left="780" w:leftChars="200" w:hanging="360"/>
    </w:pPr>
    <w:rPr>
      <w:rFonts w:ascii="Arial" w:hAnsi="Arial" w:eastAsia="黑体"/>
      <w:b w:val="0"/>
      <w:kern w:val="0"/>
      <w:sz w:val="24"/>
    </w:rPr>
  </w:style>
  <w:style w:type="character" w:customStyle="1" w:styleId="228">
    <w:name w:val="heading 3 Char"/>
    <w:qFormat/>
    <w:uiPriority w:val="0"/>
    <w:rPr>
      <w:rFonts w:ascii="Tahoma" w:hAnsi="Tahoma" w:eastAsia="Helvetica"/>
      <w:sz w:val="28"/>
      <w:szCs w:val="24"/>
    </w:rPr>
  </w:style>
  <w:style w:type="character" w:customStyle="1" w:styleId="229">
    <w:name w:val="heading 4 Char2"/>
    <w:qFormat/>
    <w:uiPriority w:val="0"/>
    <w:rPr>
      <w:rFonts w:ascii="Verdana" w:hAnsi="Verdana"/>
      <w:b/>
      <w:bCs/>
      <w:kern w:val="2"/>
      <w:sz w:val="28"/>
      <w:szCs w:val="28"/>
    </w:rPr>
  </w:style>
  <w:style w:type="character" w:customStyle="1" w:styleId="230">
    <w:name w:val="样式 标题 3 + 黑体 小四 Char Char"/>
    <w:qFormat/>
    <w:uiPriority w:val="0"/>
    <w:rPr>
      <w:rFonts w:ascii="Helvetica" w:hAnsi="Tahoma" w:eastAsia="Helvetica"/>
      <w:bCs/>
      <w:sz w:val="24"/>
      <w:szCs w:val="24"/>
      <w:lang w:bidi="ar-SA"/>
    </w:rPr>
  </w:style>
  <w:style w:type="character" w:customStyle="1" w:styleId="231">
    <w:name w:val="四级标题 Char"/>
    <w:link w:val="232"/>
    <w:qFormat/>
    <w:uiPriority w:val="0"/>
    <w:rPr>
      <w:rFonts w:eastAsia="黑体"/>
      <w:b/>
      <w:kern w:val="2"/>
      <w:sz w:val="28"/>
      <w:szCs w:val="22"/>
    </w:rPr>
  </w:style>
  <w:style w:type="paragraph" w:customStyle="1" w:styleId="232">
    <w:name w:val="四级标题"/>
    <w:basedOn w:val="1"/>
    <w:link w:val="231"/>
    <w:qFormat/>
    <w:uiPriority w:val="0"/>
    <w:pPr>
      <w:tabs>
        <w:tab w:val="left" w:pos="420"/>
      </w:tabs>
      <w:spacing w:line="360" w:lineRule="auto"/>
      <w:ind w:left="420" w:firstLine="200" w:firstLineChars="200"/>
      <w:outlineLvl w:val="3"/>
    </w:pPr>
    <w:rPr>
      <w:rFonts w:eastAsia="黑体"/>
      <w:b/>
      <w:sz w:val="28"/>
      <w:szCs w:val="22"/>
    </w:rPr>
  </w:style>
  <w:style w:type="character" w:customStyle="1" w:styleId="233">
    <w:name w:val="标题 4 字符"/>
    <w:qFormat/>
    <w:uiPriority w:val="0"/>
    <w:rPr>
      <w:rFonts w:eastAsia="楷体_GB2312"/>
      <w:b/>
      <w:snapToGrid/>
      <w:sz w:val="28"/>
    </w:rPr>
  </w:style>
  <w:style w:type="character" w:customStyle="1" w:styleId="234">
    <w:name w:val="heading 5 Char2"/>
    <w:qFormat/>
    <w:uiPriority w:val="0"/>
    <w:rPr>
      <w:b/>
      <w:bCs/>
      <w:kern w:val="2"/>
      <w:sz w:val="28"/>
      <w:szCs w:val="28"/>
    </w:rPr>
  </w:style>
  <w:style w:type="character" w:customStyle="1" w:styleId="235">
    <w:name w:val="书籍标题1"/>
    <w:qFormat/>
    <w:uiPriority w:val="0"/>
    <w:rPr>
      <w:b/>
      <w:bCs/>
      <w:smallCaps/>
      <w:spacing w:val="5"/>
    </w:rPr>
  </w:style>
  <w:style w:type="character" w:customStyle="1" w:styleId="236">
    <w:name w:val="Ò³Ã¼ Char Char2"/>
    <w:qFormat/>
    <w:uiPriority w:val="0"/>
    <w:rPr>
      <w:kern w:val="2"/>
      <w:sz w:val="18"/>
      <w:szCs w:val="18"/>
    </w:rPr>
  </w:style>
  <w:style w:type="character" w:customStyle="1" w:styleId="237">
    <w:name w:val="不明显参考1"/>
    <w:qFormat/>
    <w:uiPriority w:val="0"/>
    <w:rPr>
      <w:smallCaps/>
      <w:color w:val="C0504D"/>
      <w:u w:val="single"/>
    </w:rPr>
  </w:style>
  <w:style w:type="character" w:customStyle="1" w:styleId="238">
    <w:name w:val="标题 6 字符"/>
    <w:qFormat/>
    <w:uiPriority w:val="0"/>
    <w:rPr>
      <w:rFonts w:ascii="Arial" w:hAnsi="Arial" w:eastAsia="黑体"/>
      <w:spacing w:val="20"/>
      <w:kern w:val="2"/>
      <w:sz w:val="28"/>
    </w:rPr>
  </w:style>
  <w:style w:type="character" w:customStyle="1" w:styleId="239">
    <w:name w:val="A3 Char Char"/>
    <w:qFormat/>
    <w:uiPriority w:val="0"/>
    <w:rPr>
      <w:rFonts w:eastAsia="宋体"/>
      <w:b/>
      <w:bCs/>
      <w:sz w:val="32"/>
      <w:szCs w:val="32"/>
      <w:lang w:bidi="ar-SA"/>
    </w:rPr>
  </w:style>
  <w:style w:type="character" w:customStyle="1" w:styleId="240">
    <w:name w:val="Footer-Even Char"/>
    <w:qFormat/>
    <w:uiPriority w:val="0"/>
    <w:rPr>
      <w:sz w:val="18"/>
      <w:szCs w:val="18"/>
    </w:rPr>
  </w:style>
  <w:style w:type="character" w:customStyle="1" w:styleId="241">
    <w:name w:val="标题 8 字符"/>
    <w:qFormat/>
    <w:uiPriority w:val="0"/>
    <w:rPr>
      <w:rFonts w:ascii="Arial" w:hAnsi="Arial" w:eastAsia="黑体"/>
      <w:kern w:val="2"/>
      <w:sz w:val="24"/>
      <w:vertAlign w:val="superscript"/>
    </w:rPr>
  </w:style>
  <w:style w:type="character" w:customStyle="1" w:styleId="242">
    <w:name w:val="标题 1 字符"/>
    <w:qFormat/>
    <w:uiPriority w:val="0"/>
    <w:rPr>
      <w:rFonts w:eastAsia="黑体"/>
      <w:snapToGrid/>
      <w:sz w:val="44"/>
    </w:rPr>
  </w:style>
  <w:style w:type="character" w:customStyle="1" w:styleId="243">
    <w:name w:val="content_title1"/>
    <w:qFormat/>
    <w:uiPriority w:val="0"/>
    <w:rPr>
      <w:rFonts w:eastAsia="宋体"/>
      <w:color w:val="9A1601"/>
      <w:kern w:val="2"/>
      <w:sz w:val="21"/>
      <w:szCs w:val="21"/>
      <w:lang w:val="en-US" w:eastAsia="zh-CN" w:bidi="ar-SA"/>
    </w:rPr>
  </w:style>
  <w:style w:type="character" w:customStyle="1" w:styleId="244">
    <w:name w:val="正文文本 2 Char"/>
    <w:qFormat/>
    <w:uiPriority w:val="0"/>
    <w:rPr>
      <w:rFonts w:ascii="等线" w:hAnsi="等线" w:eastAsia="等线" w:cs="等线"/>
    </w:rPr>
  </w:style>
  <w:style w:type="character" w:customStyle="1" w:styleId="245">
    <w:name w:val="标题 7 字符"/>
    <w:qFormat/>
    <w:uiPriority w:val="0"/>
    <w:rPr>
      <w:b/>
      <w:kern w:val="2"/>
      <w:sz w:val="24"/>
      <w:vertAlign w:val="superscript"/>
    </w:rPr>
  </w:style>
  <w:style w:type="character" w:customStyle="1" w:styleId="246">
    <w:name w:val="Char Char6"/>
    <w:qFormat/>
    <w:uiPriority w:val="0"/>
    <w:rPr>
      <w:rFonts w:ascii="新宋体" w:hAnsi="新宋体" w:eastAsia="仿宋_GB2312" w:cs="新宋体"/>
      <w:szCs w:val="24"/>
    </w:rPr>
  </w:style>
  <w:style w:type="character" w:customStyle="1" w:styleId="247">
    <w:name w:val="标题 5 字符"/>
    <w:qFormat/>
    <w:uiPriority w:val="0"/>
    <w:rPr>
      <w:kern w:val="2"/>
      <w:sz w:val="28"/>
    </w:rPr>
  </w:style>
  <w:style w:type="character" w:customStyle="1" w:styleId="248">
    <w:name w:val="smalltxt1"/>
    <w:qFormat/>
    <w:uiPriority w:val="0"/>
    <w:rPr>
      <w:rFonts w:hint="default" w:ascii="宋体,Verdana,Arial" w:hAnsi="宋体,Verdana,Arial"/>
      <w:sz w:val="24"/>
      <w:szCs w:val="24"/>
    </w:rPr>
  </w:style>
  <w:style w:type="character" w:customStyle="1" w:styleId="249">
    <w:name w:val="正文居中 Char Char"/>
    <w:link w:val="250"/>
    <w:qFormat/>
    <w:uiPriority w:val="0"/>
    <w:rPr>
      <w:kern w:val="2"/>
      <w:sz w:val="21"/>
      <w:szCs w:val="24"/>
    </w:rPr>
  </w:style>
  <w:style w:type="paragraph" w:customStyle="1" w:styleId="250">
    <w:name w:val="正文居中"/>
    <w:basedOn w:val="1"/>
    <w:link w:val="249"/>
    <w:qFormat/>
    <w:uiPriority w:val="0"/>
    <w:pPr>
      <w:jc w:val="center"/>
    </w:pPr>
  </w:style>
  <w:style w:type="character" w:customStyle="1" w:styleId="251">
    <w:name w:val="样式2 Char Char"/>
    <w:qFormat/>
    <w:uiPriority w:val="0"/>
    <w:rPr>
      <w:rFonts w:ascii="仿宋_GB2312" w:hAnsi="仿宋_GB2312" w:eastAsia="仿宋_GB2312"/>
      <w:bCs/>
      <w:kern w:val="2"/>
      <w:sz w:val="28"/>
      <w:szCs w:val="28"/>
      <w:lang w:val="en-US" w:eastAsia="zh-CN" w:bidi="ar-SA"/>
    </w:rPr>
  </w:style>
  <w:style w:type="character" w:customStyle="1" w:styleId="252">
    <w:name w:val="heading 6 Char1"/>
    <w:qFormat/>
    <w:uiPriority w:val="0"/>
    <w:rPr>
      <w:rFonts w:ascii="Tahoma" w:hAnsi="Tahoma" w:eastAsia="Helvetica"/>
      <w:kern w:val="2"/>
      <w:sz w:val="24"/>
      <w:szCs w:val="24"/>
      <w:lang w:val="en-US" w:eastAsia="zh-CN" w:bidi="ar-SA"/>
    </w:rPr>
  </w:style>
  <w:style w:type="character" w:customStyle="1" w:styleId="253">
    <w:name w:val="正文文本缩进 2 字符"/>
    <w:qFormat/>
    <w:uiPriority w:val="0"/>
    <w:rPr>
      <w:sz w:val="28"/>
    </w:rPr>
  </w:style>
  <w:style w:type="character" w:customStyle="1" w:styleId="254">
    <w:name w:val="正文文本缩进 字符"/>
    <w:qFormat/>
    <w:uiPriority w:val="0"/>
    <w:rPr>
      <w:sz w:val="28"/>
    </w:rPr>
  </w:style>
  <w:style w:type="character" w:customStyle="1" w:styleId="255">
    <w:name w:val="t11"/>
    <w:qFormat/>
    <w:uiPriority w:val="0"/>
    <w:rPr>
      <w:rFonts w:eastAsia="宋体"/>
      <w:color w:val="333333"/>
      <w:kern w:val="2"/>
      <w:sz w:val="18"/>
      <w:szCs w:val="18"/>
      <w:lang w:val="en-US" w:eastAsia="zh-CN" w:bidi="ar-SA"/>
    </w:rPr>
  </w:style>
  <w:style w:type="character" w:customStyle="1" w:styleId="256">
    <w:name w:val="正文文本 Char Char"/>
    <w:qFormat/>
    <w:uiPriority w:val="0"/>
    <w:rPr>
      <w:rFonts w:ascii="Times New Roman" w:hAnsi="Times New Roman"/>
      <w:kern w:val="2"/>
      <w:sz w:val="21"/>
      <w:szCs w:val="24"/>
    </w:rPr>
  </w:style>
  <w:style w:type="character" w:customStyle="1" w:styleId="257">
    <w:name w:val="引用 Char"/>
    <w:qFormat/>
    <w:uiPriority w:val="0"/>
    <w:rPr>
      <w:rFonts w:ascii="Century Gothic" w:hAnsi="Century Gothic" w:eastAsia="仿宋_GB2312"/>
      <w:i/>
      <w:iCs/>
      <w:color w:val="000000"/>
    </w:rPr>
  </w:style>
  <w:style w:type="paragraph" w:styleId="258">
    <w:name w:val="Quote"/>
    <w:basedOn w:val="1"/>
    <w:next w:val="1"/>
    <w:link w:val="459"/>
    <w:qFormat/>
    <w:uiPriority w:val="0"/>
    <w:rPr>
      <w:rFonts w:ascii="Century Gothic" w:hAnsi="Century Gothic" w:eastAsia="仿宋_GB2312"/>
      <w:i/>
      <w:iCs/>
      <w:color w:val="000000"/>
      <w:kern w:val="0"/>
      <w:sz w:val="20"/>
      <w:szCs w:val="20"/>
    </w:rPr>
  </w:style>
  <w:style w:type="character" w:customStyle="1" w:styleId="259">
    <w:name w:val="Plain Text Char"/>
    <w:qFormat/>
    <w:uiPriority w:val="0"/>
    <w:rPr>
      <w:rFonts w:ascii="仿宋_GB2312" w:hAnsi="Wingdings" w:eastAsia="仿宋_GB2312" w:cs="新宋体"/>
      <w:sz w:val="21"/>
      <w:szCs w:val="21"/>
    </w:rPr>
  </w:style>
  <w:style w:type="character" w:customStyle="1" w:styleId="260">
    <w:name w:val="A4 Char Char"/>
    <w:qFormat/>
    <w:uiPriority w:val="0"/>
    <w:rPr>
      <w:rFonts w:ascii="Cambria" w:hAnsi="Cambria" w:eastAsia="宋体"/>
      <w:b/>
      <w:bCs/>
      <w:sz w:val="28"/>
      <w:szCs w:val="28"/>
    </w:rPr>
  </w:style>
  <w:style w:type="character" w:customStyle="1" w:styleId="261">
    <w:name w:val="正文4 Char"/>
    <w:qFormat/>
    <w:uiPriority w:val="0"/>
    <w:rPr>
      <w:rFonts w:ascii="新宋体" w:hAnsi="新宋体" w:eastAsia="宋体" w:cs="新宋体"/>
      <w:kern w:val="2"/>
      <w:sz w:val="24"/>
      <w:szCs w:val="24"/>
      <w:lang w:val="en-US" w:eastAsia="zh-CN" w:bidi="ar-SA"/>
    </w:rPr>
  </w:style>
  <w:style w:type="character" w:customStyle="1" w:styleId="262">
    <w:name w:val="heading 5 Char1"/>
    <w:qFormat/>
    <w:uiPriority w:val="0"/>
    <w:rPr>
      <w:rFonts w:eastAsia="仿宋_GB2312"/>
      <w:b/>
      <w:bCs/>
      <w:kern w:val="2"/>
      <w:sz w:val="28"/>
      <w:szCs w:val="28"/>
      <w:lang w:val="en-US" w:eastAsia="zh-CN" w:bidi="ar-SA"/>
    </w:rPr>
  </w:style>
  <w:style w:type="character" w:customStyle="1" w:styleId="263">
    <w:name w:val="Char Char22"/>
    <w:qFormat/>
    <w:uiPriority w:val="0"/>
    <w:rPr>
      <w:rFonts w:ascii="Tahoma" w:hAnsi="Tahoma" w:eastAsia="Helvetica"/>
      <w:b/>
      <w:bCs/>
      <w:kern w:val="44"/>
      <w:sz w:val="30"/>
      <w:szCs w:val="44"/>
      <w:lang w:val="en-US" w:eastAsia="zh-CN" w:bidi="ar-SA"/>
    </w:rPr>
  </w:style>
  <w:style w:type="character" w:customStyle="1" w:styleId="264">
    <w:name w:val="表格 Char Char"/>
    <w:link w:val="265"/>
    <w:qFormat/>
    <w:uiPriority w:val="0"/>
    <w:rPr>
      <w:rFonts w:ascii="仿宋_GB2312" w:hAnsi="仿宋_GB2312" w:eastAsia="仿宋_GB2312"/>
    </w:rPr>
  </w:style>
  <w:style w:type="paragraph" w:customStyle="1" w:styleId="265">
    <w:name w:val="表格"/>
    <w:basedOn w:val="1"/>
    <w:link w:val="264"/>
    <w:qFormat/>
    <w:uiPriority w:val="99"/>
    <w:pPr>
      <w:autoSpaceDE w:val="0"/>
      <w:autoSpaceDN w:val="0"/>
      <w:adjustRightInd w:val="0"/>
      <w:snapToGrid w:val="0"/>
      <w:ind w:firstLine="42" w:firstLineChars="21"/>
      <w:jc w:val="left"/>
    </w:pPr>
    <w:rPr>
      <w:rFonts w:ascii="仿宋_GB2312" w:hAnsi="仿宋_GB2312" w:eastAsia="仿宋_GB2312"/>
      <w:kern w:val="0"/>
      <w:sz w:val="20"/>
      <w:szCs w:val="20"/>
    </w:rPr>
  </w:style>
  <w:style w:type="character" w:customStyle="1" w:styleId="266">
    <w:name w:val="一级标题 Char"/>
    <w:link w:val="267"/>
    <w:qFormat/>
    <w:uiPriority w:val="0"/>
    <w:rPr>
      <w:rFonts w:ascii="黑体" w:eastAsia="华文中宋"/>
      <w:b/>
      <w:kern w:val="44"/>
      <w:sz w:val="36"/>
      <w:szCs w:val="44"/>
    </w:rPr>
  </w:style>
  <w:style w:type="paragraph" w:customStyle="1" w:styleId="267">
    <w:name w:val="一级标题"/>
    <w:basedOn w:val="4"/>
    <w:link w:val="266"/>
    <w:qFormat/>
    <w:uiPriority w:val="0"/>
    <w:pPr>
      <w:keepLines/>
      <w:pageBreakBefore/>
      <w:spacing w:line="578" w:lineRule="auto"/>
      <w:ind w:left="432" w:hanging="432"/>
    </w:pPr>
    <w:rPr>
      <w:rFonts w:ascii="黑体" w:eastAsia="华文中宋"/>
      <w:bCs w:val="0"/>
      <w:kern w:val="44"/>
      <w:sz w:val="36"/>
      <w:szCs w:val="44"/>
    </w:rPr>
  </w:style>
  <w:style w:type="character" w:customStyle="1" w:styleId="268">
    <w:name w:val="批注框文本 字符1"/>
    <w:link w:val="41"/>
    <w:qFormat/>
    <w:uiPriority w:val="0"/>
    <w:rPr>
      <w:kern w:val="2"/>
      <w:sz w:val="18"/>
      <w:szCs w:val="18"/>
    </w:rPr>
  </w:style>
  <w:style w:type="character" w:customStyle="1" w:styleId="269">
    <w:name w:val="正文（小四+1.25倍行距） Char"/>
    <w:link w:val="270"/>
    <w:qFormat/>
    <w:uiPriority w:val="0"/>
    <w:rPr>
      <w:sz w:val="24"/>
      <w:szCs w:val="24"/>
    </w:rPr>
  </w:style>
  <w:style w:type="paragraph" w:customStyle="1" w:styleId="270">
    <w:name w:val="正文（小四+1.25倍行距）"/>
    <w:basedOn w:val="1"/>
    <w:link w:val="269"/>
    <w:qFormat/>
    <w:uiPriority w:val="0"/>
    <w:pPr>
      <w:spacing w:afterLines="50" w:line="300" w:lineRule="auto"/>
      <w:ind w:firstLine="420"/>
    </w:pPr>
    <w:rPr>
      <w:kern w:val="0"/>
      <w:sz w:val="24"/>
    </w:rPr>
  </w:style>
  <w:style w:type="character" w:customStyle="1" w:styleId="271">
    <w:name w:val="Ò³Ã¼ Char Char1"/>
    <w:qFormat/>
    <w:uiPriority w:val="0"/>
    <w:rPr>
      <w:rFonts w:eastAsia="仿宋_GB2312"/>
      <w:kern w:val="2"/>
      <w:sz w:val="18"/>
      <w:szCs w:val="18"/>
      <w:lang w:val="en-US" w:eastAsia="zh-CN" w:bidi="ar-SA"/>
    </w:rPr>
  </w:style>
  <w:style w:type="character" w:customStyle="1" w:styleId="272">
    <w:name w:val="正文首行缩进 字符"/>
    <w:basedOn w:val="273"/>
    <w:qFormat/>
    <w:uiPriority w:val="0"/>
    <w:rPr>
      <w:rFonts w:ascii="宋体"/>
      <w:sz w:val="21"/>
    </w:rPr>
  </w:style>
  <w:style w:type="character" w:customStyle="1" w:styleId="273">
    <w:name w:val="正文文本 字符"/>
    <w:qFormat/>
    <w:uiPriority w:val="0"/>
    <w:rPr>
      <w:rFonts w:ascii="宋体"/>
      <w:sz w:val="21"/>
    </w:rPr>
  </w:style>
  <w:style w:type="character" w:customStyle="1" w:styleId="274">
    <w:name w:val="信息标题 Char"/>
    <w:qFormat/>
    <w:uiPriority w:val="0"/>
    <w:rPr>
      <w:rFonts w:eastAsia="仿宋_GB2312"/>
      <w:kern w:val="2"/>
      <w:sz w:val="21"/>
      <w:szCs w:val="24"/>
      <w:shd w:val="pct20" w:color="auto" w:fill="auto"/>
    </w:rPr>
  </w:style>
  <w:style w:type="character" w:customStyle="1" w:styleId="275">
    <w:name w:val="A4 Char"/>
    <w:link w:val="276"/>
    <w:qFormat/>
    <w:uiPriority w:val="0"/>
    <w:rPr>
      <w:rFonts w:ascii="Cambria" w:hAnsi="Cambria" w:cs="新宋体"/>
      <w:b/>
      <w:bCs/>
      <w:sz w:val="28"/>
      <w:szCs w:val="28"/>
    </w:rPr>
  </w:style>
  <w:style w:type="paragraph" w:customStyle="1" w:styleId="276">
    <w:name w:val="A4"/>
    <w:basedOn w:val="6"/>
    <w:link w:val="275"/>
    <w:qFormat/>
    <w:uiPriority w:val="0"/>
    <w:pPr>
      <w:spacing w:line="377" w:lineRule="auto"/>
      <w:jc w:val="left"/>
    </w:pPr>
    <w:rPr>
      <w:rFonts w:cs="新宋体"/>
      <w:kern w:val="0"/>
    </w:rPr>
  </w:style>
  <w:style w:type="character" w:customStyle="1" w:styleId="277">
    <w:name w:val="Char Char61"/>
    <w:qFormat/>
    <w:uiPriority w:val="0"/>
    <w:rPr>
      <w:rFonts w:ascii="新宋体" w:hAnsi="新宋体" w:eastAsia="仿宋_GB2312" w:cs="新宋体"/>
      <w:szCs w:val="24"/>
    </w:rPr>
  </w:style>
  <w:style w:type="character" w:customStyle="1" w:styleId="278">
    <w:name w:val="符号正文缩进 Char Char"/>
    <w:link w:val="279"/>
    <w:qFormat/>
    <w:uiPriority w:val="0"/>
    <w:rPr>
      <w:kern w:val="2"/>
      <w:sz w:val="24"/>
      <w:szCs w:val="24"/>
    </w:rPr>
  </w:style>
  <w:style w:type="paragraph" w:customStyle="1" w:styleId="279">
    <w:name w:val="符号正文缩进"/>
    <w:basedOn w:val="16"/>
    <w:link w:val="278"/>
    <w:qFormat/>
    <w:uiPriority w:val="0"/>
    <w:pPr>
      <w:tabs>
        <w:tab w:val="left" w:pos="1497"/>
      </w:tabs>
      <w:spacing w:line="400" w:lineRule="atLeast"/>
      <w:ind w:left="567" w:firstLine="510"/>
    </w:pPr>
    <w:rPr>
      <w:kern w:val="2"/>
      <w:sz w:val="24"/>
      <w:szCs w:val="24"/>
    </w:rPr>
  </w:style>
  <w:style w:type="character" w:customStyle="1" w:styleId="280">
    <w:name w:val="Char Char11"/>
    <w:qFormat/>
    <w:uiPriority w:val="0"/>
    <w:rPr>
      <w:rFonts w:ascii="新宋体" w:hAnsi="新宋体" w:eastAsia="仿宋_GB2312" w:cs="新宋体"/>
      <w:sz w:val="18"/>
      <w:szCs w:val="18"/>
    </w:rPr>
  </w:style>
  <w:style w:type="character" w:customStyle="1" w:styleId="281">
    <w:name w:val="heading 1 Char2"/>
    <w:qFormat/>
    <w:uiPriority w:val="0"/>
    <w:rPr>
      <w:b/>
      <w:bCs/>
      <w:kern w:val="44"/>
      <w:sz w:val="44"/>
      <w:szCs w:val="44"/>
    </w:rPr>
  </w:style>
  <w:style w:type="character" w:customStyle="1" w:styleId="282">
    <w:name w:val="Char Char13"/>
    <w:basedOn w:val="66"/>
    <w:qFormat/>
    <w:uiPriority w:val="0"/>
    <w:rPr>
      <w:rFonts w:ascii="Times New Roman" w:hAnsi="Times New Roman" w:eastAsia="宋体" w:cs="Times New Roman"/>
      <w:b/>
      <w:bCs/>
      <w:color w:val="auto"/>
      <w:kern w:val="2"/>
      <w:szCs w:val="20"/>
    </w:rPr>
  </w:style>
  <w:style w:type="character" w:customStyle="1" w:styleId="283">
    <w:name w:val="heading 7 Char1"/>
    <w:qFormat/>
    <w:uiPriority w:val="0"/>
    <w:rPr>
      <w:rFonts w:ascii="Tahoma" w:hAnsi="Tahoma" w:eastAsia="Helvetica"/>
      <w:sz w:val="21"/>
      <w:szCs w:val="21"/>
      <w:lang w:val="en-US" w:eastAsia="zh-CN" w:bidi="ar-SA"/>
    </w:rPr>
  </w:style>
  <w:style w:type="character" w:customStyle="1" w:styleId="284">
    <w:name w:val="Style2"/>
    <w:qFormat/>
    <w:uiPriority w:val="0"/>
    <w:rPr>
      <w:rFonts w:ascii="Century Gothic" w:hAnsi="仿宋_GB2312" w:eastAsia="仿宋_GB2312" w:cs="新宋体"/>
      <w:sz w:val="22"/>
      <w:szCs w:val="22"/>
      <w:lang w:eastAsia="zh-CN"/>
    </w:rPr>
  </w:style>
  <w:style w:type="character" w:customStyle="1" w:styleId="285">
    <w:name w:val="blue1"/>
    <w:basedOn w:val="66"/>
    <w:qFormat/>
    <w:uiPriority w:val="0"/>
  </w:style>
  <w:style w:type="character" w:customStyle="1" w:styleId="286">
    <w:name w:val="style111"/>
    <w:qFormat/>
    <w:uiPriority w:val="0"/>
    <w:rPr>
      <w:sz w:val="27"/>
      <w:szCs w:val="27"/>
    </w:rPr>
  </w:style>
  <w:style w:type="character" w:customStyle="1" w:styleId="287">
    <w:name w:val="emailstyle15"/>
    <w:qFormat/>
    <w:uiPriority w:val="0"/>
    <w:rPr>
      <w:rFonts w:ascii="Arial" w:hAnsi="Arial" w:eastAsia="宋体" w:cs="Arial"/>
      <w:color w:val="auto"/>
      <w:kern w:val="2"/>
      <w:sz w:val="20"/>
      <w:szCs w:val="24"/>
      <w:lang w:val="en-US" w:eastAsia="zh-CN" w:bidi="ar-SA"/>
    </w:rPr>
  </w:style>
  <w:style w:type="character" w:customStyle="1" w:styleId="288">
    <w:name w:val="个人撰写风格"/>
    <w:qFormat/>
    <w:uiPriority w:val="0"/>
    <w:rPr>
      <w:rFonts w:ascii="Arial" w:hAnsi="Arial" w:eastAsia="宋体" w:cs="Arial"/>
      <w:color w:val="auto"/>
      <w:kern w:val="2"/>
      <w:sz w:val="20"/>
      <w:szCs w:val="24"/>
      <w:lang w:val="en-US" w:eastAsia="zh-CN" w:bidi="ar-SA"/>
    </w:rPr>
  </w:style>
  <w:style w:type="character" w:customStyle="1" w:styleId="289">
    <w:name w:val="font01"/>
    <w:qFormat/>
    <w:uiPriority w:val="0"/>
    <w:rPr>
      <w:rFonts w:hint="eastAsia" w:ascii="宋体" w:hAnsi="宋体" w:eastAsia="宋体" w:cs="宋体"/>
      <w:color w:val="000000"/>
      <w:sz w:val="18"/>
      <w:szCs w:val="18"/>
      <w:u w:val="none"/>
      <w:vertAlign w:val="superscript"/>
    </w:rPr>
  </w:style>
  <w:style w:type="character" w:customStyle="1" w:styleId="290">
    <w:name w:val="Char Char21"/>
    <w:qFormat/>
    <w:uiPriority w:val="0"/>
    <w:rPr>
      <w:rFonts w:ascii="新宋体" w:hAnsi="新宋体" w:eastAsia="仿宋_GB2312" w:cs="新宋体"/>
      <w:b/>
      <w:bCs/>
      <w:kern w:val="44"/>
      <w:sz w:val="44"/>
      <w:szCs w:val="44"/>
    </w:rPr>
  </w:style>
  <w:style w:type="character" w:customStyle="1" w:styleId="291">
    <w:name w:val="Char Char24"/>
    <w:qFormat/>
    <w:uiPriority w:val="0"/>
    <w:rPr>
      <w:rFonts w:ascii="Verdana" w:hAnsi="Verdana" w:eastAsia="仿宋_GB2312"/>
      <w:b/>
      <w:bCs/>
      <w:kern w:val="2"/>
      <w:sz w:val="32"/>
      <w:szCs w:val="32"/>
      <w:lang w:val="en-US" w:eastAsia="zh-CN" w:bidi="ar-SA"/>
    </w:rPr>
  </w:style>
  <w:style w:type="character" w:customStyle="1" w:styleId="292">
    <w:name w:val="Char Char181"/>
    <w:qFormat/>
    <w:uiPriority w:val="0"/>
    <w:rPr>
      <w:rFonts w:ascii="Tahoma" w:hAnsi="Tahoma" w:eastAsia="Helvetica"/>
      <w:sz w:val="24"/>
      <w:lang w:val="en-US" w:eastAsia="zh-CN" w:bidi="ar-SA"/>
    </w:rPr>
  </w:style>
  <w:style w:type="character" w:customStyle="1" w:styleId="293">
    <w:name w:val="heading 5 Char"/>
    <w:qFormat/>
    <w:uiPriority w:val="0"/>
    <w:rPr>
      <w:rFonts w:ascii="Tahoma" w:hAnsi="Tahoma" w:eastAsia="Helvetica"/>
      <w:sz w:val="21"/>
      <w:szCs w:val="21"/>
    </w:rPr>
  </w:style>
  <w:style w:type="character" w:customStyle="1" w:styleId="294">
    <w:name w:val="heading 3 Char2"/>
    <w:qFormat/>
    <w:uiPriority w:val="0"/>
    <w:rPr>
      <w:b/>
      <w:bCs/>
      <w:kern w:val="2"/>
      <w:sz w:val="32"/>
      <w:szCs w:val="32"/>
    </w:rPr>
  </w:style>
  <w:style w:type="character" w:customStyle="1" w:styleId="295">
    <w:name w:val="列出段落 Char1"/>
    <w:qFormat/>
    <w:uiPriority w:val="0"/>
    <w:rPr>
      <w:kern w:val="2"/>
      <w:sz w:val="21"/>
      <w:szCs w:val="24"/>
    </w:rPr>
  </w:style>
  <w:style w:type="character" w:customStyle="1" w:styleId="296">
    <w:name w:val="Footer-Even Char2"/>
    <w:qFormat/>
    <w:uiPriority w:val="0"/>
    <w:rPr>
      <w:kern w:val="2"/>
      <w:sz w:val="18"/>
      <w:szCs w:val="18"/>
    </w:rPr>
  </w:style>
  <w:style w:type="character" w:customStyle="1" w:styleId="297">
    <w:name w:val="heading 1 Char1"/>
    <w:qFormat/>
    <w:uiPriority w:val="0"/>
    <w:rPr>
      <w:rFonts w:eastAsia="仿宋_GB2312"/>
      <w:b/>
      <w:bCs/>
      <w:kern w:val="44"/>
      <w:sz w:val="44"/>
      <w:szCs w:val="44"/>
      <w:lang w:val="en-US" w:eastAsia="zh-CN" w:bidi="ar-SA"/>
    </w:rPr>
  </w:style>
  <w:style w:type="character" w:customStyle="1" w:styleId="298">
    <w:name w:val="kpk:正文 Char"/>
    <w:link w:val="299"/>
    <w:qFormat/>
    <w:uiPriority w:val="0"/>
    <w:rPr>
      <w:rFonts w:ascii="宋体" w:hAnsi="宋体"/>
      <w:kern w:val="2"/>
      <w:sz w:val="24"/>
      <w:szCs w:val="24"/>
      <w:lang w:val="en-GB"/>
    </w:rPr>
  </w:style>
  <w:style w:type="paragraph" w:customStyle="1" w:styleId="299">
    <w:name w:val="kpk:正文"/>
    <w:basedOn w:val="1"/>
    <w:link w:val="298"/>
    <w:qFormat/>
    <w:uiPriority w:val="0"/>
    <w:pPr>
      <w:wordWrap w:val="0"/>
      <w:spacing w:beforeLines="50" w:after="312" w:line="360" w:lineRule="auto"/>
      <w:ind w:firstLine="480" w:firstLineChars="200"/>
      <w:jc w:val="left"/>
    </w:pPr>
    <w:rPr>
      <w:rFonts w:ascii="宋体" w:hAnsi="宋体"/>
      <w:sz w:val="24"/>
      <w:lang w:val="en-GB"/>
    </w:rPr>
  </w:style>
  <w:style w:type="character" w:customStyle="1" w:styleId="300">
    <w:name w:val="彩色列表 - 强调文字颜色 1 Char"/>
    <w:link w:val="301"/>
    <w:qFormat/>
    <w:uiPriority w:val="0"/>
    <w:rPr>
      <w:kern w:val="2"/>
      <w:sz w:val="21"/>
      <w:szCs w:val="22"/>
    </w:rPr>
  </w:style>
  <w:style w:type="paragraph" w:customStyle="1" w:styleId="301">
    <w:name w:val="彩色列表 - 强调文字颜色 11"/>
    <w:basedOn w:val="1"/>
    <w:link w:val="300"/>
    <w:qFormat/>
    <w:uiPriority w:val="0"/>
    <w:pPr>
      <w:ind w:firstLine="420" w:firstLineChars="200"/>
    </w:pPr>
    <w:rPr>
      <w:szCs w:val="22"/>
    </w:rPr>
  </w:style>
  <w:style w:type="character" w:customStyle="1" w:styleId="302">
    <w:name w:val="A3 Char"/>
    <w:link w:val="303"/>
    <w:qFormat/>
    <w:uiPriority w:val="0"/>
    <w:rPr>
      <w:b/>
      <w:bCs/>
      <w:sz w:val="32"/>
      <w:szCs w:val="32"/>
    </w:rPr>
  </w:style>
  <w:style w:type="paragraph" w:customStyle="1" w:styleId="303">
    <w:name w:val="A3"/>
    <w:basedOn w:val="5"/>
    <w:link w:val="302"/>
    <w:qFormat/>
    <w:uiPriority w:val="0"/>
    <w:pPr>
      <w:spacing w:before="0" w:after="0" w:line="415" w:lineRule="auto"/>
      <w:ind w:left="720" w:hanging="720"/>
      <w:jc w:val="left"/>
    </w:pPr>
    <w:rPr>
      <w:kern w:val="0"/>
    </w:rPr>
  </w:style>
  <w:style w:type="character" w:customStyle="1" w:styleId="304">
    <w:name w:val="批注框文本 字符"/>
    <w:semiHidden/>
    <w:qFormat/>
    <w:uiPriority w:val="0"/>
    <w:rPr>
      <w:sz w:val="18"/>
      <w:szCs w:val="18"/>
    </w:rPr>
  </w:style>
  <w:style w:type="character" w:customStyle="1" w:styleId="305">
    <w:name w:val="正文文本缩进 2 字符1"/>
    <w:link w:val="39"/>
    <w:qFormat/>
    <w:uiPriority w:val="0"/>
    <w:rPr>
      <w:kern w:val="2"/>
      <w:sz w:val="24"/>
      <w:szCs w:val="24"/>
    </w:rPr>
  </w:style>
  <w:style w:type="character" w:customStyle="1" w:styleId="306">
    <w:name w:val="Table Text Char"/>
    <w:link w:val="307"/>
    <w:qFormat/>
    <w:uiPriority w:val="0"/>
    <w:rPr>
      <w:rFonts w:eastAsia="仿宋_GB2312"/>
      <w:sz w:val="24"/>
    </w:rPr>
  </w:style>
  <w:style w:type="paragraph" w:customStyle="1" w:styleId="307">
    <w:name w:val="Table Text"/>
    <w:basedOn w:val="1"/>
    <w:link w:val="306"/>
    <w:qFormat/>
    <w:uiPriority w:val="0"/>
    <w:pPr>
      <w:widowControl/>
      <w:autoSpaceDE w:val="0"/>
      <w:autoSpaceDN w:val="0"/>
      <w:adjustRightInd w:val="0"/>
      <w:spacing w:before="60" w:after="60"/>
      <w:jc w:val="left"/>
    </w:pPr>
    <w:rPr>
      <w:rFonts w:eastAsia="仿宋_GB2312"/>
      <w:kern w:val="0"/>
      <w:sz w:val="24"/>
      <w:szCs w:val="20"/>
    </w:rPr>
  </w:style>
  <w:style w:type="character" w:customStyle="1" w:styleId="308">
    <w:name w:val="!我的正文 Ctr+Q Char Char"/>
    <w:qFormat/>
    <w:uiPriority w:val="0"/>
    <w:rPr>
      <w:rFonts w:ascii="Arial" w:hAnsi="Arial"/>
      <w:kern w:val="2"/>
      <w:sz w:val="24"/>
      <w:szCs w:val="21"/>
      <w:lang w:bidi="ar-SA"/>
    </w:rPr>
  </w:style>
  <w:style w:type="character" w:customStyle="1" w:styleId="309">
    <w:name w:val="BZ_四级标题 Char"/>
    <w:link w:val="161"/>
    <w:qFormat/>
    <w:uiPriority w:val="0"/>
    <w:rPr>
      <w:rFonts w:eastAsia="黑体"/>
      <w:bCs/>
      <w:kern w:val="2"/>
      <w:sz w:val="24"/>
      <w:szCs w:val="28"/>
    </w:rPr>
  </w:style>
  <w:style w:type="character" w:customStyle="1" w:styleId="310">
    <w:name w:val="Char Char17"/>
    <w:qFormat/>
    <w:uiPriority w:val="0"/>
    <w:rPr>
      <w:rFonts w:ascii="Tahoma" w:hAnsi="Tahoma" w:eastAsia="Helvetica"/>
      <w:sz w:val="21"/>
      <w:lang w:val="en-US" w:eastAsia="zh-CN" w:bidi="ar-SA"/>
    </w:rPr>
  </w:style>
  <w:style w:type="character" w:customStyle="1" w:styleId="311">
    <w:name w:val="heading 2 Char2"/>
    <w:qFormat/>
    <w:uiPriority w:val="0"/>
    <w:rPr>
      <w:rFonts w:ascii="Verdana" w:hAnsi="Verdana"/>
      <w:b/>
      <w:bCs/>
      <w:kern w:val="2"/>
      <w:sz w:val="32"/>
      <w:szCs w:val="32"/>
    </w:rPr>
  </w:style>
  <w:style w:type="character" w:customStyle="1" w:styleId="312">
    <w:name w:val="正文缩进字符"/>
    <w:link w:val="313"/>
    <w:qFormat/>
    <w:uiPriority w:val="0"/>
    <w:rPr>
      <w:rFonts w:ascii="宋体"/>
      <w:sz w:val="24"/>
    </w:rPr>
  </w:style>
  <w:style w:type="paragraph" w:customStyle="1" w:styleId="313">
    <w:name w:val="正文缩进2"/>
    <w:basedOn w:val="1"/>
    <w:link w:val="312"/>
    <w:qFormat/>
    <w:uiPriority w:val="0"/>
    <w:pPr>
      <w:autoSpaceDE w:val="0"/>
      <w:autoSpaceDN w:val="0"/>
      <w:adjustRightInd w:val="0"/>
      <w:spacing w:line="360" w:lineRule="auto"/>
      <w:ind w:firstLine="420" w:firstLineChars="200"/>
      <w:jc w:val="left"/>
    </w:pPr>
    <w:rPr>
      <w:rFonts w:ascii="宋体"/>
      <w:kern w:val="0"/>
      <w:sz w:val="24"/>
      <w:szCs w:val="20"/>
    </w:rPr>
  </w:style>
  <w:style w:type="character" w:customStyle="1" w:styleId="314">
    <w:name w:val="1Text Char"/>
    <w:link w:val="315"/>
    <w:qFormat/>
    <w:uiPriority w:val="0"/>
    <w:rPr>
      <w:rFonts w:ascii="Calibri" w:hAnsi="Calibri"/>
      <w:sz w:val="24"/>
      <w:szCs w:val="24"/>
    </w:rPr>
  </w:style>
  <w:style w:type="paragraph" w:customStyle="1" w:styleId="315">
    <w:name w:val="1Text"/>
    <w:basedOn w:val="1"/>
    <w:link w:val="314"/>
    <w:qFormat/>
    <w:uiPriority w:val="0"/>
    <w:pPr>
      <w:spacing w:beforeLines="50" w:afterLines="50" w:line="360" w:lineRule="auto"/>
      <w:ind w:firstLine="480" w:firstLineChars="200"/>
      <w:jc w:val="left"/>
    </w:pPr>
    <w:rPr>
      <w:rFonts w:ascii="Calibri" w:hAnsi="Calibri"/>
      <w:kern w:val="0"/>
      <w:sz w:val="24"/>
    </w:rPr>
  </w:style>
  <w:style w:type="character" w:customStyle="1" w:styleId="316">
    <w:name w:val="文档结构图 字符"/>
    <w:semiHidden/>
    <w:qFormat/>
    <w:uiPriority w:val="99"/>
    <w:rPr>
      <w:rFonts w:ascii="宋体"/>
      <w:sz w:val="18"/>
      <w:szCs w:val="18"/>
    </w:rPr>
  </w:style>
  <w:style w:type="character" w:customStyle="1" w:styleId="317">
    <w:name w:val="heading 8 Char1"/>
    <w:qFormat/>
    <w:uiPriority w:val="0"/>
    <w:rPr>
      <w:rFonts w:ascii="Tahoma" w:hAnsi="Tahoma" w:eastAsia="Helvetica"/>
      <w:sz w:val="24"/>
      <w:lang w:val="en-US" w:eastAsia="zh-CN" w:bidi="ar-SA"/>
    </w:rPr>
  </w:style>
  <w:style w:type="character" w:customStyle="1" w:styleId="318">
    <w:name w:val="Char Char171"/>
    <w:qFormat/>
    <w:uiPriority w:val="0"/>
    <w:rPr>
      <w:rFonts w:ascii="Verdana" w:hAnsi="Verdana"/>
      <w:b/>
      <w:bCs/>
      <w:kern w:val="2"/>
      <w:sz w:val="28"/>
      <w:szCs w:val="28"/>
    </w:rPr>
  </w:style>
  <w:style w:type="character" w:customStyle="1" w:styleId="319">
    <w:name w:val="副标题 Char"/>
    <w:qFormat/>
    <w:uiPriority w:val="0"/>
    <w:rPr>
      <w:rFonts w:ascii="Verdana" w:hAnsi="Verdana" w:eastAsia="仿宋_GB2312"/>
      <w:b/>
      <w:bCs/>
      <w:kern w:val="28"/>
      <w:sz w:val="32"/>
      <w:szCs w:val="32"/>
    </w:rPr>
  </w:style>
  <w:style w:type="character" w:customStyle="1" w:styleId="320">
    <w:name w:val="内容文本 Char"/>
    <w:link w:val="321"/>
    <w:qFormat/>
    <w:uiPriority w:val="0"/>
    <w:rPr>
      <w:rFonts w:ascii="宋体" w:hAnsi="宋体"/>
      <w:sz w:val="24"/>
      <w:szCs w:val="24"/>
      <w:lang w:eastAsia="en-US" w:bidi="en-US"/>
    </w:rPr>
  </w:style>
  <w:style w:type="paragraph" w:customStyle="1" w:styleId="321">
    <w:name w:val="内容文本"/>
    <w:basedOn w:val="301"/>
    <w:link w:val="320"/>
    <w:qFormat/>
    <w:uiPriority w:val="0"/>
    <w:pPr>
      <w:spacing w:line="360" w:lineRule="auto"/>
      <w:ind w:firstLine="200"/>
      <w:contextualSpacing/>
      <w:jc w:val="left"/>
    </w:pPr>
    <w:rPr>
      <w:rFonts w:ascii="宋体" w:hAnsi="宋体"/>
      <w:kern w:val="0"/>
      <w:sz w:val="24"/>
      <w:szCs w:val="24"/>
      <w:lang w:eastAsia="en-US" w:bidi="en-US"/>
    </w:rPr>
  </w:style>
  <w:style w:type="character" w:customStyle="1" w:styleId="322">
    <w:name w:val="明显引用 Char"/>
    <w:qFormat/>
    <w:uiPriority w:val="0"/>
    <w:rPr>
      <w:rFonts w:ascii="Century Gothic" w:hAnsi="Century Gothic" w:eastAsia="仿宋_GB2312"/>
      <w:b/>
      <w:bCs/>
      <w:i/>
      <w:iCs/>
      <w:color w:val="4F81BD"/>
    </w:rPr>
  </w:style>
  <w:style w:type="paragraph" w:styleId="323">
    <w:name w:val="Intense Quote"/>
    <w:basedOn w:val="1"/>
    <w:next w:val="1"/>
    <w:link w:val="594"/>
    <w:qFormat/>
    <w:uiPriority w:val="0"/>
    <w:pPr>
      <w:pBdr>
        <w:bottom w:val="single" w:color="4F81BD" w:sz="4" w:space="4"/>
      </w:pBdr>
      <w:spacing w:before="200" w:after="280"/>
      <w:ind w:left="936" w:right="936"/>
    </w:pPr>
    <w:rPr>
      <w:rFonts w:ascii="Century Gothic" w:hAnsi="Century Gothic" w:eastAsia="仿宋_GB2312"/>
      <w:b/>
      <w:bCs/>
      <w:i/>
      <w:iCs/>
      <w:color w:val="4F81BD"/>
      <w:kern w:val="0"/>
      <w:sz w:val="20"/>
      <w:szCs w:val="20"/>
    </w:rPr>
  </w:style>
  <w:style w:type="character" w:customStyle="1" w:styleId="324">
    <w:name w:val="Style5"/>
    <w:qFormat/>
    <w:uiPriority w:val="0"/>
    <w:rPr>
      <w:rFonts w:ascii="Century Gothic" w:hAnsi="仿宋_GB2312" w:eastAsia="仿宋_GB2312" w:cs="新宋体"/>
      <w:sz w:val="22"/>
      <w:szCs w:val="22"/>
      <w:lang w:eastAsia="zh-CN"/>
    </w:rPr>
  </w:style>
  <w:style w:type="character" w:customStyle="1" w:styleId="325">
    <w:name w:val="HTML 预设格式 Char"/>
    <w:qFormat/>
    <w:uiPriority w:val="0"/>
    <w:rPr>
      <w:rFonts w:ascii="黑体" w:hAnsi="Courier New" w:eastAsia="黑体"/>
    </w:rPr>
  </w:style>
  <w:style w:type="character" w:customStyle="1" w:styleId="326">
    <w:name w:val="BZ_图 Char"/>
    <w:link w:val="327"/>
    <w:qFormat/>
    <w:uiPriority w:val="0"/>
    <w:rPr>
      <w:kern w:val="2"/>
      <w:sz w:val="21"/>
      <w:szCs w:val="24"/>
    </w:rPr>
  </w:style>
  <w:style w:type="paragraph" w:customStyle="1" w:styleId="327">
    <w:name w:val="BZ_图"/>
    <w:basedOn w:val="1"/>
    <w:next w:val="1"/>
    <w:link w:val="326"/>
    <w:qFormat/>
    <w:uiPriority w:val="0"/>
    <w:pPr>
      <w:keepNext/>
      <w:widowControl/>
      <w:spacing w:beforeLines="50" w:afterLines="50"/>
      <w:jc w:val="center"/>
    </w:pPr>
  </w:style>
  <w:style w:type="character" w:customStyle="1" w:styleId="328">
    <w:name w:val="Char Char Char Char Char Char Char Char Char Char Char Char Char Char Char"/>
    <w:qFormat/>
    <w:uiPriority w:val="0"/>
    <w:rPr>
      <w:rFonts w:ascii="仿宋_GB2312" w:hAnsi="Wingdings" w:eastAsia="仿宋_GB2312"/>
      <w:sz w:val="21"/>
      <w:szCs w:val="21"/>
      <w:lang w:val="en-US" w:eastAsia="zh-CN" w:bidi="ar-SA"/>
    </w:rPr>
  </w:style>
  <w:style w:type="character" w:customStyle="1" w:styleId="329">
    <w:name w:val="标题 3 字符"/>
    <w:qFormat/>
    <w:uiPriority w:val="0"/>
    <w:rPr>
      <w:rFonts w:eastAsia="黑体"/>
      <w:b/>
      <w:sz w:val="28"/>
    </w:rPr>
  </w:style>
  <w:style w:type="character" w:customStyle="1" w:styleId="330">
    <w:name w:val="dandyren_title1"/>
    <w:qFormat/>
    <w:uiPriority w:val="0"/>
    <w:rPr>
      <w:b/>
      <w:bCs/>
      <w:color w:val="FF6633"/>
      <w:sz w:val="18"/>
      <w:szCs w:val="18"/>
    </w:rPr>
  </w:style>
  <w:style w:type="character" w:customStyle="1" w:styleId="331">
    <w:name w:val="样式 正文缩进首行缩进两字正文（首行缩进两字） Char正文（首行缩进两字） Char Char Char正文（首行缩进... Char"/>
    <w:link w:val="332"/>
    <w:qFormat/>
    <w:uiPriority w:val="0"/>
    <w:rPr>
      <w:rFonts w:cs="宋体"/>
      <w:szCs w:val="28"/>
    </w:rPr>
  </w:style>
  <w:style w:type="paragraph" w:customStyle="1" w:styleId="332">
    <w:name w:val="样式 正文缩进首行缩进两字正文（首行缩进两字） Char正文（首行缩进两字） Char Char Char正文（首行缩进..."/>
    <w:basedOn w:val="16"/>
    <w:link w:val="331"/>
    <w:qFormat/>
    <w:uiPriority w:val="0"/>
    <w:pPr>
      <w:autoSpaceDE w:val="0"/>
      <w:autoSpaceDN w:val="0"/>
      <w:spacing w:line="240" w:lineRule="auto"/>
      <w:ind w:firstLine="567"/>
    </w:pPr>
    <w:rPr>
      <w:rFonts w:cs="宋体"/>
      <w:sz w:val="20"/>
      <w:szCs w:val="28"/>
    </w:rPr>
  </w:style>
  <w:style w:type="character" w:customStyle="1" w:styleId="333">
    <w:name w:val="1Text Char Char"/>
    <w:qFormat/>
    <w:uiPriority w:val="0"/>
    <w:rPr>
      <w:rFonts w:ascii="Calibri" w:hAnsi="Calibri" w:eastAsia="宋体"/>
      <w:sz w:val="24"/>
      <w:szCs w:val="24"/>
      <w:lang w:bidi="ar-SA"/>
    </w:rPr>
  </w:style>
  <w:style w:type="character" w:customStyle="1" w:styleId="334">
    <w:name w:val="Char Char211"/>
    <w:qFormat/>
    <w:uiPriority w:val="0"/>
    <w:rPr>
      <w:rFonts w:ascii="新宋体" w:hAnsi="新宋体" w:eastAsia="仿宋_GB2312" w:cs="新宋体"/>
      <w:b/>
      <w:bCs/>
      <w:kern w:val="44"/>
      <w:sz w:val="44"/>
      <w:szCs w:val="44"/>
    </w:rPr>
  </w:style>
  <w:style w:type="character" w:customStyle="1" w:styleId="335">
    <w:name w:val="强调划线"/>
    <w:qFormat/>
    <w:uiPriority w:val="0"/>
    <w:rPr>
      <w:u w:val="single"/>
    </w:rPr>
  </w:style>
  <w:style w:type="character" w:customStyle="1" w:styleId="336">
    <w:name w:val="backtitle1"/>
    <w:qFormat/>
    <w:uiPriority w:val="0"/>
    <w:rPr>
      <w:rFonts w:eastAsia="宋体"/>
      <w:b/>
      <w:bCs/>
      <w:color w:val="000000"/>
      <w:kern w:val="2"/>
      <w:sz w:val="18"/>
      <w:szCs w:val="18"/>
      <w:lang w:val="en-US" w:eastAsia="zh-CN" w:bidi="ar-SA"/>
    </w:rPr>
  </w:style>
  <w:style w:type="character" w:customStyle="1" w:styleId="337">
    <w:name w:val="哈哈正文 Char Char"/>
    <w:qFormat/>
    <w:uiPriority w:val="0"/>
    <w:rPr>
      <w:rFonts w:ascii="宋体" w:hAnsi="宋体"/>
      <w:kern w:val="2"/>
      <w:sz w:val="24"/>
      <w:lang w:bidi="ar-SA"/>
    </w:rPr>
  </w:style>
  <w:style w:type="character" w:customStyle="1" w:styleId="338">
    <w:name w:val="正文首行缩进 2 Char"/>
    <w:qFormat/>
    <w:uiPriority w:val="0"/>
    <w:rPr>
      <w:kern w:val="2"/>
      <w:sz w:val="21"/>
      <w:szCs w:val="24"/>
    </w:rPr>
  </w:style>
  <w:style w:type="character" w:customStyle="1" w:styleId="339">
    <w:name w:val="注释题目"/>
    <w:qFormat/>
    <w:uiPriority w:val="0"/>
    <w:rPr>
      <w:rFonts w:eastAsia="黑体"/>
      <w:sz w:val="28"/>
      <w:u w:val="none"/>
    </w:rPr>
  </w:style>
  <w:style w:type="character" w:customStyle="1" w:styleId="340">
    <w:name w:val="三级标题 Char"/>
    <w:link w:val="341"/>
    <w:qFormat/>
    <w:uiPriority w:val="0"/>
    <w:rPr>
      <w:rFonts w:eastAsia="黑体"/>
      <w:b/>
      <w:kern w:val="2"/>
      <w:sz w:val="28"/>
      <w:szCs w:val="22"/>
    </w:rPr>
  </w:style>
  <w:style w:type="paragraph" w:customStyle="1" w:styleId="341">
    <w:name w:val="三级标题"/>
    <w:basedOn w:val="1"/>
    <w:link w:val="340"/>
    <w:qFormat/>
    <w:uiPriority w:val="0"/>
    <w:pPr>
      <w:tabs>
        <w:tab w:val="left" w:pos="420"/>
      </w:tabs>
      <w:spacing w:line="360" w:lineRule="auto"/>
      <w:ind w:left="420" w:firstLine="200" w:firstLineChars="200"/>
      <w:outlineLvl w:val="2"/>
    </w:pPr>
    <w:rPr>
      <w:rFonts w:eastAsia="黑体"/>
      <w:b/>
      <w:sz w:val="28"/>
      <w:szCs w:val="22"/>
    </w:rPr>
  </w:style>
  <w:style w:type="character" w:customStyle="1" w:styleId="342">
    <w:name w:val="样式 宋体"/>
    <w:qFormat/>
    <w:uiPriority w:val="0"/>
    <w:rPr>
      <w:rFonts w:ascii="仿宋_GB2312" w:hAnsi="仿宋_GB2312" w:eastAsia="仿宋_GB2312"/>
      <w:sz w:val="24"/>
      <w:szCs w:val="24"/>
    </w:rPr>
  </w:style>
  <w:style w:type="character" w:customStyle="1" w:styleId="343">
    <w:name w:val="heading 1 Char"/>
    <w:qFormat/>
    <w:uiPriority w:val="0"/>
    <w:rPr>
      <w:rFonts w:ascii="Tahoma" w:hAnsi="Tahoma" w:eastAsia="Helvetica"/>
      <w:b/>
      <w:sz w:val="36"/>
      <w:szCs w:val="36"/>
    </w:rPr>
  </w:style>
  <w:style w:type="character" w:customStyle="1" w:styleId="344">
    <w:name w:val="栏目标题 Char Char"/>
    <w:link w:val="345"/>
    <w:qFormat/>
    <w:uiPriority w:val="0"/>
    <w:rPr>
      <w:rFonts w:ascii="黑体" w:hAnsi="黑体" w:eastAsia="黑体"/>
      <w:b/>
      <w:kern w:val="2"/>
      <w:sz w:val="21"/>
      <w:szCs w:val="24"/>
    </w:rPr>
  </w:style>
  <w:style w:type="paragraph" w:customStyle="1" w:styleId="345">
    <w:name w:val="栏目标题"/>
    <w:basedOn w:val="1"/>
    <w:link w:val="344"/>
    <w:qFormat/>
    <w:uiPriority w:val="0"/>
    <w:pPr>
      <w:jc w:val="center"/>
    </w:pPr>
    <w:rPr>
      <w:rFonts w:ascii="黑体" w:hAnsi="黑体" w:eastAsia="黑体"/>
      <w:b/>
    </w:rPr>
  </w:style>
  <w:style w:type="character" w:customStyle="1" w:styleId="346">
    <w:name w:val="纯文本 字符"/>
    <w:qFormat/>
    <w:uiPriority w:val="0"/>
    <w:rPr>
      <w:rFonts w:ascii="宋体" w:hAnsi="Courier New"/>
      <w:kern w:val="2"/>
      <w:sz w:val="21"/>
    </w:rPr>
  </w:style>
  <w:style w:type="character" w:customStyle="1" w:styleId="347">
    <w:name w:val="!我的正文 Ctr+Q Char"/>
    <w:link w:val="348"/>
    <w:qFormat/>
    <w:uiPriority w:val="0"/>
    <w:rPr>
      <w:rFonts w:ascii="Arial" w:hAnsi="Arial"/>
      <w:kern w:val="2"/>
      <w:sz w:val="24"/>
      <w:szCs w:val="21"/>
    </w:rPr>
  </w:style>
  <w:style w:type="paragraph" w:customStyle="1" w:styleId="348">
    <w:name w:val="!我的正文 Ctr+Q"/>
    <w:basedOn w:val="1"/>
    <w:link w:val="347"/>
    <w:qFormat/>
    <w:uiPriority w:val="0"/>
    <w:pPr>
      <w:adjustRightInd w:val="0"/>
      <w:snapToGrid w:val="0"/>
      <w:spacing w:beforeLines="50" w:afterLines="50" w:line="360" w:lineRule="auto"/>
      <w:ind w:firstLine="480" w:firstLineChars="200"/>
      <w:jc w:val="left"/>
    </w:pPr>
    <w:rPr>
      <w:rFonts w:ascii="Arial" w:hAnsi="Arial"/>
      <w:sz w:val="24"/>
      <w:szCs w:val="21"/>
    </w:rPr>
  </w:style>
  <w:style w:type="character" w:customStyle="1" w:styleId="349">
    <w:name w:val="标题 9 字符"/>
    <w:qFormat/>
    <w:uiPriority w:val="0"/>
    <w:rPr>
      <w:rFonts w:ascii="Arial" w:hAnsi="Arial" w:eastAsia="黑体"/>
      <w:kern w:val="2"/>
      <w:sz w:val="21"/>
      <w:vertAlign w:val="superscript"/>
    </w:rPr>
  </w:style>
  <w:style w:type="character" w:customStyle="1" w:styleId="350">
    <w:name w:val="Char Char12"/>
    <w:qFormat/>
    <w:uiPriority w:val="0"/>
    <w:rPr>
      <w:rFonts w:ascii="仿宋_GB2312" w:hAnsi="Wingdings" w:eastAsia="仿宋_GB2312"/>
      <w:sz w:val="21"/>
      <w:szCs w:val="21"/>
      <w:lang w:val="en-US" w:eastAsia="zh-CN" w:bidi="ar-SA"/>
    </w:rPr>
  </w:style>
  <w:style w:type="character" w:customStyle="1" w:styleId="351">
    <w:name w:val="Char Char221"/>
    <w:qFormat/>
    <w:uiPriority w:val="0"/>
    <w:rPr>
      <w:rFonts w:ascii="Verdana" w:hAnsi="Verdana" w:eastAsia="仿宋_GB2312"/>
      <w:b/>
      <w:bCs/>
      <w:kern w:val="2"/>
      <w:sz w:val="28"/>
      <w:szCs w:val="28"/>
      <w:lang w:val="en-US" w:eastAsia="zh-CN" w:bidi="ar-SA"/>
    </w:rPr>
  </w:style>
  <w:style w:type="character" w:customStyle="1" w:styleId="352">
    <w:name w:val="Footer-Even Char1"/>
    <w:qFormat/>
    <w:uiPriority w:val="0"/>
    <w:rPr>
      <w:rFonts w:eastAsia="仿宋_GB2312"/>
      <w:kern w:val="2"/>
      <w:sz w:val="18"/>
      <w:szCs w:val="18"/>
      <w:lang w:val="en-US" w:eastAsia="zh-CN" w:bidi="ar-SA"/>
    </w:rPr>
  </w:style>
  <w:style w:type="character" w:customStyle="1" w:styleId="353">
    <w:name w:val="xl77 Char"/>
    <w:link w:val="354"/>
    <w:qFormat/>
    <w:uiPriority w:val="0"/>
    <w:rPr>
      <w:b/>
      <w:bCs/>
      <w:sz w:val="28"/>
      <w:szCs w:val="28"/>
    </w:rPr>
  </w:style>
  <w:style w:type="paragraph" w:customStyle="1" w:styleId="354">
    <w:name w:val="xl77"/>
    <w:basedOn w:val="1"/>
    <w:link w:val="353"/>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b/>
      <w:bCs/>
      <w:kern w:val="0"/>
      <w:sz w:val="28"/>
      <w:szCs w:val="28"/>
    </w:rPr>
  </w:style>
  <w:style w:type="character" w:customStyle="1" w:styleId="355">
    <w:name w:val="正文文本缩进 3 字符"/>
    <w:qFormat/>
    <w:uiPriority w:val="0"/>
    <w:rPr>
      <w:kern w:val="2"/>
      <w:sz w:val="16"/>
      <w:szCs w:val="16"/>
    </w:rPr>
  </w:style>
  <w:style w:type="character" w:customStyle="1" w:styleId="356">
    <w:name w:val="Subtle Emphasis1"/>
    <w:qFormat/>
    <w:uiPriority w:val="0"/>
    <w:rPr>
      <w:i/>
      <w:iCs/>
      <w:color w:val="808080"/>
    </w:rPr>
  </w:style>
  <w:style w:type="character" w:customStyle="1" w:styleId="357">
    <w:name w:val="Book Title1"/>
    <w:qFormat/>
    <w:uiPriority w:val="0"/>
    <w:rPr>
      <w:b/>
      <w:bCs/>
      <w:smallCaps/>
      <w:spacing w:val="5"/>
    </w:rPr>
  </w:style>
  <w:style w:type="character" w:customStyle="1" w:styleId="358">
    <w:name w:val="目录标题 Char Char"/>
    <w:link w:val="359"/>
    <w:qFormat/>
    <w:uiPriority w:val="0"/>
    <w:rPr>
      <w:rFonts w:eastAsia="黑体"/>
      <w:b/>
      <w:bCs/>
      <w:kern w:val="2"/>
      <w:sz w:val="44"/>
      <w:szCs w:val="44"/>
    </w:rPr>
  </w:style>
  <w:style w:type="paragraph" w:customStyle="1" w:styleId="359">
    <w:name w:val="目录标题"/>
    <w:basedOn w:val="1"/>
    <w:link w:val="358"/>
    <w:qFormat/>
    <w:uiPriority w:val="0"/>
    <w:pPr>
      <w:jc w:val="center"/>
    </w:pPr>
    <w:rPr>
      <w:rFonts w:eastAsia="黑体"/>
      <w:b/>
      <w:bCs/>
      <w:sz w:val="44"/>
      <w:szCs w:val="44"/>
    </w:rPr>
  </w:style>
  <w:style w:type="character" w:customStyle="1" w:styleId="360">
    <w:name w:val="4 Char"/>
    <w:link w:val="361"/>
    <w:qFormat/>
    <w:uiPriority w:val="0"/>
    <w:rPr>
      <w:rFonts w:ascii="仿宋" w:hAnsi="仿宋" w:eastAsia="仿宋"/>
      <w:b/>
      <w:bCs/>
      <w:kern w:val="2"/>
      <w:sz w:val="24"/>
      <w:szCs w:val="24"/>
    </w:rPr>
  </w:style>
  <w:style w:type="paragraph" w:customStyle="1" w:styleId="361">
    <w:name w:val="4"/>
    <w:basedOn w:val="6"/>
    <w:link w:val="360"/>
    <w:qFormat/>
    <w:uiPriority w:val="0"/>
    <w:pPr>
      <w:spacing w:before="0" w:after="0" w:line="360" w:lineRule="auto"/>
      <w:ind w:firstLine="200" w:firstLineChars="200"/>
    </w:pPr>
    <w:rPr>
      <w:rFonts w:ascii="仿宋" w:hAnsi="仿宋" w:eastAsia="仿宋"/>
      <w:sz w:val="24"/>
      <w:szCs w:val="24"/>
    </w:rPr>
  </w:style>
  <w:style w:type="character" w:customStyle="1" w:styleId="362">
    <w:name w:val="文本正文 Char"/>
    <w:link w:val="363"/>
    <w:qFormat/>
    <w:uiPriority w:val="0"/>
    <w:rPr>
      <w:rFonts w:ascii="Calibri" w:hAnsi="Calibri" w:eastAsia="仿宋"/>
      <w:kern w:val="2"/>
      <w:sz w:val="24"/>
      <w:szCs w:val="22"/>
    </w:rPr>
  </w:style>
  <w:style w:type="paragraph" w:customStyle="1" w:styleId="363">
    <w:name w:val="文本正文"/>
    <w:basedOn w:val="1"/>
    <w:link w:val="362"/>
    <w:qFormat/>
    <w:uiPriority w:val="0"/>
    <w:pPr>
      <w:spacing w:beforeLines="50" w:afterLines="50" w:line="360" w:lineRule="auto"/>
      <w:ind w:firstLine="200" w:firstLineChars="200"/>
    </w:pPr>
    <w:rPr>
      <w:rFonts w:ascii="Calibri" w:hAnsi="Calibri" w:eastAsia="仿宋"/>
      <w:sz w:val="24"/>
      <w:szCs w:val="22"/>
    </w:rPr>
  </w:style>
  <w:style w:type="character" w:customStyle="1" w:styleId="364">
    <w:name w:val="ll"/>
    <w:qFormat/>
    <w:uiPriority w:val="0"/>
    <w:rPr>
      <w:rFonts w:eastAsia="宋体"/>
      <w:kern w:val="2"/>
      <w:sz w:val="21"/>
      <w:szCs w:val="24"/>
      <w:lang w:val="en-US" w:eastAsia="zh-CN" w:bidi="ar-SA"/>
    </w:rPr>
  </w:style>
  <w:style w:type="character" w:customStyle="1" w:styleId="365">
    <w:name w:val="五级标题 Char"/>
    <w:link w:val="366"/>
    <w:qFormat/>
    <w:uiPriority w:val="0"/>
    <w:rPr>
      <w:rFonts w:eastAsia="黑体"/>
      <w:b/>
      <w:kern w:val="2"/>
      <w:sz w:val="28"/>
      <w:szCs w:val="22"/>
    </w:rPr>
  </w:style>
  <w:style w:type="paragraph" w:customStyle="1" w:styleId="366">
    <w:name w:val="五级标题"/>
    <w:basedOn w:val="1"/>
    <w:link w:val="365"/>
    <w:qFormat/>
    <w:uiPriority w:val="0"/>
    <w:pPr>
      <w:spacing w:line="360" w:lineRule="auto"/>
      <w:ind w:left="420" w:firstLine="200" w:firstLineChars="200"/>
      <w:outlineLvl w:val="4"/>
    </w:pPr>
    <w:rPr>
      <w:rFonts w:eastAsia="黑体"/>
      <w:b/>
      <w:sz w:val="28"/>
      <w:szCs w:val="22"/>
    </w:rPr>
  </w:style>
  <w:style w:type="character" w:customStyle="1" w:styleId="367">
    <w:name w:val="正文首行缩进 Char1"/>
    <w:qFormat/>
    <w:uiPriority w:val="0"/>
    <w:rPr>
      <w:rFonts w:eastAsia="仿宋_GB2312"/>
      <w:lang w:val="en-US" w:eastAsia="zh-CN" w:bidi="ar-SA"/>
    </w:rPr>
  </w:style>
  <w:style w:type="character" w:customStyle="1" w:styleId="368">
    <w:name w:val="Char Char212"/>
    <w:qFormat/>
    <w:uiPriority w:val="0"/>
    <w:rPr>
      <w:rFonts w:eastAsia="仿宋_GB2312"/>
      <w:b/>
      <w:bCs/>
      <w:kern w:val="2"/>
      <w:sz w:val="28"/>
      <w:szCs w:val="28"/>
      <w:lang w:val="en-US" w:eastAsia="zh-CN" w:bidi="ar-SA"/>
    </w:rPr>
  </w:style>
  <w:style w:type="character" w:customStyle="1" w:styleId="369">
    <w:name w:val="PI Char"/>
    <w:qFormat/>
    <w:uiPriority w:val="0"/>
    <w:rPr>
      <w:rFonts w:ascii="仿宋_GB2312" w:hAnsi="仿宋_GB2312"/>
      <w:sz w:val="24"/>
    </w:rPr>
  </w:style>
  <w:style w:type="character" w:customStyle="1" w:styleId="370">
    <w:name w:val="表正文 Char2"/>
    <w:qFormat/>
    <w:uiPriority w:val="0"/>
    <w:rPr>
      <w:rFonts w:ascii="新宋体" w:hAnsi="新宋体" w:eastAsia="仿宋_GB2312" w:cs="新宋体"/>
      <w:szCs w:val="24"/>
    </w:rPr>
  </w:style>
  <w:style w:type="character" w:customStyle="1" w:styleId="371">
    <w:name w:val="页眉 字符"/>
    <w:link w:val="44"/>
    <w:qFormat/>
    <w:uiPriority w:val="99"/>
    <w:rPr>
      <w:kern w:val="2"/>
      <w:sz w:val="18"/>
      <w:szCs w:val="18"/>
    </w:rPr>
  </w:style>
  <w:style w:type="character" w:customStyle="1" w:styleId="372">
    <w:name w:val="大标题 Char"/>
    <w:qFormat/>
    <w:uiPriority w:val="0"/>
    <w:rPr>
      <w:rFonts w:ascii="黑体" w:hAnsi="黑体" w:eastAsia="黑体"/>
      <w:b/>
      <w:bCs/>
      <w:kern w:val="2"/>
      <w:sz w:val="72"/>
      <w:szCs w:val="72"/>
    </w:rPr>
  </w:style>
  <w:style w:type="character" w:customStyle="1" w:styleId="373">
    <w:name w:val="Char Char Char1"/>
    <w:qFormat/>
    <w:uiPriority w:val="0"/>
    <w:rPr>
      <w:rFonts w:ascii="仿宋_GB2312" w:hAnsi="Wingdings"/>
      <w:sz w:val="21"/>
      <w:szCs w:val="21"/>
    </w:rPr>
  </w:style>
  <w:style w:type="character" w:customStyle="1" w:styleId="374">
    <w:name w:val="Char Char15"/>
    <w:qFormat/>
    <w:uiPriority w:val="0"/>
    <w:rPr>
      <w:rFonts w:ascii="Tahoma" w:hAnsi="Tahoma" w:eastAsia="Helvetica"/>
      <w:sz w:val="24"/>
      <w:szCs w:val="24"/>
    </w:rPr>
  </w:style>
  <w:style w:type="character" w:customStyle="1" w:styleId="375">
    <w:name w:val="表格标题 Char Char"/>
    <w:link w:val="376"/>
    <w:qFormat/>
    <w:uiPriority w:val="0"/>
    <w:rPr>
      <w:rFonts w:ascii="黑体" w:hAnsi="黑体" w:eastAsia="黑体"/>
      <w:b/>
      <w:color w:val="FFFFFF"/>
      <w:kern w:val="2"/>
      <w:sz w:val="21"/>
      <w:szCs w:val="24"/>
    </w:rPr>
  </w:style>
  <w:style w:type="paragraph" w:customStyle="1" w:styleId="376">
    <w:name w:val="表格标题"/>
    <w:basedOn w:val="1"/>
    <w:link w:val="375"/>
    <w:qFormat/>
    <w:uiPriority w:val="0"/>
    <w:rPr>
      <w:rFonts w:ascii="黑体" w:hAnsi="黑体" w:eastAsia="黑体"/>
      <w:b/>
      <w:color w:val="FFFFFF"/>
    </w:rPr>
  </w:style>
  <w:style w:type="character" w:customStyle="1" w:styleId="377">
    <w:name w:val="Intense Reference1"/>
    <w:qFormat/>
    <w:uiPriority w:val="32"/>
    <w:rPr>
      <w:b/>
      <w:bCs/>
      <w:smallCaps/>
      <w:color w:val="C0504D"/>
      <w:spacing w:val="5"/>
      <w:u w:val="single"/>
    </w:rPr>
  </w:style>
  <w:style w:type="character" w:customStyle="1" w:styleId="378">
    <w:name w:val="gray6"/>
    <w:basedOn w:val="66"/>
    <w:qFormat/>
    <w:uiPriority w:val="0"/>
  </w:style>
  <w:style w:type="character" w:customStyle="1" w:styleId="379">
    <w:name w:val="Char Char202"/>
    <w:qFormat/>
    <w:uiPriority w:val="0"/>
    <w:rPr>
      <w:b/>
      <w:bCs/>
      <w:kern w:val="44"/>
      <w:sz w:val="44"/>
      <w:szCs w:val="44"/>
    </w:rPr>
  </w:style>
  <w:style w:type="character" w:customStyle="1" w:styleId="380">
    <w:name w:val="ändrad Char"/>
    <w:qFormat/>
    <w:uiPriority w:val="0"/>
    <w:rPr>
      <w:rFonts w:eastAsia="仿宋_GB2312"/>
      <w:kern w:val="2"/>
      <w:sz w:val="21"/>
      <w:szCs w:val="24"/>
      <w:lang w:val="en-US" w:eastAsia="zh-CN" w:bidi="ar-SA"/>
    </w:rPr>
  </w:style>
  <w:style w:type="character" w:customStyle="1" w:styleId="381">
    <w:name w:val="大标题 Char Char"/>
    <w:link w:val="382"/>
    <w:qFormat/>
    <w:uiPriority w:val="0"/>
    <w:rPr>
      <w:rFonts w:ascii="黑体" w:hAnsi="黑体" w:eastAsia="黑体"/>
      <w:b/>
      <w:bCs/>
      <w:kern w:val="2"/>
      <w:sz w:val="72"/>
      <w:szCs w:val="72"/>
    </w:rPr>
  </w:style>
  <w:style w:type="paragraph" w:customStyle="1" w:styleId="382">
    <w:name w:val="大标题"/>
    <w:basedOn w:val="1"/>
    <w:link w:val="381"/>
    <w:qFormat/>
    <w:uiPriority w:val="0"/>
    <w:pPr>
      <w:spacing w:line="40" w:lineRule="atLeast"/>
    </w:pPr>
    <w:rPr>
      <w:rFonts w:ascii="黑体" w:hAnsi="黑体" w:eastAsia="黑体"/>
      <w:b/>
      <w:bCs/>
      <w:sz w:val="72"/>
      <w:szCs w:val="72"/>
    </w:rPr>
  </w:style>
  <w:style w:type="character" w:customStyle="1" w:styleId="383">
    <w:name w:val="Ò³Ã¼ Char Char"/>
    <w:qFormat/>
    <w:uiPriority w:val="0"/>
    <w:rPr>
      <w:sz w:val="18"/>
      <w:szCs w:val="18"/>
    </w:rPr>
  </w:style>
  <w:style w:type="character" w:customStyle="1" w:styleId="384">
    <w:name w:val="Char Char161"/>
    <w:qFormat/>
    <w:uiPriority w:val="0"/>
    <w:rPr>
      <w:rFonts w:eastAsia="仿宋_GB2312"/>
      <w:sz w:val="21"/>
      <w:lang w:val="en-US" w:eastAsia="zh-CN" w:bidi="ar-SA"/>
    </w:rPr>
  </w:style>
  <w:style w:type="character" w:customStyle="1" w:styleId="385">
    <w:name w:val="style41"/>
    <w:qFormat/>
    <w:uiPriority w:val="0"/>
    <w:rPr>
      <w:color w:val="auto"/>
    </w:rPr>
  </w:style>
  <w:style w:type="character" w:customStyle="1" w:styleId="386">
    <w:name w:val="正文4 Char Char"/>
    <w:link w:val="387"/>
    <w:qFormat/>
    <w:uiPriority w:val="0"/>
    <w:rPr>
      <w:kern w:val="2"/>
      <w:sz w:val="24"/>
      <w:szCs w:val="24"/>
    </w:rPr>
  </w:style>
  <w:style w:type="paragraph" w:customStyle="1" w:styleId="387">
    <w:name w:val="正文4"/>
    <w:basedOn w:val="1"/>
    <w:link w:val="386"/>
    <w:qFormat/>
    <w:uiPriority w:val="0"/>
    <w:pPr>
      <w:tabs>
        <w:tab w:val="left" w:pos="520"/>
      </w:tabs>
      <w:spacing w:before="60" w:after="60" w:line="360" w:lineRule="auto"/>
    </w:pPr>
    <w:rPr>
      <w:sz w:val="24"/>
    </w:rPr>
  </w:style>
  <w:style w:type="character" w:customStyle="1" w:styleId="388">
    <w:name w:val="Char Char201"/>
    <w:qFormat/>
    <w:uiPriority w:val="0"/>
    <w:rPr>
      <w:rFonts w:ascii="Verdana" w:hAnsi="Verdana" w:eastAsia="仿宋_GB2312" w:cs="新宋体"/>
      <w:b/>
      <w:bCs/>
      <w:sz w:val="32"/>
      <w:szCs w:val="32"/>
    </w:rPr>
  </w:style>
  <w:style w:type="character" w:customStyle="1" w:styleId="389">
    <w:name w:val="Char Char20"/>
    <w:qFormat/>
    <w:uiPriority w:val="0"/>
    <w:rPr>
      <w:rFonts w:ascii="Tahoma" w:hAnsi="Tahoma" w:eastAsia="Helvetica"/>
      <w:sz w:val="21"/>
      <w:szCs w:val="21"/>
      <w:lang w:val="en-US" w:eastAsia="zh-CN" w:bidi="ar-SA"/>
    </w:rPr>
  </w:style>
  <w:style w:type="character" w:customStyle="1" w:styleId="390">
    <w:name w:val="Char Char10"/>
    <w:qFormat/>
    <w:uiPriority w:val="0"/>
    <w:rPr>
      <w:rFonts w:eastAsia="仿宋_GB2312"/>
      <w:b/>
      <w:bCs/>
      <w:kern w:val="2"/>
      <w:sz w:val="21"/>
      <w:szCs w:val="24"/>
      <w:lang w:val="en-US" w:eastAsia="zh-CN" w:bidi="ar-SA"/>
    </w:rPr>
  </w:style>
  <w:style w:type="character" w:customStyle="1" w:styleId="391">
    <w:name w:val="heading 9 Char1"/>
    <w:qFormat/>
    <w:uiPriority w:val="0"/>
    <w:rPr>
      <w:rFonts w:ascii="Tahoma" w:hAnsi="Tahoma" w:eastAsia="Helvetica"/>
      <w:sz w:val="21"/>
      <w:lang w:val="en-US" w:eastAsia="zh-CN" w:bidi="ar-SA"/>
    </w:rPr>
  </w:style>
  <w:style w:type="character" w:customStyle="1" w:styleId="392">
    <w:name w:val="PI Char1"/>
    <w:qFormat/>
    <w:uiPriority w:val="0"/>
    <w:rPr>
      <w:rFonts w:eastAsia="仿宋_GB2312"/>
      <w:kern w:val="2"/>
      <w:sz w:val="24"/>
      <w:szCs w:val="24"/>
      <w:lang w:val="en-US" w:eastAsia="zh-CN" w:bidi="ar-SA"/>
    </w:rPr>
  </w:style>
  <w:style w:type="character" w:customStyle="1" w:styleId="393">
    <w:name w:val="注释正文"/>
    <w:qFormat/>
    <w:uiPriority w:val="0"/>
    <w:rPr>
      <w:rFonts w:eastAsia="宋体"/>
      <w:sz w:val="28"/>
      <w:u w:val="single"/>
    </w:rPr>
  </w:style>
  <w:style w:type="character" w:customStyle="1" w:styleId="394">
    <w:name w:val="金保标题2 Char"/>
    <w:link w:val="395"/>
    <w:qFormat/>
    <w:uiPriority w:val="0"/>
    <w:rPr>
      <w:rFonts w:ascii="新宋体" w:hAnsi="新宋体" w:eastAsia="新宋体"/>
      <w:b/>
      <w:bCs/>
      <w:color w:val="000000"/>
      <w:kern w:val="2"/>
      <w:sz w:val="22"/>
      <w:szCs w:val="22"/>
      <w:lang w:val="zh-CN"/>
    </w:rPr>
  </w:style>
  <w:style w:type="paragraph" w:customStyle="1" w:styleId="395">
    <w:name w:val="金保标题2"/>
    <w:basedOn w:val="2"/>
    <w:next w:val="1"/>
    <w:link w:val="394"/>
    <w:qFormat/>
    <w:uiPriority w:val="0"/>
    <w:pPr>
      <w:widowControl/>
      <w:spacing w:before="0" w:after="0" w:line="440" w:lineRule="exact"/>
      <w:ind w:right="84" w:rightChars="40"/>
      <w:jc w:val="left"/>
    </w:pPr>
    <w:rPr>
      <w:rFonts w:ascii="新宋体" w:hAnsi="新宋体" w:eastAsia="新宋体"/>
      <w:color w:val="000000"/>
      <w:sz w:val="22"/>
      <w:szCs w:val="22"/>
      <w:lang w:val="zh-CN"/>
    </w:rPr>
  </w:style>
  <w:style w:type="character" w:customStyle="1" w:styleId="396">
    <w:name w:val="样式 标题 3 + 黑体 小四 Char"/>
    <w:link w:val="397"/>
    <w:qFormat/>
    <w:uiPriority w:val="0"/>
    <w:rPr>
      <w:rFonts w:ascii="Helvetica" w:hAnsi="Tahoma" w:eastAsia="Helvetica"/>
      <w:bCs/>
      <w:sz w:val="24"/>
      <w:szCs w:val="24"/>
    </w:rPr>
  </w:style>
  <w:style w:type="paragraph" w:customStyle="1" w:styleId="397">
    <w:name w:val="样式 标题 3 + 黑体 小四"/>
    <w:basedOn w:val="5"/>
    <w:link w:val="396"/>
    <w:qFormat/>
    <w:uiPriority w:val="0"/>
    <w:pPr>
      <w:spacing w:before="0" w:after="0" w:line="415" w:lineRule="auto"/>
    </w:pPr>
    <w:rPr>
      <w:rFonts w:ascii="Helvetica" w:hAnsi="Tahoma" w:eastAsia="Helvetica"/>
      <w:b w:val="0"/>
      <w:kern w:val="0"/>
      <w:sz w:val="24"/>
      <w:szCs w:val="24"/>
    </w:rPr>
  </w:style>
  <w:style w:type="character" w:customStyle="1" w:styleId="398">
    <w:name w:val="宏文本 Char"/>
    <w:qFormat/>
    <w:uiPriority w:val="0"/>
    <w:rPr>
      <w:rFonts w:ascii="Wingdings" w:hAnsi="Wingdings" w:eastAsia="Times New Roman"/>
      <w:kern w:val="2"/>
      <w:sz w:val="24"/>
      <w:szCs w:val="24"/>
    </w:rPr>
  </w:style>
  <w:style w:type="character" w:customStyle="1" w:styleId="399">
    <w:name w:val="Subtle Reference1"/>
    <w:qFormat/>
    <w:uiPriority w:val="0"/>
    <w:rPr>
      <w:smallCaps/>
      <w:color w:val="C0504D"/>
      <w:u w:val="single"/>
    </w:rPr>
  </w:style>
  <w:style w:type="character" w:customStyle="1" w:styleId="400">
    <w:name w:val="Char Char191"/>
    <w:qFormat/>
    <w:uiPriority w:val="0"/>
    <w:rPr>
      <w:rFonts w:ascii="Verdana" w:hAnsi="Verdana"/>
      <w:b/>
      <w:bCs/>
      <w:kern w:val="2"/>
      <w:sz w:val="32"/>
      <w:szCs w:val="32"/>
    </w:rPr>
  </w:style>
  <w:style w:type="character" w:customStyle="1" w:styleId="401">
    <w:name w:val="Char Char Char2"/>
    <w:qFormat/>
    <w:uiPriority w:val="0"/>
    <w:rPr>
      <w:rFonts w:ascii="仿宋_GB2312" w:hAnsi="Wingdings" w:eastAsia="仿宋_GB2312"/>
      <w:sz w:val="21"/>
      <w:szCs w:val="21"/>
      <w:lang w:val="en-US" w:eastAsia="zh-CN" w:bidi="ar-SA"/>
    </w:rPr>
  </w:style>
  <w:style w:type="character" w:customStyle="1" w:styleId="402">
    <w:name w:val="PI Char2"/>
    <w:qFormat/>
    <w:uiPriority w:val="0"/>
    <w:rPr>
      <w:kern w:val="2"/>
      <w:sz w:val="24"/>
      <w:szCs w:val="24"/>
    </w:rPr>
  </w:style>
  <w:style w:type="character" w:customStyle="1" w:styleId="403">
    <w:name w:val="小标题 Char Char"/>
    <w:link w:val="404"/>
    <w:qFormat/>
    <w:uiPriority w:val="0"/>
    <w:rPr>
      <w:rFonts w:ascii="黑体" w:hAnsi="黑体" w:eastAsia="黑体"/>
      <w:b/>
      <w:bCs/>
      <w:kern w:val="2"/>
      <w:sz w:val="48"/>
      <w:szCs w:val="48"/>
    </w:rPr>
  </w:style>
  <w:style w:type="paragraph" w:customStyle="1" w:styleId="404">
    <w:name w:val="小标题"/>
    <w:basedOn w:val="1"/>
    <w:link w:val="403"/>
    <w:qFormat/>
    <w:uiPriority w:val="0"/>
    <w:pPr>
      <w:spacing w:line="40" w:lineRule="atLeast"/>
    </w:pPr>
    <w:rPr>
      <w:rFonts w:ascii="黑体" w:hAnsi="黑体" w:eastAsia="黑体"/>
      <w:b/>
      <w:bCs/>
      <w:sz w:val="48"/>
      <w:szCs w:val="48"/>
    </w:rPr>
  </w:style>
  <w:style w:type="paragraph" w:customStyle="1" w:styleId="405">
    <w:name w:val="標題10.3-1"/>
    <w:basedOn w:val="406"/>
    <w:qFormat/>
    <w:uiPriority w:val="0"/>
    <w:pPr>
      <w:tabs>
        <w:tab w:val="left" w:pos="5529"/>
      </w:tabs>
      <w:adjustRightInd/>
      <w:spacing w:line="240" w:lineRule="atLeast"/>
      <w:ind w:left="993" w:hanging="284"/>
      <w:textAlignment w:val="auto"/>
    </w:pPr>
    <w:rPr>
      <w:rFonts w:ascii="Times New Roman"/>
      <w:kern w:val="2"/>
      <w:sz w:val="24"/>
      <w:szCs w:val="24"/>
    </w:rPr>
  </w:style>
  <w:style w:type="paragraph" w:customStyle="1" w:styleId="406">
    <w:name w:val="標題 (1)"/>
    <w:basedOn w:val="1"/>
    <w:qFormat/>
    <w:uiPriority w:val="0"/>
    <w:pPr>
      <w:adjustRightInd w:val="0"/>
      <w:spacing w:line="567" w:lineRule="atLeast"/>
      <w:ind w:left="1560" w:hanging="709" w:firstLineChars="200"/>
      <w:textAlignment w:val="baseline"/>
    </w:pPr>
    <w:rPr>
      <w:rFonts w:ascii="PMingLiU" w:hAnsi="等线" w:eastAsia="PMingLiU" w:cs="等线"/>
      <w:kern w:val="0"/>
      <w:sz w:val="28"/>
      <w:szCs w:val="20"/>
      <w:lang w:eastAsia="zh-TW"/>
    </w:rPr>
  </w:style>
  <w:style w:type="paragraph" w:customStyle="1" w:styleId="407">
    <w:name w:val="日期1"/>
    <w:basedOn w:val="1"/>
    <w:next w:val="1"/>
    <w:qFormat/>
    <w:uiPriority w:val="0"/>
    <w:pPr>
      <w:tabs>
        <w:tab w:val="left" w:pos="425"/>
      </w:tabs>
      <w:autoSpaceDE w:val="0"/>
      <w:autoSpaceDN w:val="0"/>
      <w:adjustRightInd w:val="0"/>
      <w:spacing w:before="60" w:after="60" w:line="312" w:lineRule="atLeast"/>
      <w:ind w:left="420" w:firstLine="200" w:firstLineChars="200"/>
      <w:jc w:val="right"/>
      <w:textAlignment w:val="baseline"/>
    </w:pPr>
    <w:rPr>
      <w:rFonts w:ascii="等线" w:hAnsi="等线" w:eastAsia="等线" w:cs="等线"/>
      <w:kern w:val="0"/>
      <w:sz w:val="44"/>
      <w:szCs w:val="20"/>
    </w:rPr>
  </w:style>
  <w:style w:type="character" w:customStyle="1" w:styleId="408">
    <w:name w:val="称呼 字符"/>
    <w:basedOn w:val="66"/>
    <w:link w:val="22"/>
    <w:qFormat/>
    <w:uiPriority w:val="0"/>
    <w:rPr>
      <w:rFonts w:ascii="等线" w:hAnsi="等线" w:eastAsia="等线" w:cs="等线"/>
      <w:sz w:val="24"/>
    </w:rPr>
  </w:style>
  <w:style w:type="paragraph" w:customStyle="1" w:styleId="409">
    <w:name w:val="Char11"/>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410">
    <w:name w:val="kpk:1级"/>
    <w:basedOn w:val="4"/>
    <w:qFormat/>
    <w:uiPriority w:val="0"/>
    <w:pPr>
      <w:keepLines/>
      <w:tabs>
        <w:tab w:val="left" w:pos="420"/>
        <w:tab w:val="left" w:pos="643"/>
      </w:tabs>
      <w:spacing w:beforeLines="120" w:afterLines="100"/>
      <w:ind w:firstLine="200" w:firstLineChars="200"/>
      <w:jc w:val="both"/>
    </w:pPr>
    <w:rPr>
      <w:rFonts w:ascii="黑体" w:hAnsi="等线" w:eastAsia="等线"/>
      <w:kern w:val="44"/>
      <w:sz w:val="30"/>
      <w:szCs w:val="32"/>
    </w:rPr>
  </w:style>
  <w:style w:type="paragraph" w:customStyle="1" w:styleId="411">
    <w:name w:val="前言、引言标题"/>
    <w:next w:val="1"/>
    <w:qFormat/>
    <w:uiPriority w:val="0"/>
    <w:pPr>
      <w:shd w:val="clear" w:color="FFFFFF" w:fill="FFFFFF"/>
      <w:spacing w:before="640" w:after="560"/>
      <w:jc w:val="center"/>
      <w:outlineLvl w:val="0"/>
    </w:pPr>
    <w:rPr>
      <w:rFonts w:ascii="Helvetica" w:hAnsi="等线" w:eastAsia="Helvetica" w:cs="等线"/>
      <w:sz w:val="32"/>
      <w:lang w:val="en-US" w:eastAsia="zh-CN" w:bidi="ar-SA"/>
    </w:rPr>
  </w:style>
  <w:style w:type="paragraph" w:customStyle="1" w:styleId="412">
    <w:name w:val="Char Char Char Char Char Char Char Char Char Char"/>
    <w:basedOn w:val="1"/>
    <w:qFormat/>
    <w:uiPriority w:val="0"/>
    <w:pPr>
      <w:autoSpaceDE w:val="0"/>
      <w:autoSpaceDN w:val="0"/>
      <w:adjustRightInd w:val="0"/>
      <w:jc w:val="left"/>
    </w:pPr>
    <w:rPr>
      <w:rFonts w:ascii="黑体" w:hAnsi="等线" w:eastAsia="黑体" w:cs="等线"/>
      <w:b/>
      <w:kern w:val="0"/>
      <w:sz w:val="32"/>
      <w:szCs w:val="32"/>
    </w:rPr>
  </w:style>
  <w:style w:type="paragraph" w:customStyle="1" w:styleId="413">
    <w:name w:val="正文文字"/>
    <w:basedOn w:val="1"/>
    <w:qFormat/>
    <w:uiPriority w:val="99"/>
    <w:pPr>
      <w:spacing w:line="360" w:lineRule="auto"/>
      <w:ind w:firstLine="200" w:firstLineChars="200"/>
      <w:textAlignment w:val="top"/>
    </w:pPr>
    <w:rPr>
      <w:rFonts w:ascii="等线" w:hAnsi="等线" w:eastAsia="等线" w:cs="等线"/>
      <w:color w:val="000000"/>
      <w:kern w:val="0"/>
      <w:sz w:val="24"/>
      <w:szCs w:val="21"/>
    </w:rPr>
  </w:style>
  <w:style w:type="paragraph" w:customStyle="1" w:styleId="414">
    <w:name w:val="部分1"/>
    <w:basedOn w:val="1"/>
    <w:qFormat/>
    <w:uiPriority w:val="0"/>
    <w:pPr>
      <w:keepNext/>
      <w:pageBreakBefore/>
      <w:tabs>
        <w:tab w:val="left" w:pos="720"/>
      </w:tabs>
      <w:autoSpaceDE w:val="0"/>
      <w:autoSpaceDN w:val="0"/>
      <w:adjustRightInd w:val="0"/>
      <w:spacing w:line="360" w:lineRule="auto"/>
      <w:jc w:val="center"/>
      <w:outlineLvl w:val="0"/>
    </w:pPr>
    <w:rPr>
      <w:rFonts w:ascii="等线" w:hAnsi="等线" w:eastAsia="Helvetica" w:cs="等线"/>
      <w:b/>
      <w:kern w:val="44"/>
      <w:sz w:val="36"/>
      <w:szCs w:val="20"/>
    </w:rPr>
  </w:style>
  <w:style w:type="paragraph" w:customStyle="1" w:styleId="415">
    <w:name w:val="GP正文(首行缩进)"/>
    <w:basedOn w:val="1"/>
    <w:qFormat/>
    <w:uiPriority w:val="0"/>
    <w:pPr>
      <w:adjustRightInd w:val="0"/>
      <w:spacing w:line="360" w:lineRule="auto"/>
      <w:ind w:firstLine="200" w:firstLineChars="200"/>
      <w:jc w:val="left"/>
      <w:textAlignment w:val="baseline"/>
    </w:pPr>
    <w:rPr>
      <w:rFonts w:ascii="等线" w:hAnsi="等线" w:eastAsia="等线" w:cs="等线"/>
      <w:kern w:val="0"/>
      <w:sz w:val="24"/>
      <w:szCs w:val="20"/>
    </w:rPr>
  </w:style>
  <w:style w:type="paragraph" w:customStyle="1" w:styleId="416">
    <w:name w:val="xl97"/>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17">
    <w:name w:val="5"/>
    <w:basedOn w:val="1"/>
    <w:qFormat/>
    <w:uiPriority w:val="0"/>
    <w:pPr>
      <w:widowControl/>
      <w:tabs>
        <w:tab w:val="left" w:pos="420"/>
        <w:tab w:val="left" w:pos="926"/>
      </w:tabs>
      <w:spacing w:after="160" w:line="240" w:lineRule="exact"/>
      <w:ind w:firstLine="200" w:firstLineChars="200"/>
      <w:jc w:val="left"/>
    </w:pPr>
    <w:rPr>
      <w:rFonts w:ascii="等线" w:hAnsi="等线" w:eastAsia="等线" w:cs="等线"/>
      <w:szCs w:val="20"/>
    </w:rPr>
  </w:style>
  <w:style w:type="paragraph" w:customStyle="1" w:styleId="418">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419">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Calibri" w:hAnsi="Calibri" w:eastAsia="Calibri" w:cs="仿宋_GB2312"/>
      <w:b/>
      <w:bCs/>
      <w:color w:val="000000"/>
      <w:kern w:val="0"/>
      <w:sz w:val="24"/>
    </w:rPr>
  </w:style>
  <w:style w:type="character" w:customStyle="1" w:styleId="420">
    <w:name w:val="注释标题 字符"/>
    <w:basedOn w:val="66"/>
    <w:link w:val="13"/>
    <w:qFormat/>
    <w:uiPriority w:val="0"/>
    <w:rPr>
      <w:rFonts w:ascii="DFKai-SB" w:hAnsi="DFKai-SB" w:eastAsia="DFKai-SB" w:cs="等线"/>
      <w:kern w:val="2"/>
      <w:lang w:eastAsia="zh-TW"/>
    </w:rPr>
  </w:style>
  <w:style w:type="paragraph" w:customStyle="1" w:styleId="421">
    <w:name w:val="xl91"/>
    <w:basedOn w:val="1"/>
    <w:qFormat/>
    <w:uiPriority w:val="0"/>
    <w:pPr>
      <w:widowControl/>
      <w:pBdr>
        <w:left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422">
    <w:name w:val="二级标题"/>
    <w:basedOn w:val="2"/>
    <w:qFormat/>
    <w:uiPriority w:val="0"/>
    <w:pPr>
      <w:ind w:left="576" w:hanging="576"/>
    </w:pPr>
    <w:rPr>
      <w:rFonts w:ascii="华文中宋" w:eastAsia="华文中宋"/>
      <w:kern w:val="0"/>
    </w:rPr>
  </w:style>
  <w:style w:type="character" w:customStyle="1" w:styleId="423">
    <w:name w:val="正文文本 3 字符"/>
    <w:basedOn w:val="66"/>
    <w:link w:val="23"/>
    <w:qFormat/>
    <w:uiPriority w:val="0"/>
    <w:rPr>
      <w:rFonts w:ascii="等线" w:hAnsi="等线" w:eastAsia="等线" w:cs="等线"/>
    </w:rPr>
  </w:style>
  <w:style w:type="paragraph" w:customStyle="1" w:styleId="424">
    <w:name w:val="数字级连标题2"/>
    <w:basedOn w:val="2"/>
    <w:next w:val="1"/>
    <w:qFormat/>
    <w:uiPriority w:val="0"/>
    <w:pPr>
      <w:tabs>
        <w:tab w:val="left" w:pos="0"/>
      </w:tabs>
      <w:spacing w:before="0" w:after="0" w:line="360" w:lineRule="auto"/>
      <w:ind w:left="567" w:hanging="567"/>
    </w:pPr>
    <w:rPr>
      <w:rFonts w:ascii="Times New Roman" w:hAnsi="Times New Roman" w:eastAsia="等线"/>
      <w:bCs w:val="0"/>
      <w:sz w:val="28"/>
      <w:szCs w:val="20"/>
      <w:lang w:eastAsia="ar-SA"/>
    </w:rPr>
  </w:style>
  <w:style w:type="paragraph" w:customStyle="1" w:styleId="425">
    <w:name w:val="四级条标题"/>
    <w:basedOn w:val="426"/>
    <w:next w:val="1"/>
    <w:qFormat/>
    <w:uiPriority w:val="0"/>
    <w:pPr>
      <w:outlineLvl w:val="5"/>
    </w:pPr>
  </w:style>
  <w:style w:type="paragraph" w:customStyle="1" w:styleId="426">
    <w:name w:val="三级条标题"/>
    <w:basedOn w:val="427"/>
    <w:next w:val="1"/>
    <w:qFormat/>
    <w:uiPriority w:val="0"/>
    <w:pPr>
      <w:outlineLvl w:val="4"/>
    </w:pPr>
  </w:style>
  <w:style w:type="paragraph" w:customStyle="1" w:styleId="427">
    <w:name w:val="二级条标题"/>
    <w:basedOn w:val="428"/>
    <w:next w:val="1"/>
    <w:qFormat/>
    <w:uiPriority w:val="0"/>
    <w:pPr>
      <w:outlineLvl w:val="3"/>
    </w:pPr>
  </w:style>
  <w:style w:type="paragraph" w:customStyle="1" w:styleId="428">
    <w:name w:val="一级条标题"/>
    <w:next w:val="1"/>
    <w:qFormat/>
    <w:uiPriority w:val="0"/>
    <w:pPr>
      <w:outlineLvl w:val="2"/>
    </w:pPr>
    <w:rPr>
      <w:rFonts w:ascii="等线" w:hAnsi="等线" w:eastAsia="Helvetica" w:cs="等线"/>
      <w:sz w:val="21"/>
      <w:lang w:val="en-US" w:eastAsia="zh-CN" w:bidi="ar-SA"/>
    </w:rPr>
  </w:style>
  <w:style w:type="character" w:customStyle="1" w:styleId="429">
    <w:name w:val="宏文本 字符"/>
    <w:basedOn w:val="66"/>
    <w:link w:val="3"/>
    <w:qFormat/>
    <w:uiPriority w:val="0"/>
    <w:rPr>
      <w:rFonts w:ascii="Courier New" w:hAnsi="Courier New" w:cs="Courier New"/>
      <w:kern w:val="2"/>
      <w:sz w:val="24"/>
      <w:szCs w:val="24"/>
    </w:rPr>
  </w:style>
  <w:style w:type="paragraph" w:customStyle="1" w:styleId="430">
    <w:name w:val="样式 标题 3 + 黑色 段前: 5 磅 段后: 5 磅 行距: 1.5 倍行距"/>
    <w:basedOn w:val="1"/>
    <w:qFormat/>
    <w:uiPriority w:val="0"/>
    <w:pPr>
      <w:ind w:left="855" w:hanging="855"/>
    </w:pPr>
    <w:rPr>
      <w:rFonts w:ascii="等线" w:hAnsi="等线" w:eastAsia="等线" w:cs="等线"/>
      <w:sz w:val="24"/>
      <w:szCs w:val="20"/>
    </w:rPr>
  </w:style>
  <w:style w:type="paragraph" w:customStyle="1" w:styleId="431">
    <w:name w:val="正文首行缩进1"/>
    <w:basedOn w:val="25"/>
    <w:qFormat/>
    <w:uiPriority w:val="0"/>
    <w:pPr>
      <w:suppressAutoHyphens/>
      <w:ind w:firstLine="420"/>
      <w:jc w:val="left"/>
    </w:pPr>
    <w:rPr>
      <w:rFonts w:ascii="等线" w:hAnsi="等线" w:cs="等线"/>
      <w:kern w:val="1"/>
      <w:sz w:val="28"/>
      <w:lang w:eastAsia="ar-SA"/>
    </w:rPr>
  </w:style>
  <w:style w:type="paragraph" w:customStyle="1" w:styleId="432">
    <w:name w:val="样式 首行缩进:  1 厘米"/>
    <w:basedOn w:val="1"/>
    <w:qFormat/>
    <w:uiPriority w:val="0"/>
    <w:pPr>
      <w:autoSpaceDE w:val="0"/>
      <w:autoSpaceDN w:val="0"/>
      <w:adjustRightInd w:val="0"/>
      <w:ind w:firstLine="567"/>
      <w:textAlignment w:val="baseline"/>
    </w:pPr>
    <w:rPr>
      <w:rFonts w:ascii="等线" w:hAnsi="等线" w:eastAsia="等线" w:cs="宋体"/>
      <w:kern w:val="0"/>
      <w:sz w:val="28"/>
      <w:szCs w:val="28"/>
    </w:rPr>
  </w:style>
  <w:style w:type="paragraph" w:customStyle="1" w:styleId="433">
    <w:name w:val="font0"/>
    <w:basedOn w:val="1"/>
    <w:qFormat/>
    <w:uiPriority w:val="0"/>
    <w:pPr>
      <w:widowControl/>
      <w:spacing w:before="100" w:beforeAutospacing="1" w:after="100" w:afterAutospacing="1"/>
      <w:jc w:val="left"/>
    </w:pPr>
    <w:rPr>
      <w:rFonts w:hint="eastAsia" w:ascii="宋体" w:hAnsi="宋体" w:eastAsia="等线" w:cs="等线"/>
      <w:kern w:val="0"/>
      <w:sz w:val="24"/>
    </w:rPr>
  </w:style>
  <w:style w:type="character" w:customStyle="1" w:styleId="434">
    <w:name w:val="正文文本 2 字符"/>
    <w:basedOn w:val="66"/>
    <w:link w:val="55"/>
    <w:qFormat/>
    <w:uiPriority w:val="0"/>
    <w:rPr>
      <w:kern w:val="2"/>
      <w:sz w:val="21"/>
      <w:szCs w:val="24"/>
    </w:rPr>
  </w:style>
  <w:style w:type="character" w:customStyle="1" w:styleId="435">
    <w:name w:val="脚注文本 字符"/>
    <w:basedOn w:val="66"/>
    <w:link w:val="50"/>
    <w:qFormat/>
    <w:uiPriority w:val="0"/>
    <w:rPr>
      <w:rFonts w:ascii="等线" w:hAnsi="等线" w:eastAsia="等线" w:cs="等线"/>
      <w:kern w:val="2"/>
      <w:sz w:val="18"/>
      <w:szCs w:val="18"/>
    </w:rPr>
  </w:style>
  <w:style w:type="character" w:customStyle="1" w:styleId="436">
    <w:name w:val="副标题 字符"/>
    <w:basedOn w:val="66"/>
    <w:link w:val="48"/>
    <w:qFormat/>
    <w:uiPriority w:val="0"/>
    <w:rPr>
      <w:rFonts w:asciiTheme="majorHAnsi" w:hAnsiTheme="majorHAnsi" w:cstheme="majorBidi"/>
      <w:b/>
      <w:bCs/>
      <w:kern w:val="28"/>
      <w:sz w:val="32"/>
      <w:szCs w:val="32"/>
    </w:rPr>
  </w:style>
  <w:style w:type="character" w:customStyle="1" w:styleId="437">
    <w:name w:val="信息标题 字符"/>
    <w:basedOn w:val="66"/>
    <w:link w:val="56"/>
    <w:qFormat/>
    <w:uiPriority w:val="0"/>
    <w:rPr>
      <w:rFonts w:asciiTheme="majorHAnsi" w:hAnsiTheme="majorHAnsi" w:eastAsiaTheme="majorEastAsia" w:cstheme="majorBidi"/>
      <w:kern w:val="2"/>
      <w:sz w:val="24"/>
      <w:szCs w:val="24"/>
      <w:shd w:val="pct20" w:color="auto" w:fill="auto"/>
    </w:rPr>
  </w:style>
  <w:style w:type="character" w:customStyle="1" w:styleId="438">
    <w:name w:val="正文首行缩进 2 字符"/>
    <w:basedOn w:val="90"/>
    <w:link w:val="62"/>
    <w:qFormat/>
    <w:uiPriority w:val="0"/>
    <w:rPr>
      <w:kern w:val="2"/>
      <w:sz w:val="21"/>
      <w:szCs w:val="24"/>
    </w:rPr>
  </w:style>
  <w:style w:type="character" w:customStyle="1" w:styleId="439">
    <w:name w:val="HTML 预设格式 字符"/>
    <w:basedOn w:val="66"/>
    <w:link w:val="57"/>
    <w:qFormat/>
    <w:uiPriority w:val="0"/>
    <w:rPr>
      <w:rFonts w:ascii="Courier New" w:hAnsi="Courier New" w:cs="Courier New"/>
      <w:kern w:val="2"/>
    </w:rPr>
  </w:style>
  <w:style w:type="character" w:customStyle="1" w:styleId="440">
    <w:name w:val="签名 字符"/>
    <w:basedOn w:val="66"/>
    <w:link w:val="45"/>
    <w:qFormat/>
    <w:uiPriority w:val="0"/>
    <w:rPr>
      <w:rFonts w:ascii="等线" w:hAnsi="等线" w:eastAsia="黑体" w:cs="等线"/>
      <w:sz w:val="24"/>
    </w:rPr>
  </w:style>
  <w:style w:type="paragraph" w:customStyle="1" w:styleId="441">
    <w:name w:val="正文文本缩进 21"/>
    <w:basedOn w:val="1"/>
    <w:qFormat/>
    <w:uiPriority w:val="0"/>
    <w:pPr>
      <w:adjustRightInd w:val="0"/>
      <w:spacing w:line="580" w:lineRule="atLeast"/>
      <w:ind w:right="-57" w:firstLine="570"/>
      <w:jc w:val="left"/>
      <w:textAlignment w:val="baseline"/>
    </w:pPr>
    <w:rPr>
      <w:rFonts w:ascii="楷体_GB2312" w:hAnsi="等线" w:eastAsia="楷体_GB2312" w:cs="等线"/>
      <w:sz w:val="28"/>
      <w:szCs w:val="20"/>
    </w:rPr>
  </w:style>
  <w:style w:type="paragraph" w:customStyle="1" w:styleId="442">
    <w:name w:val="1 Char"/>
    <w:basedOn w:val="16"/>
    <w:qFormat/>
    <w:uiPriority w:val="0"/>
    <w:pPr>
      <w:adjustRightInd/>
      <w:spacing w:line="360" w:lineRule="auto"/>
      <w:ind w:firstLine="200" w:firstLineChars="200"/>
      <w:textAlignment w:val="auto"/>
    </w:pPr>
    <w:rPr>
      <w:rFonts w:eastAsia="仿宋_GB2312"/>
      <w:kern w:val="2"/>
    </w:rPr>
  </w:style>
  <w:style w:type="paragraph" w:customStyle="1" w:styleId="443">
    <w:name w:val="Char1 Char Char Char Char"/>
    <w:basedOn w:val="19"/>
    <w:qFormat/>
    <w:uiPriority w:val="0"/>
    <w:rPr>
      <w:rFonts w:ascii="Tahoma" w:hAnsi="Tahoma" w:eastAsia="等线" w:cs="Tahoma"/>
      <w:kern w:val="0"/>
      <w:sz w:val="18"/>
    </w:rPr>
  </w:style>
  <w:style w:type="paragraph" w:customStyle="1" w:styleId="444">
    <w:name w:val="ÕýÎÄ"/>
    <w:qFormat/>
    <w:uiPriority w:val="0"/>
    <w:pPr>
      <w:widowControl w:val="0"/>
      <w:overflowPunct w:val="0"/>
      <w:autoSpaceDE w:val="0"/>
      <w:autoSpaceDN w:val="0"/>
      <w:adjustRightInd w:val="0"/>
      <w:textAlignment w:val="baseline"/>
    </w:pPr>
    <w:rPr>
      <w:rFonts w:ascii="等线" w:hAnsi="等线" w:eastAsia="等线" w:cs="等线"/>
      <w:lang w:val="en-US" w:eastAsia="zh-CN" w:bidi="ar-SA"/>
    </w:rPr>
  </w:style>
  <w:style w:type="paragraph" w:customStyle="1" w:styleId="445">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kern w:val="0"/>
      <w:sz w:val="24"/>
    </w:rPr>
  </w:style>
  <w:style w:type="paragraph" w:customStyle="1" w:styleId="446">
    <w:name w:val="Intense Quote1"/>
    <w:basedOn w:val="1"/>
    <w:next w:val="1"/>
    <w:qFormat/>
    <w:uiPriority w:val="0"/>
    <w:pPr>
      <w:pBdr>
        <w:bottom w:val="single" w:color="4F81BD" w:sz="4" w:space="4"/>
      </w:pBdr>
      <w:spacing w:before="200" w:after="280"/>
      <w:ind w:left="936" w:right="936"/>
    </w:pPr>
    <w:rPr>
      <w:rFonts w:ascii="Century Gothic" w:hAnsi="Century Gothic" w:eastAsia="仿宋_GB2312" w:cs="新宋体"/>
      <w:b/>
      <w:bCs/>
      <w:i/>
      <w:iCs/>
      <w:color w:val="4F81BD"/>
      <w:kern w:val="0"/>
      <w:sz w:val="20"/>
      <w:szCs w:val="20"/>
    </w:rPr>
  </w:style>
  <w:style w:type="paragraph" w:customStyle="1" w:styleId="447">
    <w:name w:val="样式 正文缩进正文（首行缩进两字）表正文正文非缩进特点段1正文不缩进标题4水上软件ALT+Z四号正文文字3..."/>
    <w:basedOn w:val="16"/>
    <w:qFormat/>
    <w:uiPriority w:val="0"/>
    <w:pPr>
      <w:adjustRightInd/>
      <w:spacing w:line="360" w:lineRule="auto"/>
      <w:ind w:firstLine="480" w:firstLineChars="200"/>
      <w:textAlignment w:val="auto"/>
    </w:pPr>
    <w:rPr>
      <w:rFonts w:ascii="Calibri" w:hAnsi="Calibri" w:eastAsia="等线" w:cs="宋体"/>
      <w:sz w:val="24"/>
    </w:rPr>
  </w:style>
  <w:style w:type="paragraph" w:customStyle="1" w:styleId="448">
    <w:name w:val="标书正文格式"/>
    <w:qFormat/>
    <w:uiPriority w:val="0"/>
    <w:pPr>
      <w:spacing w:line="360" w:lineRule="auto"/>
      <w:ind w:firstLine="200" w:firstLineChars="200"/>
    </w:pPr>
    <w:rPr>
      <w:rFonts w:ascii="等线" w:hAnsi="等线" w:eastAsia="Arial Unicode MS" w:cs="等线"/>
      <w:kern w:val="2"/>
      <w:sz w:val="24"/>
      <w:szCs w:val="24"/>
      <w:lang w:val="en-US" w:eastAsia="zh-CN" w:bidi="ar-SA"/>
    </w:rPr>
  </w:style>
  <w:style w:type="paragraph" w:customStyle="1" w:styleId="449">
    <w:name w:val="技术报告正文"/>
    <w:basedOn w:val="1"/>
    <w:qFormat/>
    <w:uiPriority w:val="0"/>
    <w:pPr>
      <w:autoSpaceDE w:val="0"/>
      <w:autoSpaceDN w:val="0"/>
      <w:adjustRightInd w:val="0"/>
      <w:spacing w:beforeLines="50" w:line="440" w:lineRule="exact"/>
      <w:ind w:firstLine="538" w:firstLineChars="192"/>
      <w:jc w:val="left"/>
    </w:pPr>
    <w:rPr>
      <w:rFonts w:ascii="等线" w:hAnsi="等线" w:eastAsia="等线" w:cs="Tahoma"/>
      <w:bCs/>
      <w:kern w:val="0"/>
      <w:sz w:val="28"/>
      <w:szCs w:val="20"/>
    </w:rPr>
  </w:style>
  <w:style w:type="paragraph" w:customStyle="1" w:styleId="450">
    <w:name w:val="无间距1"/>
    <w:basedOn w:val="1"/>
    <w:qFormat/>
    <w:uiPriority w:val="0"/>
    <w:pPr>
      <w:spacing w:line="360" w:lineRule="auto"/>
      <w:ind w:firstLine="200" w:firstLineChars="200"/>
      <w:jc w:val="center"/>
    </w:pPr>
    <w:rPr>
      <w:rFonts w:ascii="等线" w:hAnsi="等线" w:eastAsia="楷体" w:cs="黑体"/>
      <w:sz w:val="24"/>
    </w:rPr>
  </w:style>
  <w:style w:type="paragraph" w:customStyle="1" w:styleId="451">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黑体" w:hAnsi="等线" w:eastAsia="Calibri" w:cs="等线"/>
      <w:kern w:val="0"/>
      <w:sz w:val="24"/>
      <w:szCs w:val="20"/>
    </w:rPr>
  </w:style>
  <w:style w:type="paragraph" w:customStyle="1" w:styleId="452">
    <w:name w:val="注："/>
    <w:next w:val="453"/>
    <w:qFormat/>
    <w:uiPriority w:val="0"/>
    <w:pPr>
      <w:widowControl w:val="0"/>
      <w:tabs>
        <w:tab w:val="left" w:pos="420"/>
      </w:tabs>
      <w:autoSpaceDE w:val="0"/>
      <w:autoSpaceDN w:val="0"/>
      <w:ind w:left="420" w:hanging="420"/>
      <w:jc w:val="both"/>
    </w:pPr>
    <w:rPr>
      <w:rFonts w:ascii="宋体" w:hAnsi="等线" w:eastAsia="等线" w:cs="等线"/>
      <w:sz w:val="18"/>
      <w:szCs w:val="18"/>
      <w:lang w:val="en-US" w:eastAsia="zh-CN" w:bidi="ar-SA"/>
    </w:rPr>
  </w:style>
  <w:style w:type="paragraph" w:customStyle="1" w:styleId="453">
    <w:name w:val="段"/>
    <w:qFormat/>
    <w:uiPriority w:val="0"/>
    <w:pPr>
      <w:autoSpaceDE w:val="0"/>
      <w:autoSpaceDN w:val="0"/>
      <w:ind w:firstLine="200" w:firstLineChars="200"/>
      <w:jc w:val="both"/>
    </w:pPr>
    <w:rPr>
      <w:rFonts w:ascii="仿宋_GB2312" w:hAnsi="等线" w:eastAsia="等线" w:cs="等线"/>
      <w:sz w:val="21"/>
      <w:lang w:val="en-US" w:eastAsia="zh-CN" w:bidi="ar-SA"/>
    </w:rPr>
  </w:style>
  <w:style w:type="paragraph" w:customStyle="1" w:styleId="454">
    <w:name w:val="Char Char Char Char11"/>
    <w:basedOn w:val="1"/>
    <w:qFormat/>
    <w:uiPriority w:val="0"/>
    <w:pPr>
      <w:autoSpaceDE w:val="0"/>
      <w:autoSpaceDN w:val="0"/>
      <w:adjustRightInd w:val="0"/>
      <w:jc w:val="left"/>
    </w:pPr>
    <w:rPr>
      <w:rFonts w:ascii="Cambria" w:hAnsi="Cambria" w:eastAsia="等线" w:cs="等线"/>
      <w:kern w:val="0"/>
      <w:sz w:val="24"/>
      <w:szCs w:val="20"/>
    </w:rPr>
  </w:style>
  <w:style w:type="paragraph" w:customStyle="1" w:styleId="455">
    <w:name w:val="样式 标题 2 + 黑体 行距: 1.5 倍行距"/>
    <w:basedOn w:val="1"/>
    <w:qFormat/>
    <w:uiPriority w:val="0"/>
    <w:pPr>
      <w:tabs>
        <w:tab w:val="left" w:pos="360"/>
        <w:tab w:val="left" w:pos="576"/>
      </w:tabs>
      <w:spacing w:line="360" w:lineRule="auto"/>
      <w:ind w:firstLine="200" w:firstLineChars="200"/>
    </w:pPr>
    <w:rPr>
      <w:rFonts w:ascii="等线" w:hAnsi="等线" w:eastAsia="等线" w:cs="等线"/>
      <w:szCs w:val="20"/>
    </w:rPr>
  </w:style>
  <w:style w:type="paragraph" w:customStyle="1" w:styleId="456">
    <w:name w:val="內文項目之符號"/>
    <w:basedOn w:val="1"/>
    <w:qFormat/>
    <w:uiPriority w:val="0"/>
    <w:pPr>
      <w:widowControl/>
      <w:tabs>
        <w:tab w:val="left" w:pos="1080"/>
      </w:tabs>
      <w:spacing w:before="120" w:line="560" w:lineRule="exact"/>
      <w:ind w:left="1080" w:hanging="1080" w:firstLineChars="200"/>
    </w:pPr>
    <w:rPr>
      <w:rFonts w:ascii="等线" w:hAnsi="等线" w:eastAsia="DFKai-SB" w:cs="等线"/>
      <w:kern w:val="0"/>
      <w:sz w:val="28"/>
      <w:lang w:eastAsia="zh-TW"/>
    </w:rPr>
  </w:style>
  <w:style w:type="paragraph" w:customStyle="1" w:styleId="457">
    <w:name w:val="Char2"/>
    <w:basedOn w:val="1"/>
    <w:qFormat/>
    <w:uiPriority w:val="0"/>
    <w:pPr>
      <w:autoSpaceDE w:val="0"/>
      <w:autoSpaceDN w:val="0"/>
      <w:adjustRightInd w:val="0"/>
      <w:jc w:val="left"/>
    </w:pPr>
    <w:rPr>
      <w:rFonts w:ascii="黑体" w:hAnsi="等线" w:eastAsia="黑体" w:cs="等线"/>
      <w:b/>
      <w:kern w:val="0"/>
      <w:sz w:val="32"/>
      <w:szCs w:val="32"/>
    </w:rPr>
  </w:style>
  <w:style w:type="paragraph" w:customStyle="1" w:styleId="458">
    <w:name w:val="Para"/>
    <w:qFormat/>
    <w:uiPriority w:val="0"/>
    <w:pPr>
      <w:spacing w:before="120"/>
    </w:pPr>
    <w:rPr>
      <w:rFonts w:ascii="等线" w:hAnsi="等线" w:eastAsia="等线" w:cs="等线"/>
      <w:sz w:val="18"/>
      <w:lang w:val="en-US" w:eastAsia="zh-CN" w:bidi="ar-SA"/>
    </w:rPr>
  </w:style>
  <w:style w:type="character" w:customStyle="1" w:styleId="459">
    <w:name w:val="引用 字符"/>
    <w:basedOn w:val="66"/>
    <w:link w:val="258"/>
    <w:semiHidden/>
    <w:qFormat/>
    <w:uiPriority w:val="99"/>
    <w:rPr>
      <w:i/>
      <w:iCs/>
      <w:color w:val="000000" w:themeColor="text1"/>
      <w:kern w:val="2"/>
      <w:sz w:val="21"/>
      <w:szCs w:val="24"/>
      <w14:textFill>
        <w14:solidFill>
          <w14:schemeClr w14:val="tx1"/>
        </w14:solidFill>
      </w14:textFill>
    </w:rPr>
  </w:style>
  <w:style w:type="paragraph" w:customStyle="1" w:styleId="460">
    <w:name w:val="标题五"/>
    <w:basedOn w:val="1"/>
    <w:qFormat/>
    <w:uiPriority w:val="0"/>
    <w:pPr>
      <w:tabs>
        <w:tab w:val="left" w:pos="1440"/>
      </w:tabs>
      <w:autoSpaceDE w:val="0"/>
      <w:autoSpaceDN w:val="0"/>
      <w:adjustRightInd w:val="0"/>
      <w:spacing w:beforeLines="50" w:line="360" w:lineRule="auto"/>
      <w:ind w:left="1440" w:hanging="420"/>
      <w:jc w:val="left"/>
    </w:pPr>
    <w:rPr>
      <w:rFonts w:ascii="等线" w:hAnsi="等线" w:eastAsia="等线" w:cs="等线"/>
      <w:b/>
      <w:kern w:val="0"/>
      <w:sz w:val="24"/>
      <w:szCs w:val="20"/>
    </w:rPr>
  </w:style>
  <w:style w:type="paragraph" w:customStyle="1" w:styleId="461">
    <w:name w:val="Char Char1"/>
    <w:basedOn w:val="1"/>
    <w:qFormat/>
    <w:uiPriority w:val="0"/>
    <w:pPr>
      <w:widowControl/>
      <w:spacing w:after="160" w:line="240" w:lineRule="exact"/>
      <w:jc w:val="left"/>
    </w:pPr>
    <w:rPr>
      <w:rFonts w:ascii="Courier New" w:hAnsi="Courier New" w:eastAsia="Arial Unicode MS" w:cs="等线"/>
      <w:b/>
      <w:i/>
      <w:iCs/>
      <w:color w:val="000000"/>
      <w:kern w:val="0"/>
      <w:sz w:val="20"/>
      <w:szCs w:val="20"/>
      <w:lang w:eastAsia="en-US"/>
    </w:rPr>
  </w:style>
  <w:style w:type="paragraph" w:customStyle="1" w:styleId="462">
    <w:name w:val="rm"/>
    <w:basedOn w:val="1"/>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463">
    <w:name w:val="技术方案正文样式"/>
    <w:basedOn w:val="1"/>
    <w:qFormat/>
    <w:uiPriority w:val="0"/>
    <w:pPr>
      <w:autoSpaceDE w:val="0"/>
      <w:autoSpaceDN w:val="0"/>
      <w:adjustRightInd w:val="0"/>
      <w:spacing w:line="400" w:lineRule="exact"/>
      <w:ind w:firstLine="480" w:firstLineChars="200"/>
    </w:pPr>
    <w:rPr>
      <w:rFonts w:ascii="宋体" w:hAnsi="宋体" w:eastAsia="等线" w:cs="宋体"/>
      <w:sz w:val="24"/>
      <w:szCs w:val="21"/>
    </w:rPr>
  </w:style>
  <w:style w:type="paragraph" w:customStyle="1" w:styleId="464">
    <w:name w:val="xl42"/>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465">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466">
    <w:name w:val="NICMAN Body Text"/>
    <w:basedOn w:val="1"/>
    <w:next w:val="25"/>
    <w:qFormat/>
    <w:uiPriority w:val="0"/>
    <w:pPr>
      <w:autoSpaceDE w:val="0"/>
      <w:autoSpaceDN w:val="0"/>
      <w:adjustRightInd w:val="0"/>
      <w:spacing w:after="120"/>
      <w:jc w:val="left"/>
    </w:pPr>
    <w:rPr>
      <w:rFonts w:ascii="等线" w:hAnsi="等线" w:eastAsia="等线" w:cs="等线"/>
      <w:kern w:val="0"/>
      <w:sz w:val="20"/>
      <w:szCs w:val="20"/>
    </w:rPr>
  </w:style>
  <w:style w:type="paragraph" w:customStyle="1" w:styleId="467">
    <w:name w:val="第一個訊息標題"/>
    <w:basedOn w:val="56"/>
    <w:next w:val="56"/>
    <w:qFormat/>
    <w:uiPriority w:val="0"/>
    <w:pPr>
      <w:keepLines/>
      <w:widowControl/>
      <w:pBdr>
        <w:top w:val="none" w:color="auto" w:sz="0" w:space="0"/>
        <w:left w:val="none" w:color="auto" w:sz="0" w:space="0"/>
        <w:bottom w:val="none" w:color="auto" w:sz="0" w:space="0"/>
        <w:right w:val="none" w:color="auto" w:sz="0" w:space="0"/>
      </w:pBdr>
      <w:shd w:val="clear" w:color="auto" w:fill="auto"/>
      <w:tabs>
        <w:tab w:val="left" w:pos="1560"/>
        <w:tab w:val="left" w:pos="4920"/>
        <w:tab w:val="left" w:pos="5640"/>
      </w:tabs>
      <w:overflowPunct w:val="0"/>
      <w:autoSpaceDE w:val="0"/>
      <w:autoSpaceDN w:val="0"/>
      <w:spacing w:line="533" w:lineRule="auto"/>
      <w:ind w:left="1560" w:leftChars="0" w:right="-120" w:hanging="720" w:firstLineChars="0"/>
    </w:pPr>
    <w:rPr>
      <w:rFonts w:eastAsia="MingLiU"/>
      <w:sz w:val="20"/>
      <w:szCs w:val="20"/>
    </w:rPr>
  </w:style>
  <w:style w:type="paragraph" w:customStyle="1" w:styleId="468">
    <w:name w:val="Normal_2"/>
    <w:qFormat/>
    <w:uiPriority w:val="0"/>
    <w:pPr>
      <w:spacing w:before="120" w:after="240"/>
      <w:jc w:val="both"/>
    </w:pPr>
    <w:rPr>
      <w:rFonts w:ascii="等线" w:hAnsi="等线" w:eastAsia="Times New Roman" w:cs="等线"/>
      <w:sz w:val="22"/>
      <w:szCs w:val="22"/>
      <w:lang w:val="en-US" w:eastAsia="en-US" w:bidi="ar-SA"/>
    </w:rPr>
  </w:style>
  <w:style w:type="paragraph" w:customStyle="1" w:styleId="469">
    <w:name w:val="font13"/>
    <w:basedOn w:val="1"/>
    <w:qFormat/>
    <w:uiPriority w:val="0"/>
    <w:pPr>
      <w:widowControl/>
      <w:spacing w:before="100" w:beforeAutospacing="1" w:after="100" w:afterAutospacing="1"/>
      <w:jc w:val="left"/>
    </w:pPr>
    <w:rPr>
      <w:rFonts w:ascii="等线" w:hAnsi="等线" w:eastAsia="等线" w:cs="等线"/>
      <w:kern w:val="0"/>
      <w:sz w:val="24"/>
    </w:rPr>
  </w:style>
  <w:style w:type="paragraph" w:customStyle="1" w:styleId="470">
    <w:name w:val="xl93"/>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71">
    <w:name w:val="font10"/>
    <w:basedOn w:val="1"/>
    <w:qFormat/>
    <w:uiPriority w:val="0"/>
    <w:pPr>
      <w:widowControl/>
      <w:spacing w:before="100" w:beforeAutospacing="1" w:after="100" w:afterAutospacing="1"/>
      <w:jc w:val="left"/>
    </w:pPr>
    <w:rPr>
      <w:rFonts w:ascii="等线" w:hAnsi="等线" w:eastAsia="等线" w:cs="等线"/>
      <w:kern w:val="0"/>
      <w:sz w:val="16"/>
      <w:szCs w:val="16"/>
    </w:rPr>
  </w:style>
  <w:style w:type="paragraph" w:customStyle="1" w:styleId="472">
    <w:name w:val="a5"/>
    <w:basedOn w:val="1"/>
    <w:qFormat/>
    <w:uiPriority w:val="0"/>
    <w:pPr>
      <w:widowControl/>
      <w:spacing w:before="100" w:beforeAutospacing="1" w:after="100" w:afterAutospacing="1"/>
      <w:jc w:val="left"/>
    </w:pPr>
    <w:rPr>
      <w:rFonts w:hint="eastAsia" w:ascii="宋体" w:hAnsi="宋体" w:eastAsia="等线" w:cs="等线"/>
      <w:kern w:val="0"/>
      <w:sz w:val="27"/>
      <w:szCs w:val="27"/>
    </w:rPr>
  </w:style>
  <w:style w:type="paragraph" w:customStyle="1" w:styleId="473">
    <w:name w:val="正文3"/>
    <w:qFormat/>
    <w:uiPriority w:val="0"/>
    <w:pPr>
      <w:jc w:val="both"/>
    </w:pPr>
    <w:rPr>
      <w:rFonts w:ascii="等线" w:hAnsi="等线" w:eastAsia="等线" w:cs="等线"/>
      <w:kern w:val="2"/>
      <w:sz w:val="21"/>
      <w:szCs w:val="21"/>
      <w:lang w:val="en-US" w:eastAsia="zh-CN" w:bidi="ar-SA"/>
    </w:rPr>
  </w:style>
  <w:style w:type="paragraph" w:customStyle="1" w:styleId="474">
    <w:name w:val="Char21"/>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475">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kern w:val="0"/>
      <w:sz w:val="24"/>
    </w:rPr>
  </w:style>
  <w:style w:type="paragraph" w:customStyle="1" w:styleId="476">
    <w:name w:val="af17cgridlangnp1033langf"/>
    <w:qFormat/>
    <w:uiPriority w:val="0"/>
    <w:pPr>
      <w:widowControl w:val="0"/>
      <w:autoSpaceDE w:val="0"/>
      <w:autoSpaceDN w:val="0"/>
      <w:adjustRightInd w:val="0"/>
      <w:spacing w:before="156" w:line="360" w:lineRule="atLeast"/>
      <w:ind w:left="567" w:firstLine="510"/>
      <w:jc w:val="both"/>
    </w:pPr>
    <w:rPr>
      <w:rFonts w:ascii="等线" w:hAnsi="等线" w:eastAsia="等线" w:cs="等线"/>
      <w:lang w:val="en-US" w:eastAsia="zh-CN" w:bidi="ar-SA"/>
    </w:rPr>
  </w:style>
  <w:style w:type="paragraph" w:customStyle="1" w:styleId="477">
    <w:name w:val="xl103"/>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78">
    <w:name w:val="xl89"/>
    <w:basedOn w:val="1"/>
    <w:qFormat/>
    <w:uiPriority w:val="0"/>
    <w:pPr>
      <w:widowControl/>
      <w:spacing w:before="100" w:beforeAutospacing="1" w:after="100" w:afterAutospacing="1"/>
      <w:jc w:val="left"/>
    </w:pPr>
    <w:rPr>
      <w:rFonts w:ascii="仿宋_GB2312" w:hAnsi="仿宋_GB2312" w:eastAsia="等线" w:cs="仿宋_GB2312"/>
      <w:kern w:val="0"/>
      <w:sz w:val="24"/>
    </w:rPr>
  </w:style>
  <w:style w:type="paragraph" w:customStyle="1" w:styleId="479">
    <w:name w:val="Char3 Char Char Char Char Char Char"/>
    <w:basedOn w:val="1"/>
    <w:qFormat/>
    <w:uiPriority w:val="0"/>
    <w:pPr>
      <w:widowControl/>
      <w:spacing w:after="160" w:line="240" w:lineRule="exact"/>
      <w:ind w:firstLine="200" w:firstLineChars="200"/>
      <w:jc w:val="left"/>
    </w:pPr>
    <w:rPr>
      <w:rFonts w:ascii="Verdana" w:hAnsi="Verdana" w:eastAsia="等线" w:cs="等线"/>
      <w:kern w:val="0"/>
      <w:sz w:val="18"/>
      <w:szCs w:val="20"/>
      <w:lang w:eastAsia="en-US"/>
    </w:rPr>
  </w:style>
  <w:style w:type="paragraph" w:customStyle="1" w:styleId="480">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481">
    <w:name w:val="德山-正文"/>
    <w:basedOn w:val="1"/>
    <w:qFormat/>
    <w:uiPriority w:val="0"/>
    <w:pPr>
      <w:spacing w:beforeLines="50" w:afterLines="50" w:line="360" w:lineRule="auto"/>
      <w:ind w:firstLine="200" w:firstLineChars="200"/>
    </w:pPr>
    <w:rPr>
      <w:rFonts w:ascii="Calibri" w:hAnsi="Calibri" w:eastAsia="等线" w:cs="等线"/>
      <w:sz w:val="24"/>
      <w:szCs w:val="21"/>
    </w:rPr>
  </w:style>
  <w:style w:type="paragraph" w:customStyle="1" w:styleId="482">
    <w:name w:val="样式7"/>
    <w:basedOn w:val="6"/>
    <w:qFormat/>
    <w:uiPriority w:val="0"/>
  </w:style>
  <w:style w:type="paragraph" w:customStyle="1" w:styleId="483">
    <w:name w:val="正文缩进3"/>
    <w:basedOn w:val="1"/>
    <w:qFormat/>
    <w:uiPriority w:val="0"/>
    <w:pPr>
      <w:spacing w:line="360" w:lineRule="auto"/>
      <w:ind w:firstLine="420" w:firstLineChars="200"/>
    </w:pPr>
    <w:rPr>
      <w:rFonts w:ascii="等线" w:hAnsi="等线" w:eastAsia="等线" w:cs="等线"/>
      <w:szCs w:val="20"/>
    </w:rPr>
  </w:style>
  <w:style w:type="paragraph" w:customStyle="1" w:styleId="484">
    <w:name w:val="xl6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85">
    <w:name w:val="xl11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486">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487">
    <w:name w:val="Char1"/>
    <w:basedOn w:val="1"/>
    <w:qFormat/>
    <w:uiPriority w:val="0"/>
    <w:pPr>
      <w:autoSpaceDE w:val="0"/>
      <w:autoSpaceDN w:val="0"/>
      <w:adjustRightInd w:val="0"/>
      <w:jc w:val="left"/>
    </w:pPr>
    <w:rPr>
      <w:rFonts w:ascii="黑体" w:hAnsi="等线" w:eastAsia="黑体" w:cs="等线"/>
      <w:b/>
      <w:kern w:val="0"/>
      <w:sz w:val="32"/>
      <w:szCs w:val="32"/>
    </w:rPr>
  </w:style>
  <w:style w:type="paragraph" w:customStyle="1" w:styleId="488">
    <w:name w:val="xl31"/>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等线" w:hAnsi="等线" w:eastAsia="等线" w:cs="等线"/>
      <w:kern w:val="0"/>
      <w:sz w:val="20"/>
      <w:szCs w:val="20"/>
    </w:rPr>
  </w:style>
  <w:style w:type="paragraph" w:customStyle="1" w:styleId="489">
    <w:name w:val="样式 标题 3 + 黑体 小四 非加粗"/>
    <w:basedOn w:val="5"/>
    <w:qFormat/>
    <w:uiPriority w:val="0"/>
    <w:pPr>
      <w:spacing w:before="0" w:after="0" w:line="415" w:lineRule="auto"/>
    </w:pPr>
    <w:rPr>
      <w:rFonts w:ascii="Helvetica" w:hAnsi="Helvetica" w:eastAsia="Helvetica"/>
      <w:b w:val="0"/>
      <w:bCs w:val="0"/>
      <w:kern w:val="0"/>
      <w:sz w:val="24"/>
    </w:rPr>
  </w:style>
  <w:style w:type="paragraph" w:customStyle="1" w:styleId="490">
    <w:name w:val="工可正文"/>
    <w:basedOn w:val="34"/>
    <w:qFormat/>
    <w:uiPriority w:val="0"/>
    <w:pPr>
      <w:widowControl w:val="0"/>
      <w:overflowPunct/>
      <w:autoSpaceDE/>
      <w:autoSpaceDN/>
      <w:adjustRightInd/>
      <w:ind w:firstLine="560" w:firstLineChars="200"/>
      <w:jc w:val="both"/>
      <w:textAlignment w:val="auto"/>
    </w:pPr>
    <w:rPr>
      <w:rFonts w:ascii="Times New Roman" w:hAnsi="Times New Roman" w:eastAsia="等线"/>
      <w:sz w:val="28"/>
      <w:szCs w:val="20"/>
    </w:rPr>
  </w:style>
  <w:style w:type="paragraph" w:customStyle="1" w:styleId="491">
    <w:name w:val="xl57"/>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492">
    <w:name w:val="Table Contents"/>
    <w:basedOn w:val="1"/>
    <w:qFormat/>
    <w:uiPriority w:val="0"/>
    <w:pPr>
      <w:suppressAutoHyphens/>
      <w:autoSpaceDE w:val="0"/>
      <w:autoSpaceDN w:val="0"/>
      <w:adjustRightInd w:val="0"/>
      <w:spacing w:after="120"/>
      <w:jc w:val="left"/>
    </w:pPr>
    <w:rPr>
      <w:rFonts w:ascii="ˎ̥" w:hAnsi="ˎ̥" w:eastAsia="等线" w:cs="等线"/>
      <w:kern w:val="1"/>
      <w:sz w:val="20"/>
      <w:szCs w:val="20"/>
    </w:rPr>
  </w:style>
  <w:style w:type="paragraph" w:customStyle="1" w:styleId="493">
    <w:name w:val="Char3"/>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494">
    <w:name w:val="信息标题2"/>
    <w:basedOn w:val="17"/>
    <w:next w:val="17"/>
    <w:qFormat/>
    <w:uiPriority w:val="0"/>
    <w:pPr>
      <w:spacing w:beforeLines="50" w:afterLines="50" w:line="360" w:lineRule="auto"/>
      <w:ind w:left="422" w:hanging="422" w:hangingChars="200"/>
      <w:jc w:val="left"/>
    </w:pPr>
    <w:rPr>
      <w:rFonts w:ascii="Arial Black" w:hAnsi="Arial Black" w:eastAsia="宋体"/>
      <w:b/>
      <w:bCs/>
      <w:sz w:val="30"/>
    </w:rPr>
  </w:style>
  <w:style w:type="paragraph" w:customStyle="1" w:styleId="495">
    <w:name w:val="地址內名稱"/>
    <w:basedOn w:val="1"/>
    <w:qFormat/>
    <w:uiPriority w:val="0"/>
    <w:pPr>
      <w:adjustRightInd w:val="0"/>
      <w:spacing w:line="360" w:lineRule="atLeast"/>
      <w:ind w:firstLine="200" w:firstLineChars="200"/>
      <w:jc w:val="left"/>
      <w:textAlignment w:val="baseline"/>
    </w:pPr>
    <w:rPr>
      <w:rFonts w:ascii="等线" w:hAnsi="等线" w:eastAsia="PMingLiU" w:cs="等线"/>
      <w:kern w:val="0"/>
      <w:sz w:val="24"/>
      <w:szCs w:val="20"/>
      <w:lang w:eastAsia="zh-TW"/>
    </w:rPr>
  </w:style>
  <w:style w:type="paragraph" w:customStyle="1" w:styleId="496">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等线" w:hAnsi="等线" w:eastAsia="等线" w:cs="等线"/>
      <w:b/>
      <w:w w:val="170"/>
      <w:sz w:val="96"/>
      <w:szCs w:val="96"/>
      <w:lang w:val="en-US" w:eastAsia="zh-CN" w:bidi="ar-SA"/>
    </w:rPr>
  </w:style>
  <w:style w:type="paragraph" w:customStyle="1" w:styleId="497">
    <w:name w:val="样式 标题 1"/>
    <w:basedOn w:val="4"/>
    <w:next w:val="1"/>
    <w:qFormat/>
    <w:uiPriority w:val="0"/>
    <w:pPr>
      <w:keepNext w:val="0"/>
      <w:pageBreakBefore/>
      <w:tabs>
        <w:tab w:val="left" w:pos="584"/>
      </w:tabs>
      <w:adjustRightInd w:val="0"/>
      <w:snapToGrid w:val="0"/>
      <w:spacing w:beforeLines="100" w:line="480" w:lineRule="exact"/>
      <w:ind w:left="360"/>
    </w:pPr>
    <w:rPr>
      <w:rFonts w:ascii="黑体" w:hAnsi="宋体" w:eastAsia="黑体" w:cs="宋体"/>
      <w:color w:val="000000"/>
      <w:sz w:val="36"/>
      <w:szCs w:val="36"/>
    </w:rPr>
  </w:style>
  <w:style w:type="paragraph" w:customStyle="1" w:styleId="498">
    <w:name w:val="样式 四号 首行缩进:  1 厘米"/>
    <w:basedOn w:val="1"/>
    <w:qFormat/>
    <w:uiPriority w:val="0"/>
    <w:pPr>
      <w:spacing w:line="440" w:lineRule="exact"/>
      <w:ind w:firstLine="567"/>
    </w:pPr>
    <w:rPr>
      <w:rFonts w:ascii="等线" w:hAnsi="等线" w:eastAsia="等线" w:cs="宋体"/>
      <w:sz w:val="28"/>
      <w:szCs w:val="20"/>
    </w:rPr>
  </w:style>
  <w:style w:type="paragraph" w:customStyle="1" w:styleId="499">
    <w:name w:val="xl76"/>
    <w:basedOn w:val="1"/>
    <w:qFormat/>
    <w:uiPriority w:val="0"/>
    <w:pPr>
      <w:widowControl/>
      <w:pBdr>
        <w:top w:val="single" w:color="auto" w:sz="4" w:space="0"/>
        <w:bottom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500">
    <w:name w:val="Item List in Table"/>
    <w:qFormat/>
    <w:uiPriority w:val="0"/>
    <w:pPr>
      <w:tabs>
        <w:tab w:val="left" w:pos="284"/>
        <w:tab w:val="left" w:pos="720"/>
      </w:tabs>
      <w:spacing w:before="40" w:after="40"/>
      <w:ind w:left="720" w:hanging="720"/>
      <w:jc w:val="both"/>
    </w:pPr>
    <w:rPr>
      <w:rFonts w:ascii="Century Gothic" w:hAnsi="Century Gothic" w:eastAsia="等线" w:cs="Tahoma"/>
      <w:kern w:val="2"/>
      <w:sz w:val="18"/>
      <w:szCs w:val="18"/>
      <w:lang w:val="en-US" w:eastAsia="zh-CN" w:bidi="ar-SA"/>
    </w:rPr>
  </w:style>
  <w:style w:type="paragraph" w:customStyle="1" w:styleId="501">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502">
    <w:name w:val="Body"/>
    <w:qFormat/>
    <w:uiPriority w:val="0"/>
    <w:pPr>
      <w:tabs>
        <w:tab w:val="left" w:pos="720"/>
        <w:tab w:val="left" w:pos="1440"/>
        <w:tab w:val="left" w:pos="2160"/>
        <w:tab w:val="left" w:pos="2880"/>
        <w:tab w:val="left" w:pos="3600"/>
        <w:tab w:val="left" w:pos="4320"/>
        <w:tab w:val="left" w:pos="5040"/>
        <w:tab w:val="left" w:pos="5840"/>
        <w:tab w:val="left" w:pos="6480"/>
        <w:tab w:val="left" w:pos="7200"/>
        <w:tab w:val="left" w:pos="7920"/>
      </w:tabs>
      <w:spacing w:after="140" w:line="280" w:lineRule="atLeast"/>
    </w:pPr>
    <w:rPr>
      <w:rFonts w:ascii="Times" w:hAnsi="Times" w:eastAsia="等线" w:cs="等线"/>
      <w:color w:val="000000"/>
      <w:sz w:val="18"/>
      <w:lang w:val="en-US" w:eastAsia="en-US" w:bidi="ar-SA"/>
    </w:rPr>
  </w:style>
  <w:style w:type="paragraph" w:customStyle="1" w:styleId="503">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仿宋_GB2312" w:hAnsi="仿宋_GB2312" w:eastAsia="等线" w:cs="仿宋_GB2312"/>
      <w:b/>
      <w:bCs/>
      <w:color w:val="000000"/>
      <w:kern w:val="0"/>
      <w:sz w:val="24"/>
    </w:rPr>
  </w:style>
  <w:style w:type="paragraph" w:customStyle="1" w:styleId="504">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505">
    <w:name w:val="_Style 113"/>
    <w:basedOn w:val="1"/>
    <w:qFormat/>
    <w:uiPriority w:val="0"/>
    <w:pPr>
      <w:spacing w:line="360" w:lineRule="auto"/>
      <w:ind w:firstLine="420" w:firstLineChars="200"/>
    </w:pPr>
    <w:rPr>
      <w:rFonts w:ascii="等线" w:hAnsi="等线" w:eastAsia="等线" w:cs="等线"/>
      <w:szCs w:val="20"/>
    </w:rPr>
  </w:style>
  <w:style w:type="paragraph" w:customStyle="1" w:styleId="506">
    <w:name w:val="正文段落 Char"/>
    <w:basedOn w:val="1"/>
    <w:qFormat/>
    <w:uiPriority w:val="0"/>
    <w:pPr>
      <w:spacing w:line="360" w:lineRule="auto"/>
      <w:ind w:firstLine="480" w:firstLineChars="200"/>
    </w:pPr>
    <w:rPr>
      <w:rFonts w:ascii="等线" w:hAnsi="等线" w:eastAsia="等线" w:cs="等线"/>
      <w:kern w:val="0"/>
      <w:sz w:val="24"/>
      <w:szCs w:val="20"/>
    </w:rPr>
  </w:style>
  <w:style w:type="paragraph" w:customStyle="1" w:styleId="507">
    <w:name w:val="章标题"/>
    <w:next w:val="1"/>
    <w:qFormat/>
    <w:uiPriority w:val="0"/>
    <w:pPr>
      <w:spacing w:beforeLines="50" w:afterLines="50"/>
      <w:jc w:val="both"/>
      <w:outlineLvl w:val="1"/>
    </w:pPr>
    <w:rPr>
      <w:rFonts w:ascii="Helvetica" w:hAnsi="等线" w:eastAsia="Helvetica" w:cs="等线"/>
      <w:sz w:val="21"/>
      <w:lang w:val="en-US" w:eastAsia="zh-CN" w:bidi="ar-SA"/>
    </w:rPr>
  </w:style>
  <w:style w:type="paragraph" w:customStyle="1" w:styleId="508">
    <w:name w:val="五级条标题"/>
    <w:basedOn w:val="425"/>
    <w:next w:val="1"/>
    <w:qFormat/>
    <w:uiPriority w:val="0"/>
    <w:pPr>
      <w:outlineLvl w:val="6"/>
    </w:pPr>
  </w:style>
  <w:style w:type="paragraph" w:customStyle="1" w:styleId="509">
    <w:name w:val="條文12"/>
    <w:basedOn w:val="1"/>
    <w:qFormat/>
    <w:uiPriority w:val="0"/>
    <w:pPr>
      <w:adjustRightInd w:val="0"/>
      <w:spacing w:line="400" w:lineRule="atLeast"/>
      <w:ind w:left="1186" w:hanging="284" w:firstLineChars="200"/>
      <w:jc w:val="left"/>
      <w:textAlignment w:val="baseline"/>
    </w:pPr>
    <w:rPr>
      <w:rFonts w:ascii="全真楷書" w:hAnsi="等线" w:eastAsia="全真楷書" w:cs="等线"/>
      <w:kern w:val="0"/>
      <w:sz w:val="28"/>
      <w:szCs w:val="20"/>
      <w:lang w:eastAsia="zh-TW"/>
    </w:rPr>
  </w:style>
  <w:style w:type="paragraph" w:customStyle="1" w:styleId="510">
    <w:name w:val="数字级连标题1"/>
    <w:basedOn w:val="4"/>
    <w:next w:val="1"/>
    <w:qFormat/>
    <w:uiPriority w:val="0"/>
    <w:pPr>
      <w:keepLines/>
      <w:tabs>
        <w:tab w:val="left" w:pos="390"/>
      </w:tabs>
      <w:spacing w:line="360" w:lineRule="auto"/>
      <w:ind w:left="390" w:hanging="390"/>
      <w:jc w:val="both"/>
    </w:pPr>
    <w:rPr>
      <w:rFonts w:ascii="等线" w:hAnsi="等线" w:eastAsia="等线"/>
      <w:bCs w:val="0"/>
      <w:sz w:val="28"/>
      <w:szCs w:val="20"/>
      <w:lang w:eastAsia="ar-SA"/>
    </w:rPr>
  </w:style>
  <w:style w:type="paragraph" w:customStyle="1" w:styleId="511">
    <w:name w:val="款1"/>
    <w:basedOn w:val="509"/>
    <w:qFormat/>
    <w:uiPriority w:val="0"/>
    <w:pPr>
      <w:ind w:left="1146"/>
    </w:pPr>
  </w:style>
  <w:style w:type="paragraph" w:customStyle="1" w:styleId="512">
    <w:name w:val="xl11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13">
    <w:name w:val="段落正文"/>
    <w:basedOn w:val="1"/>
    <w:qFormat/>
    <w:uiPriority w:val="0"/>
    <w:pPr>
      <w:spacing w:before="140" w:after="140" w:line="401" w:lineRule="auto"/>
      <w:ind w:firstLine="200" w:firstLineChars="200"/>
    </w:pPr>
    <w:rPr>
      <w:rFonts w:ascii="宋体" w:hAnsi="宋体" w:eastAsia="等线" w:cs="等线"/>
    </w:rPr>
  </w:style>
  <w:style w:type="paragraph" w:customStyle="1" w:styleId="514">
    <w:name w:val="密级编号"/>
    <w:basedOn w:val="1"/>
    <w:qFormat/>
    <w:uiPriority w:val="0"/>
    <w:pPr>
      <w:adjustRightInd w:val="0"/>
      <w:jc w:val="center"/>
      <w:textAlignment w:val="baseline"/>
    </w:pPr>
    <w:rPr>
      <w:rFonts w:ascii="仿宋_GB2312" w:hAnsi="等线" w:eastAsia="仿宋_GB2312" w:cs="等线"/>
      <w:kern w:val="0"/>
      <w:sz w:val="24"/>
      <w:szCs w:val="20"/>
    </w:rPr>
  </w:style>
  <w:style w:type="paragraph" w:customStyle="1" w:styleId="515">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516">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Calibri" w:hAnsi="Calibri" w:eastAsia="Calibri" w:cs="仿宋_GB2312"/>
      <w:color w:val="000000"/>
      <w:kern w:val="0"/>
      <w:sz w:val="24"/>
    </w:rPr>
  </w:style>
  <w:style w:type="paragraph" w:customStyle="1" w:styleId="517">
    <w:name w:val="標題 (一)"/>
    <w:basedOn w:val="2"/>
    <w:qFormat/>
    <w:uiPriority w:val="0"/>
    <w:pPr>
      <w:tabs>
        <w:tab w:val="left" w:pos="709"/>
      </w:tabs>
      <w:adjustRightInd w:val="0"/>
      <w:spacing w:before="0" w:after="0" w:line="567" w:lineRule="atLeast"/>
      <w:ind w:left="709" w:hanging="567" w:firstLineChars="200"/>
      <w:textAlignment w:val="baseline"/>
      <w:outlineLvl w:val="9"/>
    </w:pPr>
    <w:rPr>
      <w:rFonts w:ascii="PMingLiU" w:hAnsi="Times New Roman" w:eastAsia="PMingLiU"/>
      <w:b w:val="0"/>
      <w:bCs w:val="0"/>
      <w:kern w:val="0"/>
      <w:sz w:val="28"/>
      <w:szCs w:val="20"/>
      <w:lang w:eastAsia="zh-TW"/>
    </w:rPr>
  </w:style>
  <w:style w:type="paragraph" w:customStyle="1" w:styleId="518">
    <w:name w:val="List Paragraph11"/>
    <w:basedOn w:val="1"/>
    <w:qFormat/>
    <w:uiPriority w:val="0"/>
    <w:pPr>
      <w:ind w:firstLine="420" w:firstLineChars="200"/>
    </w:pPr>
    <w:rPr>
      <w:rFonts w:ascii="Century Gothic" w:hAnsi="Century Gothic" w:eastAsia="仿宋_GB2312" w:cs="新宋体"/>
      <w:szCs w:val="22"/>
    </w:rPr>
  </w:style>
  <w:style w:type="paragraph" w:customStyle="1" w:styleId="519">
    <w:name w:val="正文文字 5"/>
    <w:basedOn w:val="27"/>
    <w:qFormat/>
    <w:uiPriority w:val="0"/>
    <w:pPr>
      <w:adjustRightInd w:val="0"/>
      <w:spacing w:after="120" w:line="312" w:lineRule="atLeast"/>
      <w:ind w:left="420" w:firstLine="0" w:firstLineChars="0"/>
      <w:textAlignment w:val="baseline"/>
    </w:pPr>
    <w:rPr>
      <w:rFonts w:ascii="等线" w:hAnsi="等线" w:cs="等线"/>
      <w:kern w:val="0"/>
      <w:sz w:val="21"/>
      <w:szCs w:val="20"/>
    </w:rPr>
  </w:style>
  <w:style w:type="paragraph" w:customStyle="1" w:styleId="520">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521">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8"/>
      <w:szCs w:val="28"/>
    </w:rPr>
  </w:style>
  <w:style w:type="paragraph" w:customStyle="1" w:styleId="522">
    <w:name w:val="xl107"/>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等线" w:cs="等线"/>
      <w:kern w:val="0"/>
      <w:sz w:val="24"/>
    </w:rPr>
  </w:style>
  <w:style w:type="paragraph" w:customStyle="1" w:styleId="523">
    <w:name w:val="七级标题"/>
    <w:basedOn w:val="9"/>
    <w:qFormat/>
    <w:uiPriority w:val="0"/>
    <w:pPr>
      <w:adjustRightInd/>
      <w:spacing w:line="320" w:lineRule="auto"/>
      <w:ind w:left="1276" w:hanging="1276"/>
      <w:textAlignment w:val="auto"/>
    </w:pPr>
    <w:rPr>
      <w:rFonts w:ascii="黑体" w:hAnsi="黑体" w:eastAsia="黑体"/>
      <w:bCs/>
      <w:kern w:val="0"/>
    </w:rPr>
  </w:style>
  <w:style w:type="paragraph" w:customStyle="1" w:styleId="524">
    <w:name w:val="样式 标题 1Level 1Level 11h1II+IHeading1H1-Heading 1Header 1..."/>
    <w:basedOn w:val="4"/>
    <w:qFormat/>
    <w:uiPriority w:val="0"/>
    <w:pPr>
      <w:keepLines/>
      <w:pageBreakBefore/>
      <w:spacing w:line="360" w:lineRule="auto"/>
      <w:ind w:left="1680" w:hanging="420"/>
      <w:jc w:val="left"/>
    </w:pPr>
    <w:rPr>
      <w:rFonts w:ascii="Tahoma" w:hAnsi="Tahoma" w:eastAsia="Helvetica" w:cs="仿宋_GB2312"/>
      <w:kern w:val="44"/>
      <w:sz w:val="44"/>
      <w:szCs w:val="20"/>
    </w:rPr>
  </w:style>
  <w:style w:type="paragraph" w:customStyle="1" w:styleId="525">
    <w:name w:val="button"/>
    <w:basedOn w:val="1"/>
    <w:qFormat/>
    <w:uiPriority w:val="0"/>
    <w:pPr>
      <w:widowControl/>
      <w:autoSpaceDE w:val="0"/>
      <w:autoSpaceDN w:val="0"/>
      <w:adjustRightInd w:val="0"/>
      <w:spacing w:before="100" w:beforeAutospacing="1" w:after="100" w:afterAutospacing="1"/>
      <w:jc w:val="left"/>
    </w:pPr>
    <w:rPr>
      <w:rFonts w:ascii="等线" w:hAnsi="等线" w:eastAsia="等线" w:cs="等线"/>
      <w:color w:val="000000"/>
      <w:kern w:val="0"/>
      <w:sz w:val="24"/>
      <w:szCs w:val="20"/>
    </w:rPr>
  </w:style>
  <w:style w:type="paragraph" w:customStyle="1" w:styleId="526">
    <w:name w:val="xl11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27">
    <w:name w:val="正文样式 首行缩进:  0.74 厘米"/>
    <w:basedOn w:val="1"/>
    <w:qFormat/>
    <w:uiPriority w:val="0"/>
    <w:pPr>
      <w:autoSpaceDE w:val="0"/>
      <w:autoSpaceDN w:val="0"/>
      <w:adjustRightInd w:val="0"/>
      <w:spacing w:beforeLines="50" w:line="360" w:lineRule="auto"/>
      <w:ind w:firstLine="420"/>
      <w:jc w:val="left"/>
    </w:pPr>
    <w:rPr>
      <w:rFonts w:ascii="等线" w:hAnsi="等线" w:eastAsia="等线" w:cs="仿宋_GB2312"/>
      <w:kern w:val="0"/>
      <w:sz w:val="24"/>
      <w:szCs w:val="20"/>
    </w:rPr>
  </w:style>
  <w:style w:type="paragraph" w:customStyle="1" w:styleId="528">
    <w:name w:val="普通(Web)"/>
    <w:basedOn w:val="1"/>
    <w:qFormat/>
    <w:uiPriority w:val="0"/>
    <w:pPr>
      <w:widowControl/>
      <w:spacing w:before="100" w:beforeAutospacing="1" w:after="100" w:afterAutospacing="1" w:line="240" w:lineRule="atLeast"/>
      <w:ind w:firstLine="360" w:firstLineChars="200"/>
      <w:jc w:val="left"/>
    </w:pPr>
    <w:rPr>
      <w:rFonts w:ascii="宋体" w:hAnsi="宋体" w:eastAsia="等线" w:cs="等线"/>
      <w:kern w:val="0"/>
      <w:sz w:val="18"/>
      <w:szCs w:val="18"/>
    </w:rPr>
  </w:style>
  <w:style w:type="paragraph" w:customStyle="1" w:styleId="529">
    <w:name w:val="标题 11"/>
    <w:basedOn w:val="1"/>
    <w:next w:val="1"/>
    <w:qFormat/>
    <w:uiPriority w:val="0"/>
    <w:pPr>
      <w:tabs>
        <w:tab w:val="left" w:pos="420"/>
        <w:tab w:val="left" w:pos="568"/>
      </w:tabs>
      <w:adjustRightInd w:val="0"/>
      <w:spacing w:line="567" w:lineRule="atLeast"/>
      <w:ind w:firstLine="200" w:firstLineChars="200"/>
      <w:jc w:val="left"/>
      <w:textAlignment w:val="baseline"/>
    </w:pPr>
    <w:rPr>
      <w:rFonts w:ascii="MingLiU" w:hAnsi="等线" w:eastAsia="MingLiU" w:cs="等线"/>
      <w:b/>
      <w:kern w:val="0"/>
      <w:sz w:val="24"/>
      <w:szCs w:val="20"/>
      <w:lang w:eastAsia="zh-TW"/>
    </w:rPr>
  </w:style>
  <w:style w:type="paragraph" w:customStyle="1" w:styleId="530">
    <w:name w:val="xl3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531">
    <w:name w:val="xl9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32">
    <w:name w:val="Char Char Char Char Char Char Char Char Char Char Char Char1 Char"/>
    <w:basedOn w:val="1"/>
    <w:qFormat/>
    <w:uiPriority w:val="0"/>
    <w:pPr>
      <w:snapToGrid w:val="0"/>
      <w:spacing w:line="360" w:lineRule="auto"/>
      <w:ind w:firstLine="200" w:firstLineChars="200"/>
    </w:pPr>
    <w:rPr>
      <w:rFonts w:ascii="等线" w:hAnsi="等线" w:eastAsia="等线" w:cs="等线"/>
      <w:szCs w:val="20"/>
    </w:rPr>
  </w:style>
  <w:style w:type="paragraph" w:customStyle="1" w:styleId="533">
    <w:name w:val="xl43"/>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534">
    <w:name w:val="表格栏头"/>
    <w:basedOn w:val="535"/>
    <w:next w:val="535"/>
    <w:qFormat/>
    <w:uiPriority w:val="0"/>
    <w:rPr>
      <w:b/>
    </w:rPr>
  </w:style>
  <w:style w:type="paragraph" w:customStyle="1" w:styleId="535">
    <w:name w:val="表格正文"/>
    <w:basedOn w:val="1"/>
    <w:qFormat/>
    <w:uiPriority w:val="0"/>
    <w:pPr>
      <w:widowControl/>
      <w:overflowPunct w:val="0"/>
      <w:autoSpaceDE w:val="0"/>
      <w:autoSpaceDN w:val="0"/>
      <w:adjustRightInd w:val="0"/>
      <w:spacing w:before="312" w:after="312" w:line="360" w:lineRule="auto"/>
      <w:ind w:firstLine="200" w:firstLineChars="200"/>
      <w:jc w:val="left"/>
      <w:textAlignment w:val="baseline"/>
    </w:pPr>
    <w:rPr>
      <w:rFonts w:ascii="宋体" w:hAnsi="Tahoma" w:eastAsia="等线" w:cs="等线"/>
      <w:kern w:val="0"/>
      <w:sz w:val="24"/>
      <w:szCs w:val="20"/>
    </w:rPr>
  </w:style>
  <w:style w:type="paragraph" w:customStyle="1" w:styleId="536">
    <w:name w:val="Char Char Char Char Char Char Char Char Char Char Char Char Char Char Char Char Char Char Char"/>
    <w:basedOn w:val="1"/>
    <w:qFormat/>
    <w:uiPriority w:val="0"/>
    <w:rPr>
      <w:rFonts w:ascii="黑体" w:hAnsi="等线" w:eastAsia="黑体" w:cs="等线"/>
      <w:b/>
      <w:sz w:val="32"/>
      <w:szCs w:val="32"/>
    </w:rPr>
  </w:style>
  <w:style w:type="paragraph" w:customStyle="1" w:styleId="537">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538">
    <w:name w:val="xl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539">
    <w:name w:val="xl9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40">
    <w:name w:val="修订2"/>
    <w:qFormat/>
    <w:uiPriority w:val="99"/>
    <w:rPr>
      <w:rFonts w:ascii="等线" w:hAnsi="等线" w:eastAsia="等线" w:cs="等线"/>
      <w:kern w:val="2"/>
      <w:sz w:val="21"/>
      <w:szCs w:val="24"/>
      <w:lang w:val="en-US" w:eastAsia="zh-CN" w:bidi="ar-SA"/>
    </w:rPr>
  </w:style>
  <w:style w:type="paragraph" w:customStyle="1" w:styleId="541">
    <w:name w:val="Item Step in Table"/>
    <w:qFormat/>
    <w:uiPriority w:val="0"/>
    <w:pPr>
      <w:tabs>
        <w:tab w:val="left" w:pos="397"/>
      </w:tabs>
      <w:spacing w:before="40" w:after="40"/>
      <w:ind w:left="420" w:hanging="420"/>
      <w:jc w:val="both"/>
    </w:pPr>
    <w:rPr>
      <w:rFonts w:ascii="Arial" w:hAnsi="Arial" w:eastAsia="等线" w:cs="等线"/>
      <w:sz w:val="18"/>
      <w:lang w:val="en-US" w:eastAsia="zh-CN" w:bidi="ar-SA"/>
    </w:rPr>
  </w:style>
  <w:style w:type="paragraph" w:customStyle="1" w:styleId="542">
    <w:name w:val="样式 左侧:  0.85 厘米 首行缩进:  0.85 厘米"/>
    <w:basedOn w:val="1"/>
    <w:qFormat/>
    <w:uiPriority w:val="0"/>
    <w:pPr>
      <w:autoSpaceDE w:val="0"/>
      <w:autoSpaceDN w:val="0"/>
      <w:adjustRightInd w:val="0"/>
      <w:spacing w:line="360" w:lineRule="auto"/>
      <w:ind w:firstLine="482"/>
      <w:jc w:val="left"/>
    </w:pPr>
    <w:rPr>
      <w:rFonts w:ascii="等线" w:hAnsi="等线" w:eastAsia="等线" w:cs="仿宋_GB2312"/>
      <w:kern w:val="0"/>
      <w:sz w:val="24"/>
      <w:szCs w:val="20"/>
    </w:rPr>
  </w:style>
  <w:style w:type="paragraph" w:customStyle="1" w:styleId="543">
    <w:name w:val="Copyright"/>
    <w:basedOn w:val="25"/>
    <w:qFormat/>
    <w:uiPriority w:val="0"/>
    <w:pPr>
      <w:widowControl/>
      <w:spacing w:before="480" w:after="60" w:line="360" w:lineRule="auto"/>
      <w:ind w:firstLine="200" w:firstLineChars="200"/>
      <w:jc w:val="center"/>
    </w:pPr>
    <w:rPr>
      <w:rFonts w:ascii="Trebuchet MS" w:hAnsi="Trebuchet MS" w:eastAsia="等线" w:cs="Trebuchet MS"/>
      <w:b/>
      <w:color w:val="042D56"/>
      <w:kern w:val="0"/>
      <w:sz w:val="20"/>
    </w:rPr>
  </w:style>
  <w:style w:type="paragraph" w:customStyle="1" w:styleId="544">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等线" w:hAnsi="等线" w:eastAsia="等线" w:cs="等线"/>
      <w:kern w:val="0"/>
      <w:sz w:val="24"/>
    </w:rPr>
  </w:style>
  <w:style w:type="paragraph" w:customStyle="1" w:styleId="545">
    <w:name w:val="标准段落"/>
    <w:basedOn w:val="1"/>
    <w:qFormat/>
    <w:uiPriority w:val="0"/>
    <w:pPr>
      <w:spacing w:after="120" w:line="360" w:lineRule="auto"/>
      <w:ind w:firstLine="420"/>
    </w:pPr>
    <w:rPr>
      <w:rFonts w:ascii="Helvetica" w:hAnsi="仿宋_GB2312" w:eastAsia="Helvetica" w:cs="等线"/>
      <w:b/>
      <w:spacing w:val="6"/>
      <w:szCs w:val="22"/>
    </w:rPr>
  </w:style>
  <w:style w:type="paragraph" w:customStyle="1" w:styleId="546">
    <w:name w:val="features1"/>
    <w:basedOn w:val="1"/>
    <w:qFormat/>
    <w:uiPriority w:val="0"/>
    <w:pPr>
      <w:widowControl/>
      <w:spacing w:before="100" w:beforeAutospacing="1" w:after="100" w:afterAutospacing="1"/>
      <w:jc w:val="left"/>
    </w:pPr>
    <w:rPr>
      <w:rFonts w:ascii="仿宋_GB2312" w:hAnsi="仿宋_GB2312" w:eastAsia="等线" w:cs="仿宋_GB2312"/>
      <w:b/>
      <w:bCs/>
      <w:kern w:val="0"/>
      <w:sz w:val="18"/>
      <w:szCs w:val="18"/>
    </w:rPr>
  </w:style>
  <w:style w:type="paragraph" w:customStyle="1" w:styleId="547">
    <w:name w:val="xl10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48">
    <w:name w:val="kpk:2级"/>
    <w:basedOn w:val="2"/>
    <w:qFormat/>
    <w:uiPriority w:val="0"/>
    <w:pPr>
      <w:keepLines w:val="0"/>
      <w:widowControl/>
      <w:tabs>
        <w:tab w:val="left" w:pos="643"/>
        <w:tab w:val="left" w:pos="1440"/>
      </w:tabs>
      <w:spacing w:before="0" w:after="0" w:line="360" w:lineRule="auto"/>
      <w:ind w:left="357" w:hanging="357" w:firstLineChars="200"/>
    </w:pPr>
    <w:rPr>
      <w:rFonts w:ascii="Arial" w:hAnsi="Arial" w:eastAsia="等线"/>
      <w:sz w:val="28"/>
      <w:szCs w:val="30"/>
    </w:rPr>
  </w:style>
  <w:style w:type="paragraph" w:customStyle="1" w:styleId="549">
    <w:name w:val="Plain Text1"/>
    <w:basedOn w:val="1"/>
    <w:qFormat/>
    <w:uiPriority w:val="0"/>
    <w:pPr>
      <w:adjustRightInd w:val="0"/>
      <w:spacing w:line="360" w:lineRule="auto"/>
      <w:ind w:firstLine="200" w:firstLineChars="200"/>
      <w:jc w:val="left"/>
      <w:textAlignment w:val="baseline"/>
    </w:pPr>
    <w:rPr>
      <w:rFonts w:ascii="MingLiU" w:hAnsi="Courier New" w:eastAsia="MingLiU" w:cs="等线"/>
      <w:sz w:val="24"/>
      <w:szCs w:val="20"/>
      <w:lang w:eastAsia="zh-TW"/>
    </w:rPr>
  </w:style>
  <w:style w:type="paragraph" w:customStyle="1" w:styleId="550">
    <w:name w:val="xl8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551">
    <w:name w:val="标题1"/>
    <w:basedOn w:val="60"/>
    <w:qFormat/>
    <w:uiPriority w:val="0"/>
    <w:pPr>
      <w:autoSpaceDE/>
      <w:autoSpaceDN/>
      <w:adjustRightInd/>
      <w:spacing w:after="240"/>
      <w:ind w:firstLine="200" w:firstLineChars="200"/>
    </w:pPr>
    <w:rPr>
      <w:rFonts w:ascii="Arial" w:hAnsi="Arial" w:eastAsia="宋体"/>
      <w:bCs w:val="0"/>
      <w:spacing w:val="2"/>
      <w:kern w:val="2"/>
      <w:sz w:val="44"/>
      <w:szCs w:val="20"/>
    </w:rPr>
  </w:style>
  <w:style w:type="paragraph" w:customStyle="1" w:styleId="552">
    <w:name w:val="xl10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53">
    <w:name w:val="1."/>
    <w:basedOn w:val="5"/>
    <w:qFormat/>
    <w:uiPriority w:val="0"/>
    <w:pPr>
      <w:widowControl/>
      <w:autoSpaceDE w:val="0"/>
      <w:autoSpaceDN w:val="0"/>
      <w:adjustRightInd w:val="0"/>
      <w:spacing w:before="0" w:after="0" w:line="240" w:lineRule="atLeast"/>
      <w:ind w:left="360" w:hanging="284" w:firstLineChars="200"/>
      <w:textAlignment w:val="bottom"/>
      <w:outlineLvl w:val="9"/>
    </w:pPr>
    <w:rPr>
      <w:rFonts w:ascii="等线" w:hAnsi="等线" w:eastAsia="DFKai-SB"/>
      <w:b w:val="0"/>
      <w:bCs w:val="0"/>
      <w:kern w:val="0"/>
      <w:sz w:val="24"/>
      <w:szCs w:val="20"/>
      <w:lang w:eastAsia="zh-TW"/>
    </w:rPr>
  </w:style>
  <w:style w:type="paragraph" w:customStyle="1" w:styleId="554">
    <w:name w:val="文字"/>
    <w:basedOn w:val="1"/>
    <w:qFormat/>
    <w:uiPriority w:val="0"/>
    <w:pPr>
      <w:tabs>
        <w:tab w:val="left" w:pos="8520"/>
      </w:tabs>
      <w:spacing w:line="312" w:lineRule="auto"/>
      <w:ind w:right="-210" w:firstLine="556"/>
    </w:pPr>
    <w:rPr>
      <w:rFonts w:ascii="仿宋_GB2312" w:hAnsi="等线" w:eastAsia="等线" w:cs="等线"/>
      <w:sz w:val="28"/>
      <w:szCs w:val="20"/>
    </w:rPr>
  </w:style>
  <w:style w:type="paragraph" w:customStyle="1" w:styleId="555">
    <w:name w:val="版权"/>
    <w:basedOn w:val="1"/>
    <w:qFormat/>
    <w:uiPriority w:val="0"/>
    <w:pPr>
      <w:spacing w:before="312" w:after="312" w:line="360" w:lineRule="auto"/>
      <w:ind w:firstLine="480" w:firstLineChars="200"/>
      <w:jc w:val="center"/>
      <w:outlineLvl w:val="0"/>
    </w:pPr>
    <w:rPr>
      <w:rFonts w:ascii="华文中宋" w:hAnsi="华文中宋" w:eastAsia="等线" w:cs="等线"/>
      <w:b/>
      <w:sz w:val="24"/>
      <w:szCs w:val="20"/>
    </w:rPr>
  </w:style>
  <w:style w:type="paragraph" w:customStyle="1" w:styleId="556">
    <w:name w:val="greytypebeni"/>
    <w:basedOn w:val="1"/>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557">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等线" w:eastAsia="黑体" w:cs="等线"/>
      <w:sz w:val="52"/>
      <w:szCs w:val="22"/>
      <w:lang w:val="en-US" w:eastAsia="zh-CN" w:bidi="ar-SA"/>
    </w:rPr>
  </w:style>
  <w:style w:type="paragraph" w:customStyle="1" w:styleId="558">
    <w:name w:val="xl9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59">
    <w:name w:val="Paragraf"/>
    <w:basedOn w:val="1"/>
    <w:qFormat/>
    <w:uiPriority w:val="0"/>
    <w:pPr>
      <w:widowControl/>
      <w:overflowPunct w:val="0"/>
      <w:autoSpaceDE w:val="0"/>
      <w:autoSpaceDN w:val="0"/>
      <w:adjustRightInd w:val="0"/>
      <w:spacing w:before="120" w:line="360" w:lineRule="auto"/>
      <w:ind w:left="454" w:hanging="454" w:firstLineChars="200"/>
      <w:jc w:val="left"/>
      <w:textAlignment w:val="baseline"/>
    </w:pPr>
    <w:rPr>
      <w:rFonts w:ascii="等线" w:hAnsi="等线" w:eastAsia="Times New Roman" w:cs="等线"/>
      <w:kern w:val="0"/>
      <w:sz w:val="22"/>
      <w:szCs w:val="20"/>
      <w:lang w:val="en-GB" w:eastAsia="en-US"/>
    </w:rPr>
  </w:style>
  <w:style w:type="paragraph" w:customStyle="1" w:styleId="560">
    <w:name w:val="黑列表"/>
    <w:basedOn w:val="1"/>
    <w:qFormat/>
    <w:uiPriority w:val="0"/>
    <w:pPr>
      <w:widowControl/>
      <w:tabs>
        <w:tab w:val="left" w:pos="420"/>
      </w:tabs>
      <w:adjustRightInd w:val="0"/>
      <w:spacing w:line="300" w:lineRule="auto"/>
      <w:ind w:left="300" w:leftChars="200" w:hanging="100" w:hangingChars="100"/>
      <w:jc w:val="left"/>
    </w:pPr>
    <w:rPr>
      <w:rFonts w:ascii="等线" w:hAnsi="等线" w:eastAsia="等线" w:cs="等线"/>
      <w:bCs/>
      <w:kern w:val="0"/>
      <w:sz w:val="24"/>
      <w:szCs w:val="20"/>
    </w:rPr>
  </w:style>
  <w:style w:type="paragraph" w:customStyle="1" w:styleId="561">
    <w:name w:val="xl6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62">
    <w:name w:val="正文 New New"/>
    <w:qFormat/>
    <w:uiPriority w:val="0"/>
    <w:pPr>
      <w:widowControl w:val="0"/>
      <w:jc w:val="both"/>
    </w:pPr>
    <w:rPr>
      <w:rFonts w:ascii="等线" w:hAnsi="等线" w:eastAsia="等线" w:cs="等线"/>
      <w:kern w:val="2"/>
      <w:sz w:val="21"/>
      <w:szCs w:val="24"/>
      <w:lang w:val="en-US" w:eastAsia="zh-CN" w:bidi="ar-SA"/>
    </w:rPr>
  </w:style>
  <w:style w:type="paragraph" w:customStyle="1" w:styleId="563">
    <w:name w:val="六级标题"/>
    <w:basedOn w:val="8"/>
    <w:qFormat/>
    <w:uiPriority w:val="0"/>
    <w:pPr>
      <w:ind w:left="1134" w:hanging="1134"/>
    </w:pPr>
    <w:rPr>
      <w:rFonts w:ascii="黑体" w:hAnsi="黑体" w:eastAsia="黑体"/>
      <w:kern w:val="0"/>
    </w:rPr>
  </w:style>
  <w:style w:type="paragraph" w:customStyle="1" w:styleId="564">
    <w:name w:val="Normal0"/>
    <w:qFormat/>
    <w:uiPriority w:val="0"/>
    <w:rPr>
      <w:rFonts w:ascii="等线" w:hAnsi="等线" w:eastAsia="等线" w:cs="等线"/>
      <w:lang w:val="en-US" w:eastAsia="en-US" w:bidi="ar-SA"/>
    </w:rPr>
  </w:style>
  <w:style w:type="paragraph" w:customStyle="1" w:styleId="565">
    <w:name w:val="xl22"/>
    <w:basedOn w:val="1"/>
    <w:qFormat/>
    <w:uiPriority w:val="0"/>
    <w:pPr>
      <w:widowControl/>
      <w:spacing w:before="100" w:beforeAutospacing="1" w:after="100" w:afterAutospacing="1"/>
      <w:jc w:val="center"/>
    </w:pPr>
    <w:rPr>
      <w:rFonts w:ascii="宋体" w:hAnsi="宋体" w:eastAsia="等线" w:cs="等线"/>
      <w:kern w:val="0"/>
      <w:sz w:val="24"/>
    </w:rPr>
  </w:style>
  <w:style w:type="paragraph" w:customStyle="1" w:styleId="566">
    <w:name w:val="Quote1"/>
    <w:basedOn w:val="1"/>
    <w:next w:val="1"/>
    <w:qFormat/>
    <w:uiPriority w:val="0"/>
    <w:rPr>
      <w:rFonts w:ascii="Century Gothic" w:hAnsi="Century Gothic" w:eastAsia="仿宋_GB2312" w:cs="新宋体"/>
      <w:i/>
      <w:iCs/>
      <w:color w:val="000000"/>
      <w:kern w:val="0"/>
      <w:sz w:val="20"/>
      <w:szCs w:val="20"/>
    </w:rPr>
  </w:style>
  <w:style w:type="paragraph" w:customStyle="1" w:styleId="567">
    <w:name w:val="Char Char Char Char Char Char Char Char"/>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568">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69">
    <w:name w:val="正文 New"/>
    <w:qFormat/>
    <w:uiPriority w:val="0"/>
    <w:pPr>
      <w:widowControl w:val="0"/>
      <w:jc w:val="both"/>
    </w:pPr>
    <w:rPr>
      <w:rFonts w:ascii="等线" w:hAnsi="等线" w:eastAsia="等线" w:cs="等线"/>
      <w:kern w:val="2"/>
      <w:sz w:val="21"/>
      <w:szCs w:val="24"/>
      <w:lang w:val="en-US" w:eastAsia="zh-CN" w:bidi="ar-SA"/>
    </w:rPr>
  </w:style>
  <w:style w:type="paragraph" w:customStyle="1" w:styleId="570">
    <w:name w:val="标-1"/>
    <w:basedOn w:val="4"/>
    <w:qFormat/>
    <w:uiPriority w:val="0"/>
    <w:pPr>
      <w:keepLines/>
      <w:tabs>
        <w:tab w:val="left" w:pos="360"/>
      </w:tabs>
      <w:spacing w:line="300" w:lineRule="auto"/>
      <w:ind w:firstLine="200" w:firstLineChars="200"/>
      <w:jc w:val="both"/>
    </w:pPr>
    <w:rPr>
      <w:rFonts w:ascii="Arial" w:hAnsi="Arial" w:eastAsia="黑体" w:cs="Arial"/>
      <w:bCs w:val="0"/>
      <w:color w:val="336699"/>
      <w:kern w:val="44"/>
      <w:sz w:val="32"/>
      <w:szCs w:val="28"/>
    </w:rPr>
  </w:style>
  <w:style w:type="paragraph" w:customStyle="1" w:styleId="571">
    <w:name w:val="標題 1."/>
    <w:basedOn w:val="5"/>
    <w:qFormat/>
    <w:uiPriority w:val="0"/>
    <w:pPr>
      <w:adjustRightInd w:val="0"/>
      <w:spacing w:before="0" w:after="0" w:line="567" w:lineRule="atLeast"/>
      <w:ind w:left="993" w:hanging="283" w:firstLineChars="200"/>
      <w:textAlignment w:val="baseline"/>
      <w:outlineLvl w:val="9"/>
    </w:pPr>
    <w:rPr>
      <w:rFonts w:ascii="PMingLiU" w:hAnsi="等线" w:eastAsia="PMingLiU"/>
      <w:b w:val="0"/>
      <w:bCs w:val="0"/>
      <w:kern w:val="0"/>
      <w:sz w:val="28"/>
      <w:szCs w:val="20"/>
      <w:lang w:eastAsia="zh-TW"/>
    </w:rPr>
  </w:style>
  <w:style w:type="paragraph" w:customStyle="1" w:styleId="572">
    <w:name w:val="此正文"/>
    <w:basedOn w:val="1"/>
    <w:qFormat/>
    <w:uiPriority w:val="0"/>
    <w:pPr>
      <w:autoSpaceDE w:val="0"/>
      <w:autoSpaceDN w:val="0"/>
      <w:adjustRightInd w:val="0"/>
      <w:spacing w:line="360" w:lineRule="auto"/>
      <w:ind w:firstLine="200" w:firstLineChars="200"/>
      <w:jc w:val="left"/>
    </w:pPr>
    <w:rPr>
      <w:rFonts w:ascii="等线" w:hAnsi="等线" w:eastAsia="等线" w:cs="等线"/>
      <w:kern w:val="0"/>
      <w:sz w:val="24"/>
      <w:szCs w:val="20"/>
    </w:rPr>
  </w:style>
  <w:style w:type="paragraph" w:customStyle="1" w:styleId="573">
    <w:name w:val="Table Heading"/>
    <w:qFormat/>
    <w:uiPriority w:val="0"/>
    <w:pPr>
      <w:keepNext/>
      <w:snapToGrid w:val="0"/>
      <w:spacing w:before="80" w:after="80"/>
      <w:jc w:val="center"/>
    </w:pPr>
    <w:rPr>
      <w:rFonts w:ascii="Century Gothic" w:hAnsi="Century Gothic" w:eastAsia="Helvetica" w:cs="Tahoma"/>
      <w:kern w:val="2"/>
      <w:sz w:val="18"/>
      <w:szCs w:val="18"/>
      <w:lang w:val="en-US" w:eastAsia="zh-CN" w:bidi="ar-SA"/>
    </w:rPr>
  </w:style>
  <w:style w:type="paragraph" w:customStyle="1" w:styleId="574">
    <w:name w:val="Char Char2 字元 字元"/>
    <w:basedOn w:val="1"/>
    <w:qFormat/>
    <w:uiPriority w:val="0"/>
    <w:pPr>
      <w:widowControl/>
      <w:spacing w:after="160" w:line="240" w:lineRule="exact"/>
      <w:ind w:firstLine="200" w:firstLineChars="200"/>
      <w:jc w:val="left"/>
    </w:pPr>
    <w:rPr>
      <w:rFonts w:ascii="等线" w:hAnsi="等线" w:eastAsia="等线" w:cs="等线"/>
      <w:szCs w:val="20"/>
    </w:rPr>
  </w:style>
  <w:style w:type="paragraph" w:customStyle="1" w:styleId="575">
    <w:name w:val="xl2917089"/>
    <w:basedOn w:val="1"/>
    <w:qFormat/>
    <w:uiPriority w:val="0"/>
    <w:pPr>
      <w:widowControl/>
      <w:pBdr>
        <w:left w:val="single" w:color="auto" w:sz="4" w:space="1"/>
        <w:right w:val="single" w:color="auto" w:sz="4" w:space="1"/>
      </w:pBdr>
      <w:spacing w:before="100" w:beforeAutospacing="1" w:after="100" w:afterAutospacing="1"/>
      <w:jc w:val="center"/>
      <w:textAlignment w:val="center"/>
    </w:pPr>
    <w:rPr>
      <w:rFonts w:hint="eastAsia" w:ascii="宋体" w:hAnsi="宋体" w:eastAsia="等线" w:cs="等线"/>
      <w:kern w:val="0"/>
      <w:sz w:val="24"/>
    </w:rPr>
  </w:style>
  <w:style w:type="paragraph" w:customStyle="1" w:styleId="576">
    <w:name w:val="font7"/>
    <w:basedOn w:val="1"/>
    <w:qFormat/>
    <w:uiPriority w:val="0"/>
    <w:pPr>
      <w:widowControl/>
      <w:spacing w:before="100" w:beforeAutospacing="1" w:after="100" w:afterAutospacing="1"/>
      <w:jc w:val="left"/>
    </w:pPr>
    <w:rPr>
      <w:rFonts w:ascii="等线" w:hAnsi="等线" w:eastAsia="等线" w:cs="等线"/>
      <w:kern w:val="0"/>
      <w:sz w:val="20"/>
      <w:szCs w:val="20"/>
    </w:rPr>
  </w:style>
  <w:style w:type="paragraph" w:customStyle="1" w:styleId="577">
    <w:name w:val="xl34"/>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0"/>
      <w:szCs w:val="20"/>
    </w:rPr>
  </w:style>
  <w:style w:type="paragraph" w:customStyle="1" w:styleId="578">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仿宋_GB2312" w:hAnsi="仿宋_GB2312" w:eastAsia="等线" w:cs="仿宋_GB2312"/>
      <w:b/>
      <w:bCs/>
      <w:color w:val="000000"/>
      <w:kern w:val="0"/>
      <w:sz w:val="24"/>
    </w:rPr>
  </w:style>
  <w:style w:type="paragraph" w:customStyle="1" w:styleId="579">
    <w:name w:val="封面标准号2"/>
    <w:qFormat/>
    <w:uiPriority w:val="0"/>
    <w:pPr>
      <w:framePr w:w="9140" w:h="1242" w:hRule="exact" w:hSpace="284" w:wrap="around" w:vAnchor="page" w:hAnchor="page" w:x="1645" w:y="2910" w:anchorLock="1"/>
      <w:spacing w:before="357" w:line="280" w:lineRule="exact"/>
      <w:jc w:val="right"/>
    </w:pPr>
    <w:rPr>
      <w:rFonts w:ascii="黑体" w:hAnsi="等线" w:eastAsia="黑体" w:cs="等线"/>
      <w:sz w:val="28"/>
      <w:szCs w:val="28"/>
      <w:lang w:val="en-US" w:eastAsia="zh-CN" w:bidi="ar-SA"/>
    </w:rPr>
  </w:style>
  <w:style w:type="paragraph" w:customStyle="1" w:styleId="580">
    <w:name w:val="Default Text"/>
    <w:basedOn w:val="1"/>
    <w:qFormat/>
    <w:uiPriority w:val="0"/>
    <w:pPr>
      <w:autoSpaceDE w:val="0"/>
      <w:autoSpaceDN w:val="0"/>
      <w:adjustRightInd w:val="0"/>
      <w:spacing w:line="360" w:lineRule="auto"/>
      <w:ind w:firstLine="200" w:firstLineChars="200"/>
      <w:jc w:val="left"/>
    </w:pPr>
    <w:rPr>
      <w:rFonts w:ascii="等线" w:hAnsi="等线" w:eastAsia="PMingLiU" w:cs="等线"/>
      <w:kern w:val="0"/>
      <w:sz w:val="24"/>
      <w:szCs w:val="20"/>
      <w:lang w:eastAsia="zh-TW"/>
    </w:rPr>
  </w:style>
  <w:style w:type="paragraph" w:customStyle="1" w:styleId="581">
    <w:name w:val="xl11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82">
    <w:name w:val="默认段落字体 Para Char Char Char Char Char Char Char"/>
    <w:basedOn w:val="1"/>
    <w:qFormat/>
    <w:uiPriority w:val="0"/>
    <w:rPr>
      <w:rFonts w:ascii="等线" w:hAnsi="等线" w:eastAsia="黑体" w:cs="等线"/>
      <w:sz w:val="28"/>
    </w:rPr>
  </w:style>
  <w:style w:type="paragraph" w:customStyle="1" w:styleId="583">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584">
    <w:name w:val="(1)"/>
    <w:basedOn w:val="1"/>
    <w:qFormat/>
    <w:uiPriority w:val="0"/>
    <w:pPr>
      <w:adjustRightInd w:val="0"/>
      <w:spacing w:line="454" w:lineRule="atLeast"/>
      <w:ind w:left="1701" w:hanging="709" w:firstLineChars="200"/>
      <w:textAlignment w:val="baseline"/>
    </w:pPr>
    <w:rPr>
      <w:rFonts w:ascii="PMingLiU" w:hAnsi="等线" w:eastAsia="PMingLiU" w:cs="等线"/>
      <w:kern w:val="0"/>
      <w:sz w:val="28"/>
      <w:szCs w:val="20"/>
      <w:lang w:eastAsia="zh-TW"/>
    </w:rPr>
  </w:style>
  <w:style w:type="paragraph" w:customStyle="1" w:styleId="585">
    <w:name w:val=".."/>
    <w:basedOn w:val="1"/>
    <w:next w:val="1"/>
    <w:qFormat/>
    <w:uiPriority w:val="0"/>
    <w:pPr>
      <w:autoSpaceDE w:val="0"/>
      <w:autoSpaceDN w:val="0"/>
      <w:adjustRightInd w:val="0"/>
      <w:spacing w:line="360" w:lineRule="auto"/>
      <w:ind w:firstLine="200" w:firstLineChars="200"/>
      <w:jc w:val="left"/>
    </w:pPr>
    <w:rPr>
      <w:rFonts w:ascii="等线" w:hAnsi="等线" w:eastAsia="等线" w:cs="等线"/>
      <w:kern w:val="0"/>
      <w:sz w:val="24"/>
    </w:rPr>
  </w:style>
  <w:style w:type="paragraph" w:customStyle="1" w:styleId="586">
    <w:name w:val="2"/>
    <w:basedOn w:val="1"/>
    <w:next w:val="27"/>
    <w:qFormat/>
    <w:uiPriority w:val="0"/>
    <w:pPr>
      <w:spacing w:line="440" w:lineRule="exact"/>
      <w:ind w:firstLine="420" w:firstLineChars="200"/>
    </w:pPr>
    <w:rPr>
      <w:rFonts w:ascii="等线" w:hAnsi="等线" w:eastAsia="等线" w:cs="等线"/>
      <w:sz w:val="28"/>
      <w:szCs w:val="20"/>
    </w:rPr>
  </w:style>
  <w:style w:type="paragraph" w:customStyle="1" w:styleId="587">
    <w:name w:val="Char Char Char Char Char Char Char Char Char Char Char Char Char Char Char Char Char Char Char1"/>
    <w:basedOn w:val="1"/>
    <w:qFormat/>
    <w:uiPriority w:val="0"/>
    <w:rPr>
      <w:rFonts w:ascii="黑体" w:hAnsi="等线" w:eastAsia="黑体" w:cs="等线"/>
      <w:b/>
      <w:sz w:val="32"/>
      <w:szCs w:val="32"/>
    </w:rPr>
  </w:style>
  <w:style w:type="paragraph" w:customStyle="1" w:styleId="588">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89">
    <w:name w:val="规范正文"/>
    <w:basedOn w:val="1"/>
    <w:qFormat/>
    <w:uiPriority w:val="0"/>
    <w:pPr>
      <w:adjustRightInd w:val="0"/>
      <w:spacing w:line="360" w:lineRule="auto"/>
      <w:ind w:left="480" w:firstLine="200" w:firstLineChars="200"/>
      <w:textAlignment w:val="baseline"/>
    </w:pPr>
    <w:rPr>
      <w:rFonts w:ascii="宋体" w:hAnsi="宋体" w:eastAsia="等线" w:cs="等线"/>
      <w:kern w:val="0"/>
      <w:sz w:val="24"/>
    </w:rPr>
  </w:style>
  <w:style w:type="paragraph" w:customStyle="1" w:styleId="590">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91">
    <w:name w:val="网格表 31"/>
    <w:basedOn w:val="4"/>
    <w:next w:val="1"/>
    <w:unhideWhenUsed/>
    <w:qFormat/>
    <w:uiPriority w:val="0"/>
    <w:pPr>
      <w:keepLines/>
      <w:widowControl/>
      <w:spacing w:line="259" w:lineRule="auto"/>
      <w:jc w:val="left"/>
      <w:outlineLvl w:val="9"/>
    </w:pPr>
    <w:rPr>
      <w:rFonts w:ascii="Calibri Light" w:hAnsi="Calibri Light" w:eastAsia="等线"/>
      <w:b w:val="0"/>
      <w:bCs w:val="0"/>
      <w:color w:val="2E74B5"/>
      <w:kern w:val="0"/>
      <w:sz w:val="32"/>
      <w:szCs w:val="32"/>
    </w:rPr>
  </w:style>
  <w:style w:type="paragraph" w:customStyle="1" w:styleId="592">
    <w:name w:val="font8"/>
    <w:basedOn w:val="1"/>
    <w:qFormat/>
    <w:uiPriority w:val="0"/>
    <w:pPr>
      <w:widowControl/>
      <w:spacing w:before="100" w:beforeAutospacing="1" w:after="100" w:afterAutospacing="1"/>
      <w:jc w:val="left"/>
    </w:pPr>
    <w:rPr>
      <w:rFonts w:ascii="等线" w:hAnsi="等线" w:eastAsia="等线" w:cs="等线"/>
      <w:kern w:val="0"/>
      <w:sz w:val="24"/>
    </w:rPr>
  </w:style>
  <w:style w:type="paragraph" w:customStyle="1" w:styleId="593">
    <w:name w:val="中等深浅网格 1 - 着色 21"/>
    <w:basedOn w:val="1"/>
    <w:qFormat/>
    <w:uiPriority w:val="0"/>
    <w:pPr>
      <w:spacing w:line="360" w:lineRule="auto"/>
      <w:ind w:firstLine="200" w:firstLineChars="200"/>
    </w:pPr>
    <w:rPr>
      <w:rFonts w:ascii="Verdana" w:hAnsi="Verdana" w:eastAsia="等线" w:cs="等线"/>
      <w:sz w:val="24"/>
      <w:szCs w:val="20"/>
    </w:rPr>
  </w:style>
  <w:style w:type="character" w:customStyle="1" w:styleId="594">
    <w:name w:val="明显引用 字符"/>
    <w:basedOn w:val="66"/>
    <w:link w:val="323"/>
    <w:semiHidden/>
    <w:qFormat/>
    <w:uiPriority w:val="99"/>
    <w:rPr>
      <w:b/>
      <w:bCs/>
      <w:i/>
      <w:iCs/>
      <w:color w:val="4F81BD" w:themeColor="accent1"/>
      <w:kern w:val="2"/>
      <w:sz w:val="21"/>
      <w:szCs w:val="24"/>
      <w14:textFill>
        <w14:solidFill>
          <w14:schemeClr w14:val="accent1"/>
        </w14:solidFill>
      </w14:textFill>
    </w:rPr>
  </w:style>
  <w:style w:type="paragraph" w:customStyle="1" w:styleId="595">
    <w:name w:val="Char Char Char Char Char Char1 Char Char Char Char"/>
    <w:basedOn w:val="19"/>
    <w:qFormat/>
    <w:uiPriority w:val="0"/>
    <w:pPr>
      <w:spacing w:line="360" w:lineRule="auto"/>
      <w:ind w:firstLine="200" w:firstLineChars="200"/>
    </w:pPr>
    <w:rPr>
      <w:rFonts w:ascii="Tahoma" w:hAnsi="Tahoma" w:eastAsia="等线"/>
      <w:sz w:val="24"/>
      <w:szCs w:val="20"/>
    </w:rPr>
  </w:style>
  <w:style w:type="paragraph" w:customStyle="1" w:styleId="596">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597">
    <w:name w:val="xl10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98">
    <w:name w:val="xl29"/>
    <w:basedOn w:val="1"/>
    <w:qFormat/>
    <w:uiPriority w:val="0"/>
    <w:pPr>
      <w:widowControl/>
      <w:autoSpaceDE w:val="0"/>
      <w:autoSpaceDN w:val="0"/>
      <w:adjustRightInd w:val="0"/>
      <w:spacing w:before="100" w:beforeAutospacing="1" w:after="100" w:afterAutospacing="1"/>
      <w:jc w:val="center"/>
    </w:pPr>
    <w:rPr>
      <w:rFonts w:ascii="等线" w:hAnsi="等线" w:eastAsia="Times New Roman" w:cs="等线"/>
      <w:kern w:val="0"/>
      <w:sz w:val="24"/>
      <w:szCs w:val="20"/>
    </w:rPr>
  </w:style>
  <w:style w:type="paragraph" w:customStyle="1" w:styleId="599">
    <w:name w:val="正文Y"/>
    <w:basedOn w:val="1"/>
    <w:qFormat/>
    <w:uiPriority w:val="0"/>
    <w:pPr>
      <w:spacing w:line="360" w:lineRule="auto"/>
      <w:ind w:firstLine="420" w:firstLineChars="200"/>
    </w:pPr>
    <w:rPr>
      <w:rFonts w:ascii="等线" w:hAnsi="等线" w:eastAsia="等线" w:cs="等线"/>
      <w:sz w:val="24"/>
    </w:rPr>
  </w:style>
  <w:style w:type="paragraph" w:customStyle="1" w:styleId="600">
    <w:name w:val="_Style 54"/>
    <w:basedOn w:val="1"/>
    <w:qFormat/>
    <w:uiPriority w:val="0"/>
    <w:rPr>
      <w:rFonts w:ascii="等线" w:hAnsi="等线" w:eastAsia="等线" w:cs="等线"/>
    </w:rPr>
  </w:style>
  <w:style w:type="paragraph" w:customStyle="1" w:styleId="601">
    <w:name w:val="标3"/>
    <w:basedOn w:val="5"/>
    <w:next w:val="6"/>
    <w:qFormat/>
    <w:uiPriority w:val="0"/>
    <w:pPr>
      <w:spacing w:before="240" w:after="180" w:line="360" w:lineRule="auto"/>
      <w:ind w:firstLine="576" w:firstLineChars="205"/>
    </w:pPr>
    <w:rPr>
      <w:rFonts w:ascii="等线" w:hAnsi="等线" w:eastAsia="等线"/>
      <w:bCs w:val="0"/>
      <w:sz w:val="28"/>
    </w:rPr>
  </w:style>
  <w:style w:type="paragraph" w:customStyle="1" w:styleId="602">
    <w:name w:val="纯文本1"/>
    <w:basedOn w:val="1"/>
    <w:qFormat/>
    <w:uiPriority w:val="0"/>
    <w:pPr>
      <w:adjustRightInd w:val="0"/>
      <w:jc w:val="left"/>
      <w:textAlignment w:val="baseline"/>
    </w:pPr>
    <w:rPr>
      <w:rFonts w:ascii="宋体" w:hAnsi="Courier New" w:eastAsia="等线" w:cs="等线"/>
      <w:szCs w:val="20"/>
    </w:rPr>
  </w:style>
  <w:style w:type="paragraph" w:customStyle="1" w:styleId="603">
    <w:name w:val="Char Char1 Char"/>
    <w:basedOn w:val="1"/>
    <w:qFormat/>
    <w:uiPriority w:val="0"/>
    <w:pPr>
      <w:widowControl/>
      <w:autoSpaceDE w:val="0"/>
      <w:autoSpaceDN w:val="0"/>
      <w:adjustRightInd w:val="0"/>
      <w:snapToGrid w:val="0"/>
      <w:spacing w:before="120" w:after="160" w:line="360" w:lineRule="auto"/>
      <w:ind w:right="-360"/>
      <w:jc w:val="left"/>
    </w:pPr>
    <w:rPr>
      <w:rFonts w:ascii="Tahoma" w:hAnsi="Tahoma" w:eastAsia="等线" w:cs="等线"/>
      <w:kern w:val="0"/>
      <w:sz w:val="24"/>
      <w:szCs w:val="20"/>
      <w:lang w:eastAsia="en-US"/>
    </w:rPr>
  </w:style>
  <w:style w:type="paragraph" w:customStyle="1" w:styleId="604">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Calibri" w:hAnsi="Calibri" w:eastAsia="Calibri" w:cs="仿宋_GB2312"/>
      <w:color w:val="000000"/>
      <w:kern w:val="0"/>
      <w:sz w:val="24"/>
    </w:rPr>
  </w:style>
  <w:style w:type="paragraph" w:customStyle="1" w:styleId="605">
    <w:name w:val="xl11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606">
    <w:name w:val="reader-word-layer"/>
    <w:basedOn w:val="1"/>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607">
    <w:name w:val="Char Char 字元 字元 字元 Char Char Char Char"/>
    <w:basedOn w:val="1"/>
    <w:qFormat/>
    <w:uiPriority w:val="0"/>
    <w:pPr>
      <w:adjustRightInd w:val="0"/>
      <w:spacing w:line="360" w:lineRule="auto"/>
      <w:ind w:firstLine="200" w:firstLineChars="200"/>
    </w:pPr>
    <w:rPr>
      <w:rFonts w:ascii="等线" w:hAnsi="等线" w:eastAsia="等线" w:cs="等线"/>
      <w:kern w:val="0"/>
      <w:sz w:val="24"/>
      <w:szCs w:val="20"/>
    </w:rPr>
  </w:style>
  <w:style w:type="paragraph" w:customStyle="1" w:styleId="608">
    <w:name w:val="中等深浅底纹 1 - 着色 11"/>
    <w:qFormat/>
    <w:uiPriority w:val="0"/>
    <w:rPr>
      <w:rFonts w:ascii="等线" w:hAnsi="等线" w:eastAsia="等线" w:cs="等线"/>
      <w:sz w:val="22"/>
      <w:szCs w:val="22"/>
      <w:lang w:val="en-US" w:eastAsia="zh-CN" w:bidi="ar-SA"/>
    </w:rPr>
  </w:style>
  <w:style w:type="paragraph" w:customStyle="1" w:styleId="609">
    <w:name w:val="完成日期"/>
    <w:basedOn w:val="1"/>
    <w:qFormat/>
    <w:uiPriority w:val="0"/>
    <w:pPr>
      <w:adjustRightInd w:val="0"/>
      <w:spacing w:line="360" w:lineRule="auto"/>
      <w:jc w:val="center"/>
      <w:textAlignment w:val="baseline"/>
    </w:pPr>
    <w:rPr>
      <w:rFonts w:ascii="楷体_GB2312" w:hAnsi="等线" w:eastAsia="楷体_GB2312" w:cs="等线"/>
      <w:kern w:val="0"/>
      <w:sz w:val="30"/>
      <w:szCs w:val="20"/>
    </w:rPr>
  </w:style>
  <w:style w:type="paragraph" w:customStyle="1" w:styleId="610">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等线"/>
      <w:kern w:val="0"/>
      <w:sz w:val="24"/>
    </w:rPr>
  </w:style>
  <w:style w:type="paragraph" w:customStyle="1" w:styleId="611">
    <w:name w:val="样式5"/>
    <w:basedOn w:val="16"/>
    <w:qFormat/>
    <w:uiPriority w:val="0"/>
    <w:pPr>
      <w:adjustRightInd/>
      <w:spacing w:line="360" w:lineRule="auto"/>
      <w:ind w:firstLine="200" w:firstLineChars="200"/>
      <w:textAlignment w:val="auto"/>
    </w:pPr>
    <w:rPr>
      <w:rFonts w:eastAsia="仿宋_GB2312"/>
      <w:kern w:val="2"/>
      <w:sz w:val="28"/>
      <w:szCs w:val="21"/>
    </w:rPr>
  </w:style>
  <w:style w:type="paragraph" w:customStyle="1" w:styleId="612">
    <w:name w:val="正文 New New New New"/>
    <w:qFormat/>
    <w:uiPriority w:val="2"/>
    <w:pPr>
      <w:widowControl w:val="0"/>
      <w:jc w:val="both"/>
    </w:pPr>
    <w:rPr>
      <w:rFonts w:ascii="Calibri" w:hAnsi="Calibri" w:eastAsia="等线" w:cs="等线"/>
      <w:color w:val="000000"/>
      <w:szCs w:val="24"/>
      <w:lang w:val="en-US" w:eastAsia="zh-CN" w:bidi="ar-SA"/>
    </w:rPr>
  </w:style>
  <w:style w:type="paragraph" w:customStyle="1" w:styleId="613">
    <w:name w:val="p0"/>
    <w:basedOn w:val="1"/>
    <w:qFormat/>
    <w:uiPriority w:val="0"/>
    <w:pPr>
      <w:widowControl/>
      <w:spacing w:before="100" w:after="100" w:line="360" w:lineRule="auto"/>
      <w:ind w:firstLine="200" w:firstLineChars="200"/>
    </w:pPr>
    <w:rPr>
      <w:rFonts w:ascii="Calibri" w:hAnsi="Calibri" w:eastAsia="等线" w:cs="等线"/>
      <w:kern w:val="0"/>
      <w:sz w:val="24"/>
      <w:szCs w:val="20"/>
    </w:rPr>
  </w:style>
  <w:style w:type="paragraph" w:customStyle="1" w:styleId="614">
    <w:name w:val="正文（首行缩进）"/>
    <w:basedOn w:val="27"/>
    <w:qFormat/>
    <w:uiPriority w:val="0"/>
    <w:pPr>
      <w:widowControl/>
      <w:overflowPunct w:val="0"/>
      <w:autoSpaceDE w:val="0"/>
      <w:autoSpaceDN w:val="0"/>
      <w:adjustRightInd w:val="0"/>
      <w:spacing w:beforeLines="50" w:after="120" w:line="400" w:lineRule="exact"/>
      <w:ind w:left="200" w:leftChars="200" w:firstLine="200" w:firstLineChars="200"/>
      <w:jc w:val="left"/>
      <w:textAlignment w:val="baseline"/>
    </w:pPr>
    <w:rPr>
      <w:rFonts w:ascii="等线" w:hAnsi="等线" w:eastAsia="仿宋_GB2312" w:cs="等线"/>
      <w:spacing w:val="10"/>
      <w:kern w:val="0"/>
      <w:szCs w:val="20"/>
    </w:rPr>
  </w:style>
  <w:style w:type="paragraph" w:customStyle="1" w:styleId="615">
    <w:name w:val="Char Char Char Char Char Char Char Char Char1 Char"/>
    <w:basedOn w:val="1"/>
    <w:qFormat/>
    <w:uiPriority w:val="0"/>
    <w:rPr>
      <w:rFonts w:ascii="等线" w:hAnsi="等线" w:eastAsia="等线" w:cs="等线"/>
    </w:rPr>
  </w:style>
  <w:style w:type="paragraph" w:customStyle="1" w:styleId="616">
    <w:name w:val="其他标准标志"/>
    <w:basedOn w:val="496"/>
    <w:qFormat/>
    <w:uiPriority w:val="0"/>
    <w:pPr>
      <w:framePr w:w="6101" w:vAnchor="page" w:hAnchor="page" w:x="4673" w:y="942"/>
    </w:pPr>
    <w:rPr>
      <w:w w:val="130"/>
    </w:rPr>
  </w:style>
  <w:style w:type="paragraph" w:customStyle="1" w:styleId="61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18">
    <w:name w:val="2级"/>
    <w:basedOn w:val="2"/>
    <w:next w:val="62"/>
    <w:qFormat/>
    <w:uiPriority w:val="0"/>
    <w:pPr>
      <w:spacing w:line="415" w:lineRule="auto"/>
      <w:ind w:left="420"/>
    </w:pPr>
    <w:rPr>
      <w:rFonts w:eastAsia="黑体"/>
      <w:kern w:val="0"/>
      <w:sz w:val="30"/>
    </w:rPr>
  </w:style>
  <w:style w:type="paragraph" w:customStyle="1" w:styleId="619">
    <w:name w:val="表格文字（大）"/>
    <w:basedOn w:val="1"/>
    <w:qFormat/>
    <w:uiPriority w:val="0"/>
    <w:pPr>
      <w:autoSpaceDE w:val="0"/>
      <w:autoSpaceDN w:val="0"/>
      <w:adjustRightInd w:val="0"/>
      <w:spacing w:before="20" w:after="20"/>
      <w:jc w:val="left"/>
    </w:pPr>
    <w:rPr>
      <w:rFonts w:ascii="Arial Unicode MS" w:hAnsi="Arial Unicode MS" w:eastAsia="等线" w:cs="Arial Unicode MS"/>
      <w:kern w:val="0"/>
      <w:sz w:val="24"/>
      <w:szCs w:val="20"/>
    </w:rPr>
  </w:style>
  <w:style w:type="paragraph" w:customStyle="1" w:styleId="620">
    <w:name w:val="xl9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621">
    <w:name w:val="默认段落字体 Para Char Char Char Char"/>
    <w:basedOn w:val="1"/>
    <w:qFormat/>
    <w:uiPriority w:val="0"/>
    <w:rPr>
      <w:rFonts w:ascii="等线" w:hAnsi="等线" w:eastAsia="等线" w:cs="等线"/>
    </w:rPr>
  </w:style>
  <w:style w:type="paragraph" w:customStyle="1" w:styleId="622">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等线"/>
      <w:kern w:val="0"/>
      <w:sz w:val="24"/>
    </w:rPr>
  </w:style>
  <w:style w:type="paragraph" w:customStyle="1" w:styleId="623">
    <w:name w:val="A正文"/>
    <w:basedOn w:val="95"/>
    <w:qFormat/>
    <w:uiPriority w:val="0"/>
    <w:pPr>
      <w:jc w:val="left"/>
    </w:pPr>
    <w:rPr>
      <w:rFonts w:ascii="等线" w:hAnsi="等线" w:eastAsia="等线"/>
      <w:shd w:val="clear" w:color="auto" w:fill="auto"/>
    </w:rPr>
  </w:style>
  <w:style w:type="paragraph" w:customStyle="1" w:styleId="624">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625">
    <w:name w:val="14"/>
    <w:basedOn w:val="1"/>
    <w:qFormat/>
    <w:uiPriority w:val="0"/>
    <w:pPr>
      <w:snapToGrid w:val="0"/>
      <w:spacing w:beforeLines="30" w:line="288" w:lineRule="auto"/>
      <w:ind w:left="852" w:leftChars="355" w:firstLine="420" w:firstLineChars="175"/>
    </w:pPr>
    <w:rPr>
      <w:rFonts w:ascii="Calibri" w:hAnsi="Calibri" w:eastAsia="等线" w:cs="等线"/>
      <w:sz w:val="24"/>
      <w:szCs w:val="20"/>
    </w:rPr>
  </w:style>
  <w:style w:type="paragraph" w:customStyle="1" w:styleId="626">
    <w:name w:val="xl32"/>
    <w:basedOn w:val="1"/>
    <w:qFormat/>
    <w:uiPriority w:val="0"/>
    <w:pPr>
      <w:widowControl/>
      <w:pBdr>
        <w:top w:val="single" w:color="auto" w:sz="4" w:space="0"/>
        <w:left w:val="single" w:color="auto" w:sz="4" w:space="0"/>
        <w:right w:val="single" w:color="auto" w:sz="4" w:space="0"/>
      </w:pBdr>
      <w:shd w:val="clear" w:color="auto" w:fill="FFFFFF"/>
      <w:spacing w:before="100" w:beforeAutospacing="1" w:after="100" w:afterAutospacing="1"/>
      <w:jc w:val="center"/>
      <w:textAlignment w:val="center"/>
    </w:pPr>
    <w:rPr>
      <w:rFonts w:ascii="等线" w:hAnsi="等线" w:eastAsia="等线" w:cs="等线"/>
      <w:kern w:val="0"/>
      <w:sz w:val="20"/>
      <w:szCs w:val="20"/>
    </w:rPr>
  </w:style>
  <w:style w:type="paragraph" w:customStyle="1" w:styleId="627">
    <w:name w:val="xl9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628">
    <w:name w:val="Char Char1 Char Char Char"/>
    <w:basedOn w:val="1"/>
    <w:qFormat/>
    <w:uiPriority w:val="0"/>
    <w:pPr>
      <w:autoSpaceDE w:val="0"/>
      <w:autoSpaceDN w:val="0"/>
      <w:adjustRightInd w:val="0"/>
      <w:jc w:val="left"/>
    </w:pPr>
    <w:rPr>
      <w:rFonts w:ascii="黑体" w:hAnsi="等线" w:eastAsia="黑体" w:cs="等线"/>
      <w:b/>
      <w:kern w:val="0"/>
      <w:sz w:val="32"/>
      <w:szCs w:val="32"/>
    </w:rPr>
  </w:style>
  <w:style w:type="paragraph" w:customStyle="1" w:styleId="629">
    <w:name w:val="项目2"/>
    <w:qFormat/>
    <w:uiPriority w:val="0"/>
    <w:pPr>
      <w:tabs>
        <w:tab w:val="left" w:pos="425"/>
      </w:tabs>
      <w:spacing w:before="120" w:after="120" w:line="360" w:lineRule="auto"/>
      <w:ind w:left="420" w:hanging="420"/>
    </w:pPr>
    <w:rPr>
      <w:rFonts w:ascii="等线" w:hAnsi="等线" w:eastAsia="仿宋_GB2312" w:cs="等线"/>
      <w:sz w:val="24"/>
      <w:lang w:val="en-US" w:eastAsia="zh-CN" w:bidi="ar-SA"/>
    </w:rPr>
  </w:style>
  <w:style w:type="paragraph" w:customStyle="1" w:styleId="630">
    <w:name w:val="Char13"/>
    <w:basedOn w:val="1"/>
    <w:qFormat/>
    <w:uiPriority w:val="0"/>
    <w:pPr>
      <w:widowControl/>
      <w:spacing w:after="160" w:line="240" w:lineRule="exact"/>
      <w:jc w:val="left"/>
    </w:pPr>
    <w:rPr>
      <w:rFonts w:ascii="Courier New" w:hAnsi="Courier New" w:eastAsia="等线" w:cs="等线"/>
      <w:kern w:val="0"/>
      <w:sz w:val="20"/>
      <w:szCs w:val="20"/>
      <w:lang w:eastAsia="en-US"/>
    </w:rPr>
  </w:style>
  <w:style w:type="paragraph" w:customStyle="1" w:styleId="631">
    <w:name w:val="xl10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632">
    <w:name w:val="c"/>
    <w:qFormat/>
    <w:uiPriority w:val="0"/>
    <w:pPr>
      <w:widowControl w:val="0"/>
      <w:autoSpaceDE w:val="0"/>
      <w:autoSpaceDN w:val="0"/>
      <w:adjustRightInd w:val="0"/>
      <w:jc w:val="both"/>
    </w:pPr>
    <w:rPr>
      <w:rFonts w:ascii="Arial" w:hAnsi="Arial" w:eastAsia="等线" w:cs="等线"/>
      <w:sz w:val="24"/>
      <w:lang w:val="en-US" w:eastAsia="zh-CN" w:bidi="ar-SA"/>
    </w:rPr>
  </w:style>
  <w:style w:type="paragraph" w:customStyle="1" w:styleId="633">
    <w:name w:val="xl83"/>
    <w:basedOn w:val="1"/>
    <w:qFormat/>
    <w:uiPriority w:val="0"/>
    <w:pPr>
      <w:widowControl/>
      <w:pBdr>
        <w:left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634">
    <w:name w:val="font12"/>
    <w:basedOn w:val="1"/>
    <w:qFormat/>
    <w:uiPriority w:val="0"/>
    <w:pPr>
      <w:widowControl/>
      <w:spacing w:before="100" w:beforeAutospacing="1" w:after="100" w:afterAutospacing="1"/>
      <w:jc w:val="left"/>
    </w:pPr>
    <w:rPr>
      <w:rFonts w:ascii="等线" w:hAnsi="等线" w:eastAsia="等线" w:cs="等线"/>
      <w:kern w:val="0"/>
      <w:sz w:val="28"/>
      <w:szCs w:val="28"/>
    </w:rPr>
  </w:style>
  <w:style w:type="paragraph" w:customStyle="1" w:styleId="635">
    <w:name w:val="数字级连标题3"/>
    <w:basedOn w:val="5"/>
    <w:next w:val="1"/>
    <w:qFormat/>
    <w:uiPriority w:val="0"/>
    <w:pPr>
      <w:suppressAutoHyphens/>
      <w:spacing w:before="0" w:after="0" w:line="360" w:lineRule="auto"/>
    </w:pPr>
    <w:rPr>
      <w:rFonts w:ascii="等线" w:hAnsi="等线" w:eastAsia="等线"/>
      <w:bCs w:val="0"/>
      <w:sz w:val="28"/>
      <w:szCs w:val="20"/>
      <w:lang w:eastAsia="ar-SA"/>
    </w:rPr>
  </w:style>
  <w:style w:type="paragraph" w:customStyle="1" w:styleId="636">
    <w:name w:val="Item List"/>
    <w:qFormat/>
    <w:uiPriority w:val="0"/>
    <w:pPr>
      <w:spacing w:line="300" w:lineRule="auto"/>
      <w:ind w:left="1701"/>
      <w:jc w:val="both"/>
    </w:pPr>
    <w:rPr>
      <w:rFonts w:ascii="Arial" w:hAnsi="Arial" w:eastAsia="等线" w:cs="等线"/>
      <w:sz w:val="21"/>
      <w:lang w:val="en-US" w:eastAsia="zh-CN" w:bidi="ar-SA"/>
    </w:rPr>
  </w:style>
  <w:style w:type="paragraph" w:customStyle="1" w:styleId="637">
    <w:name w:val="font5"/>
    <w:basedOn w:val="1"/>
    <w:qFormat/>
    <w:uiPriority w:val="0"/>
    <w:pPr>
      <w:widowControl/>
      <w:spacing w:before="100" w:beforeAutospacing="1" w:after="100" w:afterAutospacing="1"/>
      <w:jc w:val="left"/>
    </w:pPr>
    <w:rPr>
      <w:rFonts w:ascii="仿宋_GB2312" w:hAnsi="仿宋_GB2312" w:eastAsia="等线" w:cs="仿宋_GB2312"/>
      <w:kern w:val="0"/>
      <w:sz w:val="18"/>
      <w:szCs w:val="18"/>
    </w:rPr>
  </w:style>
  <w:style w:type="paragraph" w:customStyle="1" w:styleId="638">
    <w:name w:val="样式3"/>
    <w:basedOn w:val="4"/>
    <w:qFormat/>
    <w:uiPriority w:val="0"/>
    <w:pPr>
      <w:keepNext w:val="0"/>
      <w:autoSpaceDE w:val="0"/>
      <w:autoSpaceDN w:val="0"/>
      <w:adjustRightInd w:val="0"/>
      <w:spacing w:before="560" w:after="280"/>
      <w:jc w:val="left"/>
      <w:textAlignment w:val="baseline"/>
    </w:pPr>
    <w:rPr>
      <w:rFonts w:ascii="等线" w:hAnsi="等线" w:eastAsia="黑体"/>
      <w:b w:val="0"/>
      <w:bCs w:val="0"/>
      <w:kern w:val="0"/>
      <w:sz w:val="44"/>
      <w:szCs w:val="20"/>
    </w:rPr>
  </w:style>
  <w:style w:type="paragraph" w:customStyle="1" w:styleId="639">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kern w:val="0"/>
      <w:sz w:val="24"/>
    </w:rPr>
  </w:style>
  <w:style w:type="paragraph" w:customStyle="1" w:styleId="640">
    <w:name w:val="Char"/>
    <w:basedOn w:val="1"/>
    <w:qFormat/>
    <w:uiPriority w:val="0"/>
    <w:pPr>
      <w:widowControl/>
      <w:spacing w:line="400" w:lineRule="exact"/>
      <w:jc w:val="center"/>
    </w:pPr>
    <w:rPr>
      <w:rFonts w:ascii="Courier New" w:hAnsi="Courier New" w:eastAsia="等线" w:cs="等线"/>
      <w:kern w:val="0"/>
      <w:szCs w:val="20"/>
      <w:lang w:eastAsia="en-US"/>
    </w:rPr>
  </w:style>
  <w:style w:type="paragraph" w:customStyle="1" w:styleId="641">
    <w:name w:val="xl106"/>
    <w:basedOn w:val="1"/>
    <w:qFormat/>
    <w:uiPriority w:val="0"/>
    <w:pPr>
      <w:widowControl/>
      <w:pBdr>
        <w:top w:val="single" w:color="auto" w:sz="4" w:space="0"/>
        <w:left w:val="single" w:color="auto" w:sz="4" w:space="0"/>
        <w:right w:val="single" w:color="auto" w:sz="4" w:space="0"/>
      </w:pBdr>
      <w:shd w:val="clear" w:color="auto" w:fill="FFFFFF"/>
      <w:spacing w:before="100" w:beforeAutospacing="1" w:after="100" w:afterAutospacing="1"/>
      <w:jc w:val="center"/>
    </w:pPr>
    <w:rPr>
      <w:rFonts w:ascii="宋体" w:hAnsi="宋体" w:eastAsia="等线" w:cs="等线"/>
      <w:kern w:val="0"/>
      <w:sz w:val="24"/>
    </w:rPr>
  </w:style>
  <w:style w:type="paragraph" w:customStyle="1" w:styleId="642">
    <w:name w:val="默认段落字体 Para Char Char Char Char Char Char Char Char Char Char"/>
    <w:basedOn w:val="1"/>
    <w:qFormat/>
    <w:uiPriority w:val="0"/>
    <w:pPr>
      <w:widowControl/>
      <w:spacing w:after="200"/>
      <w:jc w:val="left"/>
    </w:pPr>
    <w:rPr>
      <w:rFonts w:ascii="Tahoma" w:hAnsi="Tahoma" w:eastAsia="等线" w:cs="等线"/>
      <w:kern w:val="0"/>
      <w:sz w:val="22"/>
      <w:szCs w:val="20"/>
      <w:lang w:eastAsia="en-US" w:bidi="en-US"/>
    </w:rPr>
  </w:style>
  <w:style w:type="paragraph" w:customStyle="1" w:styleId="643">
    <w:name w:val="标书正文带编号"/>
    <w:basedOn w:val="1"/>
    <w:qFormat/>
    <w:uiPriority w:val="0"/>
    <w:pPr>
      <w:tabs>
        <w:tab w:val="left" w:pos="397"/>
      </w:tabs>
      <w:autoSpaceDE w:val="0"/>
      <w:autoSpaceDN w:val="0"/>
      <w:adjustRightInd w:val="0"/>
      <w:ind w:firstLine="397"/>
      <w:jc w:val="left"/>
    </w:pPr>
    <w:rPr>
      <w:rFonts w:ascii="等线" w:hAnsi="等线" w:eastAsia="等线" w:cs="仿宋_GB2312"/>
      <w:kern w:val="0"/>
      <w:sz w:val="20"/>
      <w:szCs w:val="21"/>
    </w:rPr>
  </w:style>
  <w:style w:type="paragraph" w:customStyle="1" w:styleId="644">
    <w:name w:val="样式 首行缩进:  2 字符"/>
    <w:basedOn w:val="1"/>
    <w:qFormat/>
    <w:uiPriority w:val="0"/>
    <w:pPr>
      <w:widowControl/>
      <w:tabs>
        <w:tab w:val="left" w:pos="420"/>
      </w:tabs>
      <w:ind w:left="420" w:hanging="420"/>
    </w:pPr>
    <w:rPr>
      <w:rFonts w:ascii="宋体" w:hAnsi="宋体" w:eastAsia="等线" w:cs="宋体"/>
      <w:bCs/>
      <w:color w:val="000000"/>
      <w:kern w:val="0"/>
      <w:sz w:val="24"/>
    </w:rPr>
  </w:style>
  <w:style w:type="paragraph" w:customStyle="1" w:styleId="645">
    <w:name w:val="标题小四"/>
    <w:basedOn w:val="2"/>
    <w:qFormat/>
    <w:uiPriority w:val="0"/>
    <w:pPr>
      <w:keepNext w:val="0"/>
      <w:keepLines w:val="0"/>
      <w:spacing w:before="0" w:after="0" w:line="360" w:lineRule="auto"/>
      <w:ind w:right="90"/>
      <w:outlineLvl w:val="9"/>
    </w:pPr>
    <w:rPr>
      <w:rFonts w:ascii="仿宋_GB2312" w:hAnsi="宋体" w:eastAsia="仿宋_GB2312" w:cs="Arial Unicode MS"/>
      <w:b w:val="0"/>
      <w:bCs w:val="0"/>
      <w:color w:val="000000"/>
      <w:sz w:val="21"/>
      <w:szCs w:val="21"/>
    </w:rPr>
  </w:style>
  <w:style w:type="paragraph" w:customStyle="1" w:styleId="646">
    <w:name w:val="彩色底纹 - 强调文字颜色 11"/>
    <w:semiHidden/>
    <w:qFormat/>
    <w:uiPriority w:val="99"/>
    <w:rPr>
      <w:rFonts w:ascii="等线" w:hAnsi="等线" w:eastAsia="等线" w:cs="等线"/>
      <w:kern w:val="2"/>
      <w:sz w:val="21"/>
      <w:szCs w:val="24"/>
      <w:lang w:val="en-US" w:eastAsia="zh-CN" w:bidi="ar-SA"/>
    </w:rPr>
  </w:style>
  <w:style w:type="paragraph" w:customStyle="1" w:styleId="647">
    <w:name w:val="_Style 3"/>
    <w:qFormat/>
    <w:uiPriority w:val="0"/>
    <w:rPr>
      <w:rFonts w:ascii="Calibri" w:hAnsi="Calibri" w:eastAsia="等线" w:cs="等线"/>
      <w:sz w:val="22"/>
      <w:szCs w:val="22"/>
      <w:lang w:val="en-US" w:eastAsia="zh-CN" w:bidi="ar-SA"/>
    </w:rPr>
  </w:style>
  <w:style w:type="paragraph" w:customStyle="1" w:styleId="648">
    <w:name w:val="xl10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649">
    <w:name w:val="xl5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50">
    <w:name w:val="xl33"/>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0"/>
      <w:szCs w:val="20"/>
    </w:rPr>
  </w:style>
  <w:style w:type="paragraph" w:customStyle="1" w:styleId="651">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等线"/>
      <w:spacing w:val="-40"/>
      <w:sz w:val="48"/>
      <w:szCs w:val="52"/>
      <w:lang w:val="en-US" w:eastAsia="zh-CN" w:bidi="ar-SA"/>
    </w:rPr>
  </w:style>
  <w:style w:type="paragraph" w:customStyle="1" w:styleId="65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53">
    <w:name w:val="font15"/>
    <w:basedOn w:val="1"/>
    <w:qFormat/>
    <w:uiPriority w:val="0"/>
    <w:pPr>
      <w:widowControl/>
      <w:spacing w:before="100" w:beforeAutospacing="1" w:after="100" w:afterAutospacing="1"/>
      <w:jc w:val="left"/>
    </w:pPr>
    <w:rPr>
      <w:rFonts w:hint="eastAsia" w:ascii="宋体" w:hAnsi="宋体" w:eastAsia="等线" w:cs="等线"/>
      <w:b/>
      <w:bCs/>
      <w:color w:val="000000"/>
      <w:kern w:val="0"/>
      <w:sz w:val="16"/>
      <w:szCs w:val="16"/>
    </w:rPr>
  </w:style>
  <w:style w:type="paragraph" w:customStyle="1" w:styleId="654">
    <w:name w:val="xl6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655">
    <w:name w:val="样式 标题 5 + 段前: 5 磅 段后: 5 磅 行距: 单倍行距"/>
    <w:basedOn w:val="7"/>
    <w:qFormat/>
    <w:uiPriority w:val="0"/>
    <w:pPr>
      <w:tabs>
        <w:tab w:val="left" w:pos="2100"/>
      </w:tabs>
      <w:adjustRightInd w:val="0"/>
      <w:spacing w:before="100" w:after="100" w:line="240" w:lineRule="auto"/>
      <w:ind w:left="2100" w:hanging="420" w:firstLineChars="200"/>
      <w:jc w:val="left"/>
      <w:textAlignment w:val="baseline"/>
    </w:pPr>
    <w:rPr>
      <w:bCs w:val="0"/>
      <w:kern w:val="0"/>
      <w:szCs w:val="20"/>
    </w:rPr>
  </w:style>
  <w:style w:type="paragraph" w:customStyle="1" w:styleId="656">
    <w:name w:val="列出段落3"/>
    <w:basedOn w:val="1"/>
    <w:qFormat/>
    <w:uiPriority w:val="0"/>
    <w:pPr>
      <w:ind w:firstLine="420" w:firstLineChars="200"/>
    </w:pPr>
    <w:rPr>
      <w:rFonts w:ascii="Calibri" w:hAnsi="Calibri" w:eastAsia="等线" w:cs="等线"/>
      <w:szCs w:val="22"/>
    </w:rPr>
  </w:style>
  <w:style w:type="paragraph" w:customStyle="1" w:styleId="657">
    <w:name w:val="标准小四"/>
    <w:basedOn w:val="1"/>
    <w:qFormat/>
    <w:uiPriority w:val="0"/>
    <w:pPr>
      <w:autoSpaceDE w:val="0"/>
      <w:autoSpaceDN w:val="0"/>
      <w:adjustRightInd w:val="0"/>
      <w:spacing w:line="360" w:lineRule="auto"/>
      <w:ind w:firstLine="480" w:firstLineChars="200"/>
      <w:jc w:val="left"/>
    </w:pPr>
    <w:rPr>
      <w:rFonts w:ascii="Tahoma" w:hAnsi="Tahoma" w:eastAsia="等线" w:cs="等线"/>
      <w:kern w:val="0"/>
      <w:sz w:val="24"/>
      <w:szCs w:val="21"/>
    </w:rPr>
  </w:style>
  <w:style w:type="paragraph" w:customStyle="1" w:styleId="658">
    <w:name w:val="排列"/>
    <w:basedOn w:val="1"/>
    <w:qFormat/>
    <w:uiPriority w:val="0"/>
    <w:pPr>
      <w:widowControl/>
      <w:autoSpaceDE w:val="0"/>
      <w:autoSpaceDN w:val="0"/>
      <w:adjustRightInd w:val="0"/>
      <w:spacing w:line="360" w:lineRule="auto"/>
      <w:jc w:val="left"/>
    </w:pPr>
    <w:rPr>
      <w:rFonts w:ascii="仿宋_GB2312" w:hAnsi="仿宋_GB2312" w:eastAsia="等线" w:cs="等线"/>
      <w:kern w:val="0"/>
      <w:sz w:val="20"/>
      <w:szCs w:val="20"/>
      <w:lang w:val="zh-CN"/>
    </w:rPr>
  </w:style>
  <w:style w:type="paragraph" w:customStyle="1" w:styleId="65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Calibri" w:hAnsi="Calibri" w:eastAsia="Calibri" w:cs="仿宋_GB2312"/>
      <w:b/>
      <w:bCs/>
      <w:color w:val="000000"/>
      <w:kern w:val="0"/>
      <w:sz w:val="24"/>
    </w:rPr>
  </w:style>
  <w:style w:type="paragraph" w:customStyle="1" w:styleId="660">
    <w:name w:val="標題 2..."/>
    <w:basedOn w:val="1"/>
    <w:qFormat/>
    <w:uiPriority w:val="0"/>
    <w:pPr>
      <w:spacing w:line="360" w:lineRule="auto"/>
      <w:ind w:left="568" w:firstLine="567" w:firstLineChars="200"/>
    </w:pPr>
    <w:rPr>
      <w:rFonts w:ascii="等线" w:hAnsi="等线" w:eastAsia="PMingLiU" w:cs="等线"/>
      <w:sz w:val="24"/>
      <w:lang w:eastAsia="zh-TW"/>
    </w:rPr>
  </w:style>
  <w:style w:type="paragraph" w:customStyle="1" w:styleId="661">
    <w:name w:val="TOC 标题1"/>
    <w:basedOn w:val="4"/>
    <w:next w:val="1"/>
    <w:qFormat/>
    <w:uiPriority w:val="39"/>
    <w:pPr>
      <w:keepLines/>
      <w:spacing w:beforeLines="50" w:afterLines="50" w:line="578" w:lineRule="auto"/>
      <w:jc w:val="both"/>
      <w:outlineLvl w:val="9"/>
    </w:pPr>
    <w:rPr>
      <w:rFonts w:ascii="等线" w:hAnsi="等线" w:eastAsia="等线"/>
      <w:kern w:val="44"/>
      <w:sz w:val="44"/>
      <w:szCs w:val="44"/>
    </w:rPr>
  </w:style>
  <w:style w:type="paragraph" w:customStyle="1" w:styleId="662">
    <w:name w:val="正文 首行缩进:  2 字符 Char"/>
    <w:basedOn w:val="1"/>
    <w:qFormat/>
    <w:uiPriority w:val="0"/>
    <w:pPr>
      <w:spacing w:line="360" w:lineRule="auto"/>
      <w:ind w:firstLine="480"/>
    </w:pPr>
    <w:rPr>
      <w:rFonts w:ascii="等线" w:hAnsi="等线" w:eastAsia="等线" w:cs="仿宋_GB2312"/>
      <w:sz w:val="24"/>
      <w:szCs w:val="20"/>
    </w:rPr>
  </w:style>
  <w:style w:type="paragraph" w:customStyle="1" w:styleId="663">
    <w:name w:val="font6"/>
    <w:basedOn w:val="1"/>
    <w:qFormat/>
    <w:uiPriority w:val="0"/>
    <w:pPr>
      <w:widowControl/>
      <w:spacing w:before="100" w:beforeAutospacing="1" w:after="100" w:afterAutospacing="1"/>
      <w:jc w:val="left"/>
    </w:pPr>
    <w:rPr>
      <w:rFonts w:ascii="仿宋_GB2312" w:hAnsi="仿宋_GB2312" w:eastAsia="等线" w:cs="仿宋_GB2312"/>
      <w:kern w:val="0"/>
      <w:sz w:val="18"/>
      <w:szCs w:val="18"/>
    </w:rPr>
  </w:style>
  <w:style w:type="paragraph" w:customStyle="1" w:styleId="664">
    <w:name w:val="列表内容"/>
    <w:basedOn w:val="1"/>
    <w:next w:val="1"/>
    <w:qFormat/>
    <w:uiPriority w:val="0"/>
    <w:pPr>
      <w:widowControl/>
      <w:autoSpaceDE w:val="0"/>
      <w:autoSpaceDN w:val="0"/>
      <w:adjustRightInd w:val="0"/>
      <w:ind w:firstLine="200"/>
      <w:jc w:val="left"/>
    </w:pPr>
    <w:rPr>
      <w:rFonts w:ascii="等线" w:hAnsi="等线" w:eastAsia="等线" w:cs="等线"/>
      <w:kern w:val="0"/>
      <w:sz w:val="18"/>
      <w:szCs w:val="20"/>
    </w:rPr>
  </w:style>
  <w:style w:type="paragraph" w:customStyle="1" w:styleId="665">
    <w:name w:val="附录表标题"/>
    <w:basedOn w:val="1"/>
    <w:next w:val="453"/>
    <w:qFormat/>
    <w:uiPriority w:val="0"/>
    <w:pPr>
      <w:tabs>
        <w:tab w:val="left" w:pos="180"/>
        <w:tab w:val="left" w:pos="992"/>
      </w:tabs>
      <w:autoSpaceDE w:val="0"/>
      <w:autoSpaceDN w:val="0"/>
      <w:adjustRightInd w:val="0"/>
      <w:spacing w:beforeLines="50" w:afterLines="50"/>
      <w:jc w:val="center"/>
      <w:textAlignment w:val="baseline"/>
    </w:pPr>
    <w:rPr>
      <w:rFonts w:ascii="黑体" w:hAnsi="等线" w:eastAsia="黑体" w:cs="等线"/>
      <w:kern w:val="0"/>
      <w:sz w:val="28"/>
      <w:szCs w:val="21"/>
    </w:rPr>
  </w:style>
  <w:style w:type="paragraph" w:customStyle="1" w:styleId="666">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67">
    <w:name w:val="WW-正文文字缩进 2"/>
    <w:basedOn w:val="1"/>
    <w:qFormat/>
    <w:uiPriority w:val="0"/>
    <w:pPr>
      <w:suppressAutoHyphens/>
      <w:autoSpaceDE w:val="0"/>
      <w:autoSpaceDN w:val="0"/>
      <w:adjustRightInd w:val="0"/>
      <w:ind w:firstLine="420"/>
      <w:jc w:val="left"/>
    </w:pPr>
    <w:rPr>
      <w:rFonts w:ascii="等线" w:hAnsi="等线" w:eastAsia="等线" w:cs="等线"/>
      <w:kern w:val="1"/>
      <w:sz w:val="20"/>
      <w:szCs w:val="20"/>
    </w:rPr>
  </w:style>
  <w:style w:type="paragraph" w:customStyle="1" w:styleId="668">
    <w:name w:val="Char Char1 Char Char Char Char Char Char Char Char Char Char Char Char Char Char"/>
    <w:basedOn w:val="1"/>
    <w:qFormat/>
    <w:uiPriority w:val="0"/>
    <w:pPr>
      <w:widowControl/>
      <w:autoSpaceDE w:val="0"/>
      <w:autoSpaceDN w:val="0"/>
      <w:adjustRightInd w:val="0"/>
      <w:spacing w:after="160" w:line="240" w:lineRule="exact"/>
      <w:jc w:val="left"/>
    </w:pPr>
    <w:rPr>
      <w:rFonts w:ascii="等线" w:hAnsi="等线" w:eastAsia="等线" w:cs="等线"/>
      <w:kern w:val="0"/>
      <w:sz w:val="20"/>
      <w:szCs w:val="20"/>
    </w:rPr>
  </w:style>
  <w:style w:type="paragraph" w:customStyle="1" w:styleId="669">
    <w:name w:val="xl108"/>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等线" w:cs="等线"/>
      <w:kern w:val="0"/>
      <w:sz w:val="24"/>
    </w:rPr>
  </w:style>
  <w:style w:type="paragraph" w:customStyle="1" w:styleId="670">
    <w:name w:val="PP Line"/>
    <w:basedOn w:val="45"/>
    <w:qFormat/>
    <w:uiPriority w:val="0"/>
    <w:pPr>
      <w:autoSpaceDE/>
      <w:autoSpaceDN/>
      <w:spacing w:after="0" w:line="360" w:lineRule="atLeast"/>
      <w:ind w:left="100" w:leftChars="1800" w:firstLine="200" w:firstLineChars="200"/>
      <w:jc w:val="left"/>
    </w:pPr>
    <w:rPr>
      <w:rFonts w:eastAsia="PMingLiU"/>
      <w:lang w:eastAsia="zh-TW"/>
    </w:rPr>
  </w:style>
  <w:style w:type="paragraph" w:customStyle="1" w:styleId="671">
    <w:name w:val="正文文本 21"/>
    <w:basedOn w:val="1"/>
    <w:qFormat/>
    <w:uiPriority w:val="0"/>
    <w:pPr>
      <w:widowControl/>
      <w:overflowPunct w:val="0"/>
      <w:autoSpaceDE w:val="0"/>
      <w:autoSpaceDN w:val="0"/>
      <w:adjustRightInd w:val="0"/>
      <w:ind w:left="720" w:hanging="720"/>
      <w:jc w:val="left"/>
      <w:textAlignment w:val="baseline"/>
    </w:pPr>
    <w:rPr>
      <w:rFonts w:ascii="等线" w:hAnsi="等线" w:eastAsia="等线" w:cs="等线"/>
      <w:kern w:val="0"/>
      <w:sz w:val="24"/>
      <w:szCs w:val="20"/>
      <w:lang w:val="en-GB"/>
    </w:rPr>
  </w:style>
  <w:style w:type="paragraph" w:customStyle="1" w:styleId="672">
    <w:name w:val="样式 普通(网站) + 仿宋_GB2312 段前: 自动 段后: 自动 行距: 1.5 倍行距1"/>
    <w:basedOn w:val="1"/>
    <w:qFormat/>
    <w:uiPriority w:val="0"/>
    <w:pPr>
      <w:widowControl/>
      <w:tabs>
        <w:tab w:val="left" w:pos="1134"/>
      </w:tabs>
      <w:spacing w:after="120" w:line="360" w:lineRule="auto"/>
      <w:ind w:left="1134" w:hanging="294" w:firstLineChars="200"/>
      <w:jc w:val="left"/>
    </w:pPr>
    <w:rPr>
      <w:rFonts w:ascii="Arial" w:hAnsi="Arial" w:eastAsia="等线" w:cs="等线"/>
      <w:kern w:val="0"/>
      <w:sz w:val="20"/>
      <w:szCs w:val="20"/>
    </w:rPr>
  </w:style>
  <w:style w:type="paragraph" w:customStyle="1" w:styleId="673">
    <w:name w:val="_Style 125"/>
    <w:basedOn w:val="1"/>
    <w:qFormat/>
    <w:uiPriority w:val="0"/>
    <w:rPr>
      <w:rFonts w:ascii="等线" w:hAnsi="等线" w:eastAsia="等线" w:cs="等线"/>
    </w:rPr>
  </w:style>
  <w:style w:type="paragraph" w:customStyle="1" w:styleId="674">
    <w:name w:val="封面标准代替信息"/>
    <w:qFormat/>
    <w:uiPriority w:val="0"/>
    <w:pPr>
      <w:framePr w:w="9140" w:h="1242" w:hRule="exact" w:hSpace="284" w:wrap="around" w:vAnchor="page" w:hAnchor="page" w:x="1645" w:y="2910" w:anchorLock="1"/>
      <w:spacing w:before="57" w:line="280" w:lineRule="exact"/>
      <w:jc w:val="right"/>
    </w:pPr>
    <w:rPr>
      <w:rFonts w:ascii="宋体" w:hAnsi="等线" w:eastAsia="等线" w:cs="等线"/>
      <w:sz w:val="21"/>
      <w:szCs w:val="21"/>
      <w:lang w:val="en-US" w:eastAsia="zh-CN" w:bidi="ar-SA"/>
    </w:rPr>
  </w:style>
  <w:style w:type="paragraph" w:customStyle="1" w:styleId="675">
    <w:name w:val="彩色列表 - 着色 11"/>
    <w:basedOn w:val="1"/>
    <w:qFormat/>
    <w:uiPriority w:val="0"/>
    <w:pPr>
      <w:spacing w:line="360" w:lineRule="auto"/>
      <w:ind w:firstLine="420" w:firstLineChars="200"/>
    </w:pPr>
    <w:rPr>
      <w:rFonts w:ascii="Calibri" w:hAnsi="Calibri" w:eastAsia="等线" w:cs="等线"/>
      <w:szCs w:val="20"/>
    </w:rPr>
  </w:style>
  <w:style w:type="paragraph" w:customStyle="1" w:styleId="676">
    <w:name w:val="my正文"/>
    <w:basedOn w:val="1"/>
    <w:qFormat/>
    <w:uiPriority w:val="0"/>
    <w:pPr>
      <w:spacing w:line="360" w:lineRule="auto"/>
      <w:ind w:firstLine="480" w:firstLineChars="200"/>
    </w:pPr>
    <w:rPr>
      <w:rFonts w:ascii="Tahoma" w:hAnsi="Tahoma" w:eastAsia="等线" w:cs="等线"/>
      <w:sz w:val="24"/>
    </w:rPr>
  </w:style>
  <w:style w:type="paragraph" w:customStyle="1" w:styleId="677">
    <w:name w:val="寄件者簡短地址"/>
    <w:basedOn w:val="1"/>
    <w:qFormat/>
    <w:uiPriority w:val="0"/>
    <w:pPr>
      <w:adjustRightInd w:val="0"/>
      <w:spacing w:line="360" w:lineRule="atLeast"/>
      <w:ind w:firstLine="200" w:firstLineChars="200"/>
      <w:jc w:val="left"/>
      <w:textAlignment w:val="baseline"/>
    </w:pPr>
    <w:rPr>
      <w:rFonts w:ascii="等线" w:hAnsi="等线" w:eastAsia="PMingLiU" w:cs="等线"/>
      <w:kern w:val="0"/>
      <w:sz w:val="24"/>
      <w:szCs w:val="20"/>
      <w:lang w:eastAsia="zh-TW"/>
    </w:rPr>
  </w:style>
  <w:style w:type="paragraph" w:customStyle="1" w:styleId="678">
    <w:name w:val="context-item"/>
    <w:basedOn w:val="679"/>
    <w:qFormat/>
    <w:uiPriority w:val="0"/>
    <w:pPr>
      <w:ind w:left="1418" w:hanging="284"/>
    </w:pPr>
  </w:style>
  <w:style w:type="paragraph" w:customStyle="1" w:styleId="679">
    <w:name w:val="context"/>
    <w:basedOn w:val="1"/>
    <w:qFormat/>
    <w:uiPriority w:val="0"/>
    <w:pPr>
      <w:adjustRightInd w:val="0"/>
      <w:spacing w:before="60" w:line="240" w:lineRule="atLeast"/>
      <w:ind w:left="567" w:firstLine="567" w:firstLineChars="200"/>
      <w:textAlignment w:val="baseline"/>
    </w:pPr>
    <w:rPr>
      <w:rFonts w:ascii="全真楷書" w:hAnsi="等线" w:eastAsia="全真楷書" w:cs="等线"/>
      <w:kern w:val="0"/>
      <w:sz w:val="24"/>
      <w:szCs w:val="20"/>
      <w:lang w:eastAsia="zh-TW"/>
    </w:rPr>
  </w:style>
  <w:style w:type="paragraph" w:customStyle="1" w:styleId="680">
    <w:name w:val="_Style 5"/>
    <w:basedOn w:val="19"/>
    <w:qFormat/>
    <w:uiPriority w:val="0"/>
    <w:rPr>
      <w:rFonts w:eastAsia="等线"/>
    </w:rPr>
  </w:style>
  <w:style w:type="paragraph" w:customStyle="1" w:styleId="681">
    <w:name w:val="xl24"/>
    <w:basedOn w:val="1"/>
    <w:qFormat/>
    <w:uiPriority w:val="0"/>
    <w:pPr>
      <w:widowControl/>
      <w:spacing w:before="100" w:beforeAutospacing="1" w:after="100" w:afterAutospacing="1"/>
      <w:jc w:val="left"/>
    </w:pPr>
    <w:rPr>
      <w:rFonts w:ascii="等线" w:hAnsi="等线" w:eastAsia="等线" w:cs="等线"/>
      <w:kern w:val="0"/>
      <w:sz w:val="24"/>
    </w:rPr>
  </w:style>
  <w:style w:type="paragraph" w:customStyle="1" w:styleId="682">
    <w:name w:val="表头"/>
    <w:basedOn w:val="1"/>
    <w:qFormat/>
    <w:uiPriority w:val="0"/>
    <w:pPr>
      <w:spacing w:before="120" w:after="120" w:line="480" w:lineRule="exact"/>
      <w:jc w:val="center"/>
    </w:pPr>
    <w:rPr>
      <w:rFonts w:ascii="黑体" w:hAnsi="等线" w:eastAsia="黑体" w:cs="等线"/>
      <w:sz w:val="24"/>
      <w:szCs w:val="20"/>
    </w:rPr>
  </w:style>
  <w:style w:type="paragraph" w:customStyle="1" w:styleId="683">
    <w:name w:val="正文文本缩进 31"/>
    <w:basedOn w:val="1"/>
    <w:qFormat/>
    <w:uiPriority w:val="0"/>
    <w:pPr>
      <w:autoSpaceDE w:val="0"/>
      <w:autoSpaceDN w:val="0"/>
      <w:adjustRightInd w:val="0"/>
      <w:spacing w:line="360" w:lineRule="auto"/>
      <w:ind w:firstLine="567"/>
      <w:jc w:val="left"/>
      <w:textAlignment w:val="baseline"/>
    </w:pPr>
    <w:rPr>
      <w:rFonts w:ascii="宋体" w:hAnsi="等线" w:eastAsia="等线" w:cs="等线"/>
      <w:kern w:val="0"/>
      <w:sz w:val="28"/>
      <w:szCs w:val="20"/>
    </w:rPr>
  </w:style>
  <w:style w:type="paragraph" w:customStyle="1" w:styleId="684">
    <w:name w:val="List Paragraph1"/>
    <w:basedOn w:val="1"/>
    <w:qFormat/>
    <w:uiPriority w:val="0"/>
    <w:pPr>
      <w:spacing w:line="360" w:lineRule="auto"/>
      <w:ind w:firstLine="420" w:firstLineChars="200"/>
    </w:pPr>
    <w:rPr>
      <w:rFonts w:ascii="等线" w:hAnsi="等线" w:eastAsia="等线" w:cs="等线"/>
      <w:szCs w:val="20"/>
    </w:rPr>
  </w:style>
  <w:style w:type="paragraph" w:customStyle="1" w:styleId="685">
    <w:name w:val="aspnumfaautoadjustrightr"/>
    <w:qFormat/>
    <w:uiPriority w:val="0"/>
    <w:pPr>
      <w:widowControl w:val="0"/>
      <w:autoSpaceDE w:val="0"/>
      <w:autoSpaceDN w:val="0"/>
      <w:adjustRightInd w:val="0"/>
      <w:ind w:firstLine="720"/>
      <w:jc w:val="both"/>
    </w:pPr>
    <w:rPr>
      <w:rFonts w:ascii="等线" w:hAnsi="等线" w:eastAsia="等线" w:cs="等线"/>
      <w:lang w:val="en-US" w:eastAsia="zh-CN" w:bidi="ar-SA"/>
    </w:rPr>
  </w:style>
  <w:style w:type="paragraph" w:customStyle="1" w:styleId="686">
    <w:name w:val="Test2"/>
    <w:basedOn w:val="2"/>
    <w:qFormat/>
    <w:uiPriority w:val="0"/>
    <w:pPr>
      <w:keepNext w:val="0"/>
      <w:keepLines w:val="0"/>
      <w:widowControl/>
      <w:tabs>
        <w:tab w:val="left" w:pos="774"/>
      </w:tabs>
      <w:autoSpaceDE w:val="0"/>
      <w:autoSpaceDN w:val="0"/>
      <w:adjustRightInd w:val="0"/>
      <w:snapToGrid w:val="0"/>
      <w:spacing w:before="360" w:after="360" w:line="240" w:lineRule="atLeast"/>
      <w:ind w:left="774" w:hanging="576"/>
      <w:jc w:val="left"/>
    </w:pPr>
    <w:rPr>
      <w:rFonts w:ascii="仿宋_GB2312" w:hAnsi="Tahoma" w:eastAsia="仿宋_GB2312"/>
      <w:b w:val="0"/>
      <w:bCs w:val="0"/>
      <w:snapToGrid w:val="0"/>
      <w:kern w:val="0"/>
      <w:sz w:val="28"/>
    </w:rPr>
  </w:style>
  <w:style w:type="paragraph" w:customStyle="1" w:styleId="687">
    <w:name w:val="No Spacing1"/>
    <w:qFormat/>
    <w:uiPriority w:val="0"/>
    <w:rPr>
      <w:rFonts w:ascii="Century Gothic" w:hAnsi="Century Gothic" w:eastAsia="仿宋_GB2312" w:cs="新宋体"/>
      <w:sz w:val="22"/>
      <w:szCs w:val="22"/>
      <w:lang w:val="en-US" w:eastAsia="zh-CN" w:bidi="ar-SA"/>
    </w:rPr>
  </w:style>
  <w:style w:type="paragraph" w:customStyle="1" w:styleId="688">
    <w:name w:val="正文字缩2字"/>
    <w:basedOn w:val="1"/>
    <w:qFormat/>
    <w:uiPriority w:val="0"/>
    <w:pPr>
      <w:spacing w:before="60" w:after="60" w:line="360" w:lineRule="auto"/>
      <w:ind w:left="200" w:leftChars="200" w:firstLine="200" w:firstLineChars="200"/>
    </w:pPr>
    <w:rPr>
      <w:rFonts w:ascii="等线" w:hAnsi="等线" w:eastAsia="等线" w:cs="等线"/>
      <w:sz w:val="24"/>
    </w:rPr>
  </w:style>
  <w:style w:type="paragraph" w:customStyle="1" w:styleId="689">
    <w:name w:val="xl41"/>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90">
    <w:name w:val="题目副题"/>
    <w:basedOn w:val="48"/>
    <w:qFormat/>
    <w:uiPriority w:val="0"/>
    <w:pPr>
      <w:spacing w:before="0" w:after="312"/>
      <w:ind w:left="240" w:firstLine="600" w:firstLineChars="200"/>
      <w:jc w:val="left"/>
      <w:outlineLvl w:val="9"/>
    </w:pPr>
    <w:rPr>
      <w:rFonts w:ascii="宋体" w:hAnsi="宋体" w:eastAsia="宋体"/>
      <w:bCs w:val="0"/>
      <w:sz w:val="30"/>
      <w:szCs w:val="20"/>
    </w:rPr>
  </w:style>
  <w:style w:type="paragraph" w:customStyle="1" w:styleId="691">
    <w:name w:val="xl53"/>
    <w:basedOn w:val="1"/>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0"/>
      <w:szCs w:val="20"/>
    </w:rPr>
  </w:style>
  <w:style w:type="paragraph" w:customStyle="1" w:styleId="692">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ascii="等线" w:hAnsi="等线" w:eastAsia="新宋体" w:cs="等线"/>
      <w:kern w:val="0"/>
      <w:sz w:val="20"/>
      <w:szCs w:val="20"/>
    </w:rPr>
  </w:style>
  <w:style w:type="paragraph" w:customStyle="1" w:styleId="693">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694">
    <w:name w:val="Char Char Char2 Char"/>
    <w:basedOn w:val="1"/>
    <w:qFormat/>
    <w:uiPriority w:val="0"/>
    <w:pPr>
      <w:tabs>
        <w:tab w:val="left" w:pos="360"/>
        <w:tab w:val="left" w:pos="420"/>
      </w:tabs>
      <w:ind w:left="360" w:hanging="360"/>
    </w:pPr>
    <w:rPr>
      <w:rFonts w:ascii="等线" w:hAnsi="等线" w:eastAsia="等线" w:cs="等线"/>
    </w:rPr>
  </w:style>
  <w:style w:type="paragraph" w:customStyle="1" w:styleId="695">
    <w:name w:val="Char2 Char Char"/>
    <w:basedOn w:val="1"/>
    <w:qFormat/>
    <w:uiPriority w:val="0"/>
    <w:pPr>
      <w:spacing w:line="360" w:lineRule="auto"/>
      <w:ind w:firstLine="200" w:firstLineChars="200"/>
    </w:pPr>
    <w:rPr>
      <w:rFonts w:ascii="Tahoma" w:hAnsi="Tahoma" w:eastAsia="等线" w:cs="等线"/>
      <w:sz w:val="24"/>
      <w:szCs w:val="20"/>
    </w:rPr>
  </w:style>
  <w:style w:type="paragraph" w:customStyle="1" w:styleId="696">
    <w:name w:val="xl5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97">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698">
    <w:name w:val="font9"/>
    <w:basedOn w:val="1"/>
    <w:qFormat/>
    <w:uiPriority w:val="0"/>
    <w:pPr>
      <w:widowControl/>
      <w:spacing w:before="100" w:beforeAutospacing="1" w:after="100" w:afterAutospacing="1"/>
      <w:jc w:val="left"/>
    </w:pPr>
    <w:rPr>
      <w:rFonts w:hint="eastAsia" w:ascii="宋体" w:hAnsi="宋体" w:eastAsia="等线" w:cs="等线"/>
      <w:kern w:val="0"/>
      <w:sz w:val="24"/>
    </w:rPr>
  </w:style>
  <w:style w:type="paragraph" w:customStyle="1" w:styleId="699">
    <w:name w:val="Char Char Char Char Char Char"/>
    <w:basedOn w:val="1"/>
    <w:qFormat/>
    <w:uiPriority w:val="0"/>
    <w:rPr>
      <w:rFonts w:ascii="Tahoma" w:hAnsi="Tahoma" w:eastAsia="等线" w:cs="等线"/>
      <w:sz w:val="24"/>
      <w:szCs w:val="20"/>
    </w:rPr>
  </w:style>
  <w:style w:type="paragraph" w:customStyle="1" w:styleId="700">
    <w:name w:val="font1"/>
    <w:basedOn w:val="1"/>
    <w:qFormat/>
    <w:uiPriority w:val="0"/>
    <w:pPr>
      <w:widowControl/>
      <w:spacing w:before="100" w:beforeAutospacing="1" w:after="100" w:afterAutospacing="1"/>
      <w:jc w:val="left"/>
    </w:pPr>
    <w:rPr>
      <w:rFonts w:hint="eastAsia" w:ascii="宋体" w:hAnsi="宋体" w:eastAsia="等线" w:cs="等线"/>
      <w:kern w:val="0"/>
      <w:sz w:val="24"/>
    </w:rPr>
  </w:style>
  <w:style w:type="paragraph" w:customStyle="1" w:styleId="701">
    <w:name w:val="xl2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02">
    <w:name w:val="xl25"/>
    <w:basedOn w:val="1"/>
    <w:qFormat/>
    <w:uiPriority w:val="0"/>
    <w:pPr>
      <w:widowControl/>
      <w:autoSpaceDE w:val="0"/>
      <w:autoSpaceDN w:val="0"/>
      <w:adjustRightInd w:val="0"/>
      <w:spacing w:before="100" w:beforeAutospacing="1" w:after="100" w:afterAutospacing="1"/>
      <w:jc w:val="center"/>
      <w:textAlignment w:val="center"/>
    </w:pPr>
    <w:rPr>
      <w:rFonts w:hint="eastAsia" w:ascii="Arial Unicode MS" w:hAnsi="仿宋_GB2312" w:eastAsia="Arial Unicode MS" w:cs="等线"/>
      <w:kern w:val="0"/>
      <w:sz w:val="24"/>
      <w:szCs w:val="20"/>
    </w:rPr>
  </w:style>
  <w:style w:type="paragraph" w:customStyle="1" w:styleId="703">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704">
    <w:name w:val="style1"/>
    <w:basedOn w:val="1"/>
    <w:qFormat/>
    <w:uiPriority w:val="0"/>
    <w:pPr>
      <w:widowControl/>
      <w:spacing w:before="100" w:beforeAutospacing="1" w:after="100" w:afterAutospacing="1" w:line="360" w:lineRule="auto"/>
      <w:ind w:firstLine="200" w:firstLineChars="200"/>
      <w:jc w:val="left"/>
    </w:pPr>
    <w:rPr>
      <w:rFonts w:ascii="宋体" w:hAnsi="宋体" w:eastAsia="等线" w:cs="宋体"/>
      <w:b/>
      <w:bCs/>
      <w:color w:val="FF0000"/>
      <w:kern w:val="0"/>
      <w:sz w:val="28"/>
      <w:szCs w:val="28"/>
    </w:rPr>
  </w:style>
  <w:style w:type="paragraph" w:customStyle="1" w:styleId="705">
    <w:name w:val="xl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706">
    <w:name w:val="TOC Heading1"/>
    <w:basedOn w:val="4"/>
    <w:next w:val="1"/>
    <w:qFormat/>
    <w:uiPriority w:val="0"/>
    <w:pPr>
      <w:keepLines/>
      <w:widowControl/>
      <w:spacing w:before="480" w:line="276" w:lineRule="auto"/>
      <w:jc w:val="left"/>
      <w:outlineLvl w:val="9"/>
    </w:pPr>
    <w:rPr>
      <w:rFonts w:ascii="Verdana" w:hAnsi="Verdana" w:eastAsia="仿宋_GB2312" w:cs="新宋体"/>
      <w:color w:val="365F91"/>
      <w:kern w:val="0"/>
      <w:sz w:val="28"/>
      <w:szCs w:val="28"/>
    </w:rPr>
  </w:style>
  <w:style w:type="paragraph" w:customStyle="1" w:styleId="707">
    <w:name w:val="正文文字表格居中"/>
    <w:basedOn w:val="1"/>
    <w:next w:val="55"/>
    <w:qFormat/>
    <w:uiPriority w:val="0"/>
    <w:pPr>
      <w:autoSpaceDE w:val="0"/>
      <w:autoSpaceDN w:val="0"/>
      <w:adjustRightInd w:val="0"/>
      <w:snapToGrid w:val="0"/>
      <w:spacing w:line="360" w:lineRule="auto"/>
      <w:jc w:val="left"/>
    </w:pPr>
    <w:rPr>
      <w:rFonts w:ascii="仿宋_GB2312" w:hAnsi="等线" w:eastAsia="等线" w:cs="等线"/>
      <w:b/>
      <w:kern w:val="0"/>
      <w:sz w:val="24"/>
      <w:szCs w:val="20"/>
    </w:rPr>
  </w:style>
  <w:style w:type="paragraph" w:customStyle="1" w:styleId="708">
    <w:name w:val="普通 (Web)"/>
    <w:basedOn w:val="1"/>
    <w:qFormat/>
    <w:uiPriority w:val="0"/>
    <w:pPr>
      <w:widowControl/>
      <w:spacing w:before="100" w:after="100"/>
      <w:jc w:val="left"/>
    </w:pPr>
    <w:rPr>
      <w:rFonts w:ascii="宋体" w:hAnsi="宋体" w:eastAsia="等线" w:cs="等线"/>
      <w:kern w:val="0"/>
      <w:sz w:val="24"/>
      <w:szCs w:val="20"/>
    </w:rPr>
  </w:style>
  <w:style w:type="paragraph" w:customStyle="1" w:styleId="709">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color w:val="000000"/>
      <w:kern w:val="0"/>
      <w:sz w:val="24"/>
    </w:rPr>
  </w:style>
  <w:style w:type="paragraph" w:customStyle="1" w:styleId="710">
    <w:name w:val="列出段落2"/>
    <w:basedOn w:val="1"/>
    <w:qFormat/>
    <w:uiPriority w:val="0"/>
    <w:pPr>
      <w:spacing w:line="360" w:lineRule="auto"/>
      <w:ind w:firstLine="420" w:firstLineChars="200"/>
    </w:pPr>
    <w:rPr>
      <w:rFonts w:ascii="等线" w:hAnsi="等线" w:eastAsia="等线" w:cs="等线"/>
      <w:szCs w:val="20"/>
    </w:rPr>
  </w:style>
  <w:style w:type="paragraph" w:customStyle="1" w:styleId="711">
    <w:name w:val="xl4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等线" w:cs="等线"/>
      <w:kern w:val="0"/>
      <w:sz w:val="20"/>
      <w:szCs w:val="20"/>
    </w:rPr>
  </w:style>
  <w:style w:type="paragraph" w:customStyle="1" w:styleId="712">
    <w:name w:val="Char Char1 Char Char"/>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713">
    <w:name w:val="xl11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14">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715">
    <w:name w:val="1、"/>
    <w:basedOn w:val="1"/>
    <w:qFormat/>
    <w:uiPriority w:val="0"/>
    <w:pPr>
      <w:adjustRightInd w:val="0"/>
      <w:spacing w:line="454" w:lineRule="atLeast"/>
      <w:ind w:left="1276" w:hanging="426" w:firstLineChars="200"/>
      <w:textAlignment w:val="baseline"/>
    </w:pPr>
    <w:rPr>
      <w:rFonts w:ascii="PMingLiU" w:hAnsi="等线" w:eastAsia="PMingLiU" w:cs="等线"/>
      <w:kern w:val="0"/>
      <w:sz w:val="28"/>
      <w:szCs w:val="20"/>
      <w:lang w:eastAsia="zh-TW"/>
    </w:rPr>
  </w:style>
  <w:style w:type="paragraph" w:customStyle="1" w:styleId="716">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等线" w:hAnsi="等线" w:eastAsia="Times New Roman" w:cs="等线"/>
      <w:kern w:val="0"/>
      <w:szCs w:val="22"/>
    </w:rPr>
  </w:style>
  <w:style w:type="paragraph" w:customStyle="1" w:styleId="717">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等线" w:hAnsi="等线" w:eastAsia="等线" w:cs="等线"/>
      <w:kern w:val="0"/>
      <w:sz w:val="24"/>
    </w:rPr>
  </w:style>
  <w:style w:type="paragraph" w:customStyle="1" w:styleId="718">
    <w:name w:val="正文缩进HS-正文1"/>
    <w:basedOn w:val="1"/>
    <w:qFormat/>
    <w:uiPriority w:val="0"/>
    <w:pPr>
      <w:jc w:val="center"/>
    </w:pPr>
    <w:rPr>
      <w:rFonts w:ascii="宋体" w:hAnsi="宋体" w:eastAsia="等线" w:cs="等线"/>
      <w:color w:val="000000"/>
      <w:szCs w:val="21"/>
    </w:rPr>
  </w:style>
  <w:style w:type="paragraph" w:customStyle="1" w:styleId="719">
    <w:name w:val="列项——（一级）"/>
    <w:qFormat/>
    <w:uiPriority w:val="0"/>
    <w:pPr>
      <w:widowControl w:val="0"/>
      <w:tabs>
        <w:tab w:val="left" w:pos="854"/>
        <w:tab w:val="left" w:pos="1260"/>
      </w:tabs>
      <w:ind w:left="1260" w:hanging="420"/>
      <w:jc w:val="both"/>
    </w:pPr>
    <w:rPr>
      <w:rFonts w:ascii="仿宋_GB2312" w:hAnsi="等线" w:eastAsia="等线" w:cs="等线"/>
      <w:sz w:val="21"/>
      <w:lang w:val="en-US" w:eastAsia="zh-CN" w:bidi="ar-SA"/>
    </w:rPr>
  </w:style>
  <w:style w:type="paragraph" w:customStyle="1" w:styleId="720">
    <w:name w:val="缺省文本"/>
    <w:basedOn w:val="1"/>
    <w:qFormat/>
    <w:uiPriority w:val="0"/>
    <w:pPr>
      <w:autoSpaceDE w:val="0"/>
      <w:autoSpaceDN w:val="0"/>
      <w:adjustRightInd w:val="0"/>
      <w:spacing w:line="360" w:lineRule="auto"/>
      <w:ind w:firstLine="200" w:firstLineChars="200"/>
      <w:jc w:val="left"/>
    </w:pPr>
    <w:rPr>
      <w:rFonts w:ascii="等线" w:hAnsi="等线" w:eastAsia="等线" w:cs="等线"/>
      <w:kern w:val="0"/>
      <w:sz w:val="24"/>
      <w:szCs w:val="20"/>
    </w:rPr>
  </w:style>
  <w:style w:type="paragraph" w:customStyle="1" w:styleId="721">
    <w:name w:val="xl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722">
    <w:name w:val="6"/>
    <w:basedOn w:val="1"/>
    <w:qFormat/>
    <w:uiPriority w:val="0"/>
    <w:pPr>
      <w:tabs>
        <w:tab w:val="left" w:pos="360"/>
      </w:tabs>
    </w:pPr>
    <w:rPr>
      <w:rFonts w:ascii="等线" w:hAnsi="等线" w:eastAsia="等线" w:cs="等线"/>
      <w:szCs w:val="20"/>
    </w:rPr>
  </w:style>
  <w:style w:type="paragraph" w:customStyle="1" w:styleId="723">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pacing w:line="360" w:lineRule="auto"/>
      <w:ind w:firstLine="200" w:firstLineChars="200"/>
      <w:jc w:val="left"/>
    </w:pPr>
    <w:rPr>
      <w:rFonts w:ascii="Courier New" w:hAnsi="Courier New" w:eastAsia="等线" w:cs="等线"/>
      <w:kern w:val="0"/>
      <w:sz w:val="20"/>
      <w:szCs w:val="20"/>
    </w:rPr>
  </w:style>
  <w:style w:type="paragraph" w:customStyle="1" w:styleId="724">
    <w:name w:val="Char Char Char Char Char Char Char Char Char"/>
    <w:basedOn w:val="1"/>
    <w:qFormat/>
    <w:uiPriority w:val="0"/>
    <w:pPr>
      <w:widowControl/>
      <w:spacing w:before="100" w:beforeAutospacing="1" w:after="100" w:afterAutospacing="1" w:line="360" w:lineRule="auto"/>
      <w:ind w:left="357"/>
      <w:jc w:val="left"/>
    </w:pPr>
    <w:rPr>
      <w:rFonts w:ascii="ˎ̥" w:hAnsi="ˎ̥" w:eastAsia="等线" w:cs="宋体"/>
      <w:color w:val="51585D"/>
      <w:kern w:val="0"/>
      <w:sz w:val="24"/>
      <w:szCs w:val="18"/>
    </w:rPr>
  </w:style>
  <w:style w:type="paragraph" w:customStyle="1" w:styleId="725">
    <w:name w:val="xl62"/>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26">
    <w:name w:val="Char Char Char Char Char Char Char Char Char Char1"/>
    <w:basedOn w:val="1"/>
    <w:qFormat/>
    <w:uiPriority w:val="0"/>
    <w:pPr>
      <w:widowControl/>
      <w:spacing w:after="160" w:line="240" w:lineRule="exact"/>
      <w:ind w:firstLine="200" w:firstLineChars="200"/>
      <w:jc w:val="left"/>
    </w:pPr>
    <w:rPr>
      <w:rFonts w:ascii="Verdana" w:hAnsi="Verdana" w:eastAsia="仿宋_GB2312" w:cs="等线"/>
      <w:kern w:val="0"/>
      <w:sz w:val="24"/>
      <w:szCs w:val="20"/>
      <w:lang w:eastAsia="en-US"/>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Calibri" w:hAnsi="Calibri" w:eastAsia="Calibri" w:cs="仿宋_GB2312"/>
      <w:color w:val="000000"/>
      <w:kern w:val="0"/>
      <w:sz w:val="24"/>
    </w:rPr>
  </w:style>
  <w:style w:type="paragraph" w:customStyle="1" w:styleId="728">
    <w:name w:val="xl7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Calibri" w:hAnsi="Calibri" w:eastAsia="Calibri" w:cs="仿宋_GB2312"/>
      <w:b/>
      <w:bCs/>
      <w:color w:val="FF0000"/>
      <w:kern w:val="0"/>
      <w:sz w:val="24"/>
    </w:rPr>
  </w:style>
  <w:style w:type="paragraph" w:customStyle="1" w:styleId="729">
    <w:name w:val="font14"/>
    <w:basedOn w:val="1"/>
    <w:qFormat/>
    <w:uiPriority w:val="0"/>
    <w:pPr>
      <w:widowControl/>
      <w:spacing w:before="100" w:beforeAutospacing="1" w:after="100" w:afterAutospacing="1"/>
      <w:jc w:val="left"/>
    </w:pPr>
    <w:rPr>
      <w:rFonts w:hint="eastAsia" w:ascii="黑体" w:hAnsi="宋体" w:eastAsia="黑体" w:cs="等线"/>
      <w:kern w:val="0"/>
      <w:sz w:val="18"/>
      <w:szCs w:val="18"/>
    </w:rPr>
  </w:style>
  <w:style w:type="paragraph" w:customStyle="1" w:styleId="730">
    <w:name w:val="正文列表"/>
    <w:basedOn w:val="1"/>
    <w:qFormat/>
    <w:uiPriority w:val="0"/>
    <w:pPr>
      <w:autoSpaceDE w:val="0"/>
      <w:autoSpaceDN w:val="0"/>
      <w:adjustRightInd w:val="0"/>
      <w:spacing w:line="360" w:lineRule="auto"/>
      <w:ind w:firstLine="200" w:firstLineChars="200"/>
      <w:jc w:val="center"/>
      <w:textAlignment w:val="baseline"/>
    </w:pPr>
    <w:rPr>
      <w:rFonts w:ascii="宋体" w:hAnsi="宋体" w:eastAsia="等线" w:cs="等线"/>
      <w:kern w:val="0"/>
      <w:sz w:val="24"/>
      <w:szCs w:val="20"/>
    </w:rPr>
  </w:style>
  <w:style w:type="paragraph" w:customStyle="1" w:styleId="731">
    <w:name w:val="普通(网站)1"/>
    <w:basedOn w:val="1"/>
    <w:qFormat/>
    <w:uiPriority w:val="0"/>
    <w:pPr>
      <w:widowControl/>
      <w:spacing w:before="100" w:beforeAutospacing="1" w:after="100" w:afterAutospacing="1" w:line="360" w:lineRule="auto"/>
      <w:ind w:firstLine="200" w:firstLineChars="200"/>
      <w:jc w:val="left"/>
    </w:pPr>
    <w:rPr>
      <w:rFonts w:ascii="宋体" w:hAnsi="宋体" w:eastAsia="等线" w:cs="等线"/>
      <w:color w:val="000000"/>
      <w:kern w:val="0"/>
      <w:sz w:val="24"/>
      <w:szCs w:val="20"/>
    </w:rPr>
  </w:style>
  <w:style w:type="paragraph" w:customStyle="1" w:styleId="732">
    <w:name w:val="p16"/>
    <w:basedOn w:val="1"/>
    <w:qFormat/>
    <w:uiPriority w:val="0"/>
    <w:pPr>
      <w:widowControl/>
      <w:spacing w:before="100" w:after="100" w:line="360" w:lineRule="auto"/>
      <w:ind w:firstLine="420" w:firstLineChars="200"/>
    </w:pPr>
    <w:rPr>
      <w:rFonts w:ascii="Calibri" w:hAnsi="Calibri" w:eastAsia="等线" w:cs="等线"/>
      <w:kern w:val="0"/>
      <w:sz w:val="24"/>
      <w:szCs w:val="20"/>
    </w:rPr>
  </w:style>
  <w:style w:type="paragraph" w:customStyle="1" w:styleId="733">
    <w:name w:val="Char Char Char1 Char Char Char Char"/>
    <w:basedOn w:val="1"/>
    <w:qFormat/>
    <w:uiPriority w:val="0"/>
    <w:pPr>
      <w:spacing w:line="360" w:lineRule="auto"/>
      <w:ind w:firstLine="200" w:firstLineChars="200"/>
    </w:pPr>
    <w:rPr>
      <w:rFonts w:ascii="Tahoma" w:hAnsi="Tahoma" w:eastAsia="等线" w:cs="等线"/>
      <w:sz w:val="24"/>
      <w:szCs w:val="20"/>
    </w:rPr>
  </w:style>
  <w:style w:type="paragraph" w:customStyle="1" w:styleId="734">
    <w:name w:val="text1"/>
    <w:qFormat/>
    <w:uiPriority w:val="0"/>
    <w:rPr>
      <w:rFonts w:ascii="等线" w:hAnsi="等线" w:eastAsia="DFKai-SB" w:cs="等线"/>
      <w:sz w:val="28"/>
      <w:lang w:val="en-US" w:eastAsia="zh-TW" w:bidi="ar-SA"/>
    </w:rPr>
  </w:style>
  <w:style w:type="table" w:customStyle="1" w:styleId="735">
    <w:name w:val="网格表 1 浅色 - 着色 41"/>
    <w:basedOn w:val="63"/>
    <w:qFormat/>
    <w:uiPriority w:val="46"/>
    <w:rPr>
      <w:rFonts w:hint="eastAsia" w:ascii="等线" w:hAnsi="等线" w:eastAsia="等线" w:cs="等线"/>
    </w:rPr>
    <w:tblPr>
      <w:tblBorders>
        <w:top w:val="single" w:color="FFE599" w:sz="4" w:space="0"/>
        <w:left w:val="single" w:color="FFE599" w:sz="4" w:space="0"/>
        <w:bottom w:val="single" w:color="FFE599" w:sz="4" w:space="0"/>
        <w:right w:val="single" w:color="FFE599" w:sz="4" w:space="0"/>
        <w:insideH w:val="single" w:color="FFE599" w:sz="4" w:space="0"/>
        <w:insideV w:val="single" w:color="FFE599" w:sz="4" w:space="0"/>
      </w:tblBorders>
    </w:tblPr>
    <w:tblStylePr w:type="firstRow">
      <w:rPr>
        <w:b/>
        <w:bCs/>
      </w:rPr>
      <w:tcPr>
        <w:tcBorders>
          <w:top w:val="nil"/>
          <w:left w:val="nil"/>
          <w:bottom w:val="single" w:color="FFD966" w:sz="12" w:space="0"/>
          <w:right w:val="nil"/>
          <w:insideH w:val="nil"/>
          <w:insideV w:val="nil"/>
          <w:tl2br w:val="nil"/>
          <w:tr2bl w:val="nil"/>
        </w:tcBorders>
      </w:tcPr>
    </w:tblStylePr>
    <w:tblStylePr w:type="lastRow">
      <w:rPr>
        <w:b/>
        <w:bCs/>
      </w:rPr>
      <w:tcPr>
        <w:tcBorders>
          <w:top w:val="double" w:color="FFD966" w:sz="2" w:space="0"/>
          <w:left w:val="nil"/>
          <w:bottom w:val="nil"/>
          <w:right w:val="nil"/>
          <w:insideH w:val="nil"/>
          <w:insideV w:val="nil"/>
          <w:tl2br w:val="nil"/>
          <w:tr2bl w:val="nil"/>
        </w:tcBorders>
      </w:tcPr>
    </w:tblStylePr>
    <w:tblStylePr w:type="firstCol">
      <w:rPr>
        <w:b/>
        <w:bCs/>
      </w:rPr>
    </w:tblStylePr>
    <w:tblStylePr w:type="lastCol">
      <w:rPr>
        <w:b/>
        <w:bCs/>
      </w:rPr>
    </w:tblStylePr>
  </w:style>
  <w:style w:type="table" w:customStyle="1" w:styleId="736">
    <w:name w:val="网格表 5 深色 - 着色 11"/>
    <w:basedOn w:val="63"/>
    <w:qFormat/>
    <w:uiPriority w:val="50"/>
    <w:rPr>
      <w:rFonts w:hint="eastAsia" w:ascii="等线" w:hAnsi="等线" w:eastAsia="等线" w:cs="等线"/>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Pr>
    <w:tcPr>
      <w:shd w:val="clear" w:color="auto" w:fill="DEEAF6"/>
    </w:tcPr>
    <w:tblStylePr w:type="firstRow">
      <w:rPr>
        <w:b/>
        <w:bCs/>
        <w:color w:val="FFFFFF"/>
      </w:rPr>
      <w:tcPr>
        <w:tcBorders>
          <w:top w:val="single" w:color="FFFFFF" w:sz="4" w:space="0"/>
          <w:left w:val="single" w:color="FFFFFF" w:sz="4" w:space="0"/>
          <w:bottom w:val="nil"/>
          <w:right w:val="single" w:color="FFFFFF" w:sz="4" w:space="0"/>
          <w:insideH w:val="nil"/>
          <w:insideV w:val="nil"/>
          <w:tl2br w:val="nil"/>
          <w:tr2bl w:val="nil"/>
        </w:tcBorders>
        <w:shd w:val="clear" w:color="auto" w:fill="5B9BD5"/>
      </w:tcPr>
    </w:tblStylePr>
    <w:tblStylePr w:type="lastRow">
      <w:rPr>
        <w:b/>
        <w:bCs/>
        <w:color w:val="FFFFFF"/>
      </w:rPr>
      <w:tcPr>
        <w:tcBorders>
          <w:top w:val="nil"/>
          <w:left w:val="single" w:color="FFFFFF" w:sz="4" w:space="0"/>
          <w:bottom w:val="single" w:color="FFFFFF" w:sz="4" w:space="0"/>
          <w:right w:val="single" w:color="FFFFFF" w:sz="4" w:space="0"/>
          <w:insideH w:val="nil"/>
          <w:insideV w:val="nil"/>
          <w:tl2br w:val="nil"/>
          <w:tr2bl w:val="nil"/>
        </w:tcBorders>
        <w:shd w:val="clear" w:color="auto" w:fill="5B9BD5"/>
      </w:tcPr>
    </w:tblStylePr>
    <w:tblStylePr w:type="firstCol">
      <w:rPr>
        <w:b/>
        <w:bCs/>
        <w:color w:val="FFFFFF"/>
      </w:rPr>
      <w:tcPr>
        <w:tcBorders>
          <w:top w:val="single" w:color="FFFFFF" w:sz="4" w:space="0"/>
          <w:left w:val="single" w:color="FFFFFF" w:sz="4" w:space="0"/>
          <w:bottom w:val="single" w:color="FFFFFF" w:sz="4" w:space="0"/>
          <w:right w:val="nil"/>
          <w:insideH w:val="nil"/>
          <w:insideV w:val="nil"/>
          <w:tl2br w:val="nil"/>
          <w:tr2bl w:val="nil"/>
        </w:tcBorders>
        <w:shd w:val="clear" w:color="auto" w:fill="5B9BD5"/>
      </w:tcPr>
    </w:tblStylePr>
    <w:tblStylePr w:type="lastCol">
      <w:rPr>
        <w:b/>
        <w:bCs/>
        <w:color w:val="FFFFFF"/>
      </w:rPr>
      <w:tcPr>
        <w:tcBorders>
          <w:top w:val="single" w:color="FFFFFF" w:sz="4" w:space="0"/>
          <w:left w:val="nil"/>
          <w:bottom w:val="single" w:color="FFFFFF" w:sz="4" w:space="0"/>
          <w:right w:val="single" w:color="FFFFFF" w:sz="4" w:space="0"/>
          <w:insideH w:val="nil"/>
          <w:insideV w:val="nil"/>
          <w:tl2br w:val="nil"/>
          <w:tr2bl w:val="nil"/>
        </w:tcBorders>
        <w:shd w:val="clear" w:color="auto" w:fill="5B9BD5"/>
      </w:tcPr>
    </w:tblStylePr>
    <w:tblStylePr w:type="band1Vert">
      <w:tcPr>
        <w:shd w:val="clear" w:color="auto" w:fill="BDD6EE"/>
      </w:tcPr>
    </w:tblStylePr>
    <w:tblStylePr w:type="band1Horz">
      <w:tcPr>
        <w:shd w:val="clear" w:color="auto" w:fill="BDD6EE"/>
      </w:tcPr>
    </w:tblStylePr>
  </w:style>
  <w:style w:type="table" w:customStyle="1" w:styleId="737">
    <w:name w:val="网格型浅色1"/>
    <w:basedOn w:val="63"/>
    <w:qFormat/>
    <w:uiPriority w:val="40"/>
    <w:rPr>
      <w:rFonts w:hint="eastAsia" w:ascii="等线" w:hAnsi="等线" w:eastAsia="等线" w:cs="等线"/>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table" w:customStyle="1" w:styleId="738">
    <w:name w:val="网格表 1 浅色 - 着色 31"/>
    <w:basedOn w:val="63"/>
    <w:qFormat/>
    <w:uiPriority w:val="46"/>
    <w:rPr>
      <w:rFonts w:hint="eastAsia" w:ascii="等线" w:hAnsi="等线" w:eastAsia="等线" w:cs="等线"/>
    </w:rPr>
    <w:tblPr>
      <w:tblBorders>
        <w:top w:val="single" w:color="DBDBDB" w:sz="4" w:space="0"/>
        <w:left w:val="single" w:color="DBDBDB" w:sz="4" w:space="0"/>
        <w:bottom w:val="single" w:color="DBDBDB" w:sz="4" w:space="0"/>
        <w:right w:val="single" w:color="DBDBDB" w:sz="4" w:space="0"/>
        <w:insideH w:val="single" w:color="DBDBDB" w:sz="4" w:space="0"/>
        <w:insideV w:val="single" w:color="DBDBDB" w:sz="4" w:space="0"/>
      </w:tblBorders>
    </w:tblPr>
    <w:tblStylePr w:type="firstRow">
      <w:rPr>
        <w:b/>
        <w:bCs/>
      </w:rPr>
      <w:tcPr>
        <w:tcBorders>
          <w:top w:val="nil"/>
          <w:left w:val="nil"/>
          <w:bottom w:val="single" w:color="C9C9C9" w:sz="12" w:space="0"/>
          <w:right w:val="nil"/>
          <w:insideH w:val="nil"/>
          <w:insideV w:val="nil"/>
          <w:tl2br w:val="nil"/>
          <w:tr2bl w:val="nil"/>
        </w:tcBorders>
      </w:tcPr>
    </w:tblStylePr>
    <w:tblStylePr w:type="lastRow">
      <w:rPr>
        <w:b/>
        <w:bCs/>
      </w:rPr>
      <w:tcPr>
        <w:tcBorders>
          <w:top w:val="double" w:color="C9C9C9" w:sz="2" w:space="0"/>
          <w:left w:val="nil"/>
          <w:bottom w:val="nil"/>
          <w:right w:val="nil"/>
          <w:insideH w:val="nil"/>
          <w:insideV w:val="nil"/>
          <w:tl2br w:val="nil"/>
          <w:tr2bl w:val="nil"/>
        </w:tcBorders>
      </w:tcPr>
    </w:tblStylePr>
    <w:tblStylePr w:type="firstCol">
      <w:rPr>
        <w:b/>
        <w:bCs/>
      </w:rPr>
    </w:tblStylePr>
    <w:tblStylePr w:type="lastCol">
      <w:rPr>
        <w:b/>
        <w:bCs/>
      </w:rPr>
    </w:tblStylePr>
  </w:style>
  <w:style w:type="character" w:customStyle="1" w:styleId="739">
    <w:name w:val="表格 Char"/>
    <w:qFormat/>
    <w:uiPriority w:val="99"/>
    <w:rPr>
      <w:kern w:val="2"/>
      <w:sz w:val="24"/>
    </w:rPr>
  </w:style>
  <w:style w:type="character" w:customStyle="1" w:styleId="740">
    <w:name w:val="font51"/>
    <w:qFormat/>
    <w:uiPriority w:val="0"/>
    <w:rPr>
      <w:rFonts w:hint="eastAsia" w:ascii="宋体" w:hAnsi="宋体" w:eastAsia="宋体" w:cs="宋体"/>
      <w:color w:val="000000"/>
      <w:sz w:val="24"/>
      <w:szCs w:val="24"/>
      <w:u w:val="none"/>
    </w:rPr>
  </w:style>
  <w:style w:type="character" w:customStyle="1" w:styleId="741">
    <w:name w:val="fontstyle31"/>
    <w:qFormat/>
    <w:uiPriority w:val="0"/>
    <w:rPr>
      <w:rFonts w:ascii="TimesNewRomanPSMT" w:hAnsi="TimesNewRomanPSMT" w:eastAsia="TimesNewRomanPSMT" w:cs="TimesNewRomanPSMT"/>
      <w:color w:val="000000"/>
      <w:sz w:val="22"/>
      <w:szCs w:val="22"/>
    </w:rPr>
  </w:style>
  <w:style w:type="character" w:customStyle="1" w:styleId="742">
    <w:name w:val="尾注文本 Char"/>
    <w:qFormat/>
    <w:uiPriority w:val="1"/>
    <w:rPr>
      <w:kern w:val="2"/>
      <w:sz w:val="28"/>
      <w:szCs w:val="24"/>
    </w:rPr>
  </w:style>
  <w:style w:type="character" w:customStyle="1" w:styleId="743">
    <w:name w:val="font81"/>
    <w:qFormat/>
    <w:uiPriority w:val="0"/>
    <w:rPr>
      <w:rFonts w:hint="eastAsia" w:ascii="宋体" w:hAnsi="宋体" w:eastAsia="宋体" w:cs="宋体"/>
      <w:color w:val="000000"/>
      <w:sz w:val="20"/>
      <w:szCs w:val="20"/>
      <w:u w:val="none"/>
    </w:rPr>
  </w:style>
  <w:style w:type="character" w:customStyle="1" w:styleId="744">
    <w:name w:val="font101"/>
    <w:qFormat/>
    <w:uiPriority w:val="0"/>
    <w:rPr>
      <w:rFonts w:hint="eastAsia" w:ascii="宋体" w:hAnsi="宋体" w:eastAsia="宋体" w:cs="宋体"/>
      <w:b/>
      <w:color w:val="000000"/>
      <w:sz w:val="24"/>
      <w:szCs w:val="24"/>
      <w:u w:val="none"/>
    </w:rPr>
  </w:style>
  <w:style w:type="character" w:customStyle="1" w:styleId="745">
    <w:name w:val="表头编号 Char"/>
    <w:link w:val="746"/>
    <w:qFormat/>
    <w:uiPriority w:val="0"/>
    <w:rPr>
      <w:rFonts w:eastAsia="黑体"/>
      <w:sz w:val="24"/>
      <w:szCs w:val="24"/>
    </w:rPr>
  </w:style>
  <w:style w:type="paragraph" w:customStyle="1" w:styleId="746">
    <w:name w:val="表头编号"/>
    <w:basedOn w:val="1"/>
    <w:next w:val="747"/>
    <w:link w:val="745"/>
    <w:qFormat/>
    <w:uiPriority w:val="0"/>
    <w:pPr>
      <w:adjustRightInd w:val="0"/>
      <w:snapToGrid w:val="0"/>
      <w:spacing w:line="360" w:lineRule="auto"/>
      <w:jc w:val="left"/>
    </w:pPr>
    <w:rPr>
      <w:rFonts w:eastAsia="黑体"/>
      <w:kern w:val="0"/>
      <w:sz w:val="24"/>
    </w:rPr>
  </w:style>
  <w:style w:type="paragraph" w:customStyle="1" w:styleId="747">
    <w:name w:val="表格文本"/>
    <w:basedOn w:val="1"/>
    <w:next w:val="1"/>
    <w:link w:val="808"/>
    <w:qFormat/>
    <w:uiPriority w:val="0"/>
    <w:pPr>
      <w:adjustRightInd w:val="0"/>
      <w:snapToGrid w:val="0"/>
      <w:jc w:val="center"/>
    </w:pPr>
    <w:rPr>
      <w:color w:val="000000"/>
      <w:kern w:val="0"/>
      <w:sz w:val="24"/>
      <w:szCs w:val="21"/>
    </w:rPr>
  </w:style>
  <w:style w:type="character" w:customStyle="1" w:styleId="748">
    <w:name w:val="表格文字 Char"/>
    <w:link w:val="749"/>
    <w:qFormat/>
    <w:uiPriority w:val="0"/>
    <w:rPr>
      <w:kern w:val="2"/>
      <w:sz w:val="21"/>
      <w:szCs w:val="21"/>
    </w:rPr>
  </w:style>
  <w:style w:type="paragraph" w:customStyle="1" w:styleId="749">
    <w:name w:val="表格文字"/>
    <w:basedOn w:val="265"/>
    <w:next w:val="25"/>
    <w:link w:val="748"/>
    <w:qFormat/>
    <w:uiPriority w:val="0"/>
    <w:pPr>
      <w:autoSpaceDE/>
      <w:autoSpaceDN/>
      <w:spacing w:beforeLines="25" w:afterLines="25"/>
      <w:ind w:firstLine="0" w:firstLineChars="0"/>
      <w:jc w:val="center"/>
    </w:pPr>
    <w:rPr>
      <w:rFonts w:ascii="Times New Roman" w:hAnsi="Times New Roman" w:eastAsia="宋体"/>
      <w:kern w:val="2"/>
      <w:sz w:val="21"/>
      <w:szCs w:val="21"/>
    </w:rPr>
  </w:style>
  <w:style w:type="character" w:customStyle="1" w:styleId="750">
    <w:name w:val="font71"/>
    <w:qFormat/>
    <w:uiPriority w:val="0"/>
    <w:rPr>
      <w:rFonts w:hint="eastAsia" w:ascii="宋体" w:hAnsi="宋体" w:eastAsia="宋体" w:cs="宋体"/>
      <w:color w:val="000000"/>
      <w:sz w:val="24"/>
      <w:szCs w:val="24"/>
      <w:u w:val="none"/>
    </w:rPr>
  </w:style>
  <w:style w:type="character" w:customStyle="1" w:styleId="751">
    <w:name w:val="表格标题/图片标题/日期格式/图片居中 Char"/>
    <w:link w:val="752"/>
    <w:qFormat/>
    <w:uiPriority w:val="0"/>
    <w:rPr>
      <w:b/>
      <w:kern w:val="2"/>
      <w:sz w:val="28"/>
      <w:szCs w:val="24"/>
    </w:rPr>
  </w:style>
  <w:style w:type="paragraph" w:customStyle="1" w:styleId="752">
    <w:name w:val="表格标题/图片标题/日期格式/图片居中"/>
    <w:link w:val="751"/>
    <w:qFormat/>
    <w:uiPriority w:val="0"/>
    <w:pPr>
      <w:jc w:val="center"/>
    </w:pPr>
    <w:rPr>
      <w:rFonts w:ascii="Times New Roman" w:hAnsi="Times New Roman" w:eastAsia="宋体" w:cs="Times New Roman"/>
      <w:b/>
      <w:kern w:val="2"/>
      <w:sz w:val="28"/>
      <w:szCs w:val="24"/>
      <w:lang w:val="en-US" w:eastAsia="zh-CN" w:bidi="ar-SA"/>
    </w:rPr>
  </w:style>
  <w:style w:type="character" w:customStyle="1" w:styleId="753">
    <w:name w:val="font61"/>
    <w:qFormat/>
    <w:uiPriority w:val="0"/>
    <w:rPr>
      <w:rFonts w:hint="eastAsia" w:ascii="宋体" w:hAnsi="宋体" w:eastAsia="宋体" w:cs="宋体"/>
      <w:b/>
      <w:color w:val="000000"/>
      <w:sz w:val="24"/>
      <w:szCs w:val="24"/>
      <w:u w:val="none"/>
    </w:rPr>
  </w:style>
  <w:style w:type="character" w:customStyle="1" w:styleId="754">
    <w:name w:val="font41"/>
    <w:qFormat/>
    <w:uiPriority w:val="0"/>
    <w:rPr>
      <w:rFonts w:hint="default" w:ascii="Times New Roman" w:hAnsi="Times New Roman" w:cs="Times New Roman"/>
      <w:color w:val="000000"/>
      <w:sz w:val="20"/>
      <w:szCs w:val="20"/>
      <w:u w:val="none"/>
    </w:rPr>
  </w:style>
  <w:style w:type="character" w:customStyle="1" w:styleId="755">
    <w:name w:val="fontstyle21"/>
    <w:qFormat/>
    <w:uiPriority w:val="0"/>
    <w:rPr>
      <w:rFonts w:ascii="宋体" w:hAnsi="宋体" w:eastAsia="宋体" w:cs="宋体"/>
      <w:color w:val="000000"/>
      <w:sz w:val="22"/>
      <w:szCs w:val="22"/>
    </w:rPr>
  </w:style>
  <w:style w:type="character" w:customStyle="1" w:styleId="756">
    <w:name w:val="font201"/>
    <w:qFormat/>
    <w:uiPriority w:val="0"/>
    <w:rPr>
      <w:rFonts w:hint="eastAsia" w:ascii="宋体" w:hAnsi="宋体" w:eastAsia="宋体" w:cs="宋体"/>
      <w:b/>
      <w:color w:val="000000"/>
      <w:sz w:val="24"/>
      <w:szCs w:val="24"/>
      <w:u w:val="none"/>
    </w:rPr>
  </w:style>
  <w:style w:type="character" w:customStyle="1" w:styleId="757">
    <w:name w:val="font221"/>
    <w:qFormat/>
    <w:uiPriority w:val="0"/>
    <w:rPr>
      <w:rFonts w:hint="eastAsia" w:ascii="宋体" w:hAnsi="宋体" w:eastAsia="宋体" w:cs="宋体"/>
      <w:color w:val="000000"/>
      <w:sz w:val="24"/>
      <w:szCs w:val="24"/>
      <w:u w:val="none"/>
    </w:rPr>
  </w:style>
  <w:style w:type="character" w:customStyle="1" w:styleId="758">
    <w:name w:val="尾注文本 字符"/>
    <w:basedOn w:val="66"/>
    <w:link w:val="40"/>
    <w:qFormat/>
    <w:uiPriority w:val="99"/>
    <w:rPr>
      <w:kern w:val="2"/>
      <w:sz w:val="21"/>
      <w:szCs w:val="24"/>
    </w:rPr>
  </w:style>
  <w:style w:type="paragraph" w:customStyle="1" w:styleId="759">
    <w:name w:val="表格文字（居中）"/>
    <w:basedOn w:val="1"/>
    <w:qFormat/>
    <w:uiPriority w:val="0"/>
    <w:pPr>
      <w:spacing w:line="360" w:lineRule="auto"/>
      <w:ind w:firstLine="200" w:firstLineChars="200"/>
      <w:jc w:val="center"/>
    </w:pPr>
    <w:rPr>
      <w:sz w:val="28"/>
    </w:rPr>
  </w:style>
  <w:style w:type="paragraph" w:customStyle="1" w:styleId="760">
    <w:name w:val="文章正文"/>
    <w:basedOn w:val="1"/>
    <w:qFormat/>
    <w:uiPriority w:val="0"/>
    <w:pPr>
      <w:spacing w:line="360" w:lineRule="auto"/>
      <w:ind w:firstLine="200" w:firstLineChars="200"/>
    </w:pPr>
    <w:rPr>
      <w:kern w:val="0"/>
      <w:sz w:val="28"/>
      <w:szCs w:val="22"/>
    </w:rPr>
  </w:style>
  <w:style w:type="paragraph" w:customStyle="1" w:styleId="761">
    <w:name w:val="表格内容"/>
    <w:basedOn w:val="1"/>
    <w:qFormat/>
    <w:uiPriority w:val="0"/>
    <w:pPr>
      <w:jc w:val="center"/>
    </w:pPr>
    <w:rPr>
      <w:sz w:val="24"/>
      <w:szCs w:val="21"/>
    </w:rPr>
  </w:style>
  <w:style w:type="paragraph" w:customStyle="1" w:styleId="762">
    <w:name w:val="图名"/>
    <w:basedOn w:val="1"/>
    <w:next w:val="1"/>
    <w:qFormat/>
    <w:uiPriority w:val="1"/>
    <w:pPr>
      <w:spacing w:line="360" w:lineRule="auto"/>
      <w:jc w:val="center"/>
    </w:pPr>
    <w:rPr>
      <w:rFonts w:eastAsia="Times New Roman"/>
      <w:b/>
      <w:color w:val="000000"/>
      <w:sz w:val="28"/>
    </w:rPr>
  </w:style>
  <w:style w:type="paragraph" w:customStyle="1" w:styleId="763">
    <w:name w:val="08-123456789"/>
    <w:basedOn w:val="1"/>
    <w:qFormat/>
    <w:uiPriority w:val="0"/>
    <w:pPr>
      <w:ind w:firstLine="553" w:firstLineChars="200"/>
    </w:pPr>
    <w:rPr>
      <w:rFonts w:cs="宋体"/>
      <w:sz w:val="26"/>
      <w:szCs w:val="26"/>
    </w:rPr>
  </w:style>
  <w:style w:type="paragraph" w:customStyle="1" w:styleId="764">
    <w:name w:val="封面文字"/>
    <w:basedOn w:val="1"/>
    <w:qFormat/>
    <w:uiPriority w:val="0"/>
    <w:pPr>
      <w:spacing w:line="360" w:lineRule="auto"/>
      <w:jc w:val="center"/>
    </w:pPr>
    <w:rPr>
      <w:rFonts w:hAnsi="宋体" w:eastAsia="黑体"/>
      <w:sz w:val="48"/>
    </w:rPr>
  </w:style>
  <w:style w:type="paragraph" w:customStyle="1" w:styleId="765">
    <w:name w:val="表头、图名"/>
    <w:basedOn w:val="1"/>
    <w:link w:val="807"/>
    <w:qFormat/>
    <w:uiPriority w:val="0"/>
    <w:pPr>
      <w:spacing w:line="360" w:lineRule="auto"/>
      <w:ind w:firstLine="200" w:firstLineChars="200"/>
      <w:jc w:val="center"/>
    </w:pPr>
    <w:rPr>
      <w:b/>
      <w:sz w:val="28"/>
      <w:szCs w:val="20"/>
    </w:rPr>
  </w:style>
  <w:style w:type="paragraph" w:customStyle="1" w:styleId="766">
    <w:name w:val="表头2"/>
    <w:basedOn w:val="376"/>
    <w:qFormat/>
    <w:uiPriority w:val="0"/>
    <w:pPr>
      <w:spacing w:line="520" w:lineRule="exact"/>
      <w:jc w:val="left"/>
    </w:pPr>
    <w:rPr>
      <w:rFonts w:ascii="Calibri" w:hAnsi="Calibri" w:eastAsia="宋体"/>
      <w:color w:val="auto"/>
      <w:szCs w:val="28"/>
    </w:rPr>
  </w:style>
  <w:style w:type="paragraph" w:customStyle="1" w:styleId="767">
    <w:name w:val="WPSOffice手动目录 1"/>
    <w:qFormat/>
    <w:uiPriority w:val="0"/>
    <w:rPr>
      <w:rFonts w:ascii="Times New Roman" w:hAnsi="Times New Roman" w:eastAsia="宋体" w:cs="Times New Roman"/>
      <w:lang w:val="en-US" w:eastAsia="zh-CN" w:bidi="ar-SA"/>
    </w:rPr>
  </w:style>
  <w:style w:type="paragraph" w:customStyle="1" w:styleId="768">
    <w:name w:val="表格备注"/>
    <w:basedOn w:val="1"/>
    <w:next w:val="1"/>
    <w:qFormat/>
    <w:uiPriority w:val="2"/>
    <w:pPr>
      <w:spacing w:afterLines="50"/>
    </w:pPr>
  </w:style>
  <w:style w:type="paragraph" w:customStyle="1" w:styleId="769">
    <w:name w:val="目  录"/>
    <w:basedOn w:val="1"/>
    <w:qFormat/>
    <w:uiPriority w:val="0"/>
    <w:pPr>
      <w:spacing w:line="360" w:lineRule="auto"/>
      <w:jc w:val="center"/>
    </w:pPr>
    <w:rPr>
      <w:rFonts w:hAnsi="宋体" w:eastAsia="黑体"/>
      <w:sz w:val="44"/>
    </w:rPr>
  </w:style>
  <w:style w:type="paragraph" w:customStyle="1" w:styleId="770">
    <w:name w:val="表格样式"/>
    <w:basedOn w:val="1"/>
    <w:qFormat/>
    <w:uiPriority w:val="0"/>
    <w:pPr>
      <w:widowControl/>
      <w:jc w:val="center"/>
    </w:pPr>
    <w:rPr>
      <w:bCs/>
      <w:kern w:val="0"/>
      <w:sz w:val="24"/>
    </w:rPr>
  </w:style>
  <w:style w:type="paragraph" w:customStyle="1" w:styleId="771">
    <w:name w:val="正文 1.5 倍行距"/>
    <w:basedOn w:val="1"/>
    <w:qFormat/>
    <w:uiPriority w:val="0"/>
    <w:pPr>
      <w:autoSpaceDE w:val="0"/>
      <w:autoSpaceDN w:val="0"/>
      <w:adjustRightInd w:val="0"/>
      <w:spacing w:line="360" w:lineRule="auto"/>
      <w:ind w:firstLine="480" w:firstLineChars="200"/>
      <w:textAlignment w:val="baseline"/>
    </w:pPr>
    <w:rPr>
      <w:kern w:val="0"/>
      <w:sz w:val="24"/>
      <w:szCs w:val="20"/>
    </w:rPr>
  </w:style>
  <w:style w:type="paragraph" w:customStyle="1" w:styleId="772">
    <w:name w:val="表图内容"/>
    <w:basedOn w:val="1"/>
    <w:qFormat/>
    <w:uiPriority w:val="0"/>
    <w:pPr>
      <w:spacing w:line="360" w:lineRule="auto"/>
      <w:ind w:firstLine="200" w:firstLineChars="200"/>
      <w:jc w:val="center"/>
    </w:pPr>
    <w:rPr>
      <w:sz w:val="24"/>
      <w:szCs w:val="21"/>
    </w:rPr>
  </w:style>
  <w:style w:type="paragraph" w:customStyle="1" w:styleId="773">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74">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75">
    <w:name w:val="图片"/>
    <w:basedOn w:val="1"/>
    <w:qFormat/>
    <w:uiPriority w:val="0"/>
    <w:pPr>
      <w:jc w:val="center"/>
    </w:pPr>
    <w:rPr>
      <w:sz w:val="28"/>
    </w:rPr>
  </w:style>
  <w:style w:type="character" w:customStyle="1" w:styleId="776">
    <w:name w:val="招标正文 字符"/>
    <w:link w:val="777"/>
    <w:qFormat/>
    <w:uiPriority w:val="0"/>
    <w:rPr>
      <w:rFonts w:ascii="宋体" w:hAnsi="宋体"/>
      <w:color w:val="000000"/>
      <w:sz w:val="24"/>
      <w:szCs w:val="21"/>
    </w:rPr>
  </w:style>
  <w:style w:type="paragraph" w:customStyle="1" w:styleId="777">
    <w:name w:val="招标正文"/>
    <w:basedOn w:val="1"/>
    <w:link w:val="776"/>
    <w:qFormat/>
    <w:uiPriority w:val="0"/>
    <w:pPr>
      <w:adjustRightInd w:val="0"/>
      <w:snapToGrid w:val="0"/>
      <w:spacing w:line="360" w:lineRule="auto"/>
      <w:ind w:firstLine="480" w:firstLineChars="200"/>
    </w:pPr>
    <w:rPr>
      <w:rFonts w:ascii="宋体" w:hAnsi="宋体"/>
      <w:color w:val="000000"/>
      <w:kern w:val="0"/>
      <w:sz w:val="24"/>
      <w:szCs w:val="21"/>
    </w:rPr>
  </w:style>
  <w:style w:type="character" w:customStyle="1" w:styleId="778">
    <w:name w:val="招标-标题1 字符"/>
    <w:link w:val="779"/>
    <w:qFormat/>
    <w:uiPriority w:val="0"/>
    <w:rPr>
      <w:rFonts w:ascii="宋体" w:hAnsi="宋体"/>
      <w:b/>
      <w:bCs/>
      <w:sz w:val="28"/>
      <w:szCs w:val="21"/>
    </w:rPr>
  </w:style>
  <w:style w:type="paragraph" w:customStyle="1" w:styleId="779">
    <w:name w:val="招标-标题1"/>
    <w:basedOn w:val="1"/>
    <w:link w:val="778"/>
    <w:qFormat/>
    <w:uiPriority w:val="0"/>
    <w:pPr>
      <w:spacing w:line="300" w:lineRule="auto"/>
      <w:ind w:left="560" w:firstLine="200" w:firstLineChars="200"/>
    </w:pPr>
    <w:rPr>
      <w:rFonts w:ascii="宋体" w:hAnsi="宋体"/>
      <w:b/>
      <w:bCs/>
      <w:kern w:val="0"/>
      <w:sz w:val="28"/>
      <w:szCs w:val="21"/>
    </w:rPr>
  </w:style>
  <w:style w:type="character" w:customStyle="1" w:styleId="780">
    <w:name w:val="招标-主标题 字符"/>
    <w:link w:val="781"/>
    <w:qFormat/>
    <w:uiPriority w:val="0"/>
    <w:rPr>
      <w:rFonts w:ascii="宋体" w:hAnsi="宋体"/>
      <w:b/>
      <w:sz w:val="32"/>
    </w:rPr>
  </w:style>
  <w:style w:type="paragraph" w:customStyle="1" w:styleId="781">
    <w:name w:val="招标-主标题"/>
    <w:basedOn w:val="1"/>
    <w:link w:val="780"/>
    <w:qFormat/>
    <w:uiPriority w:val="0"/>
    <w:pPr>
      <w:tabs>
        <w:tab w:val="left" w:pos="1620"/>
        <w:tab w:val="left" w:pos="1800"/>
        <w:tab w:val="left" w:pos="1980"/>
      </w:tabs>
      <w:spacing w:line="768" w:lineRule="auto"/>
      <w:ind w:firstLine="200" w:firstLineChars="200"/>
      <w:jc w:val="center"/>
    </w:pPr>
    <w:rPr>
      <w:rFonts w:ascii="宋体" w:hAnsi="宋体"/>
      <w:b/>
      <w:kern w:val="0"/>
      <w:sz w:val="32"/>
      <w:szCs w:val="20"/>
    </w:rPr>
  </w:style>
  <w:style w:type="character" w:customStyle="1" w:styleId="782">
    <w:name w:val="标题 Char1"/>
    <w:basedOn w:val="66"/>
    <w:qFormat/>
    <w:uiPriority w:val="10"/>
    <w:rPr>
      <w:rFonts w:eastAsia="宋体" w:asciiTheme="majorHAnsi" w:hAnsiTheme="majorHAnsi" w:cstheme="majorBidi"/>
      <w:b/>
      <w:bCs/>
      <w:sz w:val="32"/>
      <w:szCs w:val="32"/>
    </w:rPr>
  </w:style>
  <w:style w:type="paragraph" w:customStyle="1" w:styleId="783">
    <w:name w:val="Char Char Char Char Char Char1"/>
    <w:basedOn w:val="1"/>
    <w:semiHidden/>
    <w:qFormat/>
    <w:uiPriority w:val="0"/>
    <w:pPr>
      <w:adjustRightInd w:val="0"/>
      <w:spacing w:line="360" w:lineRule="atLeast"/>
      <w:ind w:firstLine="200" w:firstLineChars="200"/>
      <w:textAlignment w:val="baseline"/>
    </w:pPr>
    <w:rPr>
      <w:rFonts w:ascii="仿宋_GB2312" w:eastAsia="仿宋_GB2312"/>
      <w:sz w:val="28"/>
      <w:szCs w:val="28"/>
    </w:rPr>
  </w:style>
  <w:style w:type="paragraph" w:customStyle="1" w:styleId="784">
    <w:name w:val="表名"/>
    <w:basedOn w:val="1"/>
    <w:qFormat/>
    <w:uiPriority w:val="0"/>
    <w:pPr>
      <w:spacing w:after="60" w:line="560" w:lineRule="exact"/>
      <w:ind w:firstLine="100" w:firstLineChars="100"/>
    </w:pPr>
    <w:rPr>
      <w:rFonts w:ascii="黑体" w:eastAsia="黑体"/>
      <w:sz w:val="24"/>
    </w:rPr>
  </w:style>
  <w:style w:type="paragraph" w:customStyle="1" w:styleId="785">
    <w:name w:val="标1 Char Char Char Char Char Char Char"/>
    <w:basedOn w:val="1"/>
    <w:semiHidden/>
    <w:qFormat/>
    <w:uiPriority w:val="0"/>
    <w:pPr>
      <w:adjustRightInd w:val="0"/>
      <w:spacing w:line="360" w:lineRule="atLeast"/>
      <w:ind w:firstLine="200" w:firstLineChars="200"/>
    </w:pPr>
    <w:rPr>
      <w:szCs w:val="28"/>
    </w:rPr>
  </w:style>
  <w:style w:type="paragraph" w:customStyle="1" w:styleId="786">
    <w:name w:val="样式 仿宋_GB2312 小三 黑色"/>
    <w:basedOn w:val="1"/>
    <w:qFormat/>
    <w:uiPriority w:val="0"/>
    <w:pPr>
      <w:autoSpaceDE w:val="0"/>
      <w:autoSpaceDN w:val="0"/>
      <w:adjustRightInd w:val="0"/>
      <w:spacing w:line="520" w:lineRule="exact"/>
      <w:ind w:firstLine="560" w:firstLineChars="200"/>
    </w:pPr>
    <w:rPr>
      <w:rFonts w:ascii="仿宋_GB2312" w:eastAsia="仿宋_GB2312" w:cs="仿宋_GB2312"/>
      <w:sz w:val="30"/>
      <w:szCs w:val="30"/>
      <w:lang w:val="zh-CN"/>
    </w:rPr>
  </w:style>
  <w:style w:type="character" w:customStyle="1" w:styleId="787">
    <w:name w:val="样式 仿宋_GB2312 小三 黑色 Char"/>
    <w:qFormat/>
    <w:uiPriority w:val="0"/>
    <w:rPr>
      <w:rFonts w:ascii="仿宋_GB2312" w:eastAsia="仿宋_GB2312" w:cs="仿宋_GB2312"/>
      <w:kern w:val="2"/>
      <w:sz w:val="30"/>
      <w:szCs w:val="30"/>
      <w:lang w:val="zh-CN" w:eastAsia="zh-CN" w:bidi="ar-SA"/>
    </w:rPr>
  </w:style>
  <w:style w:type="paragraph" w:customStyle="1" w:styleId="788">
    <w:name w:val="样式 仿宋_GB2312 小三"/>
    <w:basedOn w:val="1"/>
    <w:qFormat/>
    <w:uiPriority w:val="0"/>
    <w:pPr>
      <w:autoSpaceDE w:val="0"/>
      <w:autoSpaceDN w:val="0"/>
      <w:adjustRightInd w:val="0"/>
      <w:spacing w:line="520" w:lineRule="exact"/>
      <w:ind w:firstLine="600" w:firstLineChars="200"/>
    </w:pPr>
    <w:rPr>
      <w:rFonts w:ascii="仿宋_GB2312" w:eastAsia="仿宋_GB2312" w:cs="仿宋_GB2312"/>
      <w:sz w:val="30"/>
      <w:szCs w:val="30"/>
      <w:lang w:val="zh-CN"/>
    </w:rPr>
  </w:style>
  <w:style w:type="character" w:customStyle="1" w:styleId="789">
    <w:name w:val="样式 仿宋_GB2312 小三 Char"/>
    <w:qFormat/>
    <w:uiPriority w:val="0"/>
    <w:rPr>
      <w:rFonts w:ascii="仿宋_GB2312" w:eastAsia="仿宋_GB2312" w:cs="仿宋_GB2312"/>
      <w:kern w:val="2"/>
      <w:sz w:val="30"/>
      <w:szCs w:val="30"/>
      <w:lang w:val="zh-CN" w:eastAsia="zh-CN" w:bidi="ar-SA"/>
    </w:rPr>
  </w:style>
  <w:style w:type="paragraph" w:customStyle="1" w:styleId="790">
    <w:name w:val="样式4"/>
    <w:basedOn w:val="1"/>
    <w:qFormat/>
    <w:uiPriority w:val="0"/>
    <w:pPr>
      <w:spacing w:line="360" w:lineRule="auto"/>
      <w:ind w:firstLine="200" w:firstLineChars="200"/>
    </w:pPr>
    <w:rPr>
      <w:sz w:val="28"/>
      <w:szCs w:val="21"/>
    </w:rPr>
  </w:style>
  <w:style w:type="paragraph" w:customStyle="1" w:styleId="791">
    <w:name w:val="图中文字"/>
    <w:qFormat/>
    <w:uiPriority w:val="0"/>
    <w:pPr>
      <w:adjustRightInd w:val="0"/>
      <w:snapToGrid w:val="0"/>
      <w:jc w:val="both"/>
    </w:pPr>
    <w:rPr>
      <w:rFonts w:ascii="宋体" w:hAnsi="Times New Roman" w:eastAsia="宋体" w:cs="Times New Roman"/>
      <w:kern w:val="2"/>
      <w:sz w:val="21"/>
      <w:lang w:val="en-US" w:eastAsia="zh-CN" w:bidi="ar-SA"/>
    </w:rPr>
  </w:style>
  <w:style w:type="paragraph" w:customStyle="1" w:styleId="792">
    <w:name w:val="Xie图文中"/>
    <w:qFormat/>
    <w:uiPriority w:val="0"/>
    <w:pPr>
      <w:widowControl w:val="0"/>
      <w:adjustRightInd w:val="0"/>
      <w:snapToGrid w:val="0"/>
      <w:spacing w:before="40" w:after="40"/>
      <w:jc w:val="center"/>
    </w:pPr>
    <w:rPr>
      <w:rFonts w:ascii="Times New Roman" w:hAnsi="Times New Roman" w:eastAsia="仿宋_GB2312" w:cs="Times New Roman"/>
      <w:snapToGrid w:val="0"/>
      <w:sz w:val="24"/>
      <w:szCs w:val="24"/>
      <w:lang w:val="en-US" w:eastAsia="zh-CN" w:bidi="ar-SA"/>
    </w:rPr>
  </w:style>
  <w:style w:type="paragraph" w:customStyle="1" w:styleId="793">
    <w:name w:val="瑞安正文"/>
    <w:basedOn w:val="1"/>
    <w:qFormat/>
    <w:uiPriority w:val="0"/>
    <w:pPr>
      <w:adjustRightInd w:val="0"/>
      <w:snapToGrid w:val="0"/>
      <w:spacing w:afterLines="50" w:line="300" w:lineRule="auto"/>
      <w:ind w:firstLine="200" w:firstLineChars="200"/>
    </w:pPr>
    <w:rPr>
      <w:sz w:val="24"/>
    </w:rPr>
  </w:style>
  <w:style w:type="paragraph" w:customStyle="1" w:styleId="794">
    <w:name w:val="样式 图文仿宋四号 + (西文) 宋体 (中文) 宋体"/>
    <w:basedOn w:val="1"/>
    <w:link w:val="795"/>
    <w:qFormat/>
    <w:uiPriority w:val="0"/>
    <w:pPr>
      <w:adjustRightInd w:val="0"/>
      <w:spacing w:line="360" w:lineRule="auto"/>
      <w:ind w:firstLine="640" w:firstLineChars="200"/>
      <w:jc w:val="left"/>
    </w:pPr>
    <w:rPr>
      <w:rFonts w:ascii="仿宋_GB2312" w:eastAsia="仿宋_GB2312"/>
      <w:sz w:val="32"/>
      <w:szCs w:val="32"/>
      <w:lang w:val="zh-CN"/>
    </w:rPr>
  </w:style>
  <w:style w:type="character" w:customStyle="1" w:styleId="795">
    <w:name w:val="样式 图文仿宋四号 + (西文) 宋体 (中文) 宋体 Char"/>
    <w:link w:val="794"/>
    <w:qFormat/>
    <w:uiPriority w:val="0"/>
    <w:rPr>
      <w:rFonts w:ascii="仿宋_GB2312" w:eastAsia="仿宋_GB2312"/>
      <w:kern w:val="2"/>
      <w:sz w:val="32"/>
      <w:szCs w:val="32"/>
      <w:lang w:val="zh-CN"/>
    </w:rPr>
  </w:style>
  <w:style w:type="paragraph" w:customStyle="1" w:styleId="796">
    <w:name w:val="para_small"/>
    <w:basedOn w:val="1"/>
    <w:semiHidden/>
    <w:qFormat/>
    <w:uiPriority w:val="0"/>
    <w:pPr>
      <w:widowControl/>
      <w:spacing w:before="100" w:beforeAutospacing="1" w:after="100" w:afterAutospacing="1" w:line="360" w:lineRule="auto"/>
      <w:ind w:firstLine="200" w:firstLineChars="200"/>
      <w:jc w:val="left"/>
    </w:pPr>
    <w:rPr>
      <w:rFonts w:ascii="Arial Unicode MS" w:hAnsi="Arial Unicode MS" w:eastAsia="Arial Unicode MS" w:cs="Arial Unicode MS"/>
      <w:color w:val="000000"/>
      <w:kern w:val="0"/>
      <w:sz w:val="24"/>
    </w:rPr>
  </w:style>
  <w:style w:type="paragraph" w:customStyle="1" w:styleId="797">
    <w:name w:val="temp标题1"/>
    <w:basedOn w:val="4"/>
    <w:next w:val="4"/>
    <w:qFormat/>
    <w:uiPriority w:val="0"/>
    <w:pPr>
      <w:keepLines/>
      <w:spacing w:beforeLines="150" w:afterLines="50" w:line="360" w:lineRule="auto"/>
      <w:ind w:firstLine="200" w:firstLineChars="200"/>
    </w:pPr>
    <w:rPr>
      <w:rFonts w:ascii="Times New Roman" w:eastAsia="黑体"/>
      <w:kern w:val="0"/>
      <w:sz w:val="32"/>
      <w:szCs w:val="32"/>
      <w:lang w:val="zh-CN"/>
    </w:rPr>
  </w:style>
  <w:style w:type="paragraph" w:customStyle="1" w:styleId="798">
    <w:name w:val="temp标题2"/>
    <w:basedOn w:val="2"/>
    <w:next w:val="1"/>
    <w:qFormat/>
    <w:uiPriority w:val="0"/>
    <w:pPr>
      <w:adjustRightInd w:val="0"/>
      <w:spacing w:beforeLines="100" w:after="0" w:line="360" w:lineRule="auto"/>
      <w:ind w:firstLine="200" w:firstLineChars="200"/>
      <w:jc w:val="left"/>
    </w:pPr>
    <w:rPr>
      <w:rFonts w:ascii="Times New Roman" w:hAnsi="Times New Roman" w:eastAsia="楷体_GB2312"/>
      <w:kern w:val="0"/>
      <w:sz w:val="30"/>
      <w:szCs w:val="30"/>
      <w:lang w:val="zh-CN"/>
    </w:rPr>
  </w:style>
  <w:style w:type="paragraph" w:customStyle="1" w:styleId="799">
    <w:name w:val="temp标题3"/>
    <w:basedOn w:val="5"/>
    <w:qFormat/>
    <w:uiPriority w:val="0"/>
    <w:pPr>
      <w:spacing w:beforeLines="50" w:after="0" w:line="360" w:lineRule="auto"/>
      <w:ind w:firstLine="200" w:firstLineChars="200"/>
      <w:jc w:val="left"/>
    </w:pPr>
    <w:rPr>
      <w:rFonts w:eastAsia="楷体_GB2312"/>
      <w:b w:val="0"/>
      <w:kern w:val="0"/>
      <w:sz w:val="28"/>
      <w:szCs w:val="28"/>
    </w:rPr>
  </w:style>
  <w:style w:type="paragraph" w:customStyle="1" w:styleId="800">
    <w:name w:val="样式 temp标题1 + 段前: 0.5 行"/>
    <w:basedOn w:val="797"/>
    <w:qFormat/>
    <w:uiPriority w:val="0"/>
    <w:pPr>
      <w:spacing w:beforeLines="100"/>
    </w:pPr>
    <w:rPr>
      <w:rFonts w:cs="宋体"/>
      <w:bCs w:val="0"/>
      <w:szCs w:val="20"/>
    </w:rPr>
  </w:style>
  <w:style w:type="paragraph" w:customStyle="1" w:styleId="801">
    <w:name w:val="样式 Times New Roman 加粗 首行缩进:  2 字符 行距: 1.5 倍行距"/>
    <w:basedOn w:val="1"/>
    <w:qFormat/>
    <w:uiPriority w:val="0"/>
    <w:pPr>
      <w:spacing w:line="360" w:lineRule="auto"/>
      <w:ind w:firstLine="562" w:firstLineChars="200"/>
    </w:pPr>
    <w:rPr>
      <w:rFonts w:eastAsia="楷体_GB2312" w:cs="宋体"/>
      <w:bCs/>
      <w:sz w:val="28"/>
      <w:szCs w:val="20"/>
    </w:rPr>
  </w:style>
  <w:style w:type="paragraph" w:customStyle="1" w:styleId="802">
    <w:name w:val="页码1"/>
    <w:basedOn w:val="1"/>
    <w:next w:val="1"/>
    <w:qFormat/>
    <w:uiPriority w:val="0"/>
    <w:pPr>
      <w:widowControl/>
      <w:spacing w:line="360" w:lineRule="auto"/>
      <w:ind w:firstLine="200" w:firstLineChars="200"/>
    </w:pPr>
    <w:rPr>
      <w:color w:val="000000"/>
      <w:sz w:val="28"/>
      <w:szCs w:val="28"/>
    </w:rPr>
  </w:style>
  <w:style w:type="paragraph" w:customStyle="1" w:styleId="803">
    <w:name w:val="附图表"/>
    <w:basedOn w:val="1"/>
    <w:link w:val="804"/>
    <w:qFormat/>
    <w:uiPriority w:val="0"/>
    <w:pPr>
      <w:widowControl/>
      <w:spacing w:line="360" w:lineRule="auto"/>
      <w:ind w:firstLine="200" w:firstLineChars="200"/>
      <w:jc w:val="left"/>
      <w:outlineLvl w:val="4"/>
    </w:pPr>
    <w:rPr>
      <w:rFonts w:ascii="黑体" w:hAnsi="黑体" w:eastAsia="黑体"/>
      <w:color w:val="000000"/>
      <w:kern w:val="0"/>
      <w:sz w:val="28"/>
      <w:szCs w:val="30"/>
      <w:lang w:val="zh-CN"/>
    </w:rPr>
  </w:style>
  <w:style w:type="character" w:customStyle="1" w:styleId="804">
    <w:name w:val="附图表 Char"/>
    <w:link w:val="803"/>
    <w:qFormat/>
    <w:uiPriority w:val="0"/>
    <w:rPr>
      <w:rFonts w:ascii="黑体" w:hAnsi="黑体" w:eastAsia="黑体"/>
      <w:color w:val="000000"/>
      <w:sz w:val="28"/>
      <w:szCs w:val="30"/>
      <w:lang w:val="zh-CN"/>
    </w:rPr>
  </w:style>
  <w:style w:type="character" w:customStyle="1" w:styleId="805">
    <w:name w:val="Char Char7"/>
    <w:qFormat/>
    <w:uiPriority w:val="0"/>
    <w:rPr>
      <w:rFonts w:hAnsi="宋体" w:eastAsia="宋体"/>
      <w:kern w:val="2"/>
      <w:sz w:val="18"/>
      <w:szCs w:val="18"/>
      <w:lang w:val="zh-CN" w:eastAsia="zh-CN" w:bidi="ar-SA"/>
    </w:rPr>
  </w:style>
  <w:style w:type="character" w:customStyle="1" w:styleId="806">
    <w:name w:val="content1"/>
    <w:qFormat/>
    <w:uiPriority w:val="0"/>
    <w:rPr>
      <w:sz w:val="22"/>
      <w:szCs w:val="22"/>
    </w:rPr>
  </w:style>
  <w:style w:type="character" w:customStyle="1" w:styleId="807">
    <w:name w:val="表头 Char"/>
    <w:link w:val="765"/>
    <w:qFormat/>
    <w:uiPriority w:val="0"/>
    <w:rPr>
      <w:b/>
      <w:kern w:val="2"/>
      <w:sz w:val="28"/>
    </w:rPr>
  </w:style>
  <w:style w:type="character" w:customStyle="1" w:styleId="808">
    <w:name w:val="表格文本 Char"/>
    <w:link w:val="747"/>
    <w:qFormat/>
    <w:uiPriority w:val="0"/>
    <w:rPr>
      <w:color w:val="000000"/>
      <w:sz w:val="24"/>
      <w:szCs w:val="21"/>
    </w:rPr>
  </w:style>
  <w:style w:type="character" w:customStyle="1" w:styleId="809">
    <w:name w:val="批注主题 Char1"/>
    <w:basedOn w:val="113"/>
    <w:semiHidden/>
    <w:qFormat/>
    <w:uiPriority w:val="99"/>
    <w:rPr>
      <w:rFonts w:ascii="Calibri" w:hAnsi="Calibri" w:eastAsia="仿宋" w:cs="Times New Roman"/>
      <w:b/>
      <w:bCs/>
      <w:kern w:val="2"/>
      <w:sz w:val="28"/>
      <w:szCs w:val="22"/>
    </w:rPr>
  </w:style>
  <w:style w:type="paragraph" w:customStyle="1" w:styleId="810">
    <w:name w:val="正文5"/>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811">
    <w:name w:val="纯文本2"/>
    <w:basedOn w:val="810"/>
    <w:qFormat/>
    <w:uiPriority w:val="0"/>
    <w:pPr>
      <w:widowControl/>
      <w:jc w:val="left"/>
    </w:pPr>
    <w:rPr>
      <w:rFonts w:ascii="宋体" w:hAnsi="Courier New"/>
    </w:rPr>
  </w:style>
  <w:style w:type="paragraph" w:customStyle="1" w:styleId="812">
    <w:name w:val="二级无"/>
    <w:basedOn w:val="427"/>
    <w:qFormat/>
    <w:uiPriority w:val="0"/>
    <w:pPr>
      <w:ind w:left="735"/>
    </w:pPr>
    <w:rPr>
      <w:rFonts w:ascii="宋体" w:hAnsi="Calibri" w:eastAsia="宋体" w:cs="Times New Roman"/>
      <w:szCs w:val="21"/>
    </w:rPr>
  </w:style>
  <w:style w:type="paragraph" w:customStyle="1" w:styleId="813">
    <w:name w:val="正文缩进2格"/>
    <w:basedOn w:val="1"/>
    <w:qFormat/>
    <w:uiPriority w:val="0"/>
    <w:pPr>
      <w:spacing w:line="600" w:lineRule="exact"/>
      <w:ind w:firstLine="639" w:firstLineChars="206"/>
    </w:pPr>
    <w:rPr>
      <w:rFonts w:ascii="仿宋_GB2312" w:hAnsi="宋体" w:eastAsia="仿宋_GB2312"/>
      <w:sz w:val="31"/>
      <w:szCs w:val="28"/>
    </w:rPr>
  </w:style>
  <w:style w:type="character" w:customStyle="1" w:styleId="814">
    <w:name w:val="area_1"/>
    <w:qFormat/>
    <w:uiPriority w:val="0"/>
    <w:rPr>
      <w:rFonts w:ascii="宋体" w:hAnsi="宋体"/>
      <w:sz w:val="24"/>
    </w:rPr>
  </w:style>
  <w:style w:type="table" w:customStyle="1" w:styleId="815">
    <w:name w:val="Table Normal"/>
    <w:semiHidden/>
    <w:unhideWhenUsed/>
    <w:qFormat/>
    <w:uiPriority w:val="0"/>
    <w:tblPr>
      <w:tblCellMar>
        <w:top w:w="0" w:type="dxa"/>
        <w:left w:w="0" w:type="dxa"/>
        <w:bottom w:w="0" w:type="dxa"/>
        <w:right w:w="0" w:type="dxa"/>
      </w:tblCellMar>
    </w:tblPr>
  </w:style>
  <w:style w:type="paragraph" w:customStyle="1" w:styleId="816">
    <w:name w:val="列表段落1"/>
    <w:basedOn w:val="1"/>
    <w:qFormat/>
    <w:uiPriority w:val="0"/>
    <w:pPr>
      <w:ind w:firstLine="420" w:firstLineChars="200"/>
    </w:pPr>
    <w:rPr>
      <w:szCs w:val="21"/>
    </w:rPr>
  </w:style>
  <w:style w:type="paragraph" w:customStyle="1" w:styleId="817">
    <w:name w:val="列表段落2"/>
    <w:basedOn w:val="1"/>
    <w:qFormat/>
    <w:uiPriority w:val="0"/>
    <w:pPr>
      <w:ind w:firstLine="420" w:firstLineChars="200"/>
    </w:pPr>
    <w:rPr>
      <w:szCs w:val="21"/>
    </w:rPr>
  </w:style>
  <w:style w:type="paragraph" w:customStyle="1" w:styleId="818">
    <w:name w:val="可研正文"/>
    <w:basedOn w:val="1"/>
    <w:qFormat/>
    <w:uiPriority w:val="0"/>
    <w:pPr>
      <w:ind w:firstLine="200"/>
    </w:pPr>
    <w:rPr>
      <w:rFonts w:ascii="仿宋" w:hAnsi="仿宋" w:eastAsia="仿宋_GB2312"/>
      <w:kern w:val="0"/>
      <w:szCs w:val="28"/>
    </w:rPr>
  </w:style>
  <w:style w:type="paragraph" w:customStyle="1" w:styleId="819">
    <w:name w:val="A正文小四"/>
    <w:basedOn w:val="1"/>
    <w:qFormat/>
    <w:uiPriority w:val="0"/>
    <w:pPr>
      <w:ind w:firstLine="200"/>
    </w:pPr>
    <w:rPr>
      <w:sz w:val="24"/>
    </w:rPr>
  </w:style>
  <w:style w:type="paragraph" w:customStyle="1" w:styleId="820">
    <w:name w:val="Body text|1"/>
    <w:basedOn w:val="1"/>
    <w:qFormat/>
    <w:uiPriority w:val="0"/>
    <w:pPr>
      <w:spacing w:line="466" w:lineRule="auto"/>
      <w:ind w:firstLine="400"/>
    </w:pPr>
    <w:rPr>
      <w:rFonts w:ascii="宋体" w:hAnsi="宋体" w:cs="宋体"/>
      <w:sz w:val="20"/>
      <w:szCs w:val="20"/>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中国石油大学</Company>
  <Pages>51</Pages>
  <Words>21022</Words>
  <Characters>22301</Characters>
  <Lines>313</Lines>
  <Paragraphs>88</Paragraphs>
  <TotalTime>3</TotalTime>
  <ScaleCrop>false</ScaleCrop>
  <LinksUpToDate>false</LinksUpToDate>
  <CharactersWithSpaces>22474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2022-01-06T07:18:00Z</dcterms:created>
  <dc:creator>LCMZX</dc:creator>
  <cp:lastModifiedBy>明</cp:lastModifiedBy>
  <cp:lastPrinted>2019-02-15T08:52:00Z</cp:lastPrinted>
  <dcterms:modified xsi:type="dcterms:W3CDTF">2025-04-03T07:19:23Z</dcterms:modified>
  <dc:title>温州市政府采购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0EA8B706E7ED46B48BDDA18120046534</vt:lpwstr>
  </property>
  <property fmtid="{D5CDD505-2E9C-101B-9397-08002B2CF9AE}" pid="4" name="commondata">
    <vt:lpwstr>eyJoZGlkIjoiZDRhNzcwYWMxNDc0YjRjN2UxZDk1NTg4ZWEwNTIzZDUifQ==</vt:lpwstr>
  </property>
  <property fmtid="{D5CDD505-2E9C-101B-9397-08002B2CF9AE}" pid="5" name="woTemplateTypoMode" linkTarget="0">
    <vt:lpwstr>web</vt:lpwstr>
  </property>
  <property fmtid="{D5CDD505-2E9C-101B-9397-08002B2CF9AE}" pid="6" name="woTemplate" linkTarget="0">
    <vt:i4>1</vt:i4>
  </property>
  <property fmtid="{D5CDD505-2E9C-101B-9397-08002B2CF9AE}" pid="7" name="KSOTemplateDocerSaveRecord">
    <vt:lpwstr>eyJoZGlkIjoiYWI3NzJhMmNjYTM4YzNkNjA5ZDIzMjU5NjgwZmVjNmUiLCJ1c2VySWQiOiIyNjY2MjkyOTYifQ==</vt:lpwstr>
  </property>
</Properties>
</file>