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24E26">
      <w:pPr>
        <w:spacing w:line="360" w:lineRule="auto"/>
        <w:jc w:val="center"/>
        <w:rPr>
          <w:rFonts w:ascii="宋体" w:hAnsi="宋体" w:eastAsia="宋体" w:cs="宋体"/>
          <w:b/>
          <w:bCs/>
          <w:spacing w:val="100"/>
          <w:sz w:val="72"/>
          <w:szCs w:val="72"/>
          <w:highlight w:val="none"/>
        </w:rPr>
      </w:pPr>
    </w:p>
    <w:p w14:paraId="5A8812B2">
      <w:pPr>
        <w:spacing w:line="360" w:lineRule="auto"/>
        <w:jc w:val="center"/>
        <w:rPr>
          <w:rFonts w:ascii="宋体" w:hAnsi="宋体" w:eastAsia="宋体" w:cs="宋体"/>
          <w:b/>
          <w:bCs/>
          <w:spacing w:val="100"/>
          <w:sz w:val="72"/>
          <w:szCs w:val="72"/>
          <w:highlight w:val="none"/>
        </w:rPr>
      </w:pPr>
    </w:p>
    <w:p w14:paraId="251E7694">
      <w:pPr>
        <w:spacing w:line="360" w:lineRule="auto"/>
        <w:jc w:val="center"/>
        <w:rPr>
          <w:rFonts w:ascii="宋体" w:hAnsi="宋体" w:eastAsia="宋体" w:cs="宋体"/>
          <w:b/>
          <w:bCs/>
          <w:spacing w:val="26"/>
          <w:sz w:val="52"/>
          <w:highlight w:val="none"/>
        </w:rPr>
      </w:pPr>
      <w:r>
        <w:rPr>
          <w:rFonts w:hint="eastAsia" w:ascii="宋体" w:hAnsi="宋体" w:eastAsia="宋体" w:cs="宋体"/>
          <w:b/>
          <w:bCs/>
          <w:kern w:val="0"/>
          <w:sz w:val="84"/>
          <w:szCs w:val="84"/>
          <w:highlight w:val="none"/>
        </w:rPr>
        <w:t>瓯海区政府（分散）采购</w:t>
      </w:r>
    </w:p>
    <w:p w14:paraId="5EFD3B20">
      <w:pPr>
        <w:spacing w:line="360" w:lineRule="auto"/>
        <w:jc w:val="center"/>
        <w:rPr>
          <w:rFonts w:hint="eastAsia" w:ascii="宋体" w:hAnsi="宋体" w:eastAsia="宋体" w:cs="宋体"/>
          <w:b/>
          <w:bCs/>
          <w:spacing w:val="140"/>
          <w:sz w:val="72"/>
          <w:szCs w:val="72"/>
          <w:highlight w:val="none"/>
        </w:rPr>
      </w:pPr>
    </w:p>
    <w:p w14:paraId="2FA49A59">
      <w:pPr>
        <w:spacing w:line="360" w:lineRule="auto"/>
        <w:jc w:val="center"/>
        <w:rPr>
          <w:rFonts w:hint="eastAsia" w:ascii="宋体" w:hAnsi="宋体" w:eastAsia="宋体" w:cs="宋体"/>
          <w:b/>
          <w:bCs/>
          <w:spacing w:val="140"/>
          <w:sz w:val="72"/>
          <w:szCs w:val="72"/>
          <w:highlight w:val="none"/>
        </w:rPr>
      </w:pPr>
    </w:p>
    <w:p w14:paraId="02380CE3">
      <w:pPr>
        <w:spacing w:line="360" w:lineRule="auto"/>
        <w:jc w:val="center"/>
        <w:rPr>
          <w:rFonts w:ascii="宋体" w:hAnsi="宋体" w:eastAsia="宋体" w:cs="宋体"/>
          <w:b/>
          <w:bCs/>
          <w:sz w:val="32"/>
          <w:szCs w:val="32"/>
          <w:highlight w:val="none"/>
        </w:rPr>
      </w:pPr>
      <w:r>
        <w:rPr>
          <w:rFonts w:hint="eastAsia" w:ascii="宋体" w:hAnsi="宋体" w:eastAsia="宋体" w:cs="宋体"/>
          <w:b/>
          <w:bCs/>
          <w:spacing w:val="140"/>
          <w:sz w:val="72"/>
          <w:szCs w:val="72"/>
          <w:highlight w:val="none"/>
        </w:rPr>
        <w:t>采 购 文 件</w:t>
      </w:r>
    </w:p>
    <w:p w14:paraId="7C801BD3">
      <w:pPr>
        <w:spacing w:line="360" w:lineRule="auto"/>
        <w:rPr>
          <w:rFonts w:ascii="宋体" w:hAnsi="宋体" w:eastAsia="宋体" w:cs="宋体"/>
          <w:spacing w:val="40"/>
          <w:sz w:val="30"/>
          <w:szCs w:val="30"/>
          <w:highlight w:val="none"/>
        </w:rPr>
      </w:pPr>
    </w:p>
    <w:p w14:paraId="757FC5B4">
      <w:pPr>
        <w:spacing w:line="360" w:lineRule="auto"/>
        <w:jc w:val="center"/>
        <w:rPr>
          <w:rFonts w:ascii="宋体" w:hAnsi="宋体" w:eastAsia="宋体" w:cs="宋体"/>
          <w:spacing w:val="40"/>
          <w:sz w:val="30"/>
          <w:szCs w:val="30"/>
          <w:highlight w:val="none"/>
        </w:rPr>
      </w:pPr>
    </w:p>
    <w:tbl>
      <w:tblPr>
        <w:tblStyle w:val="24"/>
        <w:tblW w:w="7731" w:type="dxa"/>
        <w:jc w:val="center"/>
        <w:tblLayout w:type="fixed"/>
        <w:tblCellMar>
          <w:top w:w="0" w:type="dxa"/>
          <w:left w:w="108" w:type="dxa"/>
          <w:bottom w:w="0" w:type="dxa"/>
          <w:right w:w="108" w:type="dxa"/>
        </w:tblCellMar>
      </w:tblPr>
      <w:tblGrid>
        <w:gridCol w:w="1771"/>
        <w:gridCol w:w="5960"/>
      </w:tblGrid>
      <w:tr w14:paraId="2E74A9CD">
        <w:tblPrEx>
          <w:tblCellMar>
            <w:top w:w="0" w:type="dxa"/>
            <w:left w:w="108" w:type="dxa"/>
            <w:bottom w:w="0" w:type="dxa"/>
            <w:right w:w="108" w:type="dxa"/>
          </w:tblCellMar>
        </w:tblPrEx>
        <w:trPr>
          <w:trHeight w:val="505" w:hRule="atLeast"/>
          <w:jc w:val="center"/>
        </w:trPr>
        <w:tc>
          <w:tcPr>
            <w:tcW w:w="1771" w:type="dxa"/>
            <w:vAlign w:val="center"/>
          </w:tcPr>
          <w:p w14:paraId="2904797B">
            <w:pPr>
              <w:spacing w:line="360" w:lineRule="auto"/>
              <w:jc w:val="distribute"/>
              <w:rPr>
                <w:rFonts w:ascii="宋体" w:hAnsi="宋体" w:eastAsia="宋体" w:cs="宋体"/>
                <w:b/>
                <w:sz w:val="28"/>
                <w:szCs w:val="28"/>
                <w:highlight w:val="none"/>
              </w:rPr>
            </w:pPr>
            <w:r>
              <w:rPr>
                <w:rFonts w:hint="eastAsia" w:ascii="宋体" w:hAnsi="宋体" w:eastAsia="宋体" w:cs="宋体"/>
                <w:b/>
                <w:sz w:val="28"/>
                <w:szCs w:val="28"/>
                <w:highlight w:val="none"/>
              </w:rPr>
              <w:t>项目名称：</w:t>
            </w:r>
          </w:p>
        </w:tc>
        <w:tc>
          <w:tcPr>
            <w:tcW w:w="5960" w:type="dxa"/>
            <w:vAlign w:val="center"/>
          </w:tcPr>
          <w:p w14:paraId="7C172BF8">
            <w:pPr>
              <w:spacing w:line="360" w:lineRule="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2025年瓯海区生活垃圾转运服务</w:t>
            </w:r>
          </w:p>
        </w:tc>
      </w:tr>
      <w:tr w14:paraId="2ECB97A5">
        <w:tblPrEx>
          <w:tblCellMar>
            <w:top w:w="0" w:type="dxa"/>
            <w:left w:w="108" w:type="dxa"/>
            <w:bottom w:w="0" w:type="dxa"/>
            <w:right w:w="108" w:type="dxa"/>
          </w:tblCellMar>
        </w:tblPrEx>
        <w:trPr>
          <w:trHeight w:val="505" w:hRule="atLeast"/>
          <w:jc w:val="center"/>
        </w:trPr>
        <w:tc>
          <w:tcPr>
            <w:tcW w:w="1771" w:type="dxa"/>
            <w:vAlign w:val="center"/>
          </w:tcPr>
          <w:p w14:paraId="70E3C6B5">
            <w:pPr>
              <w:spacing w:line="360" w:lineRule="auto"/>
              <w:jc w:val="distribute"/>
              <w:rPr>
                <w:rFonts w:ascii="宋体" w:hAnsi="宋体" w:eastAsia="宋体" w:cs="宋体"/>
                <w:b/>
                <w:sz w:val="28"/>
                <w:szCs w:val="28"/>
                <w:highlight w:val="none"/>
              </w:rPr>
            </w:pPr>
            <w:r>
              <w:rPr>
                <w:rFonts w:hint="eastAsia" w:ascii="宋体" w:hAnsi="宋体" w:eastAsia="宋体" w:cs="宋体"/>
                <w:b/>
                <w:sz w:val="28"/>
                <w:szCs w:val="28"/>
                <w:highlight w:val="none"/>
              </w:rPr>
              <w:t>项目编号：</w:t>
            </w:r>
          </w:p>
        </w:tc>
        <w:tc>
          <w:tcPr>
            <w:tcW w:w="5960" w:type="dxa"/>
            <w:vAlign w:val="center"/>
          </w:tcPr>
          <w:p w14:paraId="594326FC">
            <w:pPr>
              <w:spacing w:line="360" w:lineRule="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ZJBG-CG-2024-10</w:t>
            </w:r>
          </w:p>
        </w:tc>
      </w:tr>
      <w:tr w14:paraId="0F291822">
        <w:tblPrEx>
          <w:tblCellMar>
            <w:top w:w="0" w:type="dxa"/>
            <w:left w:w="108" w:type="dxa"/>
            <w:bottom w:w="0" w:type="dxa"/>
            <w:right w:w="108" w:type="dxa"/>
          </w:tblCellMar>
        </w:tblPrEx>
        <w:trPr>
          <w:trHeight w:val="505" w:hRule="atLeast"/>
          <w:jc w:val="center"/>
        </w:trPr>
        <w:tc>
          <w:tcPr>
            <w:tcW w:w="1771" w:type="dxa"/>
            <w:vAlign w:val="center"/>
          </w:tcPr>
          <w:p w14:paraId="6B26A426">
            <w:pPr>
              <w:spacing w:line="360" w:lineRule="auto"/>
              <w:jc w:val="distribute"/>
              <w:rPr>
                <w:rFonts w:ascii="宋体" w:hAnsi="宋体" w:eastAsia="宋体" w:cs="宋体"/>
                <w:b/>
                <w:sz w:val="28"/>
                <w:szCs w:val="28"/>
                <w:highlight w:val="none"/>
              </w:rPr>
            </w:pPr>
            <w:r>
              <w:rPr>
                <w:rFonts w:hint="eastAsia" w:ascii="宋体" w:hAnsi="宋体" w:eastAsia="宋体" w:cs="宋体"/>
                <w:b/>
                <w:sz w:val="28"/>
                <w:szCs w:val="28"/>
                <w:highlight w:val="none"/>
              </w:rPr>
              <w:t>采购方式：</w:t>
            </w:r>
          </w:p>
        </w:tc>
        <w:tc>
          <w:tcPr>
            <w:tcW w:w="5960" w:type="dxa"/>
            <w:vAlign w:val="center"/>
          </w:tcPr>
          <w:p w14:paraId="3F879283">
            <w:pPr>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公开招标</w:t>
            </w:r>
          </w:p>
        </w:tc>
      </w:tr>
      <w:tr w14:paraId="6FAA844A">
        <w:tblPrEx>
          <w:tblCellMar>
            <w:top w:w="0" w:type="dxa"/>
            <w:left w:w="108" w:type="dxa"/>
            <w:bottom w:w="0" w:type="dxa"/>
            <w:right w:w="108" w:type="dxa"/>
          </w:tblCellMar>
        </w:tblPrEx>
        <w:trPr>
          <w:trHeight w:val="505" w:hRule="atLeast"/>
          <w:jc w:val="center"/>
        </w:trPr>
        <w:tc>
          <w:tcPr>
            <w:tcW w:w="1771" w:type="dxa"/>
            <w:vAlign w:val="center"/>
          </w:tcPr>
          <w:p w14:paraId="5E8147E3">
            <w:pPr>
              <w:spacing w:line="360" w:lineRule="auto"/>
              <w:jc w:val="distribute"/>
              <w:rPr>
                <w:rFonts w:ascii="宋体" w:hAnsi="宋体" w:eastAsia="宋体" w:cs="宋体"/>
                <w:b/>
                <w:sz w:val="28"/>
                <w:szCs w:val="28"/>
                <w:highlight w:val="none"/>
              </w:rPr>
            </w:pPr>
            <w:r>
              <w:rPr>
                <w:rFonts w:hint="eastAsia" w:ascii="宋体" w:hAnsi="宋体" w:eastAsia="宋体" w:cs="宋体"/>
                <w:b/>
                <w:sz w:val="28"/>
                <w:szCs w:val="28"/>
                <w:highlight w:val="none"/>
              </w:rPr>
              <w:t>采购人：</w:t>
            </w:r>
          </w:p>
        </w:tc>
        <w:tc>
          <w:tcPr>
            <w:tcW w:w="5960" w:type="dxa"/>
            <w:vAlign w:val="center"/>
          </w:tcPr>
          <w:p w14:paraId="3DA3249E">
            <w:pPr>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温州市瓯海区综合行政执法局</w:t>
            </w:r>
          </w:p>
        </w:tc>
      </w:tr>
      <w:tr w14:paraId="0F9BCBB6">
        <w:tblPrEx>
          <w:tblCellMar>
            <w:top w:w="0" w:type="dxa"/>
            <w:left w:w="108" w:type="dxa"/>
            <w:bottom w:w="0" w:type="dxa"/>
            <w:right w:w="108" w:type="dxa"/>
          </w:tblCellMar>
        </w:tblPrEx>
        <w:trPr>
          <w:trHeight w:val="505" w:hRule="atLeast"/>
          <w:jc w:val="center"/>
        </w:trPr>
        <w:tc>
          <w:tcPr>
            <w:tcW w:w="1771" w:type="dxa"/>
            <w:vAlign w:val="center"/>
          </w:tcPr>
          <w:p w14:paraId="3549F24A">
            <w:pPr>
              <w:spacing w:line="360" w:lineRule="auto"/>
              <w:jc w:val="distribute"/>
              <w:rPr>
                <w:rFonts w:ascii="宋体" w:hAnsi="宋体" w:eastAsia="宋体" w:cs="宋体"/>
                <w:b/>
                <w:sz w:val="28"/>
                <w:szCs w:val="28"/>
                <w:highlight w:val="none"/>
              </w:rPr>
            </w:pPr>
            <w:r>
              <w:rPr>
                <w:rFonts w:hint="eastAsia" w:ascii="宋体" w:hAnsi="宋体" w:eastAsia="宋体" w:cs="宋体"/>
                <w:b/>
                <w:sz w:val="28"/>
                <w:szCs w:val="28"/>
                <w:highlight w:val="none"/>
              </w:rPr>
              <w:t>代理单位：</w:t>
            </w:r>
          </w:p>
        </w:tc>
        <w:tc>
          <w:tcPr>
            <w:tcW w:w="5960" w:type="dxa"/>
            <w:vAlign w:val="center"/>
          </w:tcPr>
          <w:p w14:paraId="64EB9035">
            <w:pPr>
              <w:spacing w:line="360" w:lineRule="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温州百工工程咨询管理有限公司</w:t>
            </w:r>
          </w:p>
        </w:tc>
      </w:tr>
    </w:tbl>
    <w:p w14:paraId="54B36D92">
      <w:pPr>
        <w:spacing w:line="360" w:lineRule="auto"/>
        <w:ind w:firstLine="900" w:firstLineChars="300"/>
        <w:jc w:val="center"/>
        <w:rPr>
          <w:rFonts w:ascii="宋体" w:hAnsi="宋体" w:eastAsia="宋体" w:cs="宋体"/>
          <w:bCs/>
          <w:sz w:val="30"/>
          <w:szCs w:val="30"/>
          <w:highlight w:val="none"/>
        </w:rPr>
      </w:pPr>
    </w:p>
    <w:p w14:paraId="10CD3A10">
      <w:pPr>
        <w:spacing w:line="360" w:lineRule="auto"/>
        <w:rPr>
          <w:rFonts w:ascii="宋体" w:hAnsi="宋体" w:eastAsia="宋体" w:cs="宋体"/>
          <w:bCs/>
          <w:sz w:val="30"/>
          <w:szCs w:val="30"/>
          <w:highlight w:val="none"/>
        </w:rPr>
      </w:pPr>
    </w:p>
    <w:p w14:paraId="63025818">
      <w:pPr>
        <w:spacing w:line="360" w:lineRule="auto"/>
        <w:jc w:val="center"/>
        <w:rPr>
          <w:rFonts w:ascii="宋体" w:hAnsi="宋体" w:eastAsia="宋体" w:cs="宋体"/>
          <w:b/>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eastAsia="宋体" w:cs="宋体"/>
          <w:bCs/>
          <w:sz w:val="30"/>
          <w:szCs w:val="30"/>
          <w:highlight w:val="none"/>
          <w:lang w:eastAsia="zh-CN"/>
        </w:rPr>
        <w:t>2025年1</w:t>
      </w:r>
      <w:r>
        <w:rPr>
          <w:rFonts w:hint="eastAsia" w:ascii="宋体" w:hAnsi="宋体" w:eastAsia="宋体" w:cs="宋体"/>
          <w:bCs/>
          <w:sz w:val="30"/>
          <w:szCs w:val="30"/>
          <w:highlight w:val="none"/>
        </w:rPr>
        <w:t>月</w:t>
      </w:r>
    </w:p>
    <w:p w14:paraId="2DB0BA0B">
      <w:pPr>
        <w:spacing w:line="360" w:lineRule="auto"/>
        <w:jc w:val="center"/>
        <w:rPr>
          <w:rFonts w:ascii="宋体" w:hAnsi="宋体" w:eastAsia="宋体" w:cs="宋体"/>
          <w:b/>
          <w:bCs/>
          <w:sz w:val="36"/>
          <w:szCs w:val="36"/>
          <w:highlight w:val="none"/>
        </w:rPr>
      </w:pPr>
      <w:bookmarkStart w:id="0" w:name="_Toc29294"/>
      <w:bookmarkStart w:id="1" w:name="_Toc448731798"/>
      <w:r>
        <w:rPr>
          <w:rFonts w:hint="eastAsia" w:ascii="宋体" w:hAnsi="宋体" w:eastAsia="宋体" w:cs="宋体"/>
          <w:b/>
          <w:bCs/>
          <w:sz w:val="36"/>
          <w:szCs w:val="36"/>
          <w:highlight w:val="none"/>
        </w:rPr>
        <w:t>目    录</w:t>
      </w:r>
    </w:p>
    <w:p w14:paraId="75466294">
      <w:pPr>
        <w:pStyle w:val="19"/>
        <w:tabs>
          <w:tab w:val="right" w:leader="dot" w:pos="9072"/>
        </w:tabs>
        <w:rPr>
          <w:highlight w:val="none"/>
        </w:rPr>
      </w:pPr>
      <w:r>
        <w:rPr>
          <w:rFonts w:hint="eastAsia" w:ascii="宋体" w:hAnsi="宋体" w:eastAsia="宋体" w:cs="宋体"/>
          <w:bCs/>
          <w:sz w:val="24"/>
          <w:highlight w:val="none"/>
          <w:u w:val="single"/>
        </w:rPr>
        <w:fldChar w:fldCharType="begin"/>
      </w:r>
      <w:r>
        <w:rPr>
          <w:rFonts w:hint="eastAsia" w:ascii="宋体" w:hAnsi="宋体" w:eastAsia="宋体" w:cs="宋体"/>
          <w:bCs/>
          <w:sz w:val="24"/>
          <w:highlight w:val="none"/>
          <w:u w:val="single"/>
        </w:rPr>
        <w:instrText xml:space="preserve"> TOC \o "1-1" \h \z </w:instrText>
      </w:r>
      <w:r>
        <w:rPr>
          <w:rFonts w:hint="eastAsia" w:ascii="宋体" w:hAnsi="宋体" w:eastAsia="宋体" w:cs="宋体"/>
          <w:bCs/>
          <w:sz w:val="24"/>
          <w:highlight w:val="none"/>
          <w:u w:val="single"/>
        </w:rPr>
        <w:fldChar w:fldCharType="separate"/>
      </w:r>
      <w:r>
        <w:rPr>
          <w:rFonts w:hint="eastAsia" w:ascii="宋体" w:hAnsi="宋体" w:eastAsia="宋体" w:cs="宋体"/>
          <w:bCs/>
          <w:highlight w:val="none"/>
          <w:u w:val="single"/>
        </w:rPr>
        <w:fldChar w:fldCharType="begin"/>
      </w:r>
      <w:r>
        <w:rPr>
          <w:rFonts w:hint="eastAsia" w:ascii="宋体" w:hAnsi="宋体" w:eastAsia="宋体" w:cs="宋体"/>
          <w:bCs/>
          <w:highlight w:val="none"/>
        </w:rPr>
        <w:instrText xml:space="preserve"> HYPERLINK \l _Toc28332 </w:instrText>
      </w:r>
      <w:r>
        <w:rPr>
          <w:rFonts w:hint="eastAsia" w:ascii="宋体" w:hAnsi="宋体" w:eastAsia="宋体" w:cs="宋体"/>
          <w:bCs/>
          <w:highlight w:val="none"/>
        </w:rPr>
        <w:fldChar w:fldCharType="separate"/>
      </w:r>
      <w:r>
        <w:rPr>
          <w:rFonts w:hint="eastAsia" w:ascii="宋体" w:hAnsi="宋体" w:eastAsia="宋体" w:cs="宋体"/>
          <w:szCs w:val="28"/>
          <w:highlight w:val="none"/>
        </w:rPr>
        <w:t>关于</w:t>
      </w:r>
      <w:r>
        <w:rPr>
          <w:rFonts w:hint="eastAsia" w:ascii="宋体" w:hAnsi="宋体" w:eastAsia="宋体" w:cs="宋体"/>
          <w:szCs w:val="28"/>
          <w:highlight w:val="none"/>
          <w:lang w:eastAsia="zh-CN"/>
        </w:rPr>
        <w:t>2025年瓯海区生活垃圾转运服务</w:t>
      </w:r>
      <w:r>
        <w:rPr>
          <w:rFonts w:hint="eastAsia" w:ascii="宋体" w:hAnsi="宋体" w:eastAsia="宋体" w:cs="宋体"/>
          <w:szCs w:val="28"/>
          <w:highlight w:val="none"/>
        </w:rPr>
        <w:t>的公开</w:t>
      </w:r>
      <w:r>
        <w:rPr>
          <w:rFonts w:hint="eastAsia" w:ascii="宋体" w:hAnsi="宋体" w:eastAsia="宋体" w:cs="宋体"/>
          <w:szCs w:val="28"/>
          <w:highlight w:val="none"/>
          <w:lang w:eastAsia="zh-CN"/>
        </w:rPr>
        <w:t>采购公告</w:t>
      </w:r>
      <w:r>
        <w:rPr>
          <w:highlight w:val="none"/>
        </w:rPr>
        <w:tab/>
      </w:r>
      <w:r>
        <w:rPr>
          <w:highlight w:val="none"/>
        </w:rPr>
        <w:fldChar w:fldCharType="begin"/>
      </w:r>
      <w:r>
        <w:rPr>
          <w:highlight w:val="none"/>
        </w:rPr>
        <w:instrText xml:space="preserve"> PAGEREF _Toc28332 \h </w:instrText>
      </w:r>
      <w:r>
        <w:rPr>
          <w:highlight w:val="none"/>
        </w:rPr>
        <w:fldChar w:fldCharType="separate"/>
      </w:r>
      <w:r>
        <w:rPr>
          <w:highlight w:val="none"/>
        </w:rPr>
        <w:t>1</w:t>
      </w:r>
      <w:r>
        <w:rPr>
          <w:highlight w:val="none"/>
        </w:rPr>
        <w:fldChar w:fldCharType="end"/>
      </w:r>
      <w:r>
        <w:rPr>
          <w:rFonts w:hint="eastAsia" w:ascii="宋体" w:hAnsi="宋体" w:eastAsia="宋体" w:cs="宋体"/>
          <w:bCs/>
          <w:highlight w:val="none"/>
          <w:u w:val="single"/>
        </w:rPr>
        <w:fldChar w:fldCharType="end"/>
      </w:r>
    </w:p>
    <w:p w14:paraId="728F1994">
      <w:pPr>
        <w:pStyle w:val="19"/>
        <w:tabs>
          <w:tab w:val="right" w:leader="dot" w:pos="9072"/>
        </w:tabs>
        <w:rPr>
          <w:highlight w:val="none"/>
        </w:rPr>
      </w:pPr>
      <w:r>
        <w:rPr>
          <w:rFonts w:hint="eastAsia" w:ascii="宋体" w:hAnsi="宋体" w:eastAsia="宋体" w:cs="宋体"/>
          <w:bCs/>
          <w:highlight w:val="none"/>
          <w:u w:val="single"/>
        </w:rPr>
        <w:fldChar w:fldCharType="begin"/>
      </w:r>
      <w:r>
        <w:rPr>
          <w:rFonts w:hint="eastAsia" w:ascii="宋体" w:hAnsi="宋体" w:eastAsia="宋体" w:cs="宋体"/>
          <w:bCs/>
          <w:highlight w:val="none"/>
        </w:rPr>
        <w:instrText xml:space="preserve"> HYPERLINK \l _Toc30154 </w:instrText>
      </w:r>
      <w:r>
        <w:rPr>
          <w:rFonts w:hint="eastAsia" w:ascii="宋体" w:hAnsi="宋体" w:eastAsia="宋体" w:cs="宋体"/>
          <w:bCs/>
          <w:highlight w:val="none"/>
        </w:rPr>
        <w:fldChar w:fldCharType="separate"/>
      </w:r>
      <w:r>
        <w:rPr>
          <w:rFonts w:hint="eastAsia" w:ascii="宋体" w:hAnsi="宋体" w:eastAsia="宋体" w:cs="宋体"/>
          <w:bCs w:val="0"/>
          <w:szCs w:val="36"/>
          <w:highlight w:val="none"/>
        </w:rPr>
        <w:t>第一部分 投标供应商须知</w:t>
      </w:r>
      <w:r>
        <w:rPr>
          <w:highlight w:val="none"/>
        </w:rPr>
        <w:tab/>
      </w:r>
      <w:r>
        <w:rPr>
          <w:highlight w:val="none"/>
        </w:rPr>
        <w:fldChar w:fldCharType="begin"/>
      </w:r>
      <w:r>
        <w:rPr>
          <w:highlight w:val="none"/>
        </w:rPr>
        <w:instrText xml:space="preserve"> PAGEREF _Toc30154 \h </w:instrText>
      </w:r>
      <w:r>
        <w:rPr>
          <w:highlight w:val="none"/>
        </w:rPr>
        <w:fldChar w:fldCharType="separate"/>
      </w:r>
      <w:r>
        <w:rPr>
          <w:highlight w:val="none"/>
        </w:rPr>
        <w:t>5</w:t>
      </w:r>
      <w:r>
        <w:rPr>
          <w:highlight w:val="none"/>
        </w:rPr>
        <w:fldChar w:fldCharType="end"/>
      </w:r>
      <w:r>
        <w:rPr>
          <w:rFonts w:hint="eastAsia" w:ascii="宋体" w:hAnsi="宋体" w:eastAsia="宋体" w:cs="宋体"/>
          <w:bCs/>
          <w:highlight w:val="none"/>
          <w:u w:val="single"/>
        </w:rPr>
        <w:fldChar w:fldCharType="end"/>
      </w:r>
    </w:p>
    <w:p w14:paraId="35347E8E">
      <w:pPr>
        <w:pStyle w:val="19"/>
        <w:tabs>
          <w:tab w:val="right" w:leader="dot" w:pos="9072"/>
        </w:tabs>
        <w:rPr>
          <w:rFonts w:hint="eastAsia" w:ascii="宋体" w:hAnsi="宋体" w:eastAsia="宋体" w:cs="宋体"/>
          <w:bCs w:val="0"/>
          <w:szCs w:val="36"/>
          <w:highlight w:val="none"/>
        </w:rPr>
      </w:pP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HYPERLINK \l _Toc24261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lang w:val="en-US" w:eastAsia="zh-CN"/>
        </w:rPr>
        <w:t xml:space="preserve">第二部分 </w:t>
      </w:r>
      <w:r>
        <w:rPr>
          <w:rFonts w:hint="eastAsia" w:ascii="宋体" w:hAnsi="宋体" w:eastAsia="宋体" w:cs="宋体"/>
          <w:bCs w:val="0"/>
          <w:szCs w:val="36"/>
          <w:highlight w:val="none"/>
        </w:rPr>
        <w:t>合同主要条款</w:t>
      </w:r>
      <w:r>
        <w:rPr>
          <w:rFonts w:hint="eastAsia" w:ascii="宋体" w:hAnsi="宋体" w:eastAsia="宋体" w:cs="宋体"/>
          <w:bCs w:val="0"/>
          <w:szCs w:val="36"/>
          <w:highlight w:val="none"/>
        </w:rPr>
        <w:tab/>
      </w: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PAGEREF _Toc24261 \h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rPr>
        <w:t>22</w:t>
      </w:r>
      <w:r>
        <w:rPr>
          <w:rFonts w:hint="eastAsia" w:ascii="宋体" w:hAnsi="宋体" w:eastAsia="宋体" w:cs="宋体"/>
          <w:bCs w:val="0"/>
          <w:szCs w:val="36"/>
          <w:highlight w:val="none"/>
        </w:rPr>
        <w:fldChar w:fldCharType="end"/>
      </w:r>
      <w:r>
        <w:rPr>
          <w:rFonts w:hint="eastAsia" w:ascii="宋体" w:hAnsi="宋体" w:eastAsia="宋体" w:cs="宋体"/>
          <w:bCs w:val="0"/>
          <w:szCs w:val="36"/>
          <w:highlight w:val="none"/>
        </w:rPr>
        <w:fldChar w:fldCharType="end"/>
      </w:r>
    </w:p>
    <w:p w14:paraId="538ABCAF">
      <w:pPr>
        <w:pStyle w:val="19"/>
        <w:tabs>
          <w:tab w:val="right" w:leader="dot" w:pos="9072"/>
        </w:tabs>
        <w:rPr>
          <w:rFonts w:hint="eastAsia" w:ascii="宋体" w:hAnsi="宋体" w:eastAsia="宋体" w:cs="宋体"/>
          <w:bCs w:val="0"/>
          <w:szCs w:val="36"/>
          <w:highlight w:val="none"/>
        </w:rPr>
      </w:pP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HYPERLINK \l _Toc30975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lang w:val="en-US" w:eastAsia="zh-CN"/>
        </w:rPr>
        <w:t xml:space="preserve">第三部分 </w:t>
      </w:r>
      <w:r>
        <w:rPr>
          <w:rFonts w:hint="eastAsia" w:ascii="宋体" w:hAnsi="宋体" w:eastAsia="宋体" w:cs="宋体"/>
          <w:bCs w:val="0"/>
          <w:szCs w:val="36"/>
          <w:highlight w:val="none"/>
        </w:rPr>
        <w:t>投标文件格式</w:t>
      </w:r>
      <w:r>
        <w:rPr>
          <w:rFonts w:hint="eastAsia" w:ascii="宋体" w:hAnsi="宋体" w:eastAsia="宋体" w:cs="宋体"/>
          <w:bCs w:val="0"/>
          <w:szCs w:val="36"/>
          <w:highlight w:val="none"/>
        </w:rPr>
        <w:tab/>
      </w: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PAGEREF _Toc30975 \h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rPr>
        <w:t>32</w:t>
      </w:r>
      <w:r>
        <w:rPr>
          <w:rFonts w:hint="eastAsia" w:ascii="宋体" w:hAnsi="宋体" w:eastAsia="宋体" w:cs="宋体"/>
          <w:bCs w:val="0"/>
          <w:szCs w:val="36"/>
          <w:highlight w:val="none"/>
        </w:rPr>
        <w:fldChar w:fldCharType="end"/>
      </w:r>
      <w:r>
        <w:rPr>
          <w:rFonts w:hint="eastAsia" w:ascii="宋体" w:hAnsi="宋体" w:eastAsia="宋体" w:cs="宋体"/>
          <w:bCs w:val="0"/>
          <w:szCs w:val="36"/>
          <w:highlight w:val="none"/>
        </w:rPr>
        <w:fldChar w:fldCharType="end"/>
      </w:r>
    </w:p>
    <w:p w14:paraId="05BDFFA0">
      <w:pPr>
        <w:pStyle w:val="19"/>
        <w:tabs>
          <w:tab w:val="right" w:leader="dot" w:pos="9072"/>
        </w:tabs>
        <w:rPr>
          <w:rFonts w:hint="eastAsia" w:ascii="宋体" w:hAnsi="宋体" w:eastAsia="宋体" w:cs="宋体"/>
          <w:bCs w:val="0"/>
          <w:szCs w:val="36"/>
          <w:highlight w:val="none"/>
        </w:rPr>
      </w:pP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HYPERLINK \l _Toc31291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lang w:val="en-US" w:eastAsia="zh-CN"/>
        </w:rPr>
        <w:t xml:space="preserve">第四部分 </w:t>
      </w:r>
      <w:r>
        <w:rPr>
          <w:rFonts w:hint="eastAsia" w:ascii="宋体" w:hAnsi="宋体" w:eastAsia="宋体" w:cs="宋体"/>
          <w:bCs w:val="0"/>
          <w:szCs w:val="36"/>
          <w:highlight w:val="none"/>
        </w:rPr>
        <w:t>采购内容及要求</w:t>
      </w:r>
      <w:r>
        <w:rPr>
          <w:rFonts w:hint="eastAsia" w:ascii="宋体" w:hAnsi="宋体" w:eastAsia="宋体" w:cs="宋体"/>
          <w:bCs w:val="0"/>
          <w:szCs w:val="36"/>
          <w:highlight w:val="none"/>
        </w:rPr>
        <w:tab/>
      </w: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PAGEREF _Toc31291 \h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rPr>
        <w:t>47</w:t>
      </w:r>
      <w:r>
        <w:rPr>
          <w:rFonts w:hint="eastAsia" w:ascii="宋体" w:hAnsi="宋体" w:eastAsia="宋体" w:cs="宋体"/>
          <w:bCs w:val="0"/>
          <w:szCs w:val="36"/>
          <w:highlight w:val="none"/>
        </w:rPr>
        <w:fldChar w:fldCharType="end"/>
      </w:r>
      <w:r>
        <w:rPr>
          <w:rFonts w:hint="eastAsia" w:ascii="宋体" w:hAnsi="宋体" w:eastAsia="宋体" w:cs="宋体"/>
          <w:bCs w:val="0"/>
          <w:szCs w:val="36"/>
          <w:highlight w:val="none"/>
        </w:rPr>
        <w:fldChar w:fldCharType="end"/>
      </w:r>
    </w:p>
    <w:p w14:paraId="4475B2BF">
      <w:pPr>
        <w:pStyle w:val="19"/>
        <w:tabs>
          <w:tab w:val="right" w:leader="dot" w:pos="9072"/>
        </w:tabs>
        <w:rPr>
          <w:highlight w:val="none"/>
        </w:rPr>
      </w:pP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HYPERLINK \l _Toc22654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rPr>
        <w:t>第五部分 评标原则及方法</w:t>
      </w:r>
      <w:r>
        <w:rPr>
          <w:rFonts w:hint="eastAsia" w:ascii="宋体" w:hAnsi="宋体" w:eastAsia="宋体" w:cs="宋体"/>
          <w:bCs w:val="0"/>
          <w:szCs w:val="36"/>
          <w:highlight w:val="none"/>
        </w:rPr>
        <w:tab/>
      </w:r>
      <w:r>
        <w:rPr>
          <w:rFonts w:hint="eastAsia" w:ascii="宋体" w:hAnsi="宋体" w:eastAsia="宋体" w:cs="宋体"/>
          <w:bCs w:val="0"/>
          <w:szCs w:val="36"/>
          <w:highlight w:val="none"/>
        </w:rPr>
        <w:fldChar w:fldCharType="begin"/>
      </w:r>
      <w:r>
        <w:rPr>
          <w:rFonts w:hint="eastAsia" w:ascii="宋体" w:hAnsi="宋体" w:eastAsia="宋体" w:cs="宋体"/>
          <w:bCs w:val="0"/>
          <w:szCs w:val="36"/>
          <w:highlight w:val="none"/>
        </w:rPr>
        <w:instrText xml:space="preserve"> PAGEREF _Toc22654 \h </w:instrText>
      </w:r>
      <w:r>
        <w:rPr>
          <w:rFonts w:hint="eastAsia" w:ascii="宋体" w:hAnsi="宋体" w:eastAsia="宋体" w:cs="宋体"/>
          <w:bCs w:val="0"/>
          <w:szCs w:val="36"/>
          <w:highlight w:val="none"/>
        </w:rPr>
        <w:fldChar w:fldCharType="separate"/>
      </w:r>
      <w:r>
        <w:rPr>
          <w:rFonts w:hint="eastAsia" w:ascii="宋体" w:hAnsi="宋体" w:eastAsia="宋体" w:cs="宋体"/>
          <w:bCs w:val="0"/>
          <w:szCs w:val="36"/>
          <w:highlight w:val="none"/>
        </w:rPr>
        <w:t>56</w:t>
      </w:r>
      <w:r>
        <w:rPr>
          <w:rFonts w:hint="eastAsia" w:ascii="宋体" w:hAnsi="宋体" w:eastAsia="宋体" w:cs="宋体"/>
          <w:bCs w:val="0"/>
          <w:szCs w:val="36"/>
          <w:highlight w:val="none"/>
        </w:rPr>
        <w:fldChar w:fldCharType="end"/>
      </w:r>
      <w:r>
        <w:rPr>
          <w:rFonts w:hint="eastAsia" w:ascii="宋体" w:hAnsi="宋体" w:eastAsia="宋体" w:cs="宋体"/>
          <w:bCs w:val="0"/>
          <w:szCs w:val="36"/>
          <w:highlight w:val="none"/>
        </w:rPr>
        <w:fldChar w:fldCharType="end"/>
      </w:r>
    </w:p>
    <w:p w14:paraId="4B499169">
      <w:pPr>
        <w:pStyle w:val="19"/>
        <w:tabs>
          <w:tab w:val="right" w:leader="dot" w:pos="9072"/>
        </w:tabs>
        <w:rPr>
          <w:highlight w:val="none"/>
        </w:rPr>
      </w:pPr>
      <w:r>
        <w:rPr>
          <w:rFonts w:hint="eastAsia" w:ascii="宋体" w:hAnsi="宋体" w:eastAsia="宋体" w:cs="宋体"/>
          <w:bCs/>
          <w:highlight w:val="none"/>
          <w:u w:val="single"/>
        </w:rPr>
        <w:fldChar w:fldCharType="begin"/>
      </w:r>
      <w:r>
        <w:rPr>
          <w:rFonts w:hint="eastAsia" w:ascii="宋体" w:hAnsi="宋体" w:eastAsia="宋体" w:cs="宋体"/>
          <w:bCs/>
          <w:highlight w:val="none"/>
        </w:rPr>
        <w:instrText xml:space="preserve"> HYPERLINK \l _Toc25283 </w:instrText>
      </w:r>
      <w:r>
        <w:rPr>
          <w:rFonts w:hint="eastAsia" w:ascii="宋体" w:hAnsi="宋体" w:eastAsia="宋体" w:cs="宋体"/>
          <w:bCs/>
          <w:highlight w:val="none"/>
        </w:rPr>
        <w:fldChar w:fldCharType="separate"/>
      </w:r>
      <w:r>
        <w:rPr>
          <w:rFonts w:hint="eastAsia" w:ascii="宋体" w:hAnsi="宋体" w:eastAsia="宋体" w:cs="宋体"/>
          <w:szCs w:val="36"/>
          <w:highlight w:val="none"/>
        </w:rPr>
        <w:t>第六部分 政府采购政策功能相关说明</w:t>
      </w:r>
      <w:r>
        <w:rPr>
          <w:highlight w:val="none"/>
        </w:rPr>
        <w:tab/>
      </w:r>
      <w:r>
        <w:rPr>
          <w:highlight w:val="none"/>
        </w:rPr>
        <w:fldChar w:fldCharType="begin"/>
      </w:r>
      <w:r>
        <w:rPr>
          <w:highlight w:val="none"/>
        </w:rPr>
        <w:instrText xml:space="preserve"> PAGEREF _Toc25283 \h </w:instrText>
      </w:r>
      <w:r>
        <w:rPr>
          <w:highlight w:val="none"/>
        </w:rPr>
        <w:fldChar w:fldCharType="separate"/>
      </w:r>
      <w:r>
        <w:rPr>
          <w:highlight w:val="none"/>
        </w:rPr>
        <w:t>60</w:t>
      </w:r>
      <w:r>
        <w:rPr>
          <w:highlight w:val="none"/>
        </w:rPr>
        <w:fldChar w:fldCharType="end"/>
      </w:r>
      <w:r>
        <w:rPr>
          <w:rFonts w:hint="eastAsia" w:ascii="宋体" w:hAnsi="宋体" w:eastAsia="宋体" w:cs="宋体"/>
          <w:bCs/>
          <w:highlight w:val="none"/>
          <w:u w:val="single"/>
        </w:rPr>
        <w:fldChar w:fldCharType="end"/>
      </w:r>
    </w:p>
    <w:p w14:paraId="45449421">
      <w:pPr>
        <w:spacing w:line="360" w:lineRule="auto"/>
        <w:rPr>
          <w:rFonts w:ascii="宋体" w:hAnsi="宋体" w:eastAsia="宋体" w:cs="宋体"/>
          <w:bCs/>
          <w:szCs w:val="21"/>
          <w:highlight w:val="none"/>
        </w:rPr>
      </w:pPr>
      <w:r>
        <w:rPr>
          <w:rFonts w:hint="eastAsia" w:ascii="宋体" w:hAnsi="宋体" w:eastAsia="宋体" w:cs="宋体"/>
          <w:bCs/>
          <w:highlight w:val="none"/>
          <w:u w:val="single"/>
        </w:rPr>
        <w:fldChar w:fldCharType="end"/>
      </w:r>
    </w:p>
    <w:p w14:paraId="17AA6702">
      <w:pPr>
        <w:spacing w:line="360" w:lineRule="auto"/>
        <w:ind w:left="708" w:leftChars="337" w:right="636" w:rightChars="303"/>
        <w:rPr>
          <w:rFonts w:ascii="宋体" w:hAnsi="宋体" w:eastAsia="宋体" w:cs="宋体"/>
          <w:bCs/>
          <w:szCs w:val="21"/>
          <w:highlight w:val="none"/>
        </w:rPr>
        <w:sectPr>
          <w:footerReference r:id="rId12" w:type="first"/>
          <w:headerReference r:id="rId9" w:type="default"/>
          <w:footerReference r:id="rId10" w:type="default"/>
          <w:footerReference r:id="rId11" w:type="even"/>
          <w:pgSz w:w="11906" w:h="16838"/>
          <w:pgMar w:top="1134" w:right="1417" w:bottom="1134" w:left="1417" w:header="851" w:footer="992" w:gutter="0"/>
          <w:pgNumType w:start="1"/>
          <w:cols w:space="720" w:num="1"/>
          <w:titlePg/>
          <w:docGrid w:linePitch="312" w:charSpace="0"/>
        </w:sectPr>
      </w:pPr>
      <w:r>
        <w:rPr>
          <w:rFonts w:hint="eastAsia" w:ascii="宋体" w:hAnsi="宋体" w:eastAsia="宋体" w:cs="宋体"/>
          <w:bCs/>
          <w:szCs w:val="21"/>
          <w:highlight w:val="none"/>
        </w:rPr>
        <w:t>注：▲</w:t>
      </w:r>
      <w:r>
        <w:rPr>
          <w:rFonts w:hint="eastAsia" w:ascii="宋体" w:hAnsi="宋体" w:eastAsia="宋体" w:cs="宋体"/>
          <w:bCs/>
          <w:szCs w:val="21"/>
          <w:highlight w:val="none"/>
          <w:u w:val="single"/>
        </w:rPr>
        <w:t>采购文件中部分加“▲”且加下划线的条款为招标的实质性要求和条件，着重提醒各投标供应商注意，并认真查看采购文件中的每一个条款及要求，因误读采购文件而造成的后果，代理机构概不负责。</w:t>
      </w:r>
    </w:p>
    <w:bookmarkEnd w:id="0"/>
    <w:bookmarkEnd w:id="1"/>
    <w:p w14:paraId="2EA3551C">
      <w:pPr>
        <w:pStyle w:val="5"/>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sz w:val="28"/>
          <w:szCs w:val="28"/>
          <w:highlight w:val="none"/>
          <w:lang w:eastAsia="zh-CN"/>
        </w:rPr>
      </w:pPr>
      <w:bookmarkStart w:id="2" w:name="_Toc35393789"/>
      <w:bookmarkStart w:id="3" w:name="_Toc28359001"/>
      <w:bookmarkStart w:id="4" w:name="_Toc28332"/>
      <w:bookmarkStart w:id="5" w:name="_Toc6809"/>
      <w:bookmarkStart w:id="6" w:name="_Toc448731799"/>
      <w:r>
        <w:rPr>
          <w:rFonts w:hint="eastAsia" w:ascii="宋体" w:hAnsi="宋体" w:eastAsia="宋体" w:cs="宋体"/>
          <w:sz w:val="28"/>
          <w:szCs w:val="28"/>
          <w:highlight w:val="none"/>
        </w:rPr>
        <w:t>关于</w:t>
      </w:r>
      <w:r>
        <w:rPr>
          <w:rFonts w:hint="eastAsia" w:ascii="宋体" w:hAnsi="宋体" w:eastAsia="宋体" w:cs="宋体"/>
          <w:sz w:val="28"/>
          <w:szCs w:val="28"/>
          <w:highlight w:val="none"/>
          <w:lang w:eastAsia="zh-CN"/>
        </w:rPr>
        <w:t>2025年瓯海区生活垃圾转运服务</w:t>
      </w:r>
      <w:r>
        <w:rPr>
          <w:rFonts w:hint="eastAsia" w:ascii="宋体" w:hAnsi="宋体" w:eastAsia="宋体" w:cs="宋体"/>
          <w:sz w:val="28"/>
          <w:szCs w:val="28"/>
          <w:highlight w:val="none"/>
        </w:rPr>
        <w:t>的公开</w:t>
      </w:r>
      <w:bookmarkEnd w:id="2"/>
      <w:bookmarkEnd w:id="3"/>
      <w:r>
        <w:rPr>
          <w:rFonts w:hint="eastAsia" w:ascii="宋体" w:hAnsi="宋体" w:eastAsia="宋体" w:cs="宋体"/>
          <w:sz w:val="28"/>
          <w:szCs w:val="28"/>
          <w:highlight w:val="none"/>
          <w:lang w:eastAsia="zh-CN"/>
        </w:rPr>
        <w:t>采购公告</w:t>
      </w:r>
      <w:bookmarkEnd w:id="4"/>
    </w:p>
    <w:p w14:paraId="56A5DBBC">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项目概况</w:t>
      </w:r>
    </w:p>
    <w:p w14:paraId="4BB825EE">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eastAsia="宋体" w:cs="宋体"/>
          <w:sz w:val="22"/>
          <w:szCs w:val="22"/>
          <w:highlight w:val="none"/>
          <w:u w:val="single"/>
        </w:rPr>
      </w:pPr>
      <w:r>
        <w:rPr>
          <w:rFonts w:hint="eastAsia" w:ascii="宋体" w:hAnsi="宋体" w:eastAsia="宋体" w:cs="宋体"/>
          <w:sz w:val="22"/>
          <w:szCs w:val="22"/>
          <w:highlight w:val="none"/>
          <w:u w:val="single"/>
          <w:lang w:eastAsia="zh-CN"/>
        </w:rPr>
        <w:t>2025年瓯海区生活垃圾转运服务</w:t>
      </w:r>
      <w:r>
        <w:rPr>
          <w:rFonts w:hint="eastAsia" w:ascii="宋体" w:hAnsi="宋体" w:eastAsia="宋体" w:cs="宋体"/>
          <w:sz w:val="22"/>
          <w:szCs w:val="22"/>
          <w:highlight w:val="none"/>
        </w:rPr>
        <w:t>招标项目的潜在供应商应在</w:t>
      </w:r>
      <w:r>
        <w:rPr>
          <w:rFonts w:hint="eastAsia" w:ascii="宋体" w:hAnsi="宋体" w:eastAsia="宋体" w:cs="宋体"/>
          <w:sz w:val="22"/>
          <w:szCs w:val="22"/>
          <w:highlight w:val="none"/>
          <w:u w:val="single"/>
        </w:rPr>
        <w:t>政府采购云平台</w:t>
      </w:r>
      <w:r>
        <w:rPr>
          <w:rFonts w:hint="eastAsia" w:ascii="宋体" w:hAnsi="宋体" w:eastAsia="宋体" w:cs="宋体"/>
          <w:sz w:val="22"/>
          <w:szCs w:val="22"/>
          <w:highlight w:val="none"/>
        </w:rPr>
        <w:t>获取采购文件，并于</w:t>
      </w:r>
      <w:r>
        <w:rPr>
          <w:rFonts w:hint="eastAsia" w:ascii="宋体" w:hAnsi="宋体" w:eastAsia="宋体" w:cs="宋体"/>
          <w:sz w:val="22"/>
          <w:szCs w:val="22"/>
          <w:highlight w:val="none"/>
          <w:u w:val="single"/>
          <w:lang w:val="en-US" w:eastAsia="zh-CN"/>
        </w:rPr>
        <w:t>2025年2月14日9</w:t>
      </w:r>
      <w:r>
        <w:rPr>
          <w:rFonts w:hint="eastAsia" w:ascii="宋体" w:hAnsi="宋体" w:eastAsia="宋体" w:cs="宋体"/>
          <w:sz w:val="22"/>
          <w:szCs w:val="22"/>
          <w:highlight w:val="none"/>
          <w:u w:val="single"/>
        </w:rPr>
        <w:t>:30</w:t>
      </w:r>
      <w:r>
        <w:rPr>
          <w:rFonts w:hint="eastAsia" w:ascii="宋体" w:hAnsi="宋体" w:eastAsia="宋体" w:cs="宋体"/>
          <w:sz w:val="22"/>
          <w:szCs w:val="22"/>
          <w:highlight w:val="none"/>
        </w:rPr>
        <w:t>（北京时间）前递交（上传）投标文件。</w:t>
      </w:r>
    </w:p>
    <w:p w14:paraId="68E0207C">
      <w:pPr>
        <w:spacing w:line="360" w:lineRule="auto"/>
        <w:rPr>
          <w:rFonts w:ascii="宋体" w:hAnsi="宋体" w:eastAsia="宋体" w:cs="宋体"/>
          <w:sz w:val="22"/>
          <w:szCs w:val="22"/>
          <w:highlight w:val="none"/>
        </w:rPr>
      </w:pPr>
    </w:p>
    <w:p w14:paraId="6BDBAAED">
      <w:pPr>
        <w:spacing w:line="360" w:lineRule="auto"/>
        <w:rPr>
          <w:rFonts w:ascii="宋体" w:hAnsi="宋体" w:eastAsia="宋体" w:cs="宋体"/>
          <w:sz w:val="22"/>
          <w:szCs w:val="22"/>
          <w:highlight w:val="none"/>
        </w:rPr>
      </w:pPr>
      <w:r>
        <w:rPr>
          <w:rFonts w:hint="eastAsia" w:ascii="宋体" w:hAnsi="宋体" w:eastAsia="宋体" w:cs="宋体"/>
          <w:sz w:val="22"/>
          <w:szCs w:val="22"/>
          <w:highlight w:val="none"/>
        </w:rPr>
        <w:t>一、项目基本情况</w:t>
      </w:r>
    </w:p>
    <w:p w14:paraId="4D9D1108">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项目编号：</w:t>
      </w:r>
      <w:r>
        <w:rPr>
          <w:rFonts w:hint="eastAsia" w:ascii="宋体" w:hAnsi="宋体" w:eastAsia="宋体" w:cs="宋体"/>
          <w:sz w:val="22"/>
          <w:szCs w:val="22"/>
          <w:highlight w:val="none"/>
          <w:lang w:eastAsia="zh-CN"/>
        </w:rPr>
        <w:t>ZJBG-CG-2024-10</w:t>
      </w:r>
    </w:p>
    <w:p w14:paraId="69D5AFD0">
      <w:pPr>
        <w:spacing w:line="360" w:lineRule="auto"/>
        <w:ind w:firstLine="440" w:firstLineChars="200"/>
        <w:rPr>
          <w:rFonts w:hint="eastAsia" w:ascii="宋体" w:hAnsi="宋体" w:eastAsia="宋体" w:cs="宋体"/>
          <w:kern w:val="0"/>
          <w:sz w:val="22"/>
          <w:szCs w:val="22"/>
          <w:highlight w:val="none"/>
          <w:lang w:eastAsia="zh-CN"/>
        </w:rPr>
      </w:pP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lang w:eastAsia="zh-CN"/>
        </w:rPr>
        <w:t>2025年瓯海区生活垃圾转运服务</w:t>
      </w:r>
    </w:p>
    <w:p w14:paraId="5393AAE0">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预算金额：</w:t>
      </w:r>
      <w:r>
        <w:rPr>
          <w:rFonts w:hint="eastAsia" w:ascii="宋体" w:hAnsi="宋体" w:eastAsia="宋体" w:cs="宋体"/>
          <w:sz w:val="22"/>
          <w:szCs w:val="22"/>
          <w:highlight w:val="none"/>
          <w:lang w:val="en-US" w:eastAsia="zh-CN"/>
        </w:rPr>
        <w:t>3857万元</w:t>
      </w:r>
      <w:r>
        <w:rPr>
          <w:rFonts w:hint="eastAsia" w:ascii="宋体" w:hAnsi="宋体" w:eastAsia="宋体" w:cs="宋体"/>
          <w:sz w:val="22"/>
          <w:szCs w:val="22"/>
          <w:highlight w:val="none"/>
        </w:rPr>
        <w:t xml:space="preserve"> </w:t>
      </w:r>
    </w:p>
    <w:p w14:paraId="3D30C1D7">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最高限价：</w:t>
      </w:r>
      <w:r>
        <w:rPr>
          <w:rFonts w:hint="eastAsia" w:ascii="宋体" w:hAnsi="宋体" w:eastAsia="宋体" w:cs="宋体"/>
          <w:sz w:val="22"/>
          <w:szCs w:val="22"/>
          <w:highlight w:val="none"/>
          <w:lang w:val="en-US" w:eastAsia="zh-CN"/>
        </w:rPr>
        <w:t>3857万元</w:t>
      </w:r>
    </w:p>
    <w:p w14:paraId="2E4C83AA">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采购需求：</w:t>
      </w:r>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7"/>
        <w:gridCol w:w="852"/>
        <w:gridCol w:w="4307"/>
      </w:tblGrid>
      <w:tr w14:paraId="367D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0A7773C">
            <w:pPr>
              <w:widowControl/>
              <w:spacing w:before="60" w:after="60" w:line="360" w:lineRule="auto"/>
              <w:ind w:right="60"/>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序号</w:t>
            </w:r>
          </w:p>
        </w:tc>
        <w:tc>
          <w:tcPr>
            <w:tcW w:w="3877" w:type="dxa"/>
            <w:tcBorders>
              <w:top w:val="single" w:color="auto" w:sz="4" w:space="0"/>
              <w:left w:val="single" w:color="auto" w:sz="4" w:space="0"/>
              <w:bottom w:val="single" w:color="auto" w:sz="4" w:space="0"/>
              <w:right w:val="single" w:color="auto" w:sz="4" w:space="0"/>
            </w:tcBorders>
            <w:vAlign w:val="center"/>
          </w:tcPr>
          <w:p w14:paraId="49D80431">
            <w:pPr>
              <w:widowControl/>
              <w:spacing w:before="60" w:after="60" w:line="360" w:lineRule="auto"/>
              <w:ind w:right="60"/>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标项名称</w:t>
            </w:r>
          </w:p>
        </w:tc>
        <w:tc>
          <w:tcPr>
            <w:tcW w:w="852" w:type="dxa"/>
            <w:tcBorders>
              <w:top w:val="single" w:color="auto" w:sz="4" w:space="0"/>
              <w:left w:val="single" w:color="auto" w:sz="4" w:space="0"/>
              <w:bottom w:val="single" w:color="auto" w:sz="4" w:space="0"/>
              <w:right w:val="single" w:color="auto" w:sz="4" w:space="0"/>
            </w:tcBorders>
            <w:vAlign w:val="center"/>
          </w:tcPr>
          <w:p w14:paraId="56941B71">
            <w:pPr>
              <w:widowControl/>
              <w:spacing w:before="60" w:after="60" w:line="360" w:lineRule="auto"/>
              <w:ind w:left="60" w:right="60"/>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数量</w:t>
            </w:r>
          </w:p>
        </w:tc>
        <w:tc>
          <w:tcPr>
            <w:tcW w:w="4307" w:type="dxa"/>
            <w:tcBorders>
              <w:top w:val="single" w:color="auto" w:sz="4" w:space="0"/>
              <w:left w:val="single" w:color="auto" w:sz="4" w:space="0"/>
              <w:bottom w:val="single" w:color="auto" w:sz="4" w:space="0"/>
              <w:right w:val="single" w:color="auto" w:sz="4" w:space="0"/>
            </w:tcBorders>
            <w:vAlign w:val="center"/>
          </w:tcPr>
          <w:p w14:paraId="1A2608D0">
            <w:pPr>
              <w:widowControl/>
              <w:spacing w:before="60" w:after="60" w:line="360" w:lineRule="auto"/>
              <w:ind w:right="60"/>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简要规格描述</w:t>
            </w:r>
          </w:p>
        </w:tc>
      </w:tr>
      <w:tr w14:paraId="27BC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98ABAEE">
            <w:pPr>
              <w:widowControl/>
              <w:spacing w:before="60" w:after="60" w:line="360" w:lineRule="auto"/>
              <w:ind w:right="60"/>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3877" w:type="dxa"/>
            <w:tcBorders>
              <w:top w:val="single" w:color="auto" w:sz="4" w:space="0"/>
              <w:left w:val="single" w:color="auto" w:sz="4" w:space="0"/>
              <w:bottom w:val="single" w:color="auto" w:sz="4" w:space="0"/>
              <w:right w:val="single" w:color="auto" w:sz="4" w:space="0"/>
            </w:tcBorders>
            <w:vAlign w:val="center"/>
          </w:tcPr>
          <w:p w14:paraId="4D2010DB">
            <w:pPr>
              <w:widowControl/>
              <w:spacing w:before="60" w:after="60" w:line="360" w:lineRule="auto"/>
              <w:ind w:right="60"/>
              <w:jc w:val="center"/>
              <w:rPr>
                <w:rFonts w:hint="eastAsia" w:ascii="宋体" w:hAnsi="宋体" w:eastAsia="宋体" w:cs="宋体"/>
                <w:kern w:val="0"/>
                <w:sz w:val="22"/>
                <w:szCs w:val="22"/>
                <w:highlight w:val="none"/>
                <w:lang w:eastAsia="zh-CN"/>
              </w:rPr>
            </w:pPr>
            <w:r>
              <w:rPr>
                <w:rFonts w:hint="eastAsia" w:ascii="宋体" w:hAnsi="宋体" w:eastAsia="宋体" w:cs="宋体"/>
                <w:sz w:val="22"/>
                <w:szCs w:val="22"/>
                <w:highlight w:val="none"/>
                <w:lang w:eastAsia="zh-CN"/>
              </w:rPr>
              <w:t>2025年瓯海区生活垃圾转运服务</w:t>
            </w:r>
          </w:p>
        </w:tc>
        <w:tc>
          <w:tcPr>
            <w:tcW w:w="852" w:type="dxa"/>
            <w:tcBorders>
              <w:top w:val="single" w:color="auto" w:sz="4" w:space="0"/>
              <w:left w:val="single" w:color="auto" w:sz="4" w:space="0"/>
              <w:bottom w:val="single" w:color="auto" w:sz="4" w:space="0"/>
              <w:right w:val="single" w:color="auto" w:sz="4" w:space="0"/>
            </w:tcBorders>
            <w:vAlign w:val="center"/>
          </w:tcPr>
          <w:p w14:paraId="56659164">
            <w:pPr>
              <w:spacing w:line="360" w:lineRule="auto"/>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1项</w:t>
            </w:r>
          </w:p>
        </w:tc>
        <w:tc>
          <w:tcPr>
            <w:tcW w:w="4307" w:type="dxa"/>
            <w:tcBorders>
              <w:top w:val="single" w:color="auto" w:sz="4" w:space="0"/>
              <w:left w:val="single" w:color="auto" w:sz="4" w:space="0"/>
              <w:bottom w:val="single" w:color="auto" w:sz="4" w:space="0"/>
              <w:right w:val="single" w:color="auto" w:sz="4" w:space="0"/>
            </w:tcBorders>
            <w:vAlign w:val="center"/>
          </w:tcPr>
          <w:p w14:paraId="2A98961F">
            <w:pPr>
              <w:rPr>
                <w:rFonts w:ascii="宋体" w:hAnsi="宋体" w:eastAsia="宋体" w:cs="宋体"/>
                <w:sz w:val="22"/>
                <w:szCs w:val="22"/>
                <w:highlight w:val="none"/>
              </w:rPr>
            </w:pPr>
            <w:r>
              <w:rPr>
                <w:rFonts w:hint="eastAsia" w:ascii="宋体" w:hAnsi="宋体" w:eastAsia="宋体" w:cs="宋体"/>
                <w:sz w:val="22"/>
                <w:szCs w:val="22"/>
                <w:highlight w:val="none"/>
                <w:lang w:eastAsia="zh-CN"/>
              </w:rPr>
              <w:t>瓯海区生活垃圾转运服务</w:t>
            </w:r>
            <w:r>
              <w:rPr>
                <w:rFonts w:hint="eastAsia" w:ascii="宋体" w:hAnsi="宋体" w:eastAsia="宋体" w:cs="宋体"/>
                <w:sz w:val="22"/>
                <w:szCs w:val="22"/>
                <w:highlight w:val="none"/>
              </w:rPr>
              <w:t>，具体详见采购文件相关部分。</w:t>
            </w:r>
          </w:p>
        </w:tc>
      </w:tr>
    </w:tbl>
    <w:p w14:paraId="0DC35756">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合同履行期限：</w:t>
      </w:r>
      <w:r>
        <w:rPr>
          <w:rFonts w:hint="eastAsia" w:ascii="宋体" w:hAnsi="宋体" w:eastAsia="宋体" w:cs="宋体"/>
          <w:sz w:val="22"/>
          <w:szCs w:val="22"/>
          <w:highlight w:val="none"/>
          <w:lang w:val="en-US" w:eastAsia="zh-CN"/>
        </w:rPr>
        <w:t>本项目服务期限为2年，服务合同一年一签，详见采购文件</w:t>
      </w:r>
      <w:r>
        <w:rPr>
          <w:rFonts w:hint="eastAsia" w:ascii="宋体" w:hAnsi="宋体" w:eastAsia="宋体" w:cs="宋体"/>
          <w:sz w:val="22"/>
          <w:szCs w:val="22"/>
          <w:highlight w:val="none"/>
        </w:rPr>
        <w:t>。</w:t>
      </w:r>
    </w:p>
    <w:p w14:paraId="380AD363">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本项目（否）接受联合体投标。</w:t>
      </w:r>
    </w:p>
    <w:p w14:paraId="2DA73A9A">
      <w:pPr>
        <w:spacing w:line="360" w:lineRule="auto"/>
        <w:rPr>
          <w:rFonts w:ascii="宋体" w:hAnsi="宋体" w:eastAsia="宋体" w:cs="宋体"/>
          <w:sz w:val="22"/>
          <w:szCs w:val="22"/>
          <w:highlight w:val="none"/>
        </w:rPr>
      </w:pPr>
      <w:r>
        <w:rPr>
          <w:rFonts w:hint="eastAsia" w:ascii="宋体" w:hAnsi="宋体" w:eastAsia="宋体" w:cs="宋体"/>
          <w:sz w:val="22"/>
          <w:szCs w:val="22"/>
          <w:highlight w:val="none"/>
        </w:rPr>
        <w:t>二、申请人的资格要求：</w:t>
      </w:r>
    </w:p>
    <w:p w14:paraId="641998A1">
      <w:pPr>
        <w:widowControl/>
        <w:numPr>
          <w:ilvl w:val="0"/>
          <w:numId w:val="1"/>
        </w:numPr>
        <w:spacing w:line="360" w:lineRule="auto"/>
        <w:ind w:right="60"/>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满足《中华人民共和国政府采购法》第二十二条的规定；未被“信用中国”（www.creditchina.gov.cn）、中国政府采购网（www.ccgp.gov.cn）列入失信被执行人、重大税收违法案件当事人名单、政府采购严重违法失信行为记录名单。</w:t>
      </w:r>
    </w:p>
    <w:p w14:paraId="7BEC3B93">
      <w:pPr>
        <w:widowControl/>
        <w:numPr>
          <w:ilvl w:val="0"/>
          <w:numId w:val="1"/>
        </w:numPr>
        <w:spacing w:line="360" w:lineRule="auto"/>
        <w:ind w:right="60"/>
        <w:jc w:val="left"/>
        <w:rPr>
          <w:rFonts w:ascii="宋体" w:hAnsi="宋体" w:eastAsia="宋体" w:cs="宋体"/>
          <w:color w:val="FF0000"/>
          <w:kern w:val="0"/>
          <w:sz w:val="22"/>
          <w:szCs w:val="22"/>
          <w:highlight w:val="none"/>
        </w:rPr>
      </w:pPr>
      <w:r>
        <w:rPr>
          <w:rFonts w:hint="eastAsia" w:ascii="宋体" w:hAnsi="宋体" w:eastAsia="宋体" w:cs="宋体"/>
          <w:kern w:val="0"/>
          <w:sz w:val="22"/>
          <w:szCs w:val="22"/>
          <w:highlight w:val="none"/>
        </w:rPr>
        <w:t>落实政府采购政策需满足的资格要求：</w:t>
      </w:r>
      <w:r>
        <w:rPr>
          <w:rFonts w:hint="eastAsia" w:ascii="宋体" w:hAnsi="宋体" w:eastAsia="宋体" w:cs="宋体"/>
          <w:color w:val="auto"/>
          <w:kern w:val="0"/>
          <w:sz w:val="22"/>
          <w:szCs w:val="22"/>
          <w:highlight w:val="none"/>
          <w:lang w:val="en-US" w:eastAsia="zh-CN"/>
        </w:rPr>
        <w:t>无</w:t>
      </w:r>
    </w:p>
    <w:p w14:paraId="7D5ABAE7">
      <w:pPr>
        <w:widowControl/>
        <w:numPr>
          <w:ilvl w:val="0"/>
          <w:numId w:val="1"/>
        </w:numPr>
        <w:spacing w:line="360" w:lineRule="auto"/>
        <w:ind w:right="60"/>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rPr>
        <w:t>本项目的特定资格要求：无</w:t>
      </w:r>
    </w:p>
    <w:p w14:paraId="7154D4DC">
      <w:pPr>
        <w:pStyle w:val="6"/>
        <w:numPr>
          <w:ilvl w:val="0"/>
          <w:numId w:val="2"/>
        </w:numPr>
        <w:spacing w:line="360" w:lineRule="auto"/>
        <w:rPr>
          <w:rFonts w:ascii="宋体" w:hAnsi="宋体" w:eastAsia="宋体" w:cs="宋体"/>
          <w:sz w:val="22"/>
          <w:szCs w:val="22"/>
          <w:highlight w:val="none"/>
        </w:rPr>
      </w:pPr>
      <w:bookmarkStart w:id="7" w:name="_Toc28359004"/>
      <w:bookmarkStart w:id="8" w:name="_Toc28359081"/>
      <w:bookmarkStart w:id="9" w:name="_Toc35393792"/>
      <w:bookmarkStart w:id="10" w:name="_Toc35393623"/>
      <w:r>
        <w:rPr>
          <w:rFonts w:hint="eastAsia" w:ascii="宋体" w:hAnsi="宋体" w:eastAsia="宋体" w:cs="宋体"/>
          <w:b w:val="0"/>
          <w:kern w:val="0"/>
          <w:sz w:val="22"/>
          <w:szCs w:val="22"/>
          <w:highlight w:val="none"/>
        </w:rPr>
        <w:t>获取</w:t>
      </w:r>
      <w:bookmarkEnd w:id="7"/>
      <w:bookmarkEnd w:id="8"/>
      <w:bookmarkEnd w:id="9"/>
      <w:bookmarkEnd w:id="10"/>
      <w:r>
        <w:rPr>
          <w:rFonts w:hint="eastAsia" w:ascii="宋体" w:hAnsi="宋体" w:eastAsia="宋体" w:cs="宋体"/>
          <w:b w:val="0"/>
          <w:kern w:val="0"/>
          <w:sz w:val="22"/>
          <w:szCs w:val="22"/>
          <w:highlight w:val="none"/>
        </w:rPr>
        <w:t>采购文件</w:t>
      </w:r>
    </w:p>
    <w:p w14:paraId="25360CAD">
      <w:pPr>
        <w:pStyle w:val="6"/>
        <w:spacing w:line="360" w:lineRule="auto"/>
        <w:ind w:firstLine="440" w:firstLineChars="200"/>
        <w:rPr>
          <w:rFonts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时间：</w:t>
      </w:r>
      <w:r>
        <w:rPr>
          <w:rFonts w:hint="eastAsia" w:ascii="宋体" w:hAnsi="宋体" w:eastAsia="宋体" w:cs="宋体"/>
          <w:sz w:val="27"/>
          <w:szCs w:val="27"/>
          <w:highlight w:val="none"/>
        </w:rPr>
        <w:t>/</w:t>
      </w:r>
      <w:r>
        <w:rPr>
          <w:rFonts w:hint="eastAsia" w:ascii="宋体" w:hAnsi="宋体" w:eastAsia="宋体" w:cs="宋体"/>
          <w:b w:val="0"/>
          <w:bCs w:val="0"/>
          <w:sz w:val="22"/>
          <w:szCs w:val="22"/>
          <w:highlight w:val="none"/>
        </w:rPr>
        <w:t>至</w:t>
      </w:r>
      <w:r>
        <w:rPr>
          <w:rFonts w:hint="eastAsia" w:ascii="宋体" w:hAnsi="宋体" w:eastAsia="宋体" w:cs="宋体"/>
          <w:b w:val="0"/>
          <w:bCs w:val="0"/>
          <w:sz w:val="22"/>
          <w:szCs w:val="22"/>
          <w:highlight w:val="none"/>
          <w:lang w:eastAsia="zh-CN"/>
        </w:rPr>
        <w:t>2025年2月14日</w:t>
      </w:r>
      <w:r>
        <w:rPr>
          <w:rFonts w:hint="eastAsia" w:ascii="宋体" w:hAnsi="宋体" w:eastAsia="宋体" w:cs="宋体"/>
          <w:b w:val="0"/>
          <w:bCs w:val="0"/>
          <w:sz w:val="22"/>
          <w:szCs w:val="22"/>
          <w:highlight w:val="none"/>
        </w:rPr>
        <w:t>，每天上午00:00至12:00 ，下午12:00至23:59（北京时间，线上获取法定节假日均可，线下获取文件法定节假日除外）</w:t>
      </w:r>
    </w:p>
    <w:p w14:paraId="619B6427">
      <w:pPr>
        <w:widowControl/>
        <w:spacing w:line="360" w:lineRule="exact"/>
        <w:ind w:firstLine="440"/>
        <w:jc w:val="left"/>
        <w:rPr>
          <w:rFonts w:ascii="宋体" w:hAnsi="宋体" w:cs="宋体"/>
          <w:kern w:val="0"/>
          <w:sz w:val="22"/>
          <w:szCs w:val="22"/>
          <w:highlight w:val="none"/>
        </w:rPr>
      </w:pPr>
      <w:r>
        <w:rPr>
          <w:rFonts w:hint="eastAsia" w:ascii="宋体" w:hAnsi="宋体" w:eastAsia="宋体" w:cs="宋体"/>
          <w:sz w:val="22"/>
          <w:szCs w:val="22"/>
          <w:highlight w:val="none"/>
        </w:rPr>
        <w:t> </w:t>
      </w:r>
      <w:r>
        <w:rPr>
          <w:rFonts w:ascii="宋体" w:hAnsi="宋体" w:cs="宋体"/>
          <w:kern w:val="0"/>
          <w:sz w:val="22"/>
          <w:szCs w:val="22"/>
          <w:highlight w:val="none"/>
        </w:rPr>
        <w:t>地点（网址）：</w:t>
      </w:r>
      <w:r>
        <w:rPr>
          <w:rFonts w:hint="eastAsia" w:ascii="宋体" w:hAnsi="宋体" w:cs="宋体"/>
          <w:kern w:val="0"/>
          <w:sz w:val="22"/>
          <w:szCs w:val="22"/>
          <w:highlight w:val="none"/>
        </w:rPr>
        <w:t>在</w:t>
      </w:r>
      <w:r>
        <w:rPr>
          <w:rFonts w:ascii="宋体" w:hAnsi="宋体" w:cs="宋体"/>
          <w:kern w:val="0"/>
          <w:sz w:val="22"/>
          <w:szCs w:val="22"/>
          <w:highlight w:val="none"/>
        </w:rPr>
        <w:t>浙江政府采购网(http://zfcg.czt.zj.gov.cn/)</w:t>
      </w:r>
      <w:r>
        <w:rPr>
          <w:rFonts w:hint="eastAsia" w:ascii="宋体" w:hAnsi="宋体" w:cs="宋体"/>
          <w:kern w:val="0"/>
          <w:sz w:val="22"/>
          <w:szCs w:val="22"/>
          <w:highlight w:val="none"/>
        </w:rPr>
        <w:t>上自主获取（</w:t>
      </w:r>
      <w:r>
        <w:rPr>
          <w:rFonts w:hint="eastAsia" w:ascii="宋体" w:hAnsi="宋体" w:cs="宋体"/>
          <w:sz w:val="22"/>
          <w:szCs w:val="22"/>
          <w:highlight w:val="none"/>
        </w:rPr>
        <w:t>未注册政采云账号请尽早办</w:t>
      </w:r>
      <w:r>
        <w:rPr>
          <w:rFonts w:hint="eastAsia" w:ascii="宋体" w:hAnsi="宋体" w:cs="宋体"/>
          <w:kern w:val="0"/>
          <w:sz w:val="22"/>
          <w:szCs w:val="22"/>
          <w:highlight w:val="none"/>
        </w:rPr>
        <w:t>理，注册流程详见“浙江政府采购网—网上办事指南—投标人注册申请”，咨询电话：4008817190）</w:t>
      </w:r>
      <w:r>
        <w:rPr>
          <w:rFonts w:ascii="宋体" w:hAnsi="宋体" w:cs="宋体"/>
          <w:kern w:val="0"/>
          <w:sz w:val="22"/>
          <w:szCs w:val="22"/>
          <w:highlight w:val="none"/>
        </w:rPr>
        <w:t>  </w:t>
      </w:r>
    </w:p>
    <w:p w14:paraId="5E0FAA03">
      <w:pPr>
        <w:widowControl/>
        <w:spacing w:line="360" w:lineRule="exact"/>
        <w:ind w:firstLine="440"/>
        <w:jc w:val="left"/>
        <w:rPr>
          <w:rFonts w:ascii="宋体" w:hAnsi="宋体" w:cs="宋体"/>
          <w:kern w:val="0"/>
          <w:sz w:val="22"/>
          <w:szCs w:val="22"/>
          <w:highlight w:val="none"/>
        </w:rPr>
      </w:pPr>
      <w:r>
        <w:rPr>
          <w:rFonts w:ascii="宋体" w:hAnsi="宋体" w:cs="宋体"/>
          <w:kern w:val="0"/>
          <w:sz w:val="22"/>
          <w:szCs w:val="22"/>
          <w:highlight w:val="none"/>
        </w:rPr>
        <w:t>方式：</w:t>
      </w:r>
      <w:r>
        <w:rPr>
          <w:rFonts w:hint="eastAsia" w:ascii="宋体" w:hAnsi="宋体" w:cs="宋体"/>
          <w:sz w:val="22"/>
          <w:szCs w:val="22"/>
          <w:highlight w:val="none"/>
        </w:rPr>
        <w:t>潜在投标人登陆政府采购云平台</w:t>
      </w:r>
      <w:r>
        <w:rPr>
          <w:rFonts w:hint="eastAsia" w:ascii="宋体" w:hAnsi="宋体" w:cs="宋体"/>
          <w:kern w:val="0"/>
          <w:sz w:val="22"/>
          <w:szCs w:val="22"/>
          <w:highlight w:val="none"/>
        </w:rPr>
        <w:t>（www.zcygov.cn）</w:t>
      </w:r>
      <w:r>
        <w:rPr>
          <w:rFonts w:hint="eastAsia" w:ascii="宋体" w:hAnsi="宋体" w:cs="宋体"/>
          <w:sz w:val="22"/>
          <w:szCs w:val="22"/>
          <w:highlight w:val="none"/>
        </w:rPr>
        <w:t>，在线申请获取招标文件（进入“项目采购”应用，在获取采购文件菜单中选择项目，申请获取采购文件；仅需浏览采购文件的投标人可点击“游客，浏览采购件”直接下载采购文件浏览，不视作依法获取采购文件）。</w:t>
      </w:r>
      <w:r>
        <w:rPr>
          <w:rFonts w:hint="eastAsia" w:ascii="宋体" w:hAnsi="宋体" w:cs="宋体"/>
          <w:kern w:val="0"/>
          <w:sz w:val="22"/>
          <w:szCs w:val="22"/>
          <w:highlight w:val="none"/>
        </w:rPr>
        <w:t>未依法获取采购文件的潜在投标人对采购文件提起质疑投诉，不予受理</w:t>
      </w:r>
      <w:r>
        <w:rPr>
          <w:rFonts w:ascii="宋体" w:hAnsi="宋体" w:cs="宋体"/>
          <w:kern w:val="0"/>
          <w:sz w:val="22"/>
          <w:szCs w:val="22"/>
          <w:highlight w:val="none"/>
        </w:rPr>
        <w:t>。 </w:t>
      </w:r>
    </w:p>
    <w:p w14:paraId="1EACEB0B">
      <w:pPr>
        <w:widowControl/>
        <w:spacing w:line="360" w:lineRule="exact"/>
        <w:ind w:firstLine="440"/>
        <w:jc w:val="left"/>
        <w:rPr>
          <w:rFonts w:ascii="宋体" w:hAnsi="宋体" w:eastAsia="宋体" w:cs="宋体"/>
          <w:highlight w:val="none"/>
        </w:rPr>
      </w:pPr>
      <w:r>
        <w:rPr>
          <w:rFonts w:ascii="宋体" w:hAnsi="宋体" w:cs="宋体"/>
          <w:kern w:val="0"/>
          <w:sz w:val="22"/>
          <w:szCs w:val="22"/>
          <w:highlight w:val="none"/>
        </w:rPr>
        <w:t>售价（元）：0 </w:t>
      </w:r>
    </w:p>
    <w:p w14:paraId="0A566C9B">
      <w:pPr>
        <w:pStyle w:val="6"/>
        <w:spacing w:line="312" w:lineRule="auto"/>
        <w:rPr>
          <w:rFonts w:ascii="宋体" w:hAnsi="宋体" w:eastAsia="宋体" w:cs="宋体"/>
          <w:b w:val="0"/>
          <w:sz w:val="22"/>
          <w:szCs w:val="22"/>
          <w:highlight w:val="none"/>
        </w:rPr>
      </w:pPr>
      <w:bookmarkStart w:id="11" w:name="_Toc28359005"/>
      <w:bookmarkStart w:id="12" w:name="_Toc28359082"/>
      <w:bookmarkStart w:id="13" w:name="_Toc35393624"/>
      <w:bookmarkStart w:id="14" w:name="_Toc35393793"/>
      <w:r>
        <w:rPr>
          <w:rFonts w:hint="eastAsia" w:ascii="宋体" w:hAnsi="宋体" w:eastAsia="宋体" w:cs="宋体"/>
          <w:b w:val="0"/>
          <w:sz w:val="22"/>
          <w:szCs w:val="22"/>
          <w:highlight w:val="none"/>
        </w:rPr>
        <w:t>四、提交投标文件</w:t>
      </w:r>
      <w:bookmarkEnd w:id="11"/>
      <w:bookmarkEnd w:id="12"/>
      <w:r>
        <w:rPr>
          <w:rFonts w:hint="eastAsia" w:ascii="宋体" w:hAnsi="宋体" w:eastAsia="宋体" w:cs="宋体"/>
          <w:b w:val="0"/>
          <w:sz w:val="22"/>
          <w:szCs w:val="22"/>
          <w:highlight w:val="none"/>
        </w:rPr>
        <w:t>截止时间、开标时间和地点</w:t>
      </w:r>
      <w:bookmarkEnd w:id="13"/>
      <w:bookmarkEnd w:id="14"/>
    </w:p>
    <w:p w14:paraId="3AA4B417">
      <w:pPr>
        <w:pStyle w:val="22"/>
        <w:widowControl/>
        <w:spacing w:beforeAutospacing="0" w:afterAutospacing="0" w:line="312" w:lineRule="auto"/>
        <w:ind w:firstLine="440" w:firstLineChars="200"/>
        <w:rPr>
          <w:rFonts w:ascii="宋体" w:hAnsi="宋体" w:eastAsia="宋体" w:cs="宋体"/>
          <w:bCs/>
          <w:sz w:val="22"/>
          <w:szCs w:val="22"/>
          <w:highlight w:val="none"/>
        </w:rPr>
      </w:pPr>
      <w:r>
        <w:rPr>
          <w:rFonts w:hint="eastAsia" w:ascii="宋体" w:hAnsi="宋体" w:eastAsia="宋体" w:cs="宋体"/>
          <w:sz w:val="22"/>
          <w:szCs w:val="22"/>
          <w:highlight w:val="none"/>
        </w:rPr>
        <w:t>提交投标文件截止时间：</w:t>
      </w:r>
      <w:r>
        <w:rPr>
          <w:rFonts w:hint="eastAsia" w:ascii="宋体" w:hAnsi="宋体" w:eastAsia="宋体" w:cs="宋体"/>
          <w:sz w:val="22"/>
          <w:szCs w:val="22"/>
          <w:highlight w:val="none"/>
          <w:u w:val="single"/>
          <w:lang w:val="en-US" w:eastAsia="zh-CN"/>
        </w:rPr>
        <w:t>2025年2月14日9</w:t>
      </w:r>
      <w:r>
        <w:rPr>
          <w:rFonts w:hint="eastAsia" w:ascii="宋体" w:hAnsi="宋体" w:eastAsia="宋体" w:cs="宋体"/>
          <w:sz w:val="22"/>
          <w:szCs w:val="22"/>
          <w:highlight w:val="none"/>
          <w:u w:val="single"/>
        </w:rPr>
        <w:t>:30</w:t>
      </w:r>
      <w:r>
        <w:rPr>
          <w:rFonts w:hint="eastAsia" w:ascii="宋体" w:hAnsi="宋体" w:eastAsia="宋体" w:cs="宋体"/>
          <w:bCs/>
          <w:sz w:val="22"/>
          <w:szCs w:val="22"/>
          <w:highlight w:val="none"/>
        </w:rPr>
        <w:t>（北京时间）</w:t>
      </w:r>
    </w:p>
    <w:p w14:paraId="7490B522">
      <w:pPr>
        <w:widowControl/>
        <w:spacing w:line="360" w:lineRule="exact"/>
        <w:ind w:firstLine="431" w:firstLineChars="196"/>
        <w:jc w:val="left"/>
        <w:rPr>
          <w:rFonts w:ascii="宋体" w:hAnsi="宋体" w:eastAsia="宋体" w:cs="宋体"/>
          <w:bCs/>
          <w:sz w:val="22"/>
          <w:szCs w:val="22"/>
          <w:highlight w:val="none"/>
        </w:rPr>
      </w:pPr>
      <w:r>
        <w:rPr>
          <w:rFonts w:hint="eastAsia" w:ascii="宋体" w:hAnsi="宋体" w:eastAsia="宋体" w:cs="宋体"/>
          <w:sz w:val="22"/>
          <w:szCs w:val="22"/>
          <w:highlight w:val="none"/>
        </w:rPr>
        <w:t>投标地点（网址）：</w:t>
      </w:r>
      <w:r>
        <w:rPr>
          <w:rFonts w:hint="eastAsia" w:ascii="宋体" w:hAnsi="宋体" w:cs="宋体"/>
          <w:bCs/>
          <w:kern w:val="0"/>
          <w:sz w:val="22"/>
          <w:szCs w:val="22"/>
          <w:highlight w:val="none"/>
        </w:rPr>
        <w:t>政采云平台（https://www.zcygov.cn/）</w:t>
      </w:r>
    </w:p>
    <w:p w14:paraId="1389E4CC">
      <w:pPr>
        <w:pStyle w:val="22"/>
        <w:widowControl/>
        <w:spacing w:beforeAutospacing="0" w:afterAutospacing="0" w:line="312" w:lineRule="auto"/>
        <w:ind w:firstLine="440" w:firstLineChars="200"/>
        <w:rPr>
          <w:rFonts w:ascii="宋体" w:hAnsi="宋体" w:eastAsia="宋体" w:cs="宋体"/>
          <w:bCs/>
          <w:sz w:val="22"/>
          <w:szCs w:val="22"/>
          <w:highlight w:val="none"/>
        </w:rPr>
      </w:pPr>
      <w:r>
        <w:rPr>
          <w:rFonts w:hint="eastAsia" w:ascii="宋体" w:hAnsi="宋体" w:eastAsia="宋体" w:cs="宋体"/>
          <w:bCs/>
          <w:sz w:val="22"/>
          <w:szCs w:val="22"/>
          <w:highlight w:val="none"/>
        </w:rPr>
        <w:t>开标时间：</w:t>
      </w:r>
      <w:r>
        <w:rPr>
          <w:rFonts w:hint="eastAsia" w:ascii="宋体" w:hAnsi="宋体" w:eastAsia="宋体" w:cs="宋体"/>
          <w:sz w:val="22"/>
          <w:szCs w:val="22"/>
          <w:highlight w:val="none"/>
          <w:u w:val="single"/>
          <w:lang w:val="en-US" w:eastAsia="zh-CN"/>
        </w:rPr>
        <w:t>2025年2月14日9</w:t>
      </w:r>
      <w:r>
        <w:rPr>
          <w:rFonts w:hint="eastAsia" w:ascii="宋体" w:hAnsi="宋体" w:eastAsia="宋体" w:cs="宋体"/>
          <w:sz w:val="22"/>
          <w:szCs w:val="22"/>
          <w:highlight w:val="none"/>
          <w:u w:val="single"/>
        </w:rPr>
        <w:t>:30</w:t>
      </w:r>
      <w:r>
        <w:rPr>
          <w:rFonts w:hint="eastAsia" w:ascii="宋体" w:hAnsi="宋体" w:eastAsia="宋体" w:cs="宋体"/>
          <w:bCs/>
          <w:sz w:val="22"/>
          <w:szCs w:val="22"/>
          <w:highlight w:val="none"/>
        </w:rPr>
        <w:t>（北京时间）</w:t>
      </w:r>
    </w:p>
    <w:p w14:paraId="6EA5024B">
      <w:pPr>
        <w:pStyle w:val="22"/>
        <w:widowControl/>
        <w:spacing w:beforeAutospacing="0" w:afterAutospacing="0" w:line="312" w:lineRule="auto"/>
        <w:ind w:firstLine="440" w:firstLineChars="200"/>
        <w:rPr>
          <w:rFonts w:ascii="宋体" w:hAnsi="宋体" w:eastAsia="宋体" w:cs="宋体"/>
          <w:sz w:val="22"/>
          <w:szCs w:val="22"/>
          <w:highlight w:val="none"/>
        </w:rPr>
      </w:pPr>
      <w:bookmarkStart w:id="15" w:name="_Toc28359007"/>
      <w:bookmarkStart w:id="16" w:name="_Toc35393794"/>
      <w:bookmarkStart w:id="17" w:name="_Toc28359084"/>
      <w:bookmarkStart w:id="18" w:name="_Toc35393625"/>
      <w:r>
        <w:rPr>
          <w:rFonts w:hint="eastAsia" w:ascii="宋体" w:hAnsi="宋体" w:eastAsia="宋体" w:cs="宋体"/>
          <w:sz w:val="22"/>
          <w:szCs w:val="22"/>
          <w:highlight w:val="none"/>
        </w:rPr>
        <w:t>开标地点（网址）：</w:t>
      </w:r>
      <w:r>
        <w:rPr>
          <w:rFonts w:hint="eastAsia" w:ascii="宋体" w:hAnsi="宋体" w:cs="宋体"/>
          <w:bCs/>
          <w:kern w:val="0"/>
          <w:sz w:val="22"/>
          <w:szCs w:val="22"/>
          <w:highlight w:val="none"/>
        </w:rPr>
        <w:t>政采云平台（https://www.zcygov.cn/）在线开标</w:t>
      </w:r>
    </w:p>
    <w:p w14:paraId="25C8710E">
      <w:pPr>
        <w:pStyle w:val="6"/>
        <w:spacing w:line="360" w:lineRule="auto"/>
        <w:rPr>
          <w:rFonts w:ascii="宋体" w:hAnsi="宋体" w:eastAsia="宋体" w:cs="宋体"/>
          <w:b w:val="0"/>
          <w:sz w:val="22"/>
          <w:szCs w:val="22"/>
          <w:highlight w:val="none"/>
        </w:rPr>
      </w:pPr>
      <w:r>
        <w:rPr>
          <w:rFonts w:hint="eastAsia" w:ascii="宋体" w:hAnsi="宋体" w:eastAsia="宋体" w:cs="宋体"/>
          <w:b w:val="0"/>
          <w:sz w:val="22"/>
          <w:szCs w:val="22"/>
          <w:highlight w:val="none"/>
        </w:rPr>
        <w:t>五、公告期限</w:t>
      </w:r>
      <w:bookmarkEnd w:id="15"/>
      <w:bookmarkEnd w:id="16"/>
      <w:bookmarkEnd w:id="17"/>
      <w:bookmarkEnd w:id="18"/>
    </w:p>
    <w:p w14:paraId="08B176A1">
      <w:pPr>
        <w:spacing w:line="360" w:lineRule="auto"/>
        <w:ind w:firstLine="440" w:firstLineChars="200"/>
        <w:rPr>
          <w:rFonts w:ascii="宋体" w:hAnsi="宋体" w:eastAsia="宋体" w:cs="宋体"/>
          <w:kern w:val="0"/>
          <w:sz w:val="22"/>
          <w:szCs w:val="22"/>
          <w:highlight w:val="none"/>
        </w:rPr>
      </w:pPr>
      <w:r>
        <w:rPr>
          <w:rFonts w:hint="eastAsia" w:ascii="宋体" w:hAnsi="宋体" w:eastAsia="宋体" w:cs="宋体"/>
          <w:kern w:val="0"/>
          <w:sz w:val="22"/>
          <w:szCs w:val="22"/>
          <w:highlight w:val="none"/>
        </w:rPr>
        <w:t>自本公告发布之日起5个工作日。</w:t>
      </w:r>
    </w:p>
    <w:p w14:paraId="40B7726B">
      <w:pPr>
        <w:widowControl/>
        <w:spacing w:line="360" w:lineRule="exact"/>
        <w:jc w:val="left"/>
        <w:rPr>
          <w:rFonts w:ascii="宋体" w:hAnsi="宋体" w:cs="宋体"/>
          <w:b/>
          <w:kern w:val="0"/>
          <w:sz w:val="22"/>
          <w:szCs w:val="22"/>
          <w:highlight w:val="none"/>
        </w:rPr>
      </w:pPr>
      <w:r>
        <w:rPr>
          <w:rFonts w:hint="eastAsia" w:ascii="宋体" w:hAnsi="宋体" w:cs="宋体"/>
          <w:b/>
          <w:kern w:val="0"/>
          <w:sz w:val="22"/>
          <w:szCs w:val="22"/>
          <w:highlight w:val="none"/>
        </w:rPr>
        <w:t>六、其他补充事宜</w:t>
      </w:r>
    </w:p>
    <w:p w14:paraId="6B0CF754">
      <w:pPr>
        <w:widowControl/>
        <w:spacing w:line="3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587173">
      <w:pPr>
        <w:widowControl/>
        <w:spacing w:line="3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财政部关于进一步加大政府采购支持中小企业力度的通知》(财库〔2022〕19号)、《浙江省财政厅关于进一步发挥政府采购政策功能全力推动经济稳进提质的通知》（浙财采监（2022）3号）、《浙江省财政厅关于进一步促进政府采购公平竞争打造最优营商环境的通知》（浙财采监（2021）22号）开始实施，此前有关规定与上述文件内容不一致的，按上述文件要求执行。</w:t>
      </w:r>
    </w:p>
    <w:p w14:paraId="71CA49E9">
      <w:pPr>
        <w:widowControl/>
        <w:spacing w:line="3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C52B48B">
      <w:pPr>
        <w:spacing w:line="312" w:lineRule="auto"/>
        <w:ind w:firstLine="440" w:firstLineChars="200"/>
        <w:rPr>
          <w:rFonts w:ascii="宋体" w:hAnsi="宋体" w:eastAsia="宋体" w:cs="宋体"/>
          <w:sz w:val="22"/>
          <w:szCs w:val="22"/>
          <w:highlight w:val="none"/>
        </w:rPr>
      </w:pPr>
      <w:r>
        <w:rPr>
          <w:rFonts w:hint="eastAsia" w:ascii="宋体" w:hAnsi="宋体" w:eastAsia="宋体" w:cs="宋体"/>
          <w:bCs/>
          <w:kern w:val="0"/>
          <w:sz w:val="22"/>
          <w:szCs w:val="22"/>
          <w:highlight w:val="none"/>
          <w:lang w:val="en-US" w:eastAsia="zh-CN"/>
        </w:rPr>
        <w:t>4.</w:t>
      </w:r>
      <w:r>
        <w:rPr>
          <w:rFonts w:hint="eastAsia" w:ascii="宋体" w:hAnsi="宋体" w:eastAsia="宋体" w:cs="宋体"/>
          <w:b/>
          <w:kern w:val="0"/>
          <w:sz w:val="22"/>
          <w:szCs w:val="22"/>
          <w:highlight w:val="none"/>
        </w:rPr>
        <w:t>电子投标说明</w:t>
      </w:r>
      <w:r>
        <w:rPr>
          <w:rFonts w:hint="eastAsia" w:ascii="宋体" w:hAnsi="宋体" w:eastAsia="宋体" w:cs="宋体"/>
          <w:bCs/>
          <w:kern w:val="0"/>
          <w:sz w:val="22"/>
          <w:szCs w:val="22"/>
          <w:highlight w:val="none"/>
        </w:rPr>
        <w:t>：(一)在线投标响应（电子投标）说明: 1、本项目通过“政采云平台（www.zcygov.cn）”实行在线投标响应（电子投标），供应商应先安装“政采云电子交易客户端”，并按照本采购文件和“政采云平台”的要求，通过“政采云电子交易客户端”编制并加密投标文件。供应商未按规定加密的投标文件，“政采云平台”将予以拒收。2、“政采云电子交易客户端”请自行前往“浙江政府采购网-下载专区-电子交易客户端”进行下载；通过“政采云平台”参与在线投标时如遇平台技术问题详询400-881-7190。3、为确保网上操作合法、有效和安全，投标供应商应当在电子加密投标文件递交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4、投标供应商应当在电子加密投标文件递交截止时间前，将生成的“电子加密投标文件”上传递交至“政采云平台”。电子加密投标文件递交截止时间以后上传递交的电子加密投标文件将被“政采云平台”拒收。5、投标供应商在“政采云平台”完成“电子加密投标文件”的上传递交后，还可以向采购代理机构递交“备份投标文件”，“备份投标文件”必须在投标供应商在“政采云平台”完成“电子加密投标文件”的上传递交后，在递交截止时间前发送到指定邮箱</w:t>
      </w:r>
      <w:r>
        <w:rPr>
          <w:rFonts w:hint="eastAsia" w:ascii="宋体" w:hAnsi="宋体" w:eastAsia="宋体" w:cs="宋体"/>
          <w:bCs/>
          <w:kern w:val="0"/>
          <w:sz w:val="22"/>
          <w:szCs w:val="22"/>
          <w:highlight w:val="none"/>
          <w:lang w:val="en-US" w:eastAsia="zh-CN"/>
        </w:rPr>
        <w:t>249234765@qq.com</w:t>
      </w:r>
      <w:r>
        <w:rPr>
          <w:rFonts w:hint="eastAsia" w:ascii="宋体" w:hAnsi="宋体" w:eastAsia="宋体" w:cs="宋体"/>
          <w:bCs/>
          <w:kern w:val="0"/>
          <w:sz w:val="22"/>
          <w:szCs w:val="22"/>
          <w:highlight w:val="none"/>
        </w:rPr>
        <w:t>，并与代理公司做好接收确认工作；否则视作投标供应商未提交“备份投标文件”。6、通过“政采云平台”上传递交的“电子加密投标文件”无法按时解密，投标供应商递交了备份投标文件的，以备份投标文件为依据，否则视为电子加密投标文件撤回。 通过“政采云平台”上传递交的“电子加密投标文件”已按时解密的，“备份投标文件”自动失效。投标供应商仅递交备份投标文件的，投标无效。7、为贯彻落实新型冠状病毒感染的肺炎疫情防控工作要求，根据《浙江省财政厅关于做好新型冠状病毒感染的肺炎疫情防控期间政府采购管理工作的通知》（浙财采监[2020]1号）、《浙江省财政厅关于进一步做好新冠肺炎疫情防控期间政府采购管理工作的通知》（浙财采监[2020]2号）等文件要求，本项目经采购人负责人同意，按照“不见面、少接触”的原则进行采购活动。投标供应商无需在开标当天到达开标现场对电子投标进行解密，可在公司办公场地在规定时间内对电子电子加密投标文件进行解密。重要提醒：解密用的CA为制作电子加密投标文件的CA。8、电子投标操作指南详见：“https://edu.zcygov.cn/luban/e-biding”（二）其他相关说明 1、供应商如对采购文件有异议的，应于规定的时间内以书面形式向采购代理机构提出。 2、供应商知道或者应知其权益受到损害之日起七个工作日内，以书面形式向采购人（或采购代理机构）提出质疑。供应商应知其权益受到损害之日，是指：对可以质疑的采购文件提出质疑的，为收到采购文件之日（含网上下载采购文件）或者</w:t>
      </w:r>
      <w:r>
        <w:rPr>
          <w:rFonts w:hint="eastAsia" w:ascii="宋体" w:hAnsi="宋体" w:eastAsia="宋体" w:cs="宋体"/>
          <w:bCs/>
          <w:kern w:val="0"/>
          <w:sz w:val="22"/>
          <w:szCs w:val="22"/>
          <w:highlight w:val="none"/>
          <w:lang w:eastAsia="zh-CN"/>
        </w:rPr>
        <w:t>采购公告</w:t>
      </w:r>
      <w:r>
        <w:rPr>
          <w:rFonts w:hint="eastAsia" w:ascii="宋体" w:hAnsi="宋体" w:eastAsia="宋体" w:cs="宋体"/>
          <w:bCs/>
          <w:kern w:val="0"/>
          <w:sz w:val="22"/>
          <w:szCs w:val="22"/>
          <w:highlight w:val="none"/>
        </w:rPr>
        <w:t>期限届满之日（采购文件在</w:t>
      </w:r>
      <w:r>
        <w:rPr>
          <w:rFonts w:hint="eastAsia" w:ascii="宋体" w:hAnsi="宋体" w:eastAsia="宋体" w:cs="宋体"/>
          <w:bCs/>
          <w:kern w:val="0"/>
          <w:sz w:val="22"/>
          <w:szCs w:val="22"/>
          <w:highlight w:val="none"/>
          <w:lang w:eastAsia="zh-CN"/>
        </w:rPr>
        <w:t>采购公告</w:t>
      </w:r>
      <w:r>
        <w:rPr>
          <w:rFonts w:hint="eastAsia" w:ascii="宋体" w:hAnsi="宋体" w:eastAsia="宋体" w:cs="宋体"/>
          <w:bCs/>
          <w:kern w:val="0"/>
          <w:sz w:val="22"/>
          <w:szCs w:val="22"/>
          <w:highlight w:val="none"/>
        </w:rPr>
        <w:t>期限后获得的，自</w:t>
      </w:r>
      <w:r>
        <w:rPr>
          <w:rFonts w:hint="eastAsia" w:ascii="宋体" w:hAnsi="宋体" w:eastAsia="宋体" w:cs="宋体"/>
          <w:bCs/>
          <w:kern w:val="0"/>
          <w:sz w:val="22"/>
          <w:szCs w:val="22"/>
          <w:highlight w:val="none"/>
          <w:lang w:eastAsia="zh-CN"/>
        </w:rPr>
        <w:t>采购公告</w:t>
      </w:r>
      <w:r>
        <w:rPr>
          <w:rFonts w:hint="eastAsia" w:ascii="宋体" w:hAnsi="宋体" w:eastAsia="宋体" w:cs="宋体"/>
          <w:bCs/>
          <w:kern w:val="0"/>
          <w:sz w:val="22"/>
          <w:szCs w:val="22"/>
          <w:highlight w:val="none"/>
        </w:rPr>
        <w:t xml:space="preserve">期限届满之日起计算）；对采购过程提出质疑的，为各采购程序环节结束之日；对中标或者成交结果提出质疑的，为中标或者成交结果公告期限届满之日。 3、供应商质疑应当有明确的请求和必要的证明材料；采购人及采购代理机构按《政府采购质疑和投诉办法》进行处理供应商质疑事项。质疑函范本、投诉书范本请到浙江政府采购网下载专区下载。 4、潜在供应商可在浙江政府采购网进行免费注册，具体详见浙江政府采购网供应商注册要求。 5、潜在供应商应当按照公告规定的方式获取采购文件，未按照公告规定的方式获取采购文件的，针对采购文件的质疑不予受理。  </w:t>
      </w:r>
    </w:p>
    <w:p w14:paraId="0E072330">
      <w:pPr>
        <w:pStyle w:val="6"/>
        <w:spacing w:line="312" w:lineRule="auto"/>
        <w:rPr>
          <w:rFonts w:ascii="宋体" w:hAnsi="宋体" w:eastAsia="宋体" w:cs="宋体"/>
          <w:b w:val="0"/>
          <w:sz w:val="22"/>
          <w:szCs w:val="22"/>
          <w:highlight w:val="none"/>
        </w:rPr>
      </w:pPr>
      <w:bookmarkStart w:id="19" w:name="_Toc35393796"/>
      <w:bookmarkStart w:id="20" w:name="_Toc28359085"/>
      <w:bookmarkStart w:id="21" w:name="_Toc35393627"/>
      <w:bookmarkStart w:id="22" w:name="_Toc28359008"/>
      <w:r>
        <w:rPr>
          <w:rFonts w:hint="eastAsia" w:ascii="宋体" w:hAnsi="宋体" w:eastAsia="宋体" w:cs="宋体"/>
          <w:b w:val="0"/>
          <w:sz w:val="22"/>
          <w:szCs w:val="22"/>
          <w:highlight w:val="none"/>
        </w:rPr>
        <w:t>七、对本次采购提出询问，请按以下方式联系。</w:t>
      </w:r>
      <w:bookmarkEnd w:id="19"/>
      <w:bookmarkEnd w:id="20"/>
      <w:bookmarkEnd w:id="21"/>
      <w:bookmarkEnd w:id="22"/>
    </w:p>
    <w:p w14:paraId="117A3349">
      <w:pPr>
        <w:widowControl/>
        <w:spacing w:line="360" w:lineRule="exact"/>
        <w:ind w:left="420"/>
        <w:jc w:val="left"/>
        <w:rPr>
          <w:rFonts w:ascii="宋体" w:hAnsi="宋体" w:eastAsia="宋体" w:cs="宋体"/>
          <w:sz w:val="22"/>
          <w:szCs w:val="22"/>
          <w:highlight w:val="none"/>
        </w:rPr>
      </w:pPr>
      <w:r>
        <w:rPr>
          <w:rFonts w:hint="eastAsia" w:ascii="宋体" w:hAnsi="宋体" w:eastAsia="宋体" w:cs="宋体"/>
          <w:sz w:val="22"/>
          <w:szCs w:val="22"/>
          <w:highlight w:val="none"/>
        </w:rPr>
        <w:t>1.采购人信息</w:t>
      </w:r>
    </w:p>
    <w:p w14:paraId="6D9A62FF">
      <w:pPr>
        <w:widowControl/>
        <w:spacing w:line="360" w:lineRule="exact"/>
        <w:ind w:left="420"/>
        <w:jc w:val="left"/>
        <w:rPr>
          <w:rFonts w:ascii="宋体" w:hAnsi="宋体" w:eastAsia="宋体" w:cs="宋体"/>
          <w:sz w:val="22"/>
          <w:szCs w:val="22"/>
          <w:highlight w:val="none"/>
        </w:rPr>
      </w:pPr>
      <w:r>
        <w:rPr>
          <w:rFonts w:hint="eastAsia" w:ascii="宋体" w:hAnsi="宋体" w:eastAsia="宋体" w:cs="宋体"/>
          <w:sz w:val="22"/>
          <w:szCs w:val="22"/>
          <w:highlight w:val="none"/>
        </w:rPr>
        <w:t>名称：温州市瓯海区综合行政执法局</w:t>
      </w:r>
    </w:p>
    <w:p w14:paraId="461D4ADF">
      <w:pPr>
        <w:widowControl/>
        <w:spacing w:line="360" w:lineRule="exact"/>
        <w:ind w:left="400" w:right="62"/>
        <w:jc w:val="left"/>
        <w:rPr>
          <w:rFonts w:ascii="宋体" w:hAnsi="宋体" w:eastAsia="宋体" w:cs="宋体"/>
          <w:bCs/>
          <w:kern w:val="0"/>
          <w:sz w:val="22"/>
          <w:szCs w:val="22"/>
          <w:highlight w:val="none"/>
        </w:rPr>
      </w:pPr>
      <w:r>
        <w:rPr>
          <w:rFonts w:hint="eastAsia" w:ascii="宋体" w:hAnsi="宋体" w:eastAsia="宋体" w:cs="宋体"/>
          <w:bCs/>
          <w:kern w:val="0"/>
          <w:sz w:val="22"/>
          <w:szCs w:val="22"/>
          <w:highlight w:val="none"/>
        </w:rPr>
        <w:t>地址：温州市瓯海区行政服务中心2号楼</w:t>
      </w:r>
    </w:p>
    <w:p w14:paraId="415FA647">
      <w:pPr>
        <w:widowControl/>
        <w:spacing w:line="360" w:lineRule="exact"/>
        <w:ind w:left="400" w:right="62"/>
        <w:jc w:val="left"/>
        <w:rPr>
          <w:rFonts w:ascii="宋体" w:hAnsi="宋体" w:eastAsia="宋体" w:cs="宋体"/>
          <w:highlight w:val="none"/>
        </w:rPr>
      </w:pPr>
      <w:r>
        <w:rPr>
          <w:rFonts w:hint="eastAsia" w:ascii="宋体" w:hAnsi="宋体" w:eastAsia="宋体" w:cs="宋体"/>
          <w:sz w:val="22"/>
          <w:szCs w:val="22"/>
          <w:highlight w:val="none"/>
        </w:rPr>
        <w:t>传 真：/</w:t>
      </w:r>
    </w:p>
    <w:p w14:paraId="124B8ABB">
      <w:pPr>
        <w:widowControl/>
        <w:spacing w:line="360" w:lineRule="exact"/>
        <w:ind w:left="400" w:right="62"/>
        <w:jc w:val="left"/>
        <w:rPr>
          <w:rFonts w:ascii="宋体" w:hAnsi="宋体" w:eastAsia="宋体" w:cs="宋体"/>
          <w:bCs/>
          <w:kern w:val="0"/>
          <w:sz w:val="22"/>
          <w:szCs w:val="22"/>
          <w:highlight w:val="none"/>
        </w:rPr>
      </w:pPr>
      <w:r>
        <w:rPr>
          <w:rFonts w:hint="eastAsia" w:ascii="宋体" w:hAnsi="宋体" w:eastAsia="宋体" w:cs="宋体"/>
          <w:bCs/>
          <w:kern w:val="0"/>
          <w:sz w:val="22"/>
          <w:szCs w:val="22"/>
          <w:highlight w:val="none"/>
        </w:rPr>
        <w:t>项目联系人：</w:t>
      </w:r>
      <w:r>
        <w:rPr>
          <w:rFonts w:hint="eastAsia" w:ascii="宋体" w:hAnsi="宋体" w:eastAsia="宋体" w:cs="宋体"/>
          <w:bCs/>
          <w:kern w:val="0"/>
          <w:sz w:val="22"/>
          <w:szCs w:val="22"/>
          <w:highlight w:val="none"/>
          <w:lang w:val="en-US" w:eastAsia="zh-CN"/>
        </w:rPr>
        <w:t>王</w:t>
      </w:r>
      <w:r>
        <w:rPr>
          <w:rFonts w:hint="eastAsia" w:ascii="宋体" w:hAnsi="宋体" w:eastAsia="宋体" w:cs="宋体"/>
          <w:bCs/>
          <w:kern w:val="0"/>
          <w:sz w:val="22"/>
          <w:szCs w:val="22"/>
          <w:highlight w:val="none"/>
        </w:rPr>
        <w:t>先生</w:t>
      </w:r>
    </w:p>
    <w:p w14:paraId="0377CE66">
      <w:pPr>
        <w:widowControl/>
        <w:spacing w:line="360" w:lineRule="exact"/>
        <w:ind w:left="400" w:right="62"/>
        <w:jc w:val="left"/>
        <w:rPr>
          <w:rFonts w:ascii="宋体" w:hAnsi="宋体" w:eastAsia="宋体" w:cs="宋体"/>
          <w:kern w:val="0"/>
          <w:szCs w:val="21"/>
          <w:highlight w:val="none"/>
        </w:rPr>
      </w:pPr>
      <w:r>
        <w:rPr>
          <w:rFonts w:hint="eastAsia" w:ascii="宋体" w:hAnsi="宋体" w:eastAsia="宋体" w:cs="宋体"/>
          <w:bCs/>
          <w:kern w:val="0"/>
          <w:sz w:val="22"/>
          <w:szCs w:val="22"/>
          <w:highlight w:val="none"/>
        </w:rPr>
        <w:t>联系方式：</w:t>
      </w:r>
      <w:r>
        <w:rPr>
          <w:rFonts w:hint="eastAsia" w:ascii="宋体" w:hAnsi="宋体" w:eastAsia="宋体" w:cs="宋体"/>
          <w:kern w:val="0"/>
          <w:szCs w:val="21"/>
          <w:highlight w:val="none"/>
        </w:rPr>
        <w:t>0577-88537618</w:t>
      </w:r>
    </w:p>
    <w:p w14:paraId="345C1097">
      <w:pPr>
        <w:pStyle w:val="37"/>
        <w:rPr>
          <w:rFonts w:ascii="宋体" w:hAnsi="宋体" w:eastAsia="宋体" w:cs="宋体"/>
          <w:highlight w:val="none"/>
        </w:rPr>
      </w:pPr>
    </w:p>
    <w:p w14:paraId="019B5249">
      <w:pPr>
        <w:widowControl/>
        <w:spacing w:line="360" w:lineRule="exact"/>
        <w:ind w:left="420"/>
        <w:jc w:val="left"/>
        <w:rPr>
          <w:rFonts w:ascii="宋体" w:hAnsi="宋体" w:eastAsia="宋体" w:cs="宋体"/>
          <w:sz w:val="22"/>
          <w:szCs w:val="22"/>
          <w:highlight w:val="none"/>
        </w:rPr>
      </w:pPr>
      <w:r>
        <w:rPr>
          <w:rFonts w:hint="eastAsia" w:ascii="宋体" w:hAnsi="宋体" w:eastAsia="宋体" w:cs="宋体"/>
          <w:sz w:val="22"/>
          <w:szCs w:val="22"/>
          <w:highlight w:val="none"/>
        </w:rPr>
        <w:t>2.采购代理机构信息</w:t>
      </w:r>
    </w:p>
    <w:p w14:paraId="5C7BE52C">
      <w:pPr>
        <w:widowControl/>
        <w:spacing w:line="360" w:lineRule="exact"/>
        <w:ind w:left="420"/>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名称：</w:t>
      </w:r>
      <w:r>
        <w:rPr>
          <w:rFonts w:hint="eastAsia" w:ascii="宋体" w:hAnsi="宋体" w:eastAsia="宋体" w:cs="宋体"/>
          <w:sz w:val="22"/>
          <w:szCs w:val="22"/>
          <w:highlight w:val="none"/>
          <w:lang w:eastAsia="zh-CN"/>
        </w:rPr>
        <w:t>温州百工工程咨询管理有限公司</w:t>
      </w:r>
    </w:p>
    <w:p w14:paraId="7CBC383A">
      <w:pPr>
        <w:widowControl/>
        <w:spacing w:line="360" w:lineRule="exact"/>
        <w:ind w:left="420"/>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地址：温州市瓯海区</w:t>
      </w:r>
      <w:r>
        <w:rPr>
          <w:rFonts w:hint="eastAsia" w:ascii="宋体" w:hAnsi="宋体" w:eastAsia="宋体" w:cs="宋体"/>
          <w:sz w:val="22"/>
          <w:szCs w:val="22"/>
          <w:highlight w:val="none"/>
          <w:lang w:eastAsia="zh-CN"/>
        </w:rPr>
        <w:t>新桥街道牛</w:t>
      </w:r>
      <w:r>
        <w:rPr>
          <w:rFonts w:hint="eastAsia" w:ascii="宋体" w:hAnsi="宋体" w:eastAsia="宋体" w:cs="宋体"/>
          <w:sz w:val="22"/>
          <w:szCs w:val="22"/>
          <w:highlight w:val="none"/>
        </w:rPr>
        <w:t>山广场2</w:t>
      </w:r>
      <w:r>
        <w:rPr>
          <w:rFonts w:hint="eastAsia" w:ascii="宋体" w:hAnsi="宋体" w:eastAsia="宋体" w:cs="宋体"/>
          <w:sz w:val="22"/>
          <w:szCs w:val="22"/>
          <w:highlight w:val="none"/>
          <w:lang w:eastAsia="zh-CN"/>
        </w:rPr>
        <w:t>号楼</w:t>
      </w:r>
      <w:r>
        <w:rPr>
          <w:rFonts w:hint="eastAsia" w:ascii="宋体" w:hAnsi="宋体" w:eastAsia="宋体" w:cs="宋体"/>
          <w:sz w:val="22"/>
          <w:szCs w:val="22"/>
          <w:highlight w:val="none"/>
        </w:rPr>
        <w:t>911</w:t>
      </w:r>
      <w:r>
        <w:rPr>
          <w:rFonts w:hint="eastAsia" w:ascii="宋体" w:hAnsi="宋体" w:eastAsia="宋体" w:cs="宋体"/>
          <w:sz w:val="22"/>
          <w:szCs w:val="22"/>
          <w:highlight w:val="none"/>
          <w:lang w:eastAsia="zh-CN"/>
        </w:rPr>
        <w:t>室</w:t>
      </w:r>
    </w:p>
    <w:p w14:paraId="39FA4E34">
      <w:pPr>
        <w:widowControl/>
        <w:spacing w:line="360" w:lineRule="exact"/>
        <w:ind w:firstLine="440"/>
        <w:jc w:val="left"/>
        <w:rPr>
          <w:rFonts w:hint="eastAsia" w:ascii="宋体" w:hAnsi="宋体" w:eastAsia="宋体" w:cs="宋体"/>
          <w:bCs/>
          <w:kern w:val="0"/>
          <w:sz w:val="22"/>
          <w:szCs w:val="22"/>
          <w:highlight w:val="none"/>
          <w:lang w:eastAsia="zh-CN"/>
        </w:rPr>
      </w:pPr>
      <w:r>
        <w:rPr>
          <w:rFonts w:hint="eastAsia" w:ascii="宋体" w:hAnsi="宋体" w:cs="宋体"/>
          <w:bCs/>
          <w:kern w:val="0"/>
          <w:sz w:val="22"/>
          <w:szCs w:val="22"/>
          <w:highlight w:val="none"/>
        </w:rPr>
        <w:t>项目联系人（询问）：</w:t>
      </w:r>
      <w:r>
        <w:rPr>
          <w:rFonts w:hint="eastAsia" w:ascii="宋体" w:hAnsi="宋体" w:cs="宋体"/>
          <w:bCs/>
          <w:kern w:val="0"/>
          <w:sz w:val="22"/>
          <w:szCs w:val="22"/>
          <w:highlight w:val="none"/>
          <w:lang w:eastAsia="zh-CN"/>
        </w:rPr>
        <w:t>张敬</w:t>
      </w:r>
    </w:p>
    <w:p w14:paraId="7D995419">
      <w:pPr>
        <w:widowControl/>
        <w:spacing w:line="360" w:lineRule="exact"/>
        <w:ind w:firstLine="440"/>
        <w:jc w:val="left"/>
        <w:rPr>
          <w:rFonts w:hint="eastAsia" w:ascii="宋体" w:hAnsi="宋体" w:eastAsia="宋体" w:cs="宋体"/>
          <w:bCs/>
          <w:kern w:val="0"/>
          <w:sz w:val="22"/>
          <w:szCs w:val="22"/>
          <w:highlight w:val="none"/>
          <w:lang w:eastAsia="zh-CN"/>
        </w:rPr>
      </w:pPr>
      <w:r>
        <w:rPr>
          <w:rFonts w:hint="eastAsia" w:ascii="宋体" w:hAnsi="宋体" w:cs="宋体"/>
          <w:bCs/>
          <w:kern w:val="0"/>
          <w:sz w:val="22"/>
          <w:szCs w:val="22"/>
          <w:highlight w:val="none"/>
        </w:rPr>
        <w:t>项目联系方式（询问）：</w:t>
      </w:r>
      <w:r>
        <w:rPr>
          <w:rFonts w:hint="eastAsia" w:ascii="宋体" w:hAnsi="宋体" w:cs="宋体"/>
          <w:bCs/>
          <w:kern w:val="0"/>
          <w:sz w:val="22"/>
          <w:szCs w:val="22"/>
          <w:highlight w:val="none"/>
          <w:lang w:eastAsia="zh-CN"/>
        </w:rPr>
        <w:t>13777774508</w:t>
      </w:r>
    </w:p>
    <w:p w14:paraId="43E76D85">
      <w:pPr>
        <w:widowControl/>
        <w:spacing w:line="360" w:lineRule="exact"/>
        <w:ind w:firstLine="440"/>
        <w:jc w:val="left"/>
        <w:rPr>
          <w:rFonts w:hint="eastAsia" w:ascii="宋体" w:hAnsi="宋体" w:eastAsia="宋体" w:cs="宋体"/>
          <w:bCs/>
          <w:kern w:val="0"/>
          <w:sz w:val="22"/>
          <w:szCs w:val="22"/>
          <w:highlight w:val="none"/>
          <w:lang w:eastAsia="zh-CN"/>
        </w:rPr>
      </w:pPr>
      <w:r>
        <w:rPr>
          <w:rFonts w:hint="eastAsia" w:ascii="宋体" w:hAnsi="宋体" w:cs="宋体"/>
          <w:bCs/>
          <w:kern w:val="0"/>
          <w:sz w:val="22"/>
          <w:szCs w:val="22"/>
          <w:highlight w:val="none"/>
        </w:rPr>
        <w:t>质疑联系人：</w:t>
      </w:r>
      <w:r>
        <w:rPr>
          <w:rFonts w:hint="eastAsia" w:ascii="宋体" w:hAnsi="宋体" w:cs="宋体"/>
          <w:bCs/>
          <w:kern w:val="0"/>
          <w:sz w:val="22"/>
          <w:szCs w:val="22"/>
          <w:highlight w:val="none"/>
          <w:lang w:eastAsia="zh-CN"/>
        </w:rPr>
        <w:t>朱毓静</w:t>
      </w:r>
    </w:p>
    <w:p w14:paraId="06667D43">
      <w:pPr>
        <w:widowControl/>
        <w:spacing w:line="360" w:lineRule="exact"/>
        <w:ind w:firstLine="440"/>
        <w:jc w:val="left"/>
        <w:rPr>
          <w:rFonts w:hint="eastAsia" w:ascii="宋体" w:hAnsi="宋体" w:cs="宋体"/>
          <w:bCs/>
          <w:kern w:val="0"/>
          <w:sz w:val="22"/>
          <w:szCs w:val="22"/>
          <w:highlight w:val="none"/>
          <w:lang w:eastAsia="zh-CN"/>
        </w:rPr>
      </w:pPr>
      <w:r>
        <w:rPr>
          <w:rFonts w:hint="eastAsia" w:ascii="宋体" w:hAnsi="宋体" w:cs="宋体"/>
          <w:bCs/>
          <w:kern w:val="0"/>
          <w:sz w:val="22"/>
          <w:szCs w:val="22"/>
          <w:highlight w:val="none"/>
        </w:rPr>
        <w:t>质疑联系方式：</w:t>
      </w:r>
      <w:r>
        <w:rPr>
          <w:rFonts w:hint="eastAsia" w:ascii="宋体" w:hAnsi="宋体" w:cs="宋体"/>
          <w:bCs/>
          <w:kern w:val="0"/>
          <w:sz w:val="22"/>
          <w:szCs w:val="22"/>
          <w:highlight w:val="none"/>
          <w:lang w:eastAsia="zh-CN"/>
        </w:rPr>
        <w:t>13968979640</w:t>
      </w:r>
    </w:p>
    <w:p w14:paraId="180FD74F">
      <w:pPr>
        <w:pStyle w:val="37"/>
        <w:rPr>
          <w:rFonts w:ascii="宋体" w:hAnsi="宋体" w:eastAsia="宋体" w:cs="宋体"/>
          <w:highlight w:val="none"/>
        </w:rPr>
      </w:pPr>
    </w:p>
    <w:p w14:paraId="6D5CA53A">
      <w:pPr>
        <w:widowControl/>
        <w:spacing w:line="360" w:lineRule="exact"/>
        <w:ind w:left="426"/>
        <w:jc w:val="left"/>
        <w:rPr>
          <w:rFonts w:hint="eastAsia" w:ascii="宋体" w:hAnsi="宋体" w:eastAsia="宋体" w:cs="宋体"/>
          <w:sz w:val="22"/>
          <w:szCs w:val="22"/>
          <w:highlight w:val="none"/>
        </w:rPr>
      </w:pPr>
    </w:p>
    <w:p w14:paraId="42BCA6A8">
      <w:pPr>
        <w:widowControl/>
        <w:spacing w:line="360" w:lineRule="exact"/>
        <w:ind w:left="426"/>
        <w:jc w:val="left"/>
        <w:rPr>
          <w:rFonts w:ascii="宋体" w:hAnsi="宋体" w:eastAsia="宋体" w:cs="宋体"/>
          <w:sz w:val="22"/>
          <w:szCs w:val="22"/>
          <w:highlight w:val="none"/>
        </w:rPr>
      </w:pPr>
      <w:r>
        <w:rPr>
          <w:rFonts w:hint="eastAsia" w:ascii="宋体" w:hAnsi="宋体" w:eastAsia="宋体" w:cs="宋体"/>
          <w:sz w:val="22"/>
          <w:szCs w:val="22"/>
          <w:highlight w:val="none"/>
        </w:rPr>
        <w:t>3.同级政府采购监督管理部门：</w:t>
      </w:r>
    </w:p>
    <w:p w14:paraId="2813DE31">
      <w:pPr>
        <w:widowControl/>
        <w:spacing w:line="360" w:lineRule="exact"/>
        <w:ind w:firstLine="440" w:firstLineChars="200"/>
        <w:jc w:val="left"/>
        <w:rPr>
          <w:rFonts w:ascii="宋体" w:hAnsi="宋体" w:eastAsia="宋体" w:cs="宋体"/>
          <w:sz w:val="22"/>
          <w:szCs w:val="22"/>
          <w:highlight w:val="none"/>
        </w:rPr>
      </w:pPr>
      <w:r>
        <w:rPr>
          <w:rFonts w:hint="eastAsia" w:ascii="宋体" w:hAnsi="宋体" w:eastAsia="宋体" w:cs="宋体"/>
          <w:sz w:val="22"/>
          <w:szCs w:val="22"/>
          <w:highlight w:val="none"/>
          <w:lang w:val="zh-CN"/>
        </w:rPr>
        <w:t>名称：温州市瓯海区财政局</w:t>
      </w:r>
    </w:p>
    <w:p w14:paraId="2A58C225">
      <w:pPr>
        <w:widowControl/>
        <w:spacing w:line="360" w:lineRule="exact"/>
        <w:ind w:firstLine="440" w:firstLineChars="200"/>
        <w:jc w:val="left"/>
        <w:rPr>
          <w:rFonts w:ascii="宋体" w:hAnsi="宋体" w:eastAsia="宋体" w:cs="宋体"/>
          <w:sz w:val="22"/>
          <w:szCs w:val="22"/>
          <w:highlight w:val="none"/>
          <w:lang w:val="zh-CN"/>
        </w:rPr>
      </w:pPr>
      <w:r>
        <w:rPr>
          <w:rFonts w:hint="eastAsia" w:ascii="宋体" w:hAnsi="宋体" w:eastAsia="宋体" w:cs="宋体"/>
          <w:sz w:val="22"/>
          <w:szCs w:val="22"/>
          <w:highlight w:val="none"/>
        </w:rPr>
        <w:t>地 址：</w:t>
      </w:r>
      <w:r>
        <w:rPr>
          <w:rFonts w:hint="eastAsia" w:ascii="宋体" w:hAnsi="宋体" w:eastAsia="宋体" w:cs="宋体"/>
          <w:sz w:val="22"/>
          <w:szCs w:val="22"/>
          <w:highlight w:val="none"/>
          <w:lang w:val="zh-CN"/>
        </w:rPr>
        <w:t>温州市瓯海区行政服务中心1号楼</w:t>
      </w:r>
    </w:p>
    <w:p w14:paraId="0BB4BAFE">
      <w:pPr>
        <w:widowControl/>
        <w:spacing w:line="360" w:lineRule="exact"/>
        <w:ind w:firstLine="440" w:firstLineChars="200"/>
        <w:jc w:val="left"/>
        <w:rPr>
          <w:rFonts w:ascii="宋体" w:hAnsi="宋体" w:eastAsia="宋体" w:cs="宋体"/>
          <w:sz w:val="22"/>
          <w:szCs w:val="22"/>
          <w:highlight w:val="none"/>
        </w:rPr>
      </w:pPr>
      <w:r>
        <w:rPr>
          <w:rFonts w:hint="eastAsia" w:ascii="宋体" w:hAnsi="宋体" w:eastAsia="宋体" w:cs="宋体"/>
          <w:sz w:val="22"/>
          <w:szCs w:val="22"/>
          <w:highlight w:val="none"/>
        </w:rPr>
        <w:t>传 真：/</w:t>
      </w:r>
    </w:p>
    <w:p w14:paraId="14419298">
      <w:pPr>
        <w:widowControl/>
        <w:spacing w:line="360" w:lineRule="exact"/>
        <w:ind w:firstLine="440" w:firstLineChars="200"/>
        <w:jc w:val="left"/>
        <w:rPr>
          <w:rFonts w:ascii="宋体" w:hAnsi="宋体" w:eastAsia="宋体" w:cs="宋体"/>
          <w:sz w:val="22"/>
          <w:szCs w:val="22"/>
          <w:highlight w:val="none"/>
        </w:rPr>
      </w:pPr>
      <w:r>
        <w:rPr>
          <w:rFonts w:hint="eastAsia" w:ascii="宋体" w:hAnsi="宋体" w:eastAsia="宋体" w:cs="宋体"/>
          <w:sz w:val="22"/>
          <w:szCs w:val="22"/>
          <w:highlight w:val="none"/>
        </w:rPr>
        <w:t>联系人：徐先生</w:t>
      </w:r>
    </w:p>
    <w:p w14:paraId="207B4934">
      <w:pPr>
        <w:widowControl/>
        <w:spacing w:line="360" w:lineRule="exact"/>
        <w:ind w:firstLine="440" w:firstLineChars="200"/>
        <w:jc w:val="left"/>
        <w:rPr>
          <w:rFonts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zh-CN"/>
        </w:rPr>
        <w:t>0577-88522238</w:t>
      </w:r>
    </w:p>
    <w:p w14:paraId="19EF1E0A">
      <w:pPr>
        <w:pStyle w:val="38"/>
        <w:spacing w:line="312" w:lineRule="auto"/>
        <w:rPr>
          <w:rFonts w:ascii="宋体" w:hAnsi="宋体" w:cs="宋体"/>
          <w:highlight w:val="none"/>
        </w:rPr>
      </w:pPr>
    </w:p>
    <w:p w14:paraId="157B84C3">
      <w:pPr>
        <w:wordWrap w:val="0"/>
        <w:spacing w:line="360" w:lineRule="exact"/>
        <w:ind w:firstLine="442"/>
        <w:jc w:val="left"/>
        <w:rPr>
          <w:rFonts w:hint="eastAsia" w:ascii="宋体" w:hAnsi="宋体" w:eastAsia="宋体" w:cs="宋体"/>
          <w:bCs/>
          <w:kern w:val="0"/>
          <w:sz w:val="22"/>
          <w:szCs w:val="22"/>
          <w:highlight w:val="none"/>
          <w:lang w:val="en-US" w:eastAsia="zh-CN"/>
        </w:rPr>
        <w:sectPr>
          <w:footerReference r:id="rId15" w:type="first"/>
          <w:headerReference r:id="rId13" w:type="default"/>
          <w:footerReference r:id="rId14" w:type="default"/>
          <w:pgSz w:w="11906" w:h="16838"/>
          <w:pgMar w:top="1134" w:right="1134" w:bottom="1134" w:left="1134" w:header="851" w:footer="851" w:gutter="0"/>
          <w:pgNumType w:start="1"/>
          <w:cols w:space="720" w:num="1"/>
          <w:titlePg/>
          <w:docGrid w:linePitch="312" w:charSpace="0"/>
        </w:sectPr>
      </w:pPr>
      <w:r>
        <w:rPr>
          <w:rFonts w:hint="eastAsia" w:ascii="宋体" w:hAnsi="宋体" w:eastAsia="宋体" w:cs="宋体"/>
          <w:bCs/>
          <w:kern w:val="0"/>
          <w:sz w:val="22"/>
          <w:szCs w:val="22"/>
          <w:highlight w:val="none"/>
          <w:lang w:val="zh-CN"/>
        </w:rPr>
        <w:t>注：若对项目采购电子交易系统操作有疑问，可登录政采（https://www.zcygov.cn/），点击右侧咨询小采，获取采小蜜智能服务管家帮助，或拨打政采云服务热400-881-7190获取热线服务帮助。CA问题联系电话（人工）：汇信CA400-888-4636；天谷CA400-087-819</w:t>
      </w:r>
      <w:r>
        <w:rPr>
          <w:rFonts w:hint="eastAsia" w:ascii="宋体" w:hAnsi="宋体" w:eastAsia="宋体" w:cs="宋体"/>
          <w:bCs/>
          <w:kern w:val="0"/>
          <w:sz w:val="22"/>
          <w:szCs w:val="22"/>
          <w:highlight w:val="none"/>
          <w:lang w:val="en-US" w:eastAsia="zh-CN"/>
        </w:rPr>
        <w:t>8</w:t>
      </w:r>
    </w:p>
    <w:p w14:paraId="59F08363">
      <w:pPr>
        <w:pStyle w:val="44"/>
        <w:rPr>
          <w:highlight w:val="none"/>
        </w:rPr>
      </w:pPr>
    </w:p>
    <w:bookmarkEnd w:id="5"/>
    <w:bookmarkEnd w:id="6"/>
    <w:p w14:paraId="44087B96">
      <w:pPr>
        <w:pStyle w:val="5"/>
        <w:numPr>
          <w:ilvl w:val="0"/>
          <w:numId w:val="3"/>
        </w:numPr>
        <w:spacing w:line="360" w:lineRule="auto"/>
        <w:ind w:firstLine="720"/>
        <w:jc w:val="center"/>
        <w:rPr>
          <w:rFonts w:ascii="宋体" w:hAnsi="宋体" w:eastAsia="宋体" w:cs="宋体"/>
          <w:b w:val="0"/>
          <w:bCs w:val="0"/>
          <w:sz w:val="36"/>
          <w:szCs w:val="36"/>
          <w:highlight w:val="none"/>
        </w:rPr>
      </w:pPr>
      <w:bookmarkStart w:id="23" w:name="_Toc30154"/>
      <w:bookmarkStart w:id="24" w:name="_Toc28076"/>
      <w:bookmarkStart w:id="25" w:name="_Toc17472"/>
      <w:bookmarkStart w:id="26" w:name="_Toc448731801"/>
      <w:bookmarkStart w:id="27" w:name="_Toc16732"/>
      <w:r>
        <w:rPr>
          <w:rFonts w:hint="eastAsia" w:ascii="宋体" w:hAnsi="宋体" w:eastAsia="宋体" w:cs="宋体"/>
          <w:b w:val="0"/>
          <w:bCs w:val="0"/>
          <w:sz w:val="36"/>
          <w:szCs w:val="36"/>
          <w:highlight w:val="none"/>
        </w:rPr>
        <w:t>投标供应商须知</w:t>
      </w:r>
      <w:bookmarkEnd w:id="23"/>
    </w:p>
    <w:tbl>
      <w:tblPr>
        <w:tblStyle w:val="24"/>
        <w:tblW w:w="9893" w:type="dxa"/>
        <w:jc w:val="center"/>
        <w:tblLayout w:type="fixed"/>
        <w:tblCellMar>
          <w:top w:w="0" w:type="dxa"/>
          <w:left w:w="108" w:type="dxa"/>
          <w:bottom w:w="0" w:type="dxa"/>
          <w:right w:w="108" w:type="dxa"/>
        </w:tblCellMar>
      </w:tblPr>
      <w:tblGrid>
        <w:gridCol w:w="735"/>
        <w:gridCol w:w="1805"/>
        <w:gridCol w:w="7353"/>
      </w:tblGrid>
      <w:tr w14:paraId="2B813A68">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DBF1047">
            <w:pPr>
              <w:wordWrap w:val="0"/>
              <w:spacing w:line="360" w:lineRule="exact"/>
              <w:jc w:val="center"/>
              <w:rPr>
                <w:rFonts w:ascii="宋体" w:hAnsi="宋体" w:eastAsia="宋体" w:cs="宋体"/>
                <w:b/>
                <w:kern w:val="0"/>
                <w:sz w:val="22"/>
                <w:szCs w:val="22"/>
                <w:highlight w:val="none"/>
              </w:rPr>
            </w:pPr>
            <w:r>
              <w:rPr>
                <w:rFonts w:hint="eastAsia" w:ascii="宋体" w:hAnsi="宋体" w:eastAsia="宋体" w:cs="宋体"/>
                <w:b/>
                <w:kern w:val="0"/>
                <w:sz w:val="22"/>
                <w:szCs w:val="22"/>
                <w:highlight w:val="none"/>
              </w:rPr>
              <w:t>序号</w:t>
            </w:r>
          </w:p>
        </w:tc>
        <w:tc>
          <w:tcPr>
            <w:tcW w:w="1805" w:type="dxa"/>
            <w:tcBorders>
              <w:top w:val="single" w:color="auto" w:sz="4" w:space="0"/>
              <w:left w:val="single" w:color="auto" w:sz="4" w:space="0"/>
              <w:bottom w:val="single" w:color="auto" w:sz="4" w:space="0"/>
              <w:right w:val="single" w:color="auto" w:sz="4" w:space="0"/>
            </w:tcBorders>
            <w:noWrap/>
            <w:vAlign w:val="center"/>
          </w:tcPr>
          <w:p w14:paraId="33CC30E8">
            <w:pPr>
              <w:wordWrap w:val="0"/>
              <w:spacing w:line="360" w:lineRule="exact"/>
              <w:jc w:val="center"/>
              <w:rPr>
                <w:rFonts w:ascii="宋体" w:hAnsi="宋体" w:eastAsia="宋体" w:cs="宋体"/>
                <w:b/>
                <w:kern w:val="0"/>
                <w:sz w:val="22"/>
                <w:szCs w:val="22"/>
                <w:highlight w:val="none"/>
              </w:rPr>
            </w:pPr>
            <w:r>
              <w:rPr>
                <w:rFonts w:hint="eastAsia" w:ascii="宋体" w:hAnsi="宋体" w:eastAsia="宋体" w:cs="宋体"/>
                <w:b/>
                <w:kern w:val="0"/>
                <w:sz w:val="22"/>
                <w:szCs w:val="22"/>
                <w:highlight w:val="none"/>
              </w:rPr>
              <w:t>条款名称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0733E360">
            <w:pPr>
              <w:wordWrap w:val="0"/>
              <w:spacing w:line="360" w:lineRule="exact"/>
              <w:jc w:val="center"/>
              <w:rPr>
                <w:rFonts w:ascii="宋体" w:hAnsi="宋体" w:eastAsia="宋体" w:cs="宋体"/>
                <w:b/>
                <w:kern w:val="0"/>
                <w:sz w:val="22"/>
                <w:szCs w:val="22"/>
                <w:highlight w:val="none"/>
              </w:rPr>
            </w:pPr>
            <w:r>
              <w:rPr>
                <w:rFonts w:hint="eastAsia" w:ascii="宋体" w:hAnsi="宋体" w:eastAsia="宋体" w:cs="宋体"/>
                <w:b/>
                <w:kern w:val="0"/>
                <w:sz w:val="22"/>
                <w:szCs w:val="22"/>
                <w:highlight w:val="none"/>
              </w:rPr>
              <w:t>编列内容</w:t>
            </w:r>
          </w:p>
        </w:tc>
      </w:tr>
      <w:tr w14:paraId="4C223504">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3E783FA">
            <w:pPr>
              <w:autoSpaceDE w:val="0"/>
              <w:autoSpaceDN w:val="0"/>
              <w:adjustRightInd w:val="0"/>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1</w:t>
            </w:r>
          </w:p>
        </w:tc>
        <w:tc>
          <w:tcPr>
            <w:tcW w:w="1805" w:type="dxa"/>
            <w:tcBorders>
              <w:top w:val="single" w:color="auto" w:sz="4" w:space="0"/>
              <w:left w:val="single" w:color="auto" w:sz="4" w:space="0"/>
              <w:bottom w:val="single" w:color="auto" w:sz="4" w:space="0"/>
              <w:right w:val="single" w:color="auto" w:sz="4" w:space="0"/>
            </w:tcBorders>
            <w:noWrap/>
            <w:vAlign w:val="center"/>
          </w:tcPr>
          <w:p w14:paraId="56560473">
            <w:pPr>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采购人</w:t>
            </w:r>
          </w:p>
        </w:tc>
        <w:tc>
          <w:tcPr>
            <w:tcW w:w="7353" w:type="dxa"/>
            <w:tcBorders>
              <w:top w:val="single" w:color="auto" w:sz="4" w:space="0"/>
              <w:left w:val="single" w:color="auto" w:sz="4" w:space="0"/>
              <w:bottom w:val="single" w:color="auto" w:sz="4" w:space="0"/>
              <w:right w:val="single" w:color="auto" w:sz="4" w:space="0"/>
            </w:tcBorders>
            <w:noWrap/>
            <w:vAlign w:val="center"/>
          </w:tcPr>
          <w:p w14:paraId="573A2D9D">
            <w:pPr>
              <w:widowControl/>
              <w:spacing w:line="360" w:lineRule="exact"/>
              <w:jc w:val="left"/>
              <w:rPr>
                <w:rFonts w:ascii="宋体" w:hAnsi="宋体" w:eastAsia="宋体" w:cs="宋体"/>
                <w:sz w:val="22"/>
                <w:szCs w:val="22"/>
                <w:highlight w:val="none"/>
              </w:rPr>
            </w:pPr>
            <w:r>
              <w:rPr>
                <w:rFonts w:hint="eastAsia" w:ascii="宋体" w:hAnsi="宋体" w:cs="宋体"/>
                <w:bCs/>
                <w:kern w:val="0"/>
                <w:sz w:val="22"/>
                <w:szCs w:val="22"/>
                <w:highlight w:val="none"/>
              </w:rPr>
              <w:t>采购人名称：</w:t>
            </w:r>
            <w:r>
              <w:rPr>
                <w:rFonts w:hint="eastAsia" w:ascii="宋体" w:hAnsi="宋体" w:eastAsia="宋体" w:cs="宋体"/>
                <w:sz w:val="22"/>
                <w:szCs w:val="22"/>
                <w:highlight w:val="none"/>
              </w:rPr>
              <w:t>名称：温州市瓯海区综合行政执法局</w:t>
            </w:r>
          </w:p>
          <w:p w14:paraId="7904A402">
            <w:pPr>
              <w:widowControl/>
              <w:spacing w:line="360" w:lineRule="exact"/>
              <w:ind w:right="62"/>
              <w:jc w:val="left"/>
              <w:rPr>
                <w:rFonts w:ascii="宋体" w:hAnsi="宋体" w:eastAsia="宋体" w:cs="宋体"/>
                <w:bCs/>
                <w:kern w:val="0"/>
                <w:sz w:val="22"/>
                <w:szCs w:val="22"/>
                <w:highlight w:val="none"/>
              </w:rPr>
            </w:pPr>
            <w:r>
              <w:rPr>
                <w:rFonts w:hint="eastAsia" w:ascii="宋体" w:hAnsi="宋体" w:eastAsia="宋体" w:cs="宋体"/>
                <w:bCs/>
                <w:kern w:val="0"/>
                <w:sz w:val="22"/>
                <w:szCs w:val="22"/>
                <w:highlight w:val="none"/>
              </w:rPr>
              <w:t>地址：温州市瓯海区行政服务中心2号楼</w:t>
            </w:r>
          </w:p>
          <w:p w14:paraId="6BCD60C0">
            <w:pPr>
              <w:widowControl/>
              <w:spacing w:line="360" w:lineRule="exact"/>
              <w:ind w:right="62"/>
              <w:jc w:val="left"/>
              <w:rPr>
                <w:rFonts w:ascii="宋体" w:hAnsi="宋体" w:eastAsia="宋体" w:cs="宋体"/>
                <w:bCs/>
                <w:kern w:val="0"/>
                <w:sz w:val="22"/>
                <w:szCs w:val="22"/>
                <w:highlight w:val="none"/>
              </w:rPr>
            </w:pPr>
            <w:r>
              <w:rPr>
                <w:rFonts w:hint="eastAsia" w:ascii="宋体" w:hAnsi="宋体" w:eastAsia="宋体" w:cs="宋体"/>
                <w:bCs/>
                <w:kern w:val="0"/>
                <w:sz w:val="22"/>
                <w:szCs w:val="22"/>
                <w:highlight w:val="none"/>
              </w:rPr>
              <w:t>项目联系人：</w:t>
            </w:r>
            <w:r>
              <w:rPr>
                <w:rFonts w:hint="eastAsia" w:ascii="宋体" w:hAnsi="宋体" w:eastAsia="宋体" w:cs="宋体"/>
                <w:bCs/>
                <w:kern w:val="0"/>
                <w:sz w:val="22"/>
                <w:szCs w:val="22"/>
                <w:highlight w:val="none"/>
                <w:lang w:val="en-US" w:eastAsia="zh-CN"/>
              </w:rPr>
              <w:t>王</w:t>
            </w:r>
            <w:r>
              <w:rPr>
                <w:rFonts w:hint="eastAsia" w:ascii="宋体" w:hAnsi="宋体" w:eastAsia="宋体" w:cs="宋体"/>
                <w:bCs/>
                <w:kern w:val="0"/>
                <w:sz w:val="22"/>
                <w:szCs w:val="22"/>
                <w:highlight w:val="none"/>
              </w:rPr>
              <w:t>先生</w:t>
            </w:r>
          </w:p>
          <w:p w14:paraId="586B00C8">
            <w:pPr>
              <w:widowControl/>
              <w:spacing w:line="360" w:lineRule="exact"/>
              <w:ind w:right="62"/>
              <w:jc w:val="left"/>
              <w:rPr>
                <w:rFonts w:hint="eastAsia" w:ascii="宋体" w:hAnsi="宋体" w:eastAsia="宋体" w:cs="宋体"/>
                <w:kern w:val="0"/>
                <w:sz w:val="22"/>
                <w:szCs w:val="22"/>
                <w:highlight w:val="none"/>
                <w:lang w:eastAsia="zh-CN"/>
              </w:rPr>
            </w:pPr>
            <w:r>
              <w:rPr>
                <w:rFonts w:hint="eastAsia" w:ascii="宋体" w:hAnsi="宋体" w:eastAsia="宋体" w:cs="宋体"/>
                <w:bCs/>
                <w:kern w:val="0"/>
                <w:sz w:val="22"/>
                <w:szCs w:val="22"/>
                <w:highlight w:val="none"/>
              </w:rPr>
              <w:t>联系方式：</w:t>
            </w:r>
            <w:r>
              <w:rPr>
                <w:rFonts w:hint="eastAsia" w:ascii="宋体" w:hAnsi="宋体" w:eastAsia="宋体" w:cs="宋体"/>
                <w:kern w:val="0"/>
                <w:szCs w:val="21"/>
                <w:highlight w:val="none"/>
              </w:rPr>
              <w:t>0577-88537618</w:t>
            </w:r>
          </w:p>
        </w:tc>
      </w:tr>
      <w:tr w14:paraId="262B2026">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CA5984C">
            <w:pPr>
              <w:autoSpaceDE w:val="0"/>
              <w:autoSpaceDN w:val="0"/>
              <w:adjustRightInd w:val="0"/>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2</w:t>
            </w:r>
          </w:p>
        </w:tc>
        <w:tc>
          <w:tcPr>
            <w:tcW w:w="1805" w:type="dxa"/>
            <w:tcBorders>
              <w:top w:val="single" w:color="auto" w:sz="4" w:space="0"/>
              <w:left w:val="single" w:color="auto" w:sz="4" w:space="0"/>
              <w:bottom w:val="single" w:color="auto" w:sz="4" w:space="0"/>
              <w:right w:val="single" w:color="auto" w:sz="4" w:space="0"/>
            </w:tcBorders>
            <w:noWrap/>
            <w:vAlign w:val="center"/>
          </w:tcPr>
          <w:p w14:paraId="42381D2A">
            <w:pPr>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采购代理机构</w:t>
            </w:r>
          </w:p>
        </w:tc>
        <w:tc>
          <w:tcPr>
            <w:tcW w:w="7353" w:type="dxa"/>
            <w:tcBorders>
              <w:top w:val="single" w:color="auto" w:sz="4" w:space="0"/>
              <w:left w:val="single" w:color="auto" w:sz="4" w:space="0"/>
              <w:bottom w:val="single" w:color="auto" w:sz="4" w:space="0"/>
              <w:right w:val="single" w:color="auto" w:sz="4" w:space="0"/>
            </w:tcBorders>
            <w:noWrap/>
            <w:vAlign w:val="center"/>
          </w:tcPr>
          <w:p w14:paraId="4A8F9499">
            <w:pPr>
              <w:spacing w:line="360" w:lineRule="exact"/>
              <w:rPr>
                <w:rFonts w:hint="eastAsia" w:ascii="宋体" w:hAnsi="宋体" w:eastAsia="宋体" w:cs="宋体"/>
                <w:bCs/>
                <w:kern w:val="0"/>
                <w:sz w:val="22"/>
                <w:szCs w:val="22"/>
                <w:highlight w:val="none"/>
                <w:lang w:eastAsia="zh-CN"/>
              </w:rPr>
            </w:pPr>
            <w:r>
              <w:rPr>
                <w:rFonts w:hint="eastAsia" w:ascii="宋体" w:hAnsi="宋体" w:cs="宋体"/>
                <w:bCs/>
                <w:kern w:val="0"/>
                <w:sz w:val="22"/>
                <w:szCs w:val="22"/>
                <w:highlight w:val="none"/>
              </w:rPr>
              <w:t>采购代理机构名称：</w:t>
            </w:r>
            <w:r>
              <w:rPr>
                <w:rFonts w:hint="eastAsia" w:ascii="宋体" w:hAnsi="宋体" w:cs="宋体"/>
                <w:bCs/>
                <w:kern w:val="0"/>
                <w:sz w:val="22"/>
                <w:szCs w:val="22"/>
                <w:highlight w:val="none"/>
                <w:lang w:eastAsia="zh-CN"/>
              </w:rPr>
              <w:t>温州百工工程咨询管理有限公司</w:t>
            </w:r>
          </w:p>
          <w:p w14:paraId="59C4BB69">
            <w:pPr>
              <w:spacing w:line="360" w:lineRule="exact"/>
              <w:rPr>
                <w:rFonts w:ascii="宋体" w:hAnsi="宋体" w:cs="宋体"/>
                <w:bCs/>
                <w:kern w:val="0"/>
                <w:sz w:val="22"/>
                <w:szCs w:val="22"/>
                <w:highlight w:val="none"/>
              </w:rPr>
            </w:pPr>
            <w:r>
              <w:rPr>
                <w:rFonts w:hint="eastAsia" w:ascii="宋体" w:hAnsi="宋体" w:cs="宋体"/>
                <w:bCs/>
                <w:kern w:val="0"/>
                <w:sz w:val="22"/>
                <w:szCs w:val="22"/>
                <w:highlight w:val="none"/>
              </w:rPr>
              <w:t>地 址：</w:t>
            </w:r>
            <w:r>
              <w:rPr>
                <w:rFonts w:hint="eastAsia" w:ascii="宋体" w:hAnsi="宋体" w:cs="宋体"/>
                <w:bCs/>
                <w:kern w:val="0"/>
                <w:sz w:val="22"/>
                <w:szCs w:val="22"/>
                <w:highlight w:val="none"/>
                <w:lang w:eastAsia="zh-CN"/>
              </w:rPr>
              <w:t>温州市瓯海区牛山广场2栋911室</w:t>
            </w:r>
          </w:p>
          <w:p w14:paraId="0CBA8514">
            <w:pPr>
              <w:spacing w:line="360" w:lineRule="exact"/>
              <w:rPr>
                <w:rFonts w:hint="eastAsia" w:ascii="宋体" w:hAnsi="宋体" w:eastAsia="宋体" w:cs="宋体"/>
                <w:bCs/>
                <w:kern w:val="0"/>
                <w:sz w:val="22"/>
                <w:szCs w:val="22"/>
                <w:highlight w:val="none"/>
                <w:lang w:eastAsia="zh-CN"/>
              </w:rPr>
            </w:pPr>
            <w:r>
              <w:rPr>
                <w:rFonts w:hint="eastAsia" w:ascii="宋体" w:hAnsi="宋体" w:cs="宋体"/>
                <w:bCs/>
                <w:kern w:val="0"/>
                <w:sz w:val="22"/>
                <w:szCs w:val="22"/>
                <w:highlight w:val="none"/>
              </w:rPr>
              <w:t>联系人：</w:t>
            </w:r>
            <w:r>
              <w:rPr>
                <w:rFonts w:hint="eastAsia" w:ascii="宋体" w:hAnsi="宋体" w:cs="宋体"/>
                <w:bCs/>
                <w:kern w:val="0"/>
                <w:sz w:val="22"/>
                <w:szCs w:val="22"/>
                <w:highlight w:val="none"/>
                <w:lang w:eastAsia="zh-CN"/>
              </w:rPr>
              <w:t>张先生</w:t>
            </w:r>
          </w:p>
          <w:p w14:paraId="089FF81A">
            <w:pPr>
              <w:spacing w:line="360" w:lineRule="exact"/>
              <w:rPr>
                <w:rFonts w:hint="eastAsia" w:ascii="宋体" w:hAnsi="宋体" w:eastAsia="宋体" w:cs="宋体"/>
                <w:kern w:val="0"/>
                <w:sz w:val="22"/>
                <w:szCs w:val="22"/>
                <w:highlight w:val="none"/>
                <w:lang w:eastAsia="zh-CN"/>
              </w:rPr>
            </w:pPr>
            <w:r>
              <w:rPr>
                <w:rFonts w:hint="eastAsia" w:ascii="宋体" w:hAnsi="宋体" w:cs="宋体"/>
                <w:bCs/>
                <w:kern w:val="0"/>
                <w:sz w:val="22"/>
                <w:szCs w:val="22"/>
                <w:highlight w:val="none"/>
              </w:rPr>
              <w:t>联系电话：</w:t>
            </w:r>
            <w:r>
              <w:rPr>
                <w:rFonts w:hint="eastAsia" w:ascii="宋体" w:hAnsi="宋体" w:cs="宋体"/>
                <w:bCs/>
                <w:kern w:val="0"/>
                <w:sz w:val="22"/>
                <w:szCs w:val="22"/>
                <w:highlight w:val="none"/>
                <w:lang w:eastAsia="zh-CN"/>
              </w:rPr>
              <w:t>13777774508</w:t>
            </w:r>
          </w:p>
        </w:tc>
      </w:tr>
      <w:tr w14:paraId="55129128">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77FCEB8">
            <w:pPr>
              <w:autoSpaceDE w:val="0"/>
              <w:autoSpaceDN w:val="0"/>
              <w:adjustRightInd w:val="0"/>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3</w:t>
            </w:r>
          </w:p>
        </w:tc>
        <w:tc>
          <w:tcPr>
            <w:tcW w:w="1805" w:type="dxa"/>
            <w:tcBorders>
              <w:top w:val="single" w:color="auto" w:sz="4" w:space="0"/>
              <w:left w:val="single" w:color="auto" w:sz="4" w:space="0"/>
              <w:bottom w:val="single" w:color="auto" w:sz="4" w:space="0"/>
              <w:right w:val="single" w:color="auto" w:sz="4" w:space="0"/>
            </w:tcBorders>
            <w:noWrap/>
            <w:vAlign w:val="center"/>
          </w:tcPr>
          <w:p w14:paraId="0C3F6739">
            <w:pPr>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项目名称及编号</w:t>
            </w:r>
          </w:p>
        </w:tc>
        <w:tc>
          <w:tcPr>
            <w:tcW w:w="7353" w:type="dxa"/>
            <w:tcBorders>
              <w:top w:val="single" w:color="auto" w:sz="4" w:space="0"/>
              <w:left w:val="single" w:color="auto" w:sz="4" w:space="0"/>
              <w:bottom w:val="single" w:color="auto" w:sz="4" w:space="0"/>
              <w:right w:val="single" w:color="auto" w:sz="4" w:space="0"/>
            </w:tcBorders>
            <w:noWrap/>
            <w:vAlign w:val="center"/>
          </w:tcPr>
          <w:p w14:paraId="15059988">
            <w:pPr>
              <w:spacing w:line="360" w:lineRule="exact"/>
              <w:rPr>
                <w:rFonts w:hint="eastAsia" w:ascii="宋体" w:hAnsi="宋体" w:cs="宋体"/>
                <w:bCs/>
                <w:kern w:val="0"/>
                <w:sz w:val="22"/>
                <w:szCs w:val="22"/>
                <w:highlight w:val="none"/>
                <w:lang w:eastAsia="zh-CN"/>
              </w:rPr>
            </w:pPr>
            <w:r>
              <w:rPr>
                <w:rFonts w:hint="eastAsia" w:ascii="宋体" w:hAnsi="宋体" w:cs="宋体"/>
                <w:bCs/>
                <w:kern w:val="0"/>
                <w:sz w:val="22"/>
                <w:szCs w:val="22"/>
                <w:highlight w:val="none"/>
                <w:lang w:eastAsia="zh-CN"/>
              </w:rPr>
              <w:t>2025年瓯海区生活垃圾转运服务</w:t>
            </w:r>
          </w:p>
          <w:p w14:paraId="3123359C">
            <w:pPr>
              <w:spacing w:line="360" w:lineRule="exact"/>
              <w:rPr>
                <w:rFonts w:ascii="宋体" w:hAnsi="宋体" w:eastAsia="宋体" w:cs="宋体"/>
                <w:kern w:val="0"/>
                <w:sz w:val="22"/>
                <w:szCs w:val="22"/>
                <w:highlight w:val="none"/>
              </w:rPr>
            </w:pPr>
            <w:r>
              <w:rPr>
                <w:rFonts w:hint="eastAsia" w:ascii="宋体" w:hAnsi="宋体" w:cs="宋体"/>
                <w:bCs/>
                <w:kern w:val="0"/>
                <w:sz w:val="22"/>
                <w:szCs w:val="22"/>
                <w:highlight w:val="none"/>
              </w:rPr>
              <w:t>项目编号：</w:t>
            </w:r>
            <w:r>
              <w:rPr>
                <w:rFonts w:hint="eastAsia" w:ascii="宋体" w:hAnsi="宋体" w:cs="宋体"/>
                <w:bCs/>
                <w:kern w:val="0"/>
                <w:sz w:val="22"/>
                <w:szCs w:val="22"/>
                <w:highlight w:val="none"/>
                <w:lang w:eastAsia="zh-CN"/>
              </w:rPr>
              <w:t>ZJBG-CG-2024-10</w:t>
            </w:r>
          </w:p>
        </w:tc>
      </w:tr>
      <w:tr w14:paraId="0CAC30CB">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9C10FFC">
            <w:pPr>
              <w:autoSpaceDE w:val="0"/>
              <w:autoSpaceDN w:val="0"/>
              <w:adjustRightIn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1805" w:type="dxa"/>
            <w:tcBorders>
              <w:top w:val="single" w:color="auto" w:sz="4" w:space="0"/>
              <w:left w:val="single" w:color="auto" w:sz="4" w:space="0"/>
              <w:bottom w:val="single" w:color="auto" w:sz="4" w:space="0"/>
              <w:right w:val="single" w:color="auto" w:sz="4" w:space="0"/>
            </w:tcBorders>
            <w:noWrap/>
            <w:vAlign w:val="center"/>
          </w:tcPr>
          <w:p w14:paraId="601937F7">
            <w:pPr>
              <w:wordWrap w:val="0"/>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采购内容</w:t>
            </w:r>
          </w:p>
        </w:tc>
        <w:tc>
          <w:tcPr>
            <w:tcW w:w="7353" w:type="dxa"/>
            <w:tcBorders>
              <w:top w:val="single" w:color="auto" w:sz="4" w:space="0"/>
              <w:left w:val="single" w:color="auto" w:sz="4" w:space="0"/>
              <w:bottom w:val="single" w:color="auto" w:sz="4" w:space="0"/>
              <w:right w:val="single" w:color="auto" w:sz="4" w:space="0"/>
            </w:tcBorders>
            <w:noWrap/>
            <w:vAlign w:val="center"/>
          </w:tcPr>
          <w:p w14:paraId="0509A441">
            <w:pPr>
              <w:spacing w:line="360" w:lineRule="exact"/>
              <w:rPr>
                <w:rFonts w:ascii="宋体" w:hAnsi="宋体" w:eastAsia="宋体" w:cs="宋体"/>
                <w:sz w:val="22"/>
                <w:szCs w:val="22"/>
                <w:highlight w:val="none"/>
              </w:rPr>
            </w:pPr>
            <w:r>
              <w:rPr>
                <w:rFonts w:hint="eastAsia" w:ascii="宋体" w:hAnsi="宋体" w:cs="宋体"/>
                <w:bCs/>
                <w:kern w:val="0"/>
                <w:sz w:val="22"/>
                <w:szCs w:val="22"/>
                <w:highlight w:val="none"/>
                <w:lang w:eastAsia="zh-CN"/>
              </w:rPr>
              <w:t>2025年瓯海区生活垃圾转运服务</w:t>
            </w:r>
            <w:r>
              <w:rPr>
                <w:rFonts w:hint="eastAsia" w:ascii="宋体" w:hAnsi="宋体" w:cs="宋体"/>
                <w:sz w:val="22"/>
                <w:szCs w:val="22"/>
                <w:highlight w:val="none"/>
              </w:rPr>
              <w:t>，具体内容详见采购文件相关部分。</w:t>
            </w:r>
            <w:r>
              <w:rPr>
                <w:rFonts w:hint="eastAsia" w:ascii="宋体" w:hAnsi="宋体" w:cs="宋体"/>
                <w:color w:val="auto"/>
                <w:sz w:val="22"/>
                <w:szCs w:val="22"/>
                <w:highlight w:val="none"/>
              </w:rPr>
              <w:t>项目采购预算：</w:t>
            </w:r>
            <w:r>
              <w:rPr>
                <w:rFonts w:hint="eastAsia" w:ascii="宋体" w:hAnsi="宋体" w:cs="宋体"/>
                <w:color w:val="auto"/>
                <w:sz w:val="22"/>
                <w:szCs w:val="22"/>
                <w:highlight w:val="none"/>
                <w:lang w:val="en-US" w:eastAsia="zh-CN"/>
              </w:rPr>
              <w:t>3857万元</w:t>
            </w:r>
            <w:r>
              <w:rPr>
                <w:rFonts w:hint="eastAsia" w:ascii="宋体" w:hAnsi="宋体" w:cs="宋体"/>
                <w:color w:val="auto"/>
                <w:sz w:val="22"/>
                <w:szCs w:val="22"/>
                <w:highlight w:val="none"/>
              </w:rPr>
              <w:t>。</w:t>
            </w:r>
          </w:p>
        </w:tc>
      </w:tr>
      <w:tr w14:paraId="34CD0C00">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718E1EC">
            <w:pPr>
              <w:autoSpaceDE w:val="0"/>
              <w:autoSpaceDN w:val="0"/>
              <w:adjustRightInd w:val="0"/>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5</w:t>
            </w:r>
          </w:p>
        </w:tc>
        <w:tc>
          <w:tcPr>
            <w:tcW w:w="1805" w:type="dxa"/>
            <w:tcBorders>
              <w:top w:val="single" w:color="auto" w:sz="4" w:space="0"/>
              <w:left w:val="single" w:color="auto" w:sz="4" w:space="0"/>
              <w:bottom w:val="single" w:color="auto" w:sz="4" w:space="0"/>
              <w:right w:val="single" w:color="auto" w:sz="4" w:space="0"/>
            </w:tcBorders>
            <w:noWrap/>
            <w:vAlign w:val="center"/>
          </w:tcPr>
          <w:p w14:paraId="1572ED7A">
            <w:pPr>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服务期限</w:t>
            </w:r>
          </w:p>
        </w:tc>
        <w:tc>
          <w:tcPr>
            <w:tcW w:w="7353" w:type="dxa"/>
            <w:tcBorders>
              <w:top w:val="single" w:color="auto" w:sz="4" w:space="0"/>
              <w:left w:val="single" w:color="auto" w:sz="4" w:space="0"/>
              <w:bottom w:val="single" w:color="auto" w:sz="4" w:space="0"/>
              <w:right w:val="single" w:color="auto" w:sz="4" w:space="0"/>
            </w:tcBorders>
            <w:noWrap/>
            <w:vAlign w:val="center"/>
          </w:tcPr>
          <w:p w14:paraId="18DA2472">
            <w:pPr>
              <w:spacing w:line="360" w:lineRule="exact"/>
              <w:rPr>
                <w:rFonts w:ascii="宋体" w:hAnsi="宋体" w:eastAsia="宋体" w:cs="宋体"/>
                <w:sz w:val="22"/>
                <w:szCs w:val="22"/>
                <w:highlight w:val="none"/>
              </w:rPr>
            </w:pPr>
            <w:r>
              <w:rPr>
                <w:rFonts w:hint="eastAsia" w:ascii="宋体" w:hAnsi="宋体" w:eastAsia="宋体" w:cs="宋体"/>
                <w:sz w:val="22"/>
                <w:szCs w:val="22"/>
                <w:highlight w:val="none"/>
              </w:rPr>
              <w:t>合同履行期限：</w:t>
            </w:r>
            <w:r>
              <w:rPr>
                <w:rFonts w:hint="eastAsia" w:ascii="宋体" w:hAnsi="宋体" w:eastAsia="宋体" w:cs="宋体"/>
                <w:sz w:val="22"/>
                <w:szCs w:val="22"/>
                <w:highlight w:val="none"/>
                <w:lang w:eastAsia="zh-CN"/>
              </w:rPr>
              <w:t>本项目服务期限为2年，服务合同一年一签</w:t>
            </w:r>
          </w:p>
        </w:tc>
      </w:tr>
      <w:tr w14:paraId="00741DD3">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3C30523">
            <w:pPr>
              <w:autoSpaceDE w:val="0"/>
              <w:autoSpaceDN w:val="0"/>
              <w:adjustRightInd w:val="0"/>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6</w:t>
            </w:r>
          </w:p>
        </w:tc>
        <w:tc>
          <w:tcPr>
            <w:tcW w:w="1805" w:type="dxa"/>
            <w:tcBorders>
              <w:top w:val="single" w:color="auto" w:sz="4" w:space="0"/>
              <w:left w:val="single" w:color="auto" w:sz="4" w:space="0"/>
              <w:bottom w:val="single" w:color="auto" w:sz="4" w:space="0"/>
              <w:right w:val="single" w:color="auto" w:sz="4" w:space="0"/>
            </w:tcBorders>
            <w:noWrap/>
            <w:vAlign w:val="center"/>
          </w:tcPr>
          <w:p w14:paraId="12FBFBB2">
            <w:pPr>
              <w:wordWrap w:val="0"/>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投标人资格要求</w:t>
            </w:r>
          </w:p>
        </w:tc>
        <w:tc>
          <w:tcPr>
            <w:tcW w:w="7353" w:type="dxa"/>
            <w:tcBorders>
              <w:top w:val="single" w:color="auto" w:sz="4" w:space="0"/>
              <w:left w:val="single" w:color="auto" w:sz="4" w:space="0"/>
              <w:bottom w:val="single" w:color="auto" w:sz="4" w:space="0"/>
              <w:right w:val="single" w:color="auto" w:sz="4" w:space="0"/>
            </w:tcBorders>
            <w:noWrap/>
            <w:vAlign w:val="center"/>
          </w:tcPr>
          <w:p w14:paraId="132C7EF3">
            <w:pPr>
              <w:widowControl/>
              <w:numPr>
                <w:ilvl w:val="0"/>
                <w:numId w:val="0"/>
              </w:numPr>
              <w:spacing w:line="360" w:lineRule="auto"/>
              <w:ind w:right="60" w:rightChars="0"/>
              <w:jc w:val="left"/>
              <w:rPr>
                <w:rFonts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w:t>
            </w:r>
            <w:r>
              <w:rPr>
                <w:rFonts w:hint="eastAsia" w:ascii="宋体" w:hAnsi="宋体" w:eastAsia="宋体" w:cs="宋体"/>
                <w:kern w:val="0"/>
                <w:sz w:val="22"/>
                <w:szCs w:val="22"/>
                <w:highlight w:val="none"/>
              </w:rPr>
              <w:t>满足《中华人民共和国政府采购法》第二十二条的规定；未被“信用中国”（www.creditchina.gov.cn）、中国政府采购网（www.ccgp.gov.cn）列入失信被执行人、重大税收违法案件当事人名单、政府采购严重违法失信行为记录名单。</w:t>
            </w:r>
          </w:p>
          <w:p w14:paraId="538AE481">
            <w:pPr>
              <w:widowControl/>
              <w:numPr>
                <w:ilvl w:val="0"/>
                <w:numId w:val="0"/>
              </w:numPr>
              <w:spacing w:line="360" w:lineRule="auto"/>
              <w:ind w:right="60" w:rightChars="0"/>
              <w:jc w:val="left"/>
              <w:rPr>
                <w:rFonts w:ascii="宋体" w:hAnsi="宋体" w:eastAsia="宋体" w:cs="宋体"/>
                <w:color w:val="FF0000"/>
                <w:kern w:val="0"/>
                <w:sz w:val="22"/>
                <w:szCs w:val="22"/>
                <w:highlight w:val="none"/>
              </w:rPr>
            </w:pP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rPr>
              <w:t>落实政府采购政策需满足的资格要求：</w:t>
            </w:r>
            <w:r>
              <w:rPr>
                <w:rFonts w:hint="eastAsia" w:ascii="宋体" w:hAnsi="宋体" w:eastAsia="宋体" w:cs="宋体"/>
                <w:color w:val="auto"/>
                <w:kern w:val="0"/>
                <w:sz w:val="22"/>
                <w:szCs w:val="22"/>
                <w:highlight w:val="none"/>
                <w:lang w:val="en-US" w:eastAsia="zh-CN"/>
              </w:rPr>
              <w:t>无</w:t>
            </w:r>
            <w:r>
              <w:rPr>
                <w:rFonts w:hint="eastAsia" w:ascii="宋体" w:hAnsi="宋体" w:eastAsia="宋体" w:cs="宋体"/>
                <w:color w:val="auto"/>
                <w:kern w:val="0"/>
                <w:sz w:val="22"/>
                <w:szCs w:val="22"/>
                <w:highlight w:val="none"/>
              </w:rPr>
              <w:t>。</w:t>
            </w:r>
          </w:p>
          <w:p w14:paraId="25C8A1F6">
            <w:pPr>
              <w:wordWrap w:val="0"/>
              <w:adjustRightInd w:val="0"/>
              <w:snapToGrid w:val="0"/>
              <w:spacing w:line="360" w:lineRule="exact"/>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本项目的特定资格要求：无</w:t>
            </w:r>
          </w:p>
        </w:tc>
      </w:tr>
      <w:tr w14:paraId="3B079B8E">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FAF6C65">
            <w:pPr>
              <w:autoSpaceDE w:val="0"/>
              <w:autoSpaceDN w:val="0"/>
              <w:adjustRightInd w:val="0"/>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7</w:t>
            </w:r>
          </w:p>
        </w:tc>
        <w:tc>
          <w:tcPr>
            <w:tcW w:w="1805" w:type="dxa"/>
            <w:tcBorders>
              <w:top w:val="single" w:color="auto" w:sz="4" w:space="0"/>
              <w:left w:val="single" w:color="auto" w:sz="4" w:space="0"/>
              <w:bottom w:val="single" w:color="auto" w:sz="4" w:space="0"/>
              <w:right w:val="single" w:color="auto" w:sz="4" w:space="0"/>
            </w:tcBorders>
            <w:noWrap/>
            <w:vAlign w:val="center"/>
          </w:tcPr>
          <w:p w14:paraId="6CA88687">
            <w:pPr>
              <w:wordWrap w:val="0"/>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是否接受</w:t>
            </w:r>
          </w:p>
          <w:p w14:paraId="378BC54B">
            <w:pPr>
              <w:wordWrap w:val="0"/>
              <w:spacing w:line="360" w:lineRule="exact"/>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联合体投标</w:t>
            </w:r>
          </w:p>
        </w:tc>
        <w:tc>
          <w:tcPr>
            <w:tcW w:w="7353" w:type="dxa"/>
            <w:tcBorders>
              <w:top w:val="single" w:color="auto" w:sz="4" w:space="0"/>
              <w:left w:val="single" w:color="auto" w:sz="4" w:space="0"/>
              <w:bottom w:val="single" w:color="auto" w:sz="4" w:space="0"/>
              <w:right w:val="single" w:color="auto" w:sz="4" w:space="0"/>
            </w:tcBorders>
            <w:noWrap/>
            <w:vAlign w:val="center"/>
          </w:tcPr>
          <w:p w14:paraId="5EBAC14B">
            <w:pPr>
              <w:wordWrap w:val="0"/>
              <w:spacing w:line="360" w:lineRule="exact"/>
              <w:rPr>
                <w:rFonts w:ascii="宋体" w:hAnsi="宋体" w:eastAsia="宋体" w:cs="宋体"/>
                <w:kern w:val="0"/>
                <w:sz w:val="22"/>
                <w:szCs w:val="22"/>
                <w:highlight w:val="none"/>
              </w:rPr>
            </w:pPr>
            <w:r>
              <w:rPr>
                <w:rFonts w:hint="eastAsia" w:ascii="宋体" w:hAnsi="宋体" w:eastAsia="宋体" w:cs="宋体"/>
                <w:snapToGrid w:val="0"/>
                <w:sz w:val="22"/>
                <w:szCs w:val="22"/>
                <w:highlight w:val="none"/>
              </w:rPr>
              <w:sym w:font="Wingdings" w:char="00FE"/>
            </w:r>
            <w:r>
              <w:rPr>
                <w:rFonts w:hint="eastAsia" w:ascii="宋体" w:hAnsi="宋体" w:eastAsia="宋体" w:cs="宋体"/>
                <w:kern w:val="0"/>
                <w:sz w:val="22"/>
                <w:szCs w:val="22"/>
                <w:highlight w:val="none"/>
              </w:rPr>
              <w:t>不接受</w:t>
            </w:r>
          </w:p>
        </w:tc>
      </w:tr>
      <w:tr w14:paraId="32B4B1F1">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D50905C">
            <w:pPr>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8</w:t>
            </w:r>
          </w:p>
        </w:tc>
        <w:tc>
          <w:tcPr>
            <w:tcW w:w="1805" w:type="dxa"/>
            <w:tcBorders>
              <w:top w:val="single" w:color="auto" w:sz="4" w:space="0"/>
              <w:left w:val="single" w:color="auto" w:sz="4" w:space="0"/>
              <w:bottom w:val="single" w:color="auto" w:sz="4" w:space="0"/>
              <w:right w:val="single" w:color="auto" w:sz="4" w:space="0"/>
            </w:tcBorders>
            <w:noWrap/>
            <w:vAlign w:val="center"/>
          </w:tcPr>
          <w:p w14:paraId="6E91305E">
            <w:pPr>
              <w:wordWrap w:val="0"/>
              <w:jc w:val="center"/>
              <w:rPr>
                <w:rFonts w:ascii="宋体" w:hAnsi="宋体" w:eastAsia="宋体" w:cs="宋体"/>
                <w:sz w:val="22"/>
                <w:szCs w:val="22"/>
                <w:highlight w:val="none"/>
                <w:lang w:val="zh-CN"/>
              </w:rPr>
            </w:pPr>
            <w:r>
              <w:rPr>
                <w:rFonts w:hint="eastAsia" w:ascii="宋体" w:hAnsi="宋体" w:eastAsia="宋体" w:cs="宋体"/>
                <w:sz w:val="22"/>
                <w:szCs w:val="22"/>
                <w:highlight w:val="none"/>
              </w:rPr>
              <w:t>投标保证金</w:t>
            </w:r>
          </w:p>
        </w:tc>
        <w:tc>
          <w:tcPr>
            <w:tcW w:w="7353" w:type="dxa"/>
            <w:tcBorders>
              <w:top w:val="single" w:color="auto" w:sz="4" w:space="0"/>
              <w:left w:val="single" w:color="auto" w:sz="4" w:space="0"/>
              <w:bottom w:val="single" w:color="auto" w:sz="4" w:space="0"/>
              <w:right w:val="single" w:color="auto" w:sz="4" w:space="0"/>
            </w:tcBorders>
            <w:noWrap/>
            <w:vAlign w:val="center"/>
          </w:tcPr>
          <w:p w14:paraId="5637CEB8">
            <w:pPr>
              <w:wordWrap w:val="0"/>
              <w:rPr>
                <w:rFonts w:ascii="宋体" w:hAnsi="宋体" w:eastAsia="宋体" w:cs="宋体"/>
                <w:sz w:val="22"/>
                <w:szCs w:val="22"/>
                <w:highlight w:val="none"/>
                <w:lang w:val="zh-CN"/>
              </w:rPr>
            </w:pPr>
            <w:r>
              <w:rPr>
                <w:rFonts w:hint="eastAsia" w:ascii="宋体" w:hAnsi="宋体" w:cs="宋体"/>
                <w:kern w:val="0"/>
                <w:sz w:val="22"/>
                <w:szCs w:val="22"/>
                <w:highlight w:val="none"/>
              </w:rPr>
              <w:t>根据浙江省财政厅关于明确政府采购保证金管理工作的通知【浙财采监（2019）5号文件】规定，本项目不要求缴纳投标保证金。</w:t>
            </w:r>
          </w:p>
        </w:tc>
      </w:tr>
      <w:tr w14:paraId="7E15911A">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9BD8E1F">
            <w:pPr>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9</w:t>
            </w:r>
          </w:p>
        </w:tc>
        <w:tc>
          <w:tcPr>
            <w:tcW w:w="1805" w:type="dxa"/>
            <w:tcBorders>
              <w:top w:val="single" w:color="auto" w:sz="4" w:space="0"/>
              <w:left w:val="single" w:color="auto" w:sz="4" w:space="0"/>
              <w:bottom w:val="single" w:color="auto" w:sz="4" w:space="0"/>
              <w:right w:val="single" w:color="auto" w:sz="4" w:space="0"/>
            </w:tcBorders>
            <w:noWrap/>
            <w:vAlign w:val="center"/>
          </w:tcPr>
          <w:p w14:paraId="1254F505">
            <w:pPr>
              <w:wordWrap w:val="0"/>
              <w:spacing w:line="360" w:lineRule="exact"/>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踏勘现场</w:t>
            </w:r>
          </w:p>
        </w:tc>
        <w:tc>
          <w:tcPr>
            <w:tcW w:w="7353" w:type="dxa"/>
            <w:tcBorders>
              <w:top w:val="single" w:color="auto" w:sz="4" w:space="0"/>
              <w:left w:val="single" w:color="auto" w:sz="4" w:space="0"/>
              <w:bottom w:val="single" w:color="auto" w:sz="4" w:space="0"/>
              <w:right w:val="single" w:color="auto" w:sz="4" w:space="0"/>
            </w:tcBorders>
            <w:noWrap/>
            <w:vAlign w:val="center"/>
          </w:tcPr>
          <w:p w14:paraId="09FF30B0">
            <w:pPr>
              <w:wordWrap w:val="0"/>
              <w:spacing w:line="360" w:lineRule="exact"/>
              <w:rPr>
                <w:rFonts w:ascii="宋体" w:hAnsi="宋体" w:eastAsia="宋体" w:cs="宋体"/>
                <w:kern w:val="0"/>
                <w:sz w:val="22"/>
                <w:szCs w:val="22"/>
                <w:highlight w:val="none"/>
              </w:rPr>
            </w:pPr>
            <w:r>
              <w:rPr>
                <w:rFonts w:hint="eastAsia" w:ascii="宋体" w:hAnsi="宋体" w:eastAsia="宋体" w:cs="宋体"/>
                <w:snapToGrid w:val="0"/>
                <w:sz w:val="22"/>
                <w:szCs w:val="22"/>
                <w:highlight w:val="none"/>
              </w:rPr>
              <w:sym w:font="Wingdings" w:char="F0FE"/>
            </w:r>
            <w:r>
              <w:rPr>
                <w:rFonts w:hint="eastAsia" w:ascii="宋体" w:hAnsi="宋体" w:eastAsia="宋体" w:cs="宋体"/>
                <w:kern w:val="0"/>
                <w:sz w:val="22"/>
                <w:szCs w:val="22"/>
                <w:highlight w:val="none"/>
              </w:rPr>
              <w:t>不组织</w:t>
            </w:r>
          </w:p>
        </w:tc>
      </w:tr>
      <w:tr w14:paraId="6F12498C">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BFC9AB6">
            <w:pPr>
              <w:spacing w:line="360"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rPr>
              <w:t>10</w:t>
            </w:r>
          </w:p>
        </w:tc>
        <w:tc>
          <w:tcPr>
            <w:tcW w:w="1805" w:type="dxa"/>
            <w:tcBorders>
              <w:top w:val="single" w:color="auto" w:sz="4" w:space="0"/>
              <w:left w:val="single" w:color="auto" w:sz="4" w:space="0"/>
              <w:bottom w:val="single" w:color="auto" w:sz="4" w:space="0"/>
              <w:right w:val="single" w:color="auto" w:sz="4" w:space="0"/>
            </w:tcBorders>
            <w:noWrap/>
            <w:vAlign w:val="center"/>
          </w:tcPr>
          <w:p w14:paraId="1F8C5B58">
            <w:pPr>
              <w:wordWrap w:val="0"/>
              <w:spacing w:line="360" w:lineRule="exact"/>
              <w:jc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是否允许转包、分包</w:t>
            </w:r>
          </w:p>
        </w:tc>
        <w:tc>
          <w:tcPr>
            <w:tcW w:w="7353" w:type="dxa"/>
            <w:tcBorders>
              <w:top w:val="single" w:color="auto" w:sz="4" w:space="0"/>
              <w:left w:val="single" w:color="auto" w:sz="4" w:space="0"/>
              <w:bottom w:val="single" w:color="auto" w:sz="4" w:space="0"/>
              <w:right w:val="single" w:color="auto" w:sz="4" w:space="0"/>
            </w:tcBorders>
            <w:noWrap/>
            <w:vAlign w:val="center"/>
          </w:tcPr>
          <w:p w14:paraId="242A147A">
            <w:pPr>
              <w:wordWrap w:val="0"/>
              <w:spacing w:line="360" w:lineRule="exact"/>
              <w:rPr>
                <w:rFonts w:ascii="宋体" w:hAnsi="宋体" w:eastAsia="宋体" w:cs="宋体"/>
                <w:kern w:val="0"/>
                <w:sz w:val="22"/>
                <w:szCs w:val="22"/>
                <w:highlight w:val="none"/>
              </w:rPr>
            </w:pPr>
            <w:r>
              <w:rPr>
                <w:rFonts w:hint="eastAsia" w:ascii="宋体" w:hAnsi="宋体" w:eastAsia="宋体" w:cs="宋体"/>
                <w:kern w:val="0"/>
                <w:sz w:val="22"/>
                <w:szCs w:val="22"/>
                <w:highlight w:val="none"/>
              </w:rPr>
              <w:t>不允许</w:t>
            </w:r>
          </w:p>
        </w:tc>
      </w:tr>
      <w:tr w14:paraId="0560C5FE">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9D6EF39">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11</w:t>
            </w:r>
          </w:p>
        </w:tc>
        <w:tc>
          <w:tcPr>
            <w:tcW w:w="1805" w:type="dxa"/>
            <w:tcBorders>
              <w:top w:val="single" w:color="auto" w:sz="4" w:space="0"/>
              <w:left w:val="single" w:color="auto" w:sz="4" w:space="0"/>
              <w:bottom w:val="single" w:color="auto" w:sz="4" w:space="0"/>
              <w:right w:val="single" w:color="auto" w:sz="4" w:space="0"/>
            </w:tcBorders>
            <w:noWrap/>
            <w:vAlign w:val="center"/>
          </w:tcPr>
          <w:p w14:paraId="4DE5B093">
            <w:pPr>
              <w:spacing w:line="360" w:lineRule="exact"/>
              <w:jc w:val="center"/>
              <w:rPr>
                <w:rFonts w:hint="eastAsia" w:ascii="宋体" w:hAnsi="宋体" w:cs="宋体" w:eastAsiaTheme="minorEastAsia"/>
                <w:kern w:val="0"/>
                <w:sz w:val="22"/>
                <w:szCs w:val="22"/>
                <w:highlight w:val="none"/>
                <w:lang w:val="en-US" w:eastAsia="zh-CN" w:bidi="ar-SA"/>
              </w:rPr>
            </w:pPr>
            <w:r>
              <w:rPr>
                <w:rFonts w:hint="eastAsia" w:ascii="宋体" w:hAnsi="宋体" w:cs="宋体"/>
                <w:kern w:val="0"/>
                <w:sz w:val="22"/>
                <w:szCs w:val="22"/>
                <w:highlight w:val="none"/>
              </w:rPr>
              <w:t>偏离</w:t>
            </w:r>
          </w:p>
        </w:tc>
        <w:tc>
          <w:tcPr>
            <w:tcW w:w="7353" w:type="dxa"/>
            <w:tcBorders>
              <w:top w:val="single" w:color="auto" w:sz="4" w:space="0"/>
              <w:left w:val="single" w:color="auto" w:sz="4" w:space="0"/>
              <w:bottom w:val="single" w:color="auto" w:sz="4" w:space="0"/>
              <w:right w:val="single" w:color="auto" w:sz="4" w:space="0"/>
            </w:tcBorders>
            <w:noWrap/>
            <w:vAlign w:val="center"/>
          </w:tcPr>
          <w:p w14:paraId="3BA61172">
            <w:pPr>
              <w:spacing w:line="360" w:lineRule="exact"/>
              <w:rPr>
                <w:rFonts w:hint="eastAsia" w:ascii="宋体" w:hAnsi="宋体" w:cs="宋体" w:eastAsiaTheme="minorEastAsia"/>
                <w:kern w:val="0"/>
                <w:sz w:val="22"/>
                <w:szCs w:val="22"/>
                <w:highlight w:val="none"/>
                <w:lang w:val="en-US" w:eastAsia="zh-CN" w:bidi="ar-SA"/>
              </w:rPr>
            </w:pPr>
            <w:r>
              <w:rPr>
                <w:rFonts w:hint="eastAsia" w:ascii="宋体" w:hAnsi="宋体" w:cs="宋体"/>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252EAA31">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62ACF5D">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w:t>
            </w:r>
          </w:p>
        </w:tc>
        <w:tc>
          <w:tcPr>
            <w:tcW w:w="1805" w:type="dxa"/>
            <w:tcBorders>
              <w:top w:val="single" w:color="auto" w:sz="4" w:space="0"/>
              <w:left w:val="single" w:color="auto" w:sz="4" w:space="0"/>
              <w:bottom w:val="single" w:color="auto" w:sz="4" w:space="0"/>
              <w:right w:val="single" w:color="auto" w:sz="4" w:space="0"/>
            </w:tcBorders>
            <w:noWrap/>
            <w:vAlign w:val="center"/>
          </w:tcPr>
          <w:p w14:paraId="5D19192D">
            <w:pPr>
              <w:spacing w:line="360" w:lineRule="exact"/>
              <w:jc w:val="center"/>
              <w:rPr>
                <w:rFonts w:hint="eastAsia" w:ascii="宋体" w:hAnsi="宋体" w:cs="宋体" w:eastAsiaTheme="minorEastAsia"/>
                <w:kern w:val="0"/>
                <w:sz w:val="22"/>
                <w:szCs w:val="22"/>
                <w:highlight w:val="none"/>
                <w:lang w:val="en-US" w:eastAsia="zh-CN" w:bidi="ar-SA"/>
              </w:rPr>
            </w:pPr>
            <w:r>
              <w:rPr>
                <w:rFonts w:hint="eastAsia" w:ascii="宋体" w:hAnsi="宋体" w:cs="宋体"/>
                <w:kern w:val="0"/>
                <w:sz w:val="22"/>
                <w:szCs w:val="22"/>
                <w:highlight w:val="none"/>
              </w:rPr>
              <w:t>投标文件有效期</w:t>
            </w:r>
          </w:p>
        </w:tc>
        <w:tc>
          <w:tcPr>
            <w:tcW w:w="7353" w:type="dxa"/>
            <w:tcBorders>
              <w:top w:val="single" w:color="auto" w:sz="4" w:space="0"/>
              <w:left w:val="single" w:color="auto" w:sz="4" w:space="0"/>
              <w:bottom w:val="single" w:color="auto" w:sz="4" w:space="0"/>
              <w:right w:val="single" w:color="auto" w:sz="4" w:space="0"/>
            </w:tcBorders>
            <w:noWrap/>
            <w:vAlign w:val="center"/>
          </w:tcPr>
          <w:p w14:paraId="2E45BE60">
            <w:pPr>
              <w:spacing w:line="360" w:lineRule="exact"/>
              <w:rPr>
                <w:rFonts w:hint="eastAsia" w:ascii="宋体" w:hAnsi="宋体" w:cs="宋体" w:eastAsiaTheme="minorEastAsia"/>
                <w:kern w:val="0"/>
                <w:sz w:val="22"/>
                <w:szCs w:val="22"/>
                <w:highlight w:val="none"/>
                <w:lang w:val="en-US" w:eastAsia="zh-CN" w:bidi="ar-SA"/>
              </w:rPr>
            </w:pPr>
            <w:r>
              <w:rPr>
                <w:rFonts w:hint="eastAsia" w:ascii="宋体" w:hAnsi="宋体" w:cs="宋体"/>
                <w:kern w:val="0"/>
                <w:sz w:val="22"/>
                <w:szCs w:val="22"/>
                <w:highlight w:val="none"/>
              </w:rPr>
              <w:t>投标文件自投标截止时间起生效，有效期</w:t>
            </w:r>
            <w:r>
              <w:rPr>
                <w:rFonts w:hint="eastAsia" w:ascii="宋体" w:hAnsi="宋体" w:cs="宋体"/>
                <w:kern w:val="0"/>
                <w:sz w:val="22"/>
                <w:szCs w:val="22"/>
                <w:highlight w:val="none"/>
                <w:u w:val="single"/>
              </w:rPr>
              <w:t>90</w:t>
            </w:r>
            <w:r>
              <w:rPr>
                <w:rFonts w:hint="eastAsia" w:ascii="宋体" w:hAnsi="宋体" w:cs="宋体"/>
                <w:kern w:val="0"/>
                <w:sz w:val="22"/>
                <w:szCs w:val="22"/>
                <w:highlight w:val="none"/>
              </w:rPr>
              <w:t>天。</w:t>
            </w:r>
          </w:p>
        </w:tc>
      </w:tr>
      <w:tr w14:paraId="2D1DF4E9">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6BA5C87">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noWrap/>
            <w:vAlign w:val="center"/>
          </w:tcPr>
          <w:p w14:paraId="7609BAAF">
            <w:pPr>
              <w:wordWrap w:val="0"/>
              <w:jc w:val="center"/>
              <w:rPr>
                <w:rFonts w:ascii="宋体" w:hAnsi="宋体" w:eastAsia="宋体" w:cs="宋体"/>
                <w:sz w:val="22"/>
                <w:szCs w:val="22"/>
                <w:highlight w:val="none"/>
                <w:lang w:val="zh-CN"/>
              </w:rPr>
            </w:pPr>
            <w:r>
              <w:rPr>
                <w:rFonts w:hint="eastAsia" w:ascii="宋体" w:hAnsi="宋体" w:eastAsia="宋体" w:cs="宋体"/>
                <w:sz w:val="22"/>
                <w:szCs w:val="22"/>
                <w:highlight w:val="none"/>
              </w:rPr>
              <w:t>投标文件的组成</w:t>
            </w:r>
          </w:p>
        </w:tc>
        <w:tc>
          <w:tcPr>
            <w:tcW w:w="7353" w:type="dxa"/>
            <w:tcBorders>
              <w:top w:val="single" w:color="auto" w:sz="4" w:space="0"/>
              <w:left w:val="single" w:color="auto" w:sz="4" w:space="0"/>
              <w:bottom w:val="single" w:color="auto" w:sz="4" w:space="0"/>
              <w:right w:val="single" w:color="auto" w:sz="4" w:space="0"/>
            </w:tcBorders>
            <w:noWrap/>
            <w:vAlign w:val="center"/>
          </w:tcPr>
          <w:p w14:paraId="77B4F734">
            <w:pPr>
              <w:numPr>
                <w:ilvl w:val="0"/>
                <w:numId w:val="4"/>
              </w:numPr>
              <w:wordWrap w:val="0"/>
              <w:rPr>
                <w:highlight w:val="none"/>
                <w:lang w:val="zh-CN"/>
              </w:rPr>
            </w:pPr>
            <w:r>
              <w:rPr>
                <w:rFonts w:hint="eastAsia"/>
                <w:highlight w:val="none"/>
                <w:lang w:val="zh-CN"/>
              </w:rPr>
              <w:t>完整的投标文件由</w:t>
            </w:r>
            <w:r>
              <w:rPr>
                <w:rFonts w:hint="eastAsia"/>
                <w:highlight w:val="none"/>
              </w:rPr>
              <w:t>“资格文件”、“报价文件”和“商务技术文件”三个部分组成。</w:t>
            </w:r>
          </w:p>
        </w:tc>
      </w:tr>
      <w:tr w14:paraId="371498C0">
        <w:tblPrEx>
          <w:tblCellMar>
            <w:top w:w="0" w:type="dxa"/>
            <w:left w:w="108" w:type="dxa"/>
            <w:bottom w:w="0" w:type="dxa"/>
            <w:right w:w="108" w:type="dxa"/>
          </w:tblCellMar>
        </w:tblPrEx>
        <w:trPr>
          <w:trHeight w:val="6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DEA0D79">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noWrap/>
            <w:vAlign w:val="center"/>
          </w:tcPr>
          <w:p w14:paraId="2630CCBB">
            <w:pPr>
              <w:wordWrap w:val="0"/>
              <w:jc w:val="center"/>
              <w:rPr>
                <w:rFonts w:ascii="宋体" w:hAnsi="宋体" w:eastAsia="宋体" w:cs="宋体"/>
                <w:sz w:val="22"/>
                <w:szCs w:val="22"/>
                <w:highlight w:val="none"/>
              </w:rPr>
            </w:pPr>
            <w:r>
              <w:rPr>
                <w:rFonts w:hint="eastAsia" w:ascii="宋体" w:hAnsi="宋体" w:eastAsia="宋体" w:cs="宋体"/>
                <w:sz w:val="22"/>
                <w:szCs w:val="22"/>
                <w:highlight w:val="none"/>
              </w:rPr>
              <w:t>投标文件的编制</w:t>
            </w:r>
          </w:p>
        </w:tc>
        <w:tc>
          <w:tcPr>
            <w:tcW w:w="7353" w:type="dxa"/>
            <w:tcBorders>
              <w:top w:val="single" w:color="auto" w:sz="4" w:space="0"/>
              <w:left w:val="single" w:color="auto" w:sz="4" w:space="0"/>
              <w:bottom w:val="single" w:color="auto" w:sz="4" w:space="0"/>
              <w:right w:val="single" w:color="auto" w:sz="4" w:space="0"/>
            </w:tcBorders>
            <w:noWrap/>
            <w:vAlign w:val="center"/>
          </w:tcPr>
          <w:p w14:paraId="3BC975EF">
            <w:pPr>
              <w:wordWrap w:val="0"/>
              <w:rPr>
                <w:rFonts w:ascii="宋体" w:hAnsi="宋体" w:eastAsia="宋体" w:cs="宋体"/>
                <w:sz w:val="22"/>
                <w:szCs w:val="22"/>
                <w:highlight w:val="none"/>
              </w:rPr>
            </w:pPr>
            <w:r>
              <w:rPr>
                <w:rFonts w:hint="eastAsia" w:ascii="宋体" w:hAnsi="宋体" w:cs="宋体"/>
                <w:kern w:val="0"/>
                <w:sz w:val="22"/>
                <w:szCs w:val="22"/>
                <w:highlight w:val="none"/>
                <w:lang w:val="zh-CN"/>
              </w:rPr>
              <w:t>供应商应先安装“政采云电子交易客户端”，并按照本采购文件和“政采云平台”的要求，通过“政采云电子交易客户端”编制并加密投标文件。</w:t>
            </w:r>
          </w:p>
        </w:tc>
      </w:tr>
      <w:tr w14:paraId="1603DD91">
        <w:tblPrEx>
          <w:tblCellMar>
            <w:top w:w="0" w:type="dxa"/>
            <w:left w:w="108" w:type="dxa"/>
            <w:bottom w:w="0" w:type="dxa"/>
            <w:right w:w="108" w:type="dxa"/>
          </w:tblCellMar>
        </w:tblPrEx>
        <w:trPr>
          <w:trHeight w:val="1611"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33D74E6">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5</w:t>
            </w:r>
          </w:p>
        </w:tc>
        <w:tc>
          <w:tcPr>
            <w:tcW w:w="1805" w:type="dxa"/>
            <w:tcBorders>
              <w:top w:val="single" w:color="auto" w:sz="4" w:space="0"/>
              <w:left w:val="single" w:color="auto" w:sz="4" w:space="0"/>
              <w:bottom w:val="single" w:color="auto" w:sz="4" w:space="0"/>
              <w:right w:val="single" w:color="auto" w:sz="4" w:space="0"/>
            </w:tcBorders>
            <w:noWrap/>
            <w:vAlign w:val="center"/>
          </w:tcPr>
          <w:p w14:paraId="48D45D84">
            <w:pPr>
              <w:wordWrap w:val="0"/>
              <w:jc w:val="center"/>
              <w:rPr>
                <w:rFonts w:ascii="宋体" w:hAnsi="宋体" w:eastAsia="宋体" w:cs="宋体"/>
                <w:sz w:val="22"/>
                <w:szCs w:val="22"/>
                <w:highlight w:val="none"/>
              </w:rPr>
            </w:pPr>
            <w:r>
              <w:rPr>
                <w:rFonts w:hint="eastAsia" w:ascii="宋体" w:hAnsi="宋体" w:eastAsia="宋体" w:cs="宋体"/>
                <w:sz w:val="22"/>
                <w:szCs w:val="22"/>
                <w:highlight w:val="none"/>
              </w:rPr>
              <w:t>投标文件的签章</w:t>
            </w:r>
          </w:p>
        </w:tc>
        <w:tc>
          <w:tcPr>
            <w:tcW w:w="7353" w:type="dxa"/>
            <w:tcBorders>
              <w:top w:val="single" w:color="auto" w:sz="4" w:space="0"/>
              <w:left w:val="single" w:color="auto" w:sz="4" w:space="0"/>
              <w:bottom w:val="single" w:color="auto" w:sz="4" w:space="0"/>
              <w:right w:val="single" w:color="auto" w:sz="4" w:space="0"/>
            </w:tcBorders>
            <w:noWrap/>
            <w:vAlign w:val="center"/>
          </w:tcPr>
          <w:p w14:paraId="60D211B4">
            <w:pPr>
              <w:wordWrap w:val="0"/>
              <w:rPr>
                <w:rFonts w:ascii="宋体" w:hAnsi="宋体" w:eastAsia="宋体" w:cs="宋体"/>
                <w:sz w:val="22"/>
                <w:szCs w:val="22"/>
                <w:highlight w:val="none"/>
              </w:rPr>
            </w:pPr>
            <w:r>
              <w:rPr>
                <w:rFonts w:hint="eastAsia" w:ascii="宋体" w:hAnsi="宋体" w:eastAsia="宋体" w:cs="宋体"/>
                <w:b/>
                <w:bCs/>
                <w:sz w:val="22"/>
                <w:szCs w:val="22"/>
                <w:highlight w:val="none"/>
              </w:rPr>
              <w:t>1.电子投标文件中所须加盖公章部分均采用CA电子签章，</w:t>
            </w:r>
            <w:r>
              <w:rPr>
                <w:rFonts w:hint="eastAsia" w:ascii="宋体" w:hAnsi="宋体" w:eastAsia="宋体" w:cs="宋体"/>
                <w:sz w:val="22"/>
                <w:szCs w:val="22"/>
                <w:highlight w:val="none"/>
              </w:rPr>
              <w:t>如投标供应商以联合体形式参与投标的，由联合体牵头人进行CA电子签章；</w:t>
            </w:r>
          </w:p>
          <w:p w14:paraId="74D8846E">
            <w:pPr>
              <w:wordWrap w:val="0"/>
              <w:rPr>
                <w:rFonts w:ascii="宋体" w:hAnsi="宋体" w:eastAsia="宋体" w:cs="宋体"/>
                <w:b/>
                <w:bCs/>
                <w:sz w:val="22"/>
                <w:szCs w:val="22"/>
                <w:highlight w:val="none"/>
              </w:rPr>
            </w:pPr>
            <w:r>
              <w:rPr>
                <w:rFonts w:hint="eastAsia" w:ascii="宋体" w:hAnsi="宋体" w:eastAsia="宋体" w:cs="宋体"/>
                <w:b/>
                <w:bCs/>
                <w:sz w:val="22"/>
                <w:szCs w:val="22"/>
                <w:highlight w:val="none"/>
              </w:rPr>
              <w:t>2.电子投标文件中要求法定代表人或授权代表签字或盖章的地方可书面签字或盖章后扫描至电子投标文件中上传，或采用CA电子签章。</w:t>
            </w:r>
          </w:p>
          <w:p w14:paraId="49F941B6">
            <w:pPr>
              <w:wordWrap w:val="0"/>
              <w:rPr>
                <w:rFonts w:ascii="宋体" w:hAnsi="宋体" w:eastAsia="宋体" w:cs="宋体"/>
                <w:sz w:val="22"/>
                <w:szCs w:val="22"/>
                <w:highlight w:val="none"/>
              </w:rPr>
            </w:pPr>
            <w:r>
              <w:rPr>
                <w:rFonts w:hint="eastAsia" w:ascii="宋体" w:hAnsi="宋体" w:eastAsia="宋体" w:cs="宋体"/>
                <w:sz w:val="22"/>
                <w:szCs w:val="22"/>
                <w:highlight w:val="none"/>
              </w:rPr>
              <w:t>3.政采云系统平台有新的操作流程的，可按其规定。</w:t>
            </w:r>
          </w:p>
        </w:tc>
      </w:tr>
      <w:tr w14:paraId="073C4AB9">
        <w:tblPrEx>
          <w:tblCellMar>
            <w:top w:w="0" w:type="dxa"/>
            <w:left w:w="108" w:type="dxa"/>
            <w:bottom w:w="0" w:type="dxa"/>
            <w:right w:w="108" w:type="dxa"/>
          </w:tblCellMar>
        </w:tblPrEx>
        <w:trPr>
          <w:trHeight w:val="1821"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D36E07F">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ign w:val="center"/>
          </w:tcPr>
          <w:p w14:paraId="7BDB087D">
            <w:pPr>
              <w:autoSpaceDE w:val="0"/>
              <w:autoSpaceDN w:val="0"/>
              <w:adjustRightInd w:val="0"/>
              <w:spacing w:line="360" w:lineRule="exact"/>
              <w:jc w:val="center"/>
              <w:rPr>
                <w:rFonts w:ascii="宋体" w:hAnsi="宋体" w:eastAsia="宋体" w:cs="宋体"/>
                <w:sz w:val="22"/>
                <w:szCs w:val="22"/>
                <w:highlight w:val="none"/>
              </w:rPr>
            </w:pPr>
            <w:r>
              <w:rPr>
                <w:rFonts w:hint="eastAsia" w:ascii="宋体" w:hAnsi="宋体" w:cs="宋体"/>
                <w:kern w:val="0"/>
                <w:sz w:val="22"/>
                <w:szCs w:val="22"/>
                <w:highlight w:val="none"/>
                <w:lang w:val="zh-CN"/>
              </w:rPr>
              <w:t>投标文件的形式、制作及组成</w:t>
            </w:r>
          </w:p>
        </w:tc>
        <w:tc>
          <w:tcPr>
            <w:tcW w:w="7353" w:type="dxa"/>
            <w:tcBorders>
              <w:top w:val="single" w:color="auto" w:sz="4" w:space="0"/>
              <w:left w:val="single" w:color="auto" w:sz="4" w:space="0"/>
              <w:bottom w:val="single" w:color="auto" w:sz="4" w:space="0"/>
              <w:right w:val="single" w:color="auto" w:sz="4" w:space="0"/>
            </w:tcBorders>
            <w:noWrap/>
            <w:vAlign w:val="center"/>
          </w:tcPr>
          <w:p w14:paraId="75D4B1E0">
            <w:pPr>
              <w:autoSpaceDE w:val="0"/>
              <w:autoSpaceDN w:val="0"/>
              <w:adjustRightInd w:val="0"/>
              <w:spacing w:line="360" w:lineRule="exact"/>
              <w:rPr>
                <w:highlight w:val="none"/>
                <w:lang w:val="zh-CN"/>
              </w:rPr>
            </w:pPr>
            <w:r>
              <w:rPr>
                <w:rFonts w:hint="eastAsia"/>
                <w:highlight w:val="none"/>
                <w:lang w:val="zh-CN"/>
              </w:rPr>
              <w:t>本项目实行在线投标响应（电子投标）。</w:t>
            </w:r>
          </w:p>
          <w:p w14:paraId="0FA5B1E2">
            <w:pPr>
              <w:autoSpaceDE w:val="0"/>
              <w:autoSpaceDN w:val="0"/>
              <w:adjustRightInd w:val="0"/>
              <w:spacing w:line="360" w:lineRule="exact"/>
              <w:rPr>
                <w:highlight w:val="none"/>
                <w:lang w:val="zh-CN"/>
              </w:rPr>
            </w:pPr>
            <w:r>
              <w:rPr>
                <w:rFonts w:hint="eastAsia"/>
                <w:highlight w:val="none"/>
                <w:lang w:val="zh-CN"/>
              </w:rPr>
              <w:t>投标人须准备电子投标文件（包括“电子加密投标文件”和“备份投标文件”两类，在投标文件编制完成后同时生成）。</w:t>
            </w:r>
          </w:p>
          <w:p w14:paraId="29731BD2">
            <w:pPr>
              <w:autoSpaceDE w:val="0"/>
              <w:autoSpaceDN w:val="0"/>
              <w:adjustRightInd w:val="0"/>
              <w:spacing w:line="360" w:lineRule="exact"/>
              <w:rPr>
                <w:highlight w:val="none"/>
                <w:lang w:val="zh-CN"/>
              </w:rPr>
            </w:pPr>
            <w:r>
              <w:rPr>
                <w:rFonts w:hint="eastAsia"/>
                <w:highlight w:val="none"/>
                <w:lang w:val="zh-CN"/>
              </w:rPr>
              <w:t>（1）“电子加密投标文件”是指通过“政采云电子交易客户端”完成投标文件编制后生成并加密的数据电文形式的投标文件。</w:t>
            </w:r>
          </w:p>
          <w:p w14:paraId="0AF63ACB">
            <w:pPr>
              <w:autoSpaceDE w:val="0"/>
              <w:autoSpaceDN w:val="0"/>
              <w:adjustRightInd w:val="0"/>
              <w:spacing w:line="360" w:lineRule="exact"/>
              <w:rPr>
                <w:highlight w:val="none"/>
                <w:lang w:val="zh-CN"/>
              </w:rPr>
            </w:pPr>
            <w:r>
              <w:rPr>
                <w:rFonts w:hint="eastAsia"/>
                <w:highlight w:val="none"/>
                <w:lang w:val="zh-CN"/>
              </w:rPr>
              <w:t>（2）“备份投标文件”是指与“电子加密投标文件”同时生成的数据电文形式的电子文件（备份标书），其他方式编制的备份投标文件视为无效备份投标文件。</w:t>
            </w:r>
          </w:p>
          <w:p w14:paraId="2AB39E4A">
            <w:pPr>
              <w:autoSpaceDE w:val="0"/>
              <w:autoSpaceDN w:val="0"/>
              <w:adjustRightInd w:val="0"/>
              <w:spacing w:line="360" w:lineRule="exact"/>
              <w:rPr>
                <w:rFonts w:ascii="宋体" w:hAnsi="宋体" w:eastAsia="宋体" w:cs="宋体"/>
                <w:sz w:val="22"/>
                <w:szCs w:val="22"/>
                <w:highlight w:val="none"/>
              </w:rPr>
            </w:pPr>
            <w:r>
              <w:rPr>
                <w:rFonts w:hint="eastAsia"/>
                <w:highlight w:val="none"/>
                <w:lang w:val="zh-CN"/>
              </w:rPr>
              <w:t>以上两类投标文件均由资格审查资料、商务技术文件、报价文件三部分组成。</w:t>
            </w:r>
          </w:p>
        </w:tc>
      </w:tr>
      <w:tr w14:paraId="0BB6A2AF">
        <w:tblPrEx>
          <w:tblCellMar>
            <w:top w:w="0" w:type="dxa"/>
            <w:left w:w="108" w:type="dxa"/>
            <w:bottom w:w="0" w:type="dxa"/>
            <w:right w:w="108" w:type="dxa"/>
          </w:tblCellMar>
        </w:tblPrEx>
        <w:trPr>
          <w:trHeight w:val="892"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4A3BAA9">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ign w:val="center"/>
          </w:tcPr>
          <w:p w14:paraId="6FBB2378">
            <w:pPr>
              <w:autoSpaceDE w:val="0"/>
              <w:autoSpaceDN w:val="0"/>
              <w:adjustRightInd w:val="0"/>
              <w:spacing w:line="360" w:lineRule="exact"/>
              <w:jc w:val="center"/>
              <w:rPr>
                <w:rFonts w:ascii="宋体" w:hAnsi="宋体" w:eastAsia="宋体" w:cs="宋体"/>
                <w:sz w:val="22"/>
                <w:szCs w:val="22"/>
                <w:highlight w:val="none"/>
              </w:rPr>
            </w:pPr>
            <w:r>
              <w:rPr>
                <w:rFonts w:hint="eastAsia" w:ascii="宋体" w:hAnsi="宋体" w:cs="宋体"/>
                <w:kern w:val="0"/>
                <w:sz w:val="22"/>
                <w:szCs w:val="22"/>
                <w:highlight w:val="none"/>
                <w:lang w:val="zh-CN"/>
              </w:rPr>
              <w:t>投标文件份数</w:t>
            </w:r>
          </w:p>
        </w:tc>
        <w:tc>
          <w:tcPr>
            <w:tcW w:w="7353" w:type="dxa"/>
            <w:tcBorders>
              <w:top w:val="single" w:color="auto" w:sz="4" w:space="0"/>
              <w:left w:val="single" w:color="auto" w:sz="4" w:space="0"/>
              <w:bottom w:val="single" w:color="auto" w:sz="4" w:space="0"/>
              <w:right w:val="single" w:color="auto" w:sz="4" w:space="0"/>
            </w:tcBorders>
            <w:noWrap/>
            <w:vAlign w:val="center"/>
          </w:tcPr>
          <w:p w14:paraId="1C07B0DD">
            <w:pPr>
              <w:autoSpaceDE w:val="0"/>
              <w:autoSpaceDN w:val="0"/>
              <w:adjustRightInd w:val="0"/>
              <w:spacing w:line="360" w:lineRule="exact"/>
              <w:rPr>
                <w:highlight w:val="none"/>
                <w:lang w:val="zh-CN"/>
              </w:rPr>
            </w:pPr>
            <w:r>
              <w:rPr>
                <w:rFonts w:hint="eastAsia"/>
                <w:highlight w:val="none"/>
                <w:lang w:val="zh-CN"/>
              </w:rPr>
              <w:t>（1）“电子加密投标文件”：在线上传递交，一份。</w:t>
            </w:r>
          </w:p>
          <w:p w14:paraId="45D088E3">
            <w:pPr>
              <w:autoSpaceDE w:val="0"/>
              <w:autoSpaceDN w:val="0"/>
              <w:adjustRightInd w:val="0"/>
              <w:spacing w:line="360" w:lineRule="exact"/>
              <w:rPr>
                <w:rFonts w:ascii="宋体" w:hAnsi="宋体" w:eastAsia="宋体" w:cs="宋体"/>
                <w:sz w:val="22"/>
                <w:szCs w:val="22"/>
                <w:highlight w:val="none"/>
              </w:rPr>
            </w:pPr>
            <w:r>
              <w:rPr>
                <w:rFonts w:hint="eastAsia"/>
                <w:highlight w:val="none"/>
                <w:lang w:val="zh-CN"/>
              </w:rPr>
              <w:t>（2）“备份投标文件”：允许通过邮件形式递交一份。</w:t>
            </w:r>
          </w:p>
        </w:tc>
      </w:tr>
      <w:tr w14:paraId="708E4324">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FFAD8EA">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noWrap/>
            <w:vAlign w:val="center"/>
          </w:tcPr>
          <w:p w14:paraId="1412A697">
            <w:pPr>
              <w:autoSpaceDE w:val="0"/>
              <w:autoSpaceDN w:val="0"/>
              <w:adjustRightInd w:val="0"/>
              <w:spacing w:line="360" w:lineRule="exact"/>
              <w:jc w:val="center"/>
              <w:rPr>
                <w:rFonts w:ascii="宋体" w:hAnsi="宋体" w:eastAsia="宋体" w:cs="宋体"/>
                <w:sz w:val="22"/>
                <w:szCs w:val="22"/>
                <w:highlight w:val="none"/>
                <w:lang w:val="zh-CN"/>
              </w:rPr>
            </w:pPr>
            <w:r>
              <w:rPr>
                <w:rFonts w:hint="eastAsia" w:ascii="宋体" w:hAnsi="宋体" w:eastAsia="宋体" w:cs="宋体"/>
                <w:kern w:val="0"/>
                <w:sz w:val="22"/>
                <w:szCs w:val="22"/>
                <w:highlight w:val="none"/>
                <w:lang w:val="zh-CN"/>
              </w:rPr>
              <w:t>投标文件的上传和递交</w:t>
            </w:r>
          </w:p>
        </w:tc>
        <w:tc>
          <w:tcPr>
            <w:tcW w:w="7353" w:type="dxa"/>
            <w:tcBorders>
              <w:top w:val="single" w:color="auto" w:sz="4" w:space="0"/>
              <w:left w:val="single" w:color="auto" w:sz="4" w:space="0"/>
              <w:bottom w:val="single" w:color="auto" w:sz="4" w:space="0"/>
              <w:right w:val="single" w:color="auto" w:sz="4" w:space="0"/>
            </w:tcBorders>
            <w:noWrap/>
            <w:vAlign w:val="center"/>
          </w:tcPr>
          <w:p w14:paraId="6DD45D84">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（1）“电子加密投标文件”的上传、递交：</w:t>
            </w:r>
          </w:p>
          <w:p w14:paraId="5E8F0E65">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a.投标人应在投标文件递交截止时间前将“电子加密投标文件”成功上传递交至“政采云平台”，否则投标无效。</w:t>
            </w:r>
          </w:p>
          <w:p w14:paraId="36DCE4F4">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b.“电子加密投标文件”成功上传递交后，供应商可自行打印投标文件接收回执。</w:t>
            </w:r>
          </w:p>
          <w:p w14:paraId="71868127">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（2）“备份投标文件”的递交：</w:t>
            </w:r>
          </w:p>
          <w:p w14:paraId="452A6979">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en-US" w:eastAsia="zh-CN"/>
              </w:rPr>
              <w:t>a.</w:t>
            </w:r>
            <w:r>
              <w:rPr>
                <w:rFonts w:hint="eastAsia" w:ascii="宋体" w:hAnsi="宋体" w:eastAsia="宋体" w:cs="宋体"/>
                <w:kern w:val="0"/>
                <w:sz w:val="22"/>
                <w:szCs w:val="22"/>
                <w:highlight w:val="none"/>
                <w:lang w:val="zh-CN"/>
              </w:rPr>
              <w:t>备份投标文件的递交：投标供应商在系统里上传好加密标书后，可以（建议）在投标截止时间前将系统生成的备份标书（后缀格式为.bfbs）以电子邮件形式传送至采购代理机构邮箱</w:t>
            </w:r>
            <w:r>
              <w:rPr>
                <w:rFonts w:hint="eastAsia" w:ascii="宋体" w:hAnsi="宋体" w:eastAsia="宋体" w:cs="宋体"/>
                <w:kern w:val="0"/>
                <w:sz w:val="22"/>
                <w:szCs w:val="22"/>
                <w:highlight w:val="none"/>
                <w:lang w:val="en-US" w:eastAsia="zh-CN"/>
              </w:rPr>
              <w:t>249234765@qq.com</w:t>
            </w:r>
            <w:r>
              <w:rPr>
                <w:rFonts w:hint="eastAsia" w:ascii="宋体" w:hAnsi="宋体" w:eastAsia="宋体" w:cs="宋体"/>
                <w:kern w:val="0"/>
                <w:sz w:val="22"/>
                <w:szCs w:val="22"/>
                <w:highlight w:val="none"/>
                <w:lang w:val="zh-CN"/>
              </w:rPr>
              <w:t>，并与代理机构做好确认工作，传送的备份标书需打包压缩并加密，加密密码由投标供应商自行保管。</w:t>
            </w:r>
          </w:p>
          <w:p w14:paraId="7C0EC1FF">
            <w:pPr>
              <w:autoSpaceDE w:val="0"/>
              <w:autoSpaceDN w:val="0"/>
              <w:adjustRightInd w:val="0"/>
              <w:spacing w:line="360" w:lineRule="exact"/>
              <w:jc w:val="lef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en-US" w:eastAsia="zh-CN"/>
              </w:rPr>
              <w:t>b.</w:t>
            </w:r>
            <w:r>
              <w:rPr>
                <w:rFonts w:hint="eastAsia" w:ascii="宋体" w:hAnsi="宋体" w:eastAsia="宋体" w:cs="宋体"/>
                <w:kern w:val="0"/>
                <w:sz w:val="22"/>
                <w:szCs w:val="22"/>
                <w:highlight w:val="none"/>
                <w:lang w:val="zh-CN"/>
              </w:rPr>
              <w:t>通过“政府采购云平台”上传递交的“电子投标文件”无法按时解密，投标供应商递交了备份投标文件的，以备份投标文件为依据，否则视为投标文件撤回。通过“政府采购云平台”上传递交的“电子投标文件”已按时解密的，“备份投标文件”自动失效。投标供应商仅递交备份投标文件的，投标无效。</w:t>
            </w:r>
          </w:p>
          <w:p w14:paraId="28B78E47">
            <w:pPr>
              <w:autoSpaceDE w:val="0"/>
              <w:autoSpaceDN w:val="0"/>
              <w:adjustRightInd w:val="0"/>
              <w:spacing w:line="360" w:lineRule="exact"/>
              <w:jc w:val="left"/>
              <w:rPr>
                <w:rFonts w:ascii="宋体" w:hAnsi="宋体" w:eastAsia="宋体" w:cs="宋体"/>
                <w:kern w:val="0"/>
                <w:szCs w:val="21"/>
                <w:highlight w:val="none"/>
                <w:shd w:val="clear" w:color="auto" w:fill="FFFFFF"/>
                <w:lang w:val="zh-CN"/>
              </w:rPr>
            </w:pPr>
            <w:r>
              <w:rPr>
                <w:rFonts w:hint="eastAsia" w:ascii="宋体" w:hAnsi="宋体" w:eastAsia="宋体" w:cs="宋体"/>
                <w:kern w:val="0"/>
                <w:sz w:val="22"/>
                <w:szCs w:val="22"/>
                <w:highlight w:val="none"/>
                <w:lang w:val="en-US" w:eastAsia="zh-CN"/>
              </w:rPr>
              <w:t>c.</w:t>
            </w:r>
            <w:r>
              <w:rPr>
                <w:rFonts w:hint="eastAsia" w:ascii="宋体" w:hAnsi="宋体" w:eastAsia="宋体" w:cs="宋体"/>
                <w:kern w:val="0"/>
                <w:sz w:val="22"/>
                <w:szCs w:val="22"/>
                <w:highlight w:val="none"/>
                <w:lang w:val="zh-CN"/>
              </w:rPr>
              <w:t>投标供应商需保证上传的电子投标文件与提交的备份投标文件必须同时生成且内容完全一致。</w:t>
            </w:r>
          </w:p>
        </w:tc>
      </w:tr>
      <w:tr w14:paraId="6D174D26">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09E70C6">
            <w:pPr>
              <w:autoSpaceDE w:val="0"/>
              <w:autoSpaceDN w:val="0"/>
              <w:adjustRightInd w:val="0"/>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9</w:t>
            </w:r>
          </w:p>
        </w:tc>
        <w:tc>
          <w:tcPr>
            <w:tcW w:w="1805" w:type="dxa"/>
            <w:tcBorders>
              <w:top w:val="single" w:color="auto" w:sz="4" w:space="0"/>
              <w:left w:val="single" w:color="auto" w:sz="4" w:space="0"/>
              <w:bottom w:val="single" w:color="auto" w:sz="4" w:space="0"/>
              <w:right w:val="single" w:color="auto" w:sz="4" w:space="0"/>
            </w:tcBorders>
            <w:noWrap/>
            <w:vAlign w:val="center"/>
          </w:tcPr>
          <w:p w14:paraId="41B1BF70">
            <w:pPr>
              <w:spacing w:line="312" w:lineRule="auto"/>
              <w:jc w:val="center"/>
              <w:rPr>
                <w:rFonts w:ascii="宋体" w:hAnsi="宋体" w:eastAsia="宋体" w:cs="宋体"/>
                <w:kern w:val="0"/>
                <w:szCs w:val="21"/>
                <w:highlight w:val="none"/>
                <w:shd w:val="clear" w:color="auto" w:fill="FFFFFF"/>
                <w:lang w:val="zh-CN"/>
              </w:rPr>
            </w:pPr>
            <w:r>
              <w:rPr>
                <w:rFonts w:hint="eastAsia" w:ascii="宋体" w:hAnsi="宋体" w:eastAsia="宋体" w:cs="宋体"/>
                <w:kern w:val="0"/>
                <w:szCs w:val="21"/>
                <w:highlight w:val="none"/>
                <w:shd w:val="clear" w:color="auto" w:fill="FFFFFF"/>
                <w:lang w:val="zh-CN"/>
              </w:rPr>
              <w:t>开标时间</w:t>
            </w:r>
          </w:p>
          <w:p w14:paraId="170F6A45">
            <w:pPr>
              <w:spacing w:line="312" w:lineRule="auto"/>
              <w:jc w:val="center"/>
              <w:rPr>
                <w:rFonts w:ascii="宋体" w:hAnsi="宋体" w:eastAsia="宋体" w:cs="宋体"/>
                <w:sz w:val="22"/>
                <w:szCs w:val="22"/>
                <w:highlight w:val="none"/>
              </w:rPr>
            </w:pPr>
            <w:r>
              <w:rPr>
                <w:rFonts w:hint="eastAsia" w:ascii="宋体" w:hAnsi="宋体" w:eastAsia="宋体" w:cs="宋体"/>
                <w:kern w:val="0"/>
                <w:szCs w:val="21"/>
                <w:highlight w:val="none"/>
                <w:shd w:val="clear" w:color="auto" w:fill="FFFFFF"/>
                <w:lang w:val="zh-CN"/>
              </w:rPr>
              <w:t>和地点</w:t>
            </w:r>
          </w:p>
        </w:tc>
        <w:tc>
          <w:tcPr>
            <w:tcW w:w="7353" w:type="dxa"/>
            <w:tcBorders>
              <w:top w:val="single" w:color="auto" w:sz="4" w:space="0"/>
              <w:left w:val="single" w:color="auto" w:sz="4" w:space="0"/>
              <w:bottom w:val="single" w:color="auto" w:sz="4" w:space="0"/>
              <w:right w:val="single" w:color="auto" w:sz="4" w:space="0"/>
            </w:tcBorders>
            <w:noWrap/>
            <w:vAlign w:val="center"/>
          </w:tcPr>
          <w:p w14:paraId="7A5645DF">
            <w:pPr>
              <w:wordWrap w:val="0"/>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详见采购公告</w:t>
            </w:r>
          </w:p>
          <w:p w14:paraId="3EF0EBAD">
            <w:pPr>
              <w:wordWrap w:val="0"/>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注：本项目为电子招投标，相关的招投标流程（采购文件下载、电子投标文件上传、评审等程序）均在浙江政府采购网“政府采购云平台”进行，投标供应商不必前往现场进行投标活动等事宜。</w:t>
            </w:r>
          </w:p>
        </w:tc>
      </w:tr>
      <w:tr w14:paraId="2406B2EC">
        <w:tblPrEx>
          <w:tblCellMar>
            <w:top w:w="0" w:type="dxa"/>
            <w:left w:w="108" w:type="dxa"/>
            <w:bottom w:w="0" w:type="dxa"/>
            <w:right w:w="108" w:type="dxa"/>
          </w:tblCellMar>
        </w:tblPrEx>
        <w:trPr>
          <w:trHeight w:val="321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425C6E4">
            <w:pPr>
              <w:autoSpaceDE w:val="0"/>
              <w:autoSpaceDN w:val="0"/>
              <w:adjustRightInd w:val="0"/>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20</w:t>
            </w:r>
          </w:p>
        </w:tc>
        <w:tc>
          <w:tcPr>
            <w:tcW w:w="1805" w:type="dxa"/>
            <w:tcBorders>
              <w:top w:val="single" w:color="auto" w:sz="4" w:space="0"/>
              <w:left w:val="single" w:color="auto" w:sz="4" w:space="0"/>
              <w:bottom w:val="single" w:color="auto" w:sz="4" w:space="0"/>
              <w:right w:val="single" w:color="auto" w:sz="4" w:space="0"/>
            </w:tcBorders>
            <w:noWrap/>
            <w:vAlign w:val="center"/>
          </w:tcPr>
          <w:p w14:paraId="5BAD099D">
            <w:pPr>
              <w:autoSpaceDE w:val="0"/>
              <w:autoSpaceDN w:val="0"/>
              <w:adjustRightInd w:val="0"/>
              <w:spacing w:line="360" w:lineRule="exact"/>
              <w:jc w:val="center"/>
              <w:rPr>
                <w:rFonts w:ascii="宋体" w:hAnsi="宋体" w:eastAsia="宋体" w:cs="宋体"/>
                <w:sz w:val="22"/>
                <w:szCs w:val="22"/>
                <w:highlight w:val="none"/>
                <w:lang w:val="zh-CN"/>
              </w:rPr>
            </w:pPr>
            <w:r>
              <w:rPr>
                <w:rFonts w:hint="eastAsia" w:ascii="宋体" w:hAnsi="宋体" w:cs="宋体"/>
                <w:kern w:val="0"/>
                <w:sz w:val="22"/>
                <w:szCs w:val="22"/>
                <w:highlight w:val="none"/>
                <w:lang w:val="zh-CN"/>
              </w:rPr>
              <w:t>电子加密投标文件的解密和异常情况处理</w:t>
            </w:r>
          </w:p>
        </w:tc>
        <w:tc>
          <w:tcPr>
            <w:tcW w:w="7353" w:type="dxa"/>
            <w:tcBorders>
              <w:top w:val="single" w:color="auto" w:sz="4" w:space="0"/>
              <w:left w:val="single" w:color="auto" w:sz="4" w:space="0"/>
              <w:bottom w:val="single" w:color="auto" w:sz="4" w:space="0"/>
              <w:right w:val="single" w:color="auto" w:sz="4" w:space="0"/>
            </w:tcBorders>
            <w:noWrap/>
            <w:vAlign w:val="center"/>
          </w:tcPr>
          <w:p w14:paraId="4C6AE1E0">
            <w:pPr>
              <w:autoSpaceDE w:val="0"/>
              <w:autoSpaceDN w:val="0"/>
              <w:adjustRightInd w:val="0"/>
              <w:spacing w:line="36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sz w:val="22"/>
                <w:highlight w:val="none"/>
              </w:rPr>
              <w:t>解密CA必须是上传并制作电子投标文件CA锁。</w:t>
            </w:r>
          </w:p>
          <w:p w14:paraId="653CED81">
            <w:pPr>
              <w:autoSpaceDE w:val="0"/>
              <w:autoSpaceDN w:val="0"/>
              <w:adjustRightInd w:val="0"/>
              <w:spacing w:line="36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443A0628">
            <w:pPr>
              <w:autoSpaceDE w:val="0"/>
              <w:autoSpaceDN w:val="0"/>
              <w:adjustRightInd w:val="0"/>
              <w:spacing w:line="360" w:lineRule="exact"/>
              <w:jc w:val="left"/>
              <w:rPr>
                <w:rFonts w:ascii="宋体" w:hAnsi="宋体" w:eastAsia="宋体" w:cs="宋体"/>
                <w:sz w:val="22"/>
                <w:szCs w:val="22"/>
                <w:highlight w:val="none"/>
                <w:lang w:val="zh-CN"/>
              </w:rPr>
            </w:pPr>
            <w:r>
              <w:rPr>
                <w:rFonts w:hint="eastAsia" w:ascii="宋体" w:hAnsi="宋体" w:cs="宋体"/>
                <w:kern w:val="0"/>
                <w:sz w:val="22"/>
                <w:szCs w:val="22"/>
                <w:highlight w:val="none"/>
                <w:lang w:val="zh-CN"/>
              </w:rPr>
              <w:t>（3）投标文件递交截止时间前，投标人仅递交了“备份投标文件”而未将电子加密投标文件上传至“政采云平台”的，投标无效。</w:t>
            </w:r>
          </w:p>
        </w:tc>
      </w:tr>
      <w:tr w14:paraId="7378E41E">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E27B794">
            <w:pPr>
              <w:autoSpaceDE w:val="0"/>
              <w:autoSpaceDN w:val="0"/>
              <w:adjustRightInd w:val="0"/>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21</w:t>
            </w:r>
          </w:p>
        </w:tc>
        <w:tc>
          <w:tcPr>
            <w:tcW w:w="1805" w:type="dxa"/>
            <w:tcBorders>
              <w:top w:val="single" w:color="auto" w:sz="4" w:space="0"/>
              <w:left w:val="single" w:color="auto" w:sz="4" w:space="0"/>
              <w:bottom w:val="single" w:color="auto" w:sz="4" w:space="0"/>
              <w:right w:val="single" w:color="auto" w:sz="4" w:space="0"/>
            </w:tcBorders>
            <w:noWrap/>
            <w:vAlign w:val="center"/>
          </w:tcPr>
          <w:p w14:paraId="53A1FF55">
            <w:pPr>
              <w:autoSpaceDE w:val="0"/>
              <w:autoSpaceDN w:val="0"/>
              <w:adjustRightInd w:val="0"/>
              <w:spacing w:line="312"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shd w:val="clear" w:color="auto" w:fill="FFFFFF"/>
                <w:lang w:val="zh-CN"/>
              </w:rPr>
              <w:t>政采云系统默认投标供应商自动放弃的情形</w:t>
            </w:r>
          </w:p>
        </w:tc>
        <w:tc>
          <w:tcPr>
            <w:tcW w:w="7353" w:type="dxa"/>
            <w:tcBorders>
              <w:top w:val="single" w:color="auto" w:sz="4" w:space="0"/>
              <w:left w:val="single" w:color="auto" w:sz="4" w:space="0"/>
              <w:bottom w:val="single" w:color="auto" w:sz="4" w:space="0"/>
              <w:right w:val="single" w:color="auto" w:sz="4" w:space="0"/>
            </w:tcBorders>
            <w:noWrap/>
            <w:vAlign w:val="center"/>
          </w:tcPr>
          <w:p w14:paraId="44A99DD8">
            <w:pPr>
              <w:numPr>
                <w:ilvl w:val="0"/>
                <w:numId w:val="5"/>
              </w:numPr>
              <w:autoSpaceDE w:val="0"/>
              <w:autoSpaceDN w:val="0"/>
              <w:adjustRightInd w:val="0"/>
              <w:spacing w:line="312" w:lineRule="auto"/>
              <w:ind w:firstLine="0"/>
              <w:rPr>
                <w:rFonts w:ascii="宋体" w:hAnsi="宋体" w:eastAsia="宋体" w:cs="宋体"/>
                <w:kern w:val="0"/>
                <w:szCs w:val="21"/>
                <w:highlight w:val="none"/>
                <w:shd w:val="clear" w:color="auto" w:fill="FFFFFF"/>
                <w:lang w:val="zh-CN"/>
              </w:rPr>
            </w:pPr>
            <w:r>
              <w:rPr>
                <w:rFonts w:hint="eastAsia" w:ascii="宋体" w:hAnsi="宋体" w:eastAsia="宋体" w:cs="宋体"/>
                <w:kern w:val="0"/>
                <w:szCs w:val="21"/>
                <w:highlight w:val="none"/>
                <w:shd w:val="clear" w:color="auto" w:fill="FFFFFF"/>
                <w:lang w:val="zh-CN"/>
              </w:rPr>
              <w:t>投标供应商未按规定上传电子投标文件的；</w:t>
            </w:r>
          </w:p>
          <w:p w14:paraId="776C3D99">
            <w:pPr>
              <w:numPr>
                <w:ilvl w:val="0"/>
                <w:numId w:val="5"/>
              </w:numPr>
              <w:autoSpaceDE w:val="0"/>
              <w:autoSpaceDN w:val="0"/>
              <w:adjustRightInd w:val="0"/>
              <w:spacing w:line="312" w:lineRule="auto"/>
              <w:ind w:firstLine="0"/>
              <w:rPr>
                <w:rFonts w:ascii="宋体" w:hAnsi="宋体" w:eastAsia="宋体" w:cs="宋体"/>
                <w:kern w:val="0"/>
                <w:sz w:val="22"/>
                <w:szCs w:val="22"/>
                <w:highlight w:val="none"/>
              </w:rPr>
            </w:pPr>
            <w:r>
              <w:rPr>
                <w:rFonts w:hint="eastAsia" w:ascii="宋体" w:hAnsi="宋体" w:eastAsia="宋体" w:cs="宋体"/>
                <w:kern w:val="0"/>
                <w:szCs w:val="21"/>
                <w:highlight w:val="none"/>
                <w:shd w:val="clear" w:color="auto" w:fill="FFFFFF"/>
                <w:lang w:val="zh-CN"/>
              </w:rPr>
              <w:t>在解密期限内投标供应商电子投标文件解密失败，且经异常处理后政采云电子交易系统仍未能解决的。</w:t>
            </w:r>
          </w:p>
        </w:tc>
      </w:tr>
      <w:tr w14:paraId="48D1D613">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C7475D6">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2</w:t>
            </w:r>
          </w:p>
        </w:tc>
        <w:tc>
          <w:tcPr>
            <w:tcW w:w="1805" w:type="dxa"/>
            <w:tcBorders>
              <w:top w:val="single" w:color="auto" w:sz="4" w:space="0"/>
              <w:left w:val="single" w:color="auto" w:sz="4" w:space="0"/>
              <w:bottom w:val="single" w:color="auto" w:sz="4" w:space="0"/>
              <w:right w:val="single" w:color="auto" w:sz="4" w:space="0"/>
            </w:tcBorders>
            <w:noWrap/>
            <w:vAlign w:val="center"/>
          </w:tcPr>
          <w:p w14:paraId="66288D5C">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评标委员会</w:t>
            </w:r>
          </w:p>
          <w:p w14:paraId="70796BDC">
            <w:pPr>
              <w:spacing w:line="360" w:lineRule="exact"/>
              <w:jc w:val="center"/>
              <w:rPr>
                <w:rFonts w:ascii="宋体" w:hAnsi="宋体" w:eastAsia="宋体" w:cs="宋体"/>
                <w:kern w:val="0"/>
                <w:sz w:val="22"/>
                <w:szCs w:val="22"/>
                <w:highlight w:val="none"/>
              </w:rPr>
            </w:pPr>
            <w:r>
              <w:rPr>
                <w:rFonts w:hint="eastAsia" w:ascii="宋体" w:hAnsi="宋体" w:cs="宋体"/>
                <w:kern w:val="0"/>
                <w:sz w:val="22"/>
                <w:szCs w:val="22"/>
                <w:highlight w:val="none"/>
              </w:rPr>
              <w:t>的组建</w:t>
            </w:r>
          </w:p>
        </w:tc>
        <w:tc>
          <w:tcPr>
            <w:tcW w:w="7353" w:type="dxa"/>
            <w:tcBorders>
              <w:top w:val="single" w:color="auto" w:sz="4" w:space="0"/>
              <w:left w:val="single" w:color="auto" w:sz="4" w:space="0"/>
              <w:bottom w:val="single" w:color="auto" w:sz="4" w:space="0"/>
              <w:right w:val="single" w:color="auto" w:sz="4" w:space="0"/>
            </w:tcBorders>
            <w:noWrap/>
            <w:vAlign w:val="center"/>
          </w:tcPr>
          <w:p w14:paraId="51C9DCE8">
            <w:pPr>
              <w:spacing w:line="360" w:lineRule="exact"/>
              <w:rPr>
                <w:rFonts w:ascii="宋体" w:hAnsi="宋体" w:eastAsia="宋体" w:cs="宋体"/>
                <w:kern w:val="0"/>
                <w:sz w:val="22"/>
                <w:szCs w:val="22"/>
                <w:highlight w:val="none"/>
              </w:rPr>
            </w:pPr>
            <w:r>
              <w:rPr>
                <w:rFonts w:hint="eastAsia" w:ascii="宋体" w:hAnsi="宋体" w:cs="宋体"/>
                <w:bCs/>
                <w:sz w:val="22"/>
                <w:szCs w:val="22"/>
                <w:highlight w:val="none"/>
              </w:rPr>
              <w:t>采购人按照有关法律、法规的规定组建评标委员会，评标委员会成员由采购人代表和有关技术、经济等方面的专家组成，成员人数为</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人（含）以上单数，除采购人代表外的专家将在评标专家库中随机抽取产生。</w:t>
            </w:r>
          </w:p>
        </w:tc>
      </w:tr>
      <w:tr w14:paraId="1DA76662">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5D3F912">
            <w:pPr>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23</w:t>
            </w:r>
          </w:p>
        </w:tc>
        <w:tc>
          <w:tcPr>
            <w:tcW w:w="1805" w:type="dxa"/>
            <w:tcBorders>
              <w:top w:val="single" w:color="auto" w:sz="4" w:space="0"/>
              <w:left w:val="single" w:color="auto" w:sz="4" w:space="0"/>
              <w:bottom w:val="single" w:color="auto" w:sz="4" w:space="0"/>
              <w:right w:val="single" w:color="auto" w:sz="4" w:space="0"/>
            </w:tcBorders>
            <w:noWrap/>
            <w:vAlign w:val="center"/>
          </w:tcPr>
          <w:p w14:paraId="62B711CB">
            <w:pPr>
              <w:spacing w:line="360" w:lineRule="exact"/>
              <w:jc w:val="center"/>
              <w:rPr>
                <w:rFonts w:hint="eastAsia" w:ascii="宋体" w:hAnsi="宋体" w:cs="宋体" w:eastAsiaTheme="minorEastAsia"/>
                <w:kern w:val="0"/>
                <w:sz w:val="22"/>
                <w:szCs w:val="22"/>
                <w:highlight w:val="none"/>
                <w:lang w:val="zh-CN" w:eastAsia="zh-CN" w:bidi="ar-SA"/>
              </w:rPr>
            </w:pPr>
            <w:r>
              <w:rPr>
                <w:rFonts w:hint="eastAsia" w:ascii="宋体" w:hAnsi="宋体" w:cs="宋体"/>
                <w:kern w:val="0"/>
                <w:sz w:val="22"/>
                <w:szCs w:val="22"/>
                <w:highlight w:val="none"/>
              </w:rPr>
              <w:t>履约担保</w:t>
            </w:r>
          </w:p>
        </w:tc>
        <w:tc>
          <w:tcPr>
            <w:tcW w:w="7353" w:type="dxa"/>
            <w:tcBorders>
              <w:top w:val="single" w:color="auto" w:sz="4" w:space="0"/>
              <w:left w:val="single" w:color="auto" w:sz="4" w:space="0"/>
              <w:bottom w:val="single" w:color="auto" w:sz="4" w:space="0"/>
              <w:right w:val="single" w:color="auto" w:sz="4" w:space="0"/>
            </w:tcBorders>
            <w:noWrap/>
            <w:vAlign w:val="center"/>
          </w:tcPr>
          <w:p w14:paraId="2FD0BDFD">
            <w:pPr>
              <w:spacing w:line="360" w:lineRule="exact"/>
              <w:rPr>
                <w:rFonts w:hint="eastAsia" w:ascii="宋体" w:hAnsi="宋体" w:cs="宋体" w:eastAsiaTheme="minorEastAsia"/>
                <w:kern w:val="0"/>
                <w:sz w:val="22"/>
                <w:szCs w:val="22"/>
                <w:highlight w:val="none"/>
                <w:lang w:val="en-US" w:eastAsia="zh-CN" w:bidi="ar-SA"/>
              </w:rPr>
            </w:pPr>
            <w:r>
              <w:rPr>
                <w:rFonts w:hint="eastAsia" w:ascii="宋体" w:hAnsi="宋体" w:eastAsia="宋体" w:cs="宋体"/>
                <w:kern w:val="0"/>
                <w:sz w:val="22"/>
                <w:szCs w:val="22"/>
                <w:highlight w:val="none"/>
              </w:rPr>
              <w:t>根据</w:t>
            </w:r>
            <w:r>
              <w:rPr>
                <w:rFonts w:hint="eastAsia" w:ascii="宋体" w:hAnsi="宋体" w:eastAsia="宋体" w:cs="宋体"/>
                <w:kern w:val="0"/>
                <w:sz w:val="22"/>
                <w:szCs w:val="22"/>
                <w:highlight w:val="none"/>
                <w:lang w:val="en-US" w:eastAsia="zh-CN"/>
              </w:rPr>
              <w:t>温州市瓯海区人民政府办公室关于印发全面免收政府采购履约保证金的通知</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温瓯政办发</w:t>
            </w:r>
            <w:r>
              <w:rPr>
                <w:rFonts w:hint="eastAsia" w:ascii="宋体" w:hAnsi="宋体" w:eastAsia="宋体" w:cs="宋体"/>
                <w:kern w:val="0"/>
                <w:sz w:val="22"/>
                <w:szCs w:val="22"/>
                <w:highlight w:val="none"/>
              </w:rPr>
              <w:t>（20</w:t>
            </w:r>
            <w:r>
              <w:rPr>
                <w:rFonts w:hint="eastAsia" w:ascii="宋体" w:hAnsi="宋体" w:eastAsia="宋体" w:cs="宋体"/>
                <w:kern w:val="0"/>
                <w:sz w:val="22"/>
                <w:szCs w:val="22"/>
                <w:highlight w:val="none"/>
                <w:lang w:val="en-US" w:eastAsia="zh-CN"/>
              </w:rPr>
              <w:t>23</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49</w:t>
            </w:r>
            <w:r>
              <w:rPr>
                <w:rFonts w:hint="eastAsia" w:ascii="宋体" w:hAnsi="宋体" w:eastAsia="宋体" w:cs="宋体"/>
                <w:kern w:val="0"/>
                <w:sz w:val="22"/>
                <w:szCs w:val="22"/>
                <w:highlight w:val="none"/>
              </w:rPr>
              <w:t>号文件】规定，本项目</w:t>
            </w:r>
            <w:r>
              <w:rPr>
                <w:rFonts w:hint="eastAsia" w:ascii="宋体" w:hAnsi="宋体" w:eastAsia="宋体" w:cs="宋体"/>
                <w:kern w:val="0"/>
                <w:sz w:val="22"/>
                <w:szCs w:val="22"/>
                <w:highlight w:val="none"/>
                <w:lang w:val="en-US" w:eastAsia="zh-CN"/>
              </w:rPr>
              <w:t>免收履约保证金</w:t>
            </w:r>
            <w:r>
              <w:rPr>
                <w:rFonts w:hint="eastAsia" w:ascii="宋体" w:hAnsi="宋体" w:eastAsia="宋体" w:cs="宋体"/>
                <w:kern w:val="0"/>
                <w:sz w:val="22"/>
                <w:szCs w:val="22"/>
                <w:highlight w:val="none"/>
              </w:rPr>
              <w:t>。</w:t>
            </w:r>
          </w:p>
        </w:tc>
      </w:tr>
      <w:tr w14:paraId="7EB2A2DA">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FD5F60">
            <w:pPr>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noWrap/>
            <w:vAlign w:val="center"/>
          </w:tcPr>
          <w:p w14:paraId="214FA7A0">
            <w:pPr>
              <w:wordWrap w:val="0"/>
              <w:spacing w:line="360" w:lineRule="exact"/>
              <w:jc w:val="center"/>
              <w:rPr>
                <w:rFonts w:ascii="宋体" w:hAnsi="宋体" w:eastAsia="宋体" w:cs="宋体"/>
                <w:kern w:val="0"/>
                <w:sz w:val="22"/>
                <w:szCs w:val="22"/>
                <w:highlight w:val="none"/>
              </w:rPr>
            </w:pPr>
            <w:r>
              <w:rPr>
                <w:rFonts w:hint="eastAsia" w:ascii="宋体" w:hAnsi="宋体" w:eastAsia="宋体" w:cs="宋体"/>
                <w:kern w:val="0"/>
                <w:szCs w:val="21"/>
                <w:highlight w:val="none"/>
                <w:shd w:val="clear" w:color="auto" w:fill="FFFFFF"/>
              </w:rPr>
              <w:t>询标澄清</w:t>
            </w:r>
          </w:p>
        </w:tc>
        <w:tc>
          <w:tcPr>
            <w:tcW w:w="7353" w:type="dxa"/>
            <w:tcBorders>
              <w:top w:val="single" w:color="auto" w:sz="4" w:space="0"/>
              <w:left w:val="single" w:color="auto" w:sz="4" w:space="0"/>
              <w:bottom w:val="single" w:color="auto" w:sz="4" w:space="0"/>
              <w:right w:val="single" w:color="auto" w:sz="4" w:space="0"/>
            </w:tcBorders>
            <w:noWrap/>
            <w:vAlign w:val="center"/>
          </w:tcPr>
          <w:p w14:paraId="46AD659E">
            <w:pPr>
              <w:wordWrap w:val="0"/>
              <w:spacing w:line="360" w:lineRule="exact"/>
              <w:rPr>
                <w:rFonts w:ascii="宋体" w:hAnsi="宋体" w:eastAsia="宋体" w:cs="宋体"/>
                <w:kern w:val="0"/>
                <w:sz w:val="22"/>
                <w:szCs w:val="22"/>
                <w:highlight w:val="none"/>
              </w:rPr>
            </w:pPr>
            <w:r>
              <w:rPr>
                <w:rFonts w:hint="eastAsia" w:ascii="宋体" w:hAnsi="宋体" w:eastAsia="宋体" w:cs="宋体"/>
                <w:kern w:val="0"/>
                <w:sz w:val="22"/>
                <w:szCs w:val="22"/>
                <w:highlight w:val="none"/>
              </w:rPr>
              <w:t>1、在采购过程中，如评审小组对投标供应商递交的电子投标文件存有疑问要求投标供应商进行澄清的，将采用在政采云系统上向投标供应商发起询标函的方式进行。投标供应商须在“规定时间”内登录政采云系统根据标项回复询标函，具体操作流程详见《政府采购项目电子交易管理操作指南-投标供应商》（投标供应商自行去政采云系统上进行下载）。</w:t>
            </w:r>
          </w:p>
          <w:p w14:paraId="4B1F82C6">
            <w:pPr>
              <w:wordWrap w:val="0"/>
              <w:spacing w:line="360" w:lineRule="exact"/>
              <w:rPr>
                <w:rFonts w:ascii="宋体" w:hAnsi="宋体" w:eastAsia="宋体" w:cs="宋体"/>
                <w:kern w:val="0"/>
                <w:sz w:val="22"/>
                <w:szCs w:val="22"/>
                <w:highlight w:val="none"/>
              </w:rPr>
            </w:pPr>
            <w:r>
              <w:rPr>
                <w:rFonts w:hint="eastAsia" w:ascii="宋体" w:hAnsi="宋体" w:eastAsia="宋体" w:cs="宋体"/>
                <w:kern w:val="0"/>
                <w:sz w:val="22"/>
                <w:szCs w:val="22"/>
                <w:highlight w:val="none"/>
              </w:rPr>
              <w:t>2、评审过程中，建议各投标供应商代表应在电脑前及时在线关注评审动态，若投标供应商在询标澄清时，由于CA等原因无法进行线上操作时，应在规定时限内由授权代表将线下材料通过其在投标文件中预留的邮箱传送至代理机构邮箱</w:t>
            </w:r>
            <w:r>
              <w:rPr>
                <w:rFonts w:hint="eastAsia" w:ascii="宋体" w:hAnsi="宋体" w:eastAsia="宋体" w:cs="宋体"/>
                <w:b/>
                <w:bCs/>
                <w:sz w:val="22"/>
                <w:szCs w:val="22"/>
                <w:highlight w:val="none"/>
                <w:lang w:eastAsia="zh-CN"/>
              </w:rPr>
              <w:t>249234765@qq.com</w:t>
            </w:r>
            <w:r>
              <w:rPr>
                <w:rFonts w:hint="eastAsia" w:ascii="宋体" w:hAnsi="宋体" w:eastAsia="宋体" w:cs="宋体"/>
                <w:kern w:val="0"/>
                <w:sz w:val="22"/>
                <w:szCs w:val="22"/>
                <w:highlight w:val="none"/>
              </w:rPr>
              <w:t>;因投标供应商自身原因导致其未能在规定时间内完成询标澄清事宜的，由此造成的后果由投标供应商自行承担。</w:t>
            </w:r>
          </w:p>
        </w:tc>
      </w:tr>
      <w:tr w14:paraId="05951FBD">
        <w:tblPrEx>
          <w:tblCellMar>
            <w:top w:w="0" w:type="dxa"/>
            <w:left w:w="108" w:type="dxa"/>
            <w:bottom w:w="0" w:type="dxa"/>
            <w:right w:w="108" w:type="dxa"/>
          </w:tblCellMar>
        </w:tblPrEx>
        <w:trPr>
          <w:trHeight w:val="881" w:hRule="atLeast"/>
          <w:jc w:val="center"/>
        </w:trPr>
        <w:tc>
          <w:tcPr>
            <w:tcW w:w="735" w:type="dxa"/>
            <w:tcBorders>
              <w:top w:val="single" w:color="auto" w:sz="4" w:space="0"/>
              <w:left w:val="single" w:color="auto" w:sz="4" w:space="0"/>
              <w:right w:val="single" w:color="auto" w:sz="4" w:space="0"/>
            </w:tcBorders>
            <w:noWrap/>
            <w:vAlign w:val="center"/>
          </w:tcPr>
          <w:p w14:paraId="0148E732">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5</w:t>
            </w:r>
          </w:p>
        </w:tc>
        <w:tc>
          <w:tcPr>
            <w:tcW w:w="1805" w:type="dxa"/>
            <w:tcBorders>
              <w:top w:val="single" w:color="auto" w:sz="4" w:space="0"/>
              <w:left w:val="single" w:color="auto" w:sz="4" w:space="0"/>
              <w:right w:val="single" w:color="auto" w:sz="4" w:space="0"/>
            </w:tcBorders>
            <w:noWrap/>
            <w:vAlign w:val="center"/>
          </w:tcPr>
          <w:p w14:paraId="02BA3805">
            <w:pPr>
              <w:spacing w:line="312" w:lineRule="auto"/>
              <w:jc w:val="center"/>
              <w:rPr>
                <w:rFonts w:ascii="宋体" w:hAnsi="宋体" w:eastAsia="宋体" w:cs="宋体"/>
                <w:kern w:val="0"/>
                <w:szCs w:val="21"/>
                <w:highlight w:val="none"/>
                <w:shd w:val="clear" w:color="auto" w:fill="FFFFFF"/>
              </w:rPr>
            </w:pPr>
            <w:r>
              <w:rPr>
                <w:rFonts w:hint="eastAsia" w:ascii="宋体" w:hAnsi="宋体" w:eastAsia="宋体" w:cs="宋体"/>
                <w:kern w:val="0"/>
                <w:szCs w:val="21"/>
                <w:highlight w:val="none"/>
                <w:shd w:val="clear" w:color="auto" w:fill="FFFFFF"/>
              </w:rPr>
              <w:t>政府采购</w:t>
            </w:r>
          </w:p>
          <w:p w14:paraId="54D3D784">
            <w:pPr>
              <w:spacing w:line="312" w:lineRule="auto"/>
              <w:jc w:val="center"/>
              <w:rPr>
                <w:rFonts w:ascii="宋体" w:hAnsi="宋体" w:eastAsia="宋体" w:cs="宋体"/>
                <w:kern w:val="0"/>
                <w:sz w:val="22"/>
                <w:szCs w:val="22"/>
                <w:highlight w:val="none"/>
              </w:rPr>
            </w:pPr>
            <w:r>
              <w:rPr>
                <w:rFonts w:hint="eastAsia" w:ascii="宋体" w:hAnsi="宋体" w:eastAsia="宋体" w:cs="宋体"/>
                <w:kern w:val="0"/>
                <w:szCs w:val="21"/>
                <w:highlight w:val="none"/>
                <w:shd w:val="clear" w:color="auto" w:fill="FFFFFF"/>
              </w:rPr>
              <w:t>扶持政策</w:t>
            </w:r>
          </w:p>
        </w:tc>
        <w:tc>
          <w:tcPr>
            <w:tcW w:w="7353" w:type="dxa"/>
            <w:tcBorders>
              <w:top w:val="single" w:color="auto" w:sz="4" w:space="0"/>
              <w:left w:val="single" w:color="auto" w:sz="4" w:space="0"/>
              <w:bottom w:val="single" w:color="auto" w:sz="4" w:space="0"/>
              <w:right w:val="single" w:color="auto" w:sz="4" w:space="0"/>
            </w:tcBorders>
            <w:noWrap/>
            <w:vAlign w:val="center"/>
          </w:tcPr>
          <w:p w14:paraId="71073C86">
            <w:pPr>
              <w:spacing w:line="360" w:lineRule="auto"/>
              <w:rPr>
                <w:rFonts w:ascii="宋体" w:hAnsi="宋体" w:cs="Arial"/>
                <w:highlight w:val="none"/>
              </w:rPr>
            </w:pPr>
            <w:r>
              <w:rPr>
                <w:rFonts w:ascii="宋体" w:hAnsi="宋体" w:cs="Arial"/>
                <w:highlight w:val="none"/>
              </w:rPr>
              <w:t>□ 专门面向中小企业采购项目</w:t>
            </w:r>
          </w:p>
          <w:p w14:paraId="0B1523AA">
            <w:pPr>
              <w:spacing w:line="360" w:lineRule="auto"/>
              <w:rPr>
                <w:rFonts w:ascii="宋体" w:hAnsi="宋体" w:cs="Arial"/>
                <w:highlight w:val="none"/>
              </w:rPr>
            </w:pPr>
            <w:r>
              <w:rPr>
                <w:rFonts w:ascii="宋体" w:hAnsi="宋体" w:cs="Arial"/>
                <w:highlight w:val="none"/>
              </w:rPr>
              <w:fldChar w:fldCharType="begin"/>
            </w:r>
            <w:r>
              <w:rPr>
                <w:rFonts w:ascii="宋体" w:hAnsi="宋体" w:cs="Arial"/>
                <w:highlight w:val="none"/>
              </w:rPr>
              <w:instrText xml:space="preserve"> eq \o\ac(□,</w:instrText>
            </w:r>
            <w:r>
              <w:rPr>
                <w:rFonts w:ascii="宋体" w:hAnsi="宋体" w:cs="Arial"/>
                <w:position w:val="2"/>
                <w:sz w:val="13"/>
                <w:highlight w:val="none"/>
              </w:rPr>
              <w:instrText xml:space="preserve">√</w:instrText>
            </w:r>
            <w:r>
              <w:rPr>
                <w:rFonts w:ascii="宋体" w:hAnsi="宋体" w:cs="Arial"/>
                <w:highlight w:val="none"/>
              </w:rPr>
              <w:instrText xml:space="preserve">)</w:instrText>
            </w:r>
            <w:r>
              <w:rPr>
                <w:rFonts w:ascii="宋体" w:hAnsi="宋体" w:cs="Arial"/>
                <w:highlight w:val="none"/>
              </w:rPr>
              <w:fldChar w:fldCharType="end"/>
            </w:r>
            <w:r>
              <w:rPr>
                <w:rFonts w:ascii="宋体" w:hAnsi="宋体" w:cs="Arial"/>
                <w:highlight w:val="none"/>
              </w:rPr>
              <w:t xml:space="preserve"> 非专门面向中小企业采购项目。对小型和微型企业服务报价给予</w:t>
            </w:r>
            <w:r>
              <w:rPr>
                <w:rFonts w:hint="eastAsia" w:ascii="宋体" w:hAnsi="宋体" w:cs="Arial"/>
                <w:highlight w:val="none"/>
                <w:lang w:val="en-US" w:eastAsia="zh-CN"/>
              </w:rPr>
              <w:t>10</w:t>
            </w:r>
            <w:r>
              <w:rPr>
                <w:rFonts w:ascii="宋体" w:hAnsi="宋体" w:cs="Arial"/>
                <w:highlight w:val="none"/>
              </w:rPr>
              <w:t>%～</w:t>
            </w:r>
            <w:r>
              <w:rPr>
                <w:rFonts w:hint="eastAsia" w:ascii="宋体" w:hAnsi="宋体" w:cs="Arial"/>
                <w:highlight w:val="none"/>
                <w:lang w:val="en-US" w:eastAsia="zh-CN"/>
              </w:rPr>
              <w:t>2</w:t>
            </w:r>
            <w:r>
              <w:rPr>
                <w:rFonts w:ascii="宋体" w:hAnsi="宋体" w:cs="Arial"/>
                <w:highlight w:val="none"/>
              </w:rPr>
              <w:t>0%的扣除，用扣除后的价格参与评审。</w:t>
            </w:r>
          </w:p>
          <w:p w14:paraId="31BF763D">
            <w:pPr>
              <w:spacing w:line="360" w:lineRule="auto"/>
              <w:rPr>
                <w:rFonts w:ascii="宋体" w:hAnsi="宋体" w:cs="Arial"/>
                <w:highlight w:val="none"/>
              </w:rPr>
            </w:pPr>
            <w:r>
              <w:rPr>
                <w:rFonts w:ascii="宋体" w:hAnsi="宋体" w:cs="Arial"/>
                <w:highlight w:val="none"/>
              </w:rPr>
              <w:t>本项目的扣除比例为：小型、微型企业均扣除</w:t>
            </w:r>
            <w:r>
              <w:rPr>
                <w:rFonts w:hint="eastAsia" w:ascii="宋体" w:hAnsi="宋体" w:cs="Arial"/>
                <w:highlight w:val="none"/>
                <w:lang w:val="en-US" w:eastAsia="zh-CN"/>
              </w:rPr>
              <w:t>10</w:t>
            </w:r>
            <w:r>
              <w:rPr>
                <w:rFonts w:ascii="宋体" w:hAnsi="宋体" w:cs="Arial"/>
                <w:highlight w:val="none"/>
              </w:rPr>
              <w:t>%</w:t>
            </w:r>
          </w:p>
          <w:p w14:paraId="43DD2FC6">
            <w:pPr>
              <w:spacing w:line="360" w:lineRule="auto"/>
              <w:rPr>
                <w:rFonts w:ascii="宋体" w:hAnsi="宋体" w:cs="Arial"/>
                <w:highlight w:val="none"/>
              </w:rPr>
            </w:pPr>
            <w:r>
              <w:rPr>
                <w:rFonts w:ascii="宋体" w:hAnsi="宋体" w:cs="Arial"/>
                <w:highlight w:val="none"/>
              </w:rPr>
              <w:t>监狱企业、残疾人福利性单位视同小型、微型企业，享受价格扣除。</w:t>
            </w:r>
          </w:p>
          <w:p w14:paraId="58E7718D">
            <w:pPr>
              <w:spacing w:line="360" w:lineRule="auto"/>
              <w:rPr>
                <w:rFonts w:ascii="宋体" w:hAnsi="宋体" w:cs="Arial"/>
                <w:highlight w:val="none"/>
              </w:rPr>
            </w:pPr>
            <w:r>
              <w:rPr>
                <w:rFonts w:ascii="宋体" w:hAnsi="宋体" w:cs="Arial"/>
                <w:highlight w:val="none"/>
              </w:rPr>
              <w:t>残疾人福利性单位属于小型、微型企业的，不重复享受政策。</w:t>
            </w:r>
          </w:p>
          <w:p w14:paraId="35DA88A8">
            <w:pPr>
              <w:wordWrap w:val="0"/>
              <w:spacing w:line="360" w:lineRule="exact"/>
              <w:rPr>
                <w:rFonts w:ascii="宋体" w:hAnsi="宋体" w:eastAsia="宋体" w:cs="宋体"/>
                <w:sz w:val="22"/>
                <w:szCs w:val="22"/>
                <w:highlight w:val="none"/>
              </w:rPr>
            </w:pPr>
            <w:r>
              <w:rPr>
                <w:rFonts w:ascii="宋体" w:hAnsi="宋体" w:cs="Arial"/>
                <w:b/>
                <w:bCs/>
                <w:highlight w:val="none"/>
                <w:u w:val="single"/>
              </w:rPr>
              <w:t>本项目所属行业：其他未列明行业（包括科学研究和技术服务业，水利、环境和公共设施管理业，居民服务、修理和其他服务业，社会工作，文化、体育和娱乐业等），</w:t>
            </w:r>
            <w:r>
              <w:rPr>
                <w:rFonts w:ascii="宋体" w:hAnsi="宋体" w:cs="Arial"/>
                <w:highlight w:val="none"/>
                <w:u w:val="single"/>
              </w:rPr>
              <w:t>供应商属于采购文件中明确的行业所对应的小微企业享受价格优惠折扣。</w:t>
            </w:r>
          </w:p>
        </w:tc>
      </w:tr>
      <w:tr w14:paraId="27F00419">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F758564">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ign w:val="center"/>
          </w:tcPr>
          <w:p w14:paraId="40049310">
            <w:pPr>
              <w:spacing w:line="312" w:lineRule="auto"/>
              <w:jc w:val="center"/>
              <w:rPr>
                <w:rFonts w:ascii="宋体" w:hAnsi="宋体" w:eastAsia="宋体" w:cs="宋体"/>
                <w:sz w:val="22"/>
                <w:szCs w:val="22"/>
                <w:highlight w:val="none"/>
              </w:rPr>
            </w:pPr>
            <w:r>
              <w:rPr>
                <w:rFonts w:hint="eastAsia" w:ascii="宋体" w:hAnsi="宋体" w:eastAsia="宋体" w:cs="宋体"/>
                <w:sz w:val="22"/>
                <w:highlight w:val="none"/>
              </w:rPr>
              <w:t>免责声明</w:t>
            </w:r>
          </w:p>
        </w:tc>
        <w:tc>
          <w:tcPr>
            <w:tcW w:w="7353" w:type="dxa"/>
            <w:tcBorders>
              <w:top w:val="single" w:color="auto" w:sz="4" w:space="0"/>
              <w:left w:val="single" w:color="auto" w:sz="4" w:space="0"/>
              <w:bottom w:val="single" w:color="auto" w:sz="4" w:space="0"/>
              <w:right w:val="single" w:color="auto" w:sz="4" w:space="0"/>
            </w:tcBorders>
            <w:noWrap/>
            <w:vAlign w:val="center"/>
          </w:tcPr>
          <w:p w14:paraId="24A84831">
            <w:pPr>
              <w:wordWrap w:val="0"/>
              <w:spacing w:line="360" w:lineRule="exact"/>
              <w:rPr>
                <w:rFonts w:ascii="宋体" w:hAnsi="宋体" w:eastAsia="宋体" w:cs="宋体"/>
                <w:kern w:val="0"/>
                <w:sz w:val="22"/>
                <w:szCs w:val="22"/>
                <w:highlight w:val="none"/>
              </w:rPr>
            </w:pPr>
            <w:r>
              <w:rPr>
                <w:rFonts w:hint="eastAsia" w:ascii="宋体" w:hAnsi="宋体" w:eastAsia="宋体" w:cs="宋体"/>
                <w:kern w:val="0"/>
                <w:sz w:val="22"/>
                <w:szCs w:val="22"/>
                <w:highlight w:val="none"/>
              </w:rPr>
              <w:t>1、投标供应商自行承担投标过程中产生的费用。无论何种因素导致采购项目延期开标、废标（流标）、投标供应商未中标、项目终止采购的，采购人与采购代理机构均不承担供应商投标费用。</w:t>
            </w:r>
          </w:p>
          <w:p w14:paraId="1C7264D9">
            <w:pPr>
              <w:wordWrap w:val="0"/>
              <w:spacing w:line="360" w:lineRule="exact"/>
              <w:rPr>
                <w:rFonts w:ascii="宋体" w:hAnsi="宋体" w:eastAsia="宋体" w:cs="宋体"/>
                <w:sz w:val="22"/>
                <w:szCs w:val="22"/>
                <w:highlight w:val="none"/>
              </w:rPr>
            </w:pPr>
            <w:r>
              <w:rPr>
                <w:rFonts w:hint="eastAsia" w:ascii="宋体" w:hAnsi="宋体" w:eastAsia="宋体" w:cs="宋体"/>
                <w:kern w:val="0"/>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332A94ED">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3B71B31">
            <w:pPr>
              <w:spacing w:line="360" w:lineRule="auto"/>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ign w:val="center"/>
          </w:tcPr>
          <w:p w14:paraId="31A73A43">
            <w:pPr>
              <w:spacing w:line="360" w:lineRule="exact"/>
              <w:jc w:val="center"/>
              <w:rPr>
                <w:rFonts w:ascii="宋体" w:hAnsi="宋体" w:cs="宋体"/>
                <w:sz w:val="22"/>
                <w:szCs w:val="22"/>
                <w:highlight w:val="none"/>
              </w:rPr>
            </w:pPr>
            <w:r>
              <w:rPr>
                <w:rFonts w:hint="eastAsia" w:ascii="宋体" w:hAnsi="宋体" w:cs="宋体"/>
                <w:sz w:val="22"/>
                <w:szCs w:val="22"/>
                <w:highlight w:val="none"/>
              </w:rPr>
              <w:t>投标人信用</w:t>
            </w:r>
          </w:p>
          <w:p w14:paraId="409BCD89">
            <w:pPr>
              <w:spacing w:line="360" w:lineRule="exact"/>
              <w:jc w:val="center"/>
              <w:rPr>
                <w:rFonts w:ascii="宋体" w:hAnsi="宋体" w:eastAsia="宋体" w:cs="宋体"/>
                <w:sz w:val="22"/>
                <w:highlight w:val="none"/>
              </w:rPr>
            </w:pPr>
            <w:r>
              <w:rPr>
                <w:rFonts w:hint="eastAsia" w:ascii="宋体" w:hAnsi="宋体" w:cs="宋体"/>
                <w:sz w:val="22"/>
                <w:szCs w:val="22"/>
                <w:highlight w:val="none"/>
              </w:rPr>
              <w:t>查询</w:t>
            </w:r>
          </w:p>
        </w:tc>
        <w:tc>
          <w:tcPr>
            <w:tcW w:w="7353" w:type="dxa"/>
            <w:tcBorders>
              <w:top w:val="single" w:color="auto" w:sz="4" w:space="0"/>
              <w:left w:val="single" w:color="auto" w:sz="4" w:space="0"/>
              <w:bottom w:val="single" w:color="auto" w:sz="4" w:space="0"/>
              <w:right w:val="single" w:color="auto" w:sz="4" w:space="0"/>
            </w:tcBorders>
            <w:noWrap/>
            <w:vAlign w:val="center"/>
          </w:tcPr>
          <w:p w14:paraId="1988C56B">
            <w:pPr>
              <w:spacing w:line="360" w:lineRule="exact"/>
              <w:jc w:val="left"/>
              <w:rPr>
                <w:rFonts w:ascii="宋体" w:hAnsi="宋体" w:cs="宋体"/>
                <w:sz w:val="22"/>
                <w:szCs w:val="22"/>
                <w:highlight w:val="none"/>
              </w:rPr>
            </w:pPr>
            <w:r>
              <w:rPr>
                <w:rFonts w:hint="eastAsia" w:ascii="宋体" w:hAnsi="宋体" w:cs="宋体"/>
                <w:sz w:val="22"/>
                <w:szCs w:val="22"/>
                <w:highlight w:val="none"/>
              </w:rPr>
              <w:t>（1）供应商信用信息查询的查询渠道：“信用中国”(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5FAA7C4F">
            <w:pPr>
              <w:spacing w:line="360" w:lineRule="exact"/>
              <w:jc w:val="left"/>
              <w:rPr>
                <w:rFonts w:ascii="宋体" w:hAnsi="宋体" w:cs="宋体"/>
                <w:sz w:val="22"/>
                <w:szCs w:val="22"/>
                <w:highlight w:val="none"/>
              </w:rPr>
            </w:pPr>
            <w:r>
              <w:rPr>
                <w:rFonts w:hint="eastAsia" w:ascii="宋体" w:hAnsi="宋体" w:cs="宋体"/>
                <w:sz w:val="22"/>
                <w:szCs w:val="22"/>
                <w:highlight w:val="none"/>
              </w:rPr>
              <w:t>（2）供应商信用信息查询截止时点：本项目投标文件递交截止时间。</w:t>
            </w:r>
          </w:p>
          <w:p w14:paraId="3E3D466B">
            <w:pPr>
              <w:spacing w:line="360" w:lineRule="exact"/>
              <w:jc w:val="left"/>
              <w:rPr>
                <w:rFonts w:ascii="宋体" w:hAnsi="宋体" w:cs="宋体"/>
                <w:sz w:val="22"/>
                <w:szCs w:val="22"/>
                <w:highlight w:val="none"/>
              </w:rPr>
            </w:pPr>
            <w:r>
              <w:rPr>
                <w:rFonts w:hint="eastAsia" w:ascii="宋体" w:hAnsi="宋体" w:cs="宋体"/>
                <w:sz w:val="22"/>
                <w:szCs w:val="22"/>
                <w:highlight w:val="none"/>
              </w:rPr>
              <w:t>（3）供应商信用信息查询记录和证据留存的具体方式：网页截图打印；</w:t>
            </w:r>
          </w:p>
          <w:p w14:paraId="24625CE5">
            <w:pPr>
              <w:spacing w:line="360" w:lineRule="exact"/>
              <w:jc w:val="left"/>
              <w:rPr>
                <w:rFonts w:ascii="宋体" w:hAnsi="宋体" w:cs="宋体"/>
                <w:sz w:val="22"/>
                <w:szCs w:val="22"/>
                <w:highlight w:val="none"/>
              </w:rPr>
            </w:pPr>
            <w:r>
              <w:rPr>
                <w:rFonts w:hint="eastAsia" w:ascii="宋体" w:hAnsi="宋体" w:cs="宋体"/>
                <w:sz w:val="22"/>
                <w:szCs w:val="22"/>
                <w:highlight w:val="none"/>
              </w:rPr>
              <w:t>（4）信用信息的使用规则：</w:t>
            </w:r>
          </w:p>
          <w:p w14:paraId="5BAC7269">
            <w:pPr>
              <w:spacing w:line="360" w:lineRule="exact"/>
              <w:jc w:val="left"/>
              <w:rPr>
                <w:rFonts w:ascii="宋体" w:hAnsi="宋体" w:cs="宋体"/>
                <w:sz w:val="22"/>
                <w:szCs w:val="22"/>
                <w:highlight w:val="none"/>
              </w:rPr>
            </w:pPr>
            <w:r>
              <w:rPr>
                <w:rFonts w:hint="eastAsia" w:ascii="宋体" w:hAnsi="宋体" w:cs="宋体"/>
                <w:sz w:val="22"/>
                <w:szCs w:val="22"/>
                <w:highlight w:val="none"/>
              </w:rPr>
              <w:t>①在“信用中国”具有负面记录：列入失信被执行人、重大税收违法案件当事人名单、政府采购严重违法失信行为名单；</w:t>
            </w:r>
          </w:p>
          <w:p w14:paraId="01E3DB21">
            <w:pPr>
              <w:spacing w:line="360" w:lineRule="exact"/>
              <w:jc w:val="left"/>
              <w:rPr>
                <w:rFonts w:ascii="宋体" w:hAnsi="宋体" w:cs="宋体"/>
                <w:sz w:val="22"/>
                <w:szCs w:val="22"/>
                <w:highlight w:val="none"/>
              </w:rPr>
            </w:pPr>
            <w:r>
              <w:rPr>
                <w:rFonts w:hint="eastAsia" w:ascii="宋体" w:hAnsi="宋体" w:cs="宋体"/>
                <w:sz w:val="22"/>
                <w:szCs w:val="22"/>
                <w:highlight w:val="none"/>
              </w:rPr>
              <w:t>②被“中国政府采购网”(www.ccgp.gov.cn)列入政府采购严重违法失信行为记录名单。</w:t>
            </w:r>
          </w:p>
          <w:p w14:paraId="37713689">
            <w:pPr>
              <w:spacing w:line="360" w:lineRule="exact"/>
              <w:jc w:val="left"/>
              <w:rPr>
                <w:rFonts w:ascii="宋体" w:hAnsi="宋体" w:cs="宋体"/>
                <w:sz w:val="22"/>
                <w:szCs w:val="22"/>
                <w:highlight w:val="none"/>
              </w:rPr>
            </w:pPr>
            <w:r>
              <w:rPr>
                <w:rFonts w:hint="eastAsia" w:ascii="新宋体" w:hAnsi="新宋体" w:eastAsia="新宋体" w:cs="新宋体"/>
                <w:bCs/>
                <w:sz w:val="22"/>
                <w:szCs w:val="22"/>
                <w:highlight w:val="none"/>
              </w:rPr>
              <w:t>（5）具有以上（4）所述信息记录的供应商，其投标做无效投标处理</w:t>
            </w:r>
          </w:p>
          <w:p w14:paraId="4B38F4B7">
            <w:pPr>
              <w:spacing w:line="360" w:lineRule="exact"/>
              <w:rPr>
                <w:rFonts w:ascii="宋体" w:hAnsi="宋体" w:cs="宋体"/>
                <w:highlight w:val="none"/>
              </w:rPr>
            </w:pPr>
            <w:r>
              <w:rPr>
                <w:rFonts w:hint="eastAsia" w:ascii="宋体" w:hAnsi="宋体" w:cs="宋体"/>
                <w:b/>
                <w:bCs/>
                <w:szCs w:val="21"/>
                <w:highlight w:val="none"/>
                <w:u w:val="single"/>
              </w:rPr>
              <w:t>（6）▲</w:t>
            </w:r>
            <w:r>
              <w:rPr>
                <w:rFonts w:hint="eastAsia" w:ascii="宋体" w:hAnsi="宋体" w:cs="宋体"/>
                <w:b/>
                <w:sz w:val="22"/>
                <w:szCs w:val="22"/>
                <w:highlight w:val="none"/>
                <w:u w:val="single"/>
              </w:rPr>
              <w:t>关于</w:t>
            </w:r>
            <w:r>
              <w:rPr>
                <w:rFonts w:hint="eastAsia" w:ascii="宋体" w:hAnsi="宋体" w:cs="宋体"/>
                <w:b/>
                <w:bCs/>
                <w:sz w:val="22"/>
                <w:szCs w:val="22"/>
                <w:highlight w:val="none"/>
                <w:u w:val="single"/>
              </w:rPr>
              <w:t>“信用中国”(www.creditchina.gov.cn) 信用记录网页截图相关说明</w:t>
            </w:r>
            <w:r>
              <w:rPr>
                <w:rFonts w:hint="eastAsia" w:ascii="宋体" w:hAnsi="宋体" w:cs="宋体"/>
                <w:bCs/>
                <w:sz w:val="22"/>
                <w:szCs w:val="22"/>
                <w:highlight w:val="none"/>
              </w:rPr>
              <w:t>：</w:t>
            </w:r>
          </w:p>
          <w:p w14:paraId="61599436">
            <w:pPr>
              <w:spacing w:line="360" w:lineRule="exact"/>
              <w:rPr>
                <w:rFonts w:ascii="宋体" w:hAnsi="宋体" w:cs="宋体"/>
                <w:bCs/>
                <w:sz w:val="22"/>
                <w:szCs w:val="22"/>
                <w:highlight w:val="none"/>
              </w:rPr>
            </w:pPr>
            <w:r>
              <w:rPr>
                <w:rFonts w:hint="eastAsia" w:ascii="宋体" w:hAnsi="宋体" w:cs="宋体"/>
                <w:bCs/>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2AACAEA1">
            <w:pPr>
              <w:spacing w:line="360" w:lineRule="exact"/>
              <w:rPr>
                <w:rFonts w:ascii="宋体" w:hAnsi="宋体" w:cs="宋体"/>
                <w:bCs/>
                <w:sz w:val="22"/>
                <w:szCs w:val="22"/>
                <w:highlight w:val="none"/>
              </w:rPr>
            </w:pPr>
            <w:r>
              <w:rPr>
                <w:rFonts w:hint="eastAsia" w:ascii="宋体" w:hAnsi="宋体" w:cs="宋体"/>
                <w:bCs/>
                <w:sz w:val="22"/>
                <w:szCs w:val="22"/>
                <w:highlight w:val="none"/>
              </w:rPr>
              <w:t>②若供应商在“信用中国”无数据，亦须将搜索结果页面打印，并附说明。</w:t>
            </w:r>
          </w:p>
          <w:p w14:paraId="14028DEF">
            <w:pPr>
              <w:spacing w:line="360" w:lineRule="exact"/>
              <w:rPr>
                <w:rFonts w:ascii="宋体" w:hAnsi="宋体" w:eastAsia="宋体" w:cs="宋体"/>
                <w:kern w:val="0"/>
                <w:sz w:val="22"/>
                <w:szCs w:val="22"/>
                <w:highlight w:val="none"/>
              </w:rPr>
            </w:pPr>
            <w:r>
              <w:rPr>
                <w:rFonts w:hint="eastAsia" w:ascii="宋体" w:hAnsi="宋体" w:cs="宋体"/>
                <w:bCs/>
                <w:sz w:val="22"/>
                <w:szCs w:val="22"/>
                <w:highlight w:val="none"/>
              </w:rPr>
              <w:t>（7）具体结果以开标当日采购人或采购代理机构对</w:t>
            </w:r>
            <w:r>
              <w:rPr>
                <w:rFonts w:hint="eastAsia" w:ascii="宋体" w:hAnsi="宋体" w:cs="宋体"/>
                <w:kern w:val="0"/>
                <w:sz w:val="22"/>
                <w:szCs w:val="22"/>
                <w:highlight w:val="none"/>
              </w:rPr>
              <w:t>投标人信用查询网页的</w:t>
            </w:r>
            <w:r>
              <w:rPr>
                <w:rFonts w:hint="eastAsia" w:ascii="宋体" w:hAnsi="宋体" w:cs="宋体"/>
                <w:bCs/>
                <w:sz w:val="22"/>
                <w:szCs w:val="22"/>
                <w:highlight w:val="none"/>
              </w:rPr>
              <w:t>查询结果为准。</w:t>
            </w:r>
          </w:p>
        </w:tc>
      </w:tr>
      <w:tr w14:paraId="518A3FC7">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C87EB31">
            <w:pPr>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noWrap/>
            <w:vAlign w:val="center"/>
          </w:tcPr>
          <w:p w14:paraId="4BC05C6B">
            <w:pPr>
              <w:spacing w:line="360" w:lineRule="exact"/>
              <w:jc w:val="center"/>
              <w:rPr>
                <w:rFonts w:ascii="宋体" w:hAnsi="宋体" w:eastAsia="宋体" w:cs="宋体"/>
                <w:sz w:val="22"/>
                <w:highlight w:val="none"/>
              </w:rPr>
            </w:pPr>
            <w:r>
              <w:rPr>
                <w:rFonts w:hint="eastAsia" w:ascii="宋体" w:hAnsi="宋体" w:cs="宋体"/>
                <w:sz w:val="22"/>
                <w:szCs w:val="22"/>
                <w:highlight w:val="none"/>
              </w:rPr>
              <w:t>合同备案</w:t>
            </w:r>
          </w:p>
        </w:tc>
        <w:tc>
          <w:tcPr>
            <w:tcW w:w="7353" w:type="dxa"/>
            <w:tcBorders>
              <w:top w:val="single" w:color="auto" w:sz="4" w:space="0"/>
              <w:left w:val="single" w:color="auto" w:sz="4" w:space="0"/>
              <w:bottom w:val="single" w:color="auto" w:sz="4" w:space="0"/>
              <w:right w:val="single" w:color="auto" w:sz="4" w:space="0"/>
            </w:tcBorders>
            <w:noWrap/>
            <w:vAlign w:val="center"/>
          </w:tcPr>
          <w:p w14:paraId="65DE378D">
            <w:pPr>
              <w:spacing w:line="360" w:lineRule="exact"/>
              <w:jc w:val="left"/>
              <w:rPr>
                <w:rFonts w:ascii="宋体" w:hAnsi="宋体" w:cs="宋体"/>
                <w:sz w:val="22"/>
                <w:szCs w:val="22"/>
                <w:highlight w:val="none"/>
              </w:rPr>
            </w:pPr>
            <w:r>
              <w:rPr>
                <w:rFonts w:hint="eastAsia" w:ascii="宋体" w:hAnsi="宋体" w:cs="宋体"/>
                <w:sz w:val="22"/>
                <w:szCs w:val="22"/>
                <w:highlight w:val="none"/>
              </w:rPr>
              <w:t>（1）中标人须在中标通知书发出之日起</w:t>
            </w:r>
            <w:r>
              <w:rPr>
                <w:rFonts w:ascii="宋体" w:hAnsi="宋体" w:cs="宋体"/>
                <w:sz w:val="22"/>
                <w:szCs w:val="22"/>
                <w:highlight w:val="none"/>
              </w:rPr>
              <w:t>30</w:t>
            </w:r>
            <w:r>
              <w:rPr>
                <w:rFonts w:hint="eastAsia" w:ascii="宋体" w:hAnsi="宋体" w:cs="宋体"/>
                <w:sz w:val="22"/>
                <w:szCs w:val="22"/>
                <w:highlight w:val="none"/>
              </w:rPr>
              <w:t>日历天内与采购人</w:t>
            </w:r>
            <w:r>
              <w:rPr>
                <w:rFonts w:hint="eastAsia" w:ascii="宋体" w:hAnsi="宋体" w:cs="Arial"/>
                <w:szCs w:val="21"/>
                <w:highlight w:val="none"/>
              </w:rPr>
              <w:t>及各镇街开发区共同签订合同</w:t>
            </w:r>
            <w:r>
              <w:rPr>
                <w:rFonts w:hint="eastAsia" w:ascii="宋体" w:hAnsi="宋体" w:cs="宋体"/>
                <w:sz w:val="22"/>
                <w:szCs w:val="22"/>
                <w:highlight w:val="none"/>
              </w:rPr>
              <w:t>。</w:t>
            </w:r>
          </w:p>
          <w:p w14:paraId="40CB7655">
            <w:pPr>
              <w:spacing w:line="360" w:lineRule="exact"/>
              <w:jc w:val="left"/>
              <w:rPr>
                <w:rFonts w:ascii="宋体" w:hAnsi="宋体" w:eastAsia="宋体" w:cs="宋体"/>
                <w:kern w:val="0"/>
                <w:sz w:val="22"/>
                <w:szCs w:val="22"/>
                <w:highlight w:val="none"/>
              </w:rPr>
            </w:pPr>
            <w:r>
              <w:rPr>
                <w:rFonts w:hint="eastAsia" w:ascii="宋体" w:hAnsi="宋体" w:cs="宋体"/>
                <w:sz w:val="22"/>
                <w:szCs w:val="22"/>
                <w:highlight w:val="none"/>
              </w:rPr>
              <w:t>（2）中标人与采购人签订合同后，2日历天内将合同扫描件电子版发给采购代理机构邮箱：</w:t>
            </w:r>
            <w:r>
              <w:rPr>
                <w:rFonts w:hint="eastAsia" w:ascii="宋体" w:hAnsi="宋体" w:cs="宋体"/>
                <w:b/>
                <w:sz w:val="22"/>
                <w:szCs w:val="22"/>
                <w:highlight w:val="none"/>
                <w:u w:val="single"/>
                <w:lang w:val="en-US" w:eastAsia="zh-CN"/>
              </w:rPr>
              <w:t>249234765@qq.com</w:t>
            </w:r>
            <w:r>
              <w:rPr>
                <w:rFonts w:hint="eastAsia" w:ascii="宋体" w:hAnsi="宋体" w:cs="宋体"/>
                <w:sz w:val="22"/>
                <w:szCs w:val="22"/>
                <w:highlight w:val="none"/>
              </w:rPr>
              <w:t>。</w:t>
            </w:r>
          </w:p>
        </w:tc>
      </w:tr>
      <w:tr w14:paraId="23060428">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42CE455">
            <w:pPr>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29</w:t>
            </w:r>
          </w:p>
        </w:tc>
        <w:tc>
          <w:tcPr>
            <w:tcW w:w="1805" w:type="dxa"/>
            <w:tcBorders>
              <w:top w:val="single" w:color="auto" w:sz="4" w:space="0"/>
              <w:left w:val="single" w:color="auto" w:sz="4" w:space="0"/>
              <w:bottom w:val="single" w:color="auto" w:sz="4" w:space="0"/>
              <w:right w:val="single" w:color="auto" w:sz="4" w:space="0"/>
            </w:tcBorders>
            <w:noWrap/>
            <w:vAlign w:val="center"/>
          </w:tcPr>
          <w:p w14:paraId="6B826941">
            <w:pPr>
              <w:spacing w:line="360" w:lineRule="exact"/>
              <w:jc w:val="center"/>
              <w:rPr>
                <w:rFonts w:hint="eastAsia" w:ascii="宋体" w:hAnsi="宋体" w:cs="宋体" w:eastAsiaTheme="minorEastAsia"/>
                <w:kern w:val="0"/>
                <w:sz w:val="22"/>
                <w:szCs w:val="22"/>
                <w:highlight w:val="none"/>
                <w:lang w:val="zh-CN" w:eastAsia="zh-CN" w:bidi="ar-SA"/>
              </w:rPr>
            </w:pPr>
            <w:r>
              <w:rPr>
                <w:rFonts w:hint="eastAsia" w:ascii="宋体" w:hAnsi="宋体" w:cs="宋体"/>
                <w:sz w:val="22"/>
                <w:szCs w:val="22"/>
                <w:highlight w:val="none"/>
              </w:rPr>
              <w:t>合同履约管理</w:t>
            </w:r>
          </w:p>
        </w:tc>
        <w:tc>
          <w:tcPr>
            <w:tcW w:w="7353" w:type="dxa"/>
            <w:tcBorders>
              <w:top w:val="single" w:color="auto" w:sz="4" w:space="0"/>
              <w:left w:val="single" w:color="auto" w:sz="4" w:space="0"/>
              <w:bottom w:val="single" w:color="auto" w:sz="4" w:space="0"/>
              <w:right w:val="single" w:color="auto" w:sz="4" w:space="0"/>
            </w:tcBorders>
            <w:noWrap/>
            <w:vAlign w:val="center"/>
          </w:tcPr>
          <w:p w14:paraId="4FA3D071">
            <w:pPr>
              <w:spacing w:line="360" w:lineRule="exact"/>
              <w:jc w:val="left"/>
              <w:rPr>
                <w:rFonts w:hint="eastAsia" w:ascii="宋体" w:hAnsi="宋体" w:cs="宋体" w:eastAsiaTheme="minorEastAsia"/>
                <w:kern w:val="0"/>
                <w:sz w:val="22"/>
                <w:szCs w:val="22"/>
                <w:highlight w:val="none"/>
                <w:lang w:val="zh-CN" w:eastAsia="zh-CN" w:bidi="ar-SA"/>
              </w:rPr>
            </w:pPr>
            <w:r>
              <w:rPr>
                <w:rFonts w:hint="eastAsia" w:ascii="宋体" w:hAnsi="宋体" w:cs="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0BF09E7C">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276F818">
            <w:pPr>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30</w:t>
            </w:r>
          </w:p>
        </w:tc>
        <w:tc>
          <w:tcPr>
            <w:tcW w:w="1805" w:type="dxa"/>
            <w:tcBorders>
              <w:top w:val="single" w:color="auto" w:sz="4" w:space="0"/>
              <w:left w:val="single" w:color="auto" w:sz="4" w:space="0"/>
              <w:bottom w:val="single" w:color="auto" w:sz="4" w:space="0"/>
              <w:right w:val="single" w:color="auto" w:sz="4" w:space="0"/>
            </w:tcBorders>
            <w:noWrap/>
            <w:vAlign w:val="center"/>
          </w:tcPr>
          <w:p w14:paraId="5BA8FE80">
            <w:pPr>
              <w:spacing w:line="360" w:lineRule="exact"/>
              <w:jc w:val="center"/>
              <w:rPr>
                <w:rFonts w:hint="eastAsia" w:ascii="宋体" w:hAnsi="宋体" w:cs="宋体" w:eastAsiaTheme="minorEastAsia"/>
                <w:kern w:val="0"/>
                <w:sz w:val="22"/>
                <w:szCs w:val="22"/>
                <w:highlight w:val="none"/>
                <w:lang w:val="zh-CN" w:eastAsia="zh-CN" w:bidi="ar-SA"/>
              </w:rPr>
            </w:pPr>
            <w:r>
              <w:rPr>
                <w:rFonts w:hint="eastAsia" w:ascii="宋体" w:hAnsi="宋体" w:cs="宋体"/>
                <w:sz w:val="22"/>
                <w:szCs w:val="22"/>
                <w:highlight w:val="none"/>
              </w:rPr>
              <w:t>解释权</w:t>
            </w:r>
          </w:p>
        </w:tc>
        <w:tc>
          <w:tcPr>
            <w:tcW w:w="7353" w:type="dxa"/>
            <w:tcBorders>
              <w:top w:val="single" w:color="auto" w:sz="4" w:space="0"/>
              <w:left w:val="single" w:color="auto" w:sz="4" w:space="0"/>
              <w:bottom w:val="single" w:color="auto" w:sz="4" w:space="0"/>
              <w:right w:val="single" w:color="auto" w:sz="4" w:space="0"/>
            </w:tcBorders>
            <w:noWrap/>
            <w:vAlign w:val="center"/>
          </w:tcPr>
          <w:p w14:paraId="64FC95D0">
            <w:pPr>
              <w:spacing w:line="360" w:lineRule="exact"/>
              <w:rPr>
                <w:rFonts w:hint="eastAsia" w:ascii="宋体" w:hAnsi="宋体" w:cs="宋体" w:eastAsiaTheme="minorEastAsia"/>
                <w:kern w:val="0"/>
                <w:sz w:val="22"/>
                <w:szCs w:val="22"/>
                <w:highlight w:val="none"/>
                <w:lang w:val="zh-CN" w:eastAsia="zh-CN" w:bidi="ar-SA"/>
              </w:rPr>
            </w:pPr>
            <w:r>
              <w:rPr>
                <w:rFonts w:hint="eastAsia" w:ascii="宋体" w:hAnsi="宋体" w:cs="宋体"/>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F19CEF9">
        <w:tblPrEx>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008F628">
            <w:pPr>
              <w:spacing w:line="360" w:lineRule="auto"/>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31</w:t>
            </w:r>
          </w:p>
        </w:tc>
        <w:tc>
          <w:tcPr>
            <w:tcW w:w="1805" w:type="dxa"/>
            <w:tcBorders>
              <w:top w:val="single" w:color="auto" w:sz="4" w:space="0"/>
              <w:left w:val="single" w:color="auto" w:sz="4" w:space="0"/>
              <w:bottom w:val="single" w:color="auto" w:sz="4" w:space="0"/>
              <w:right w:val="single" w:color="auto" w:sz="4" w:space="0"/>
            </w:tcBorders>
            <w:noWrap/>
            <w:vAlign w:val="center"/>
          </w:tcPr>
          <w:p w14:paraId="1CD3845B">
            <w:pPr>
              <w:spacing w:line="360" w:lineRule="exact"/>
              <w:jc w:val="center"/>
              <w:rPr>
                <w:rFonts w:hint="eastAsia" w:ascii="宋体" w:hAnsi="宋体" w:cs="宋体"/>
                <w:sz w:val="22"/>
                <w:szCs w:val="22"/>
                <w:highlight w:val="none"/>
              </w:rPr>
            </w:pPr>
            <w:r>
              <w:rPr>
                <w:rFonts w:hint="eastAsia" w:ascii="宋体" w:hAnsi="宋体" w:eastAsia="宋体" w:cs="宋体"/>
                <w:spacing w:val="6"/>
                <w:sz w:val="22"/>
                <w:szCs w:val="22"/>
                <w:highlight w:val="none"/>
              </w:rPr>
              <w:t>代理服务费</w:t>
            </w:r>
          </w:p>
        </w:tc>
        <w:tc>
          <w:tcPr>
            <w:tcW w:w="7353" w:type="dxa"/>
            <w:tcBorders>
              <w:top w:val="single" w:color="auto" w:sz="4" w:space="0"/>
              <w:left w:val="single" w:color="auto" w:sz="4" w:space="0"/>
              <w:bottom w:val="single" w:color="auto" w:sz="4" w:space="0"/>
              <w:right w:val="single" w:color="auto" w:sz="4" w:space="0"/>
            </w:tcBorders>
            <w:noWrap/>
            <w:vAlign w:val="center"/>
          </w:tcPr>
          <w:p w14:paraId="1220C3F1">
            <w:pPr>
              <w:tabs>
                <w:tab w:val="left" w:pos="540"/>
              </w:tabs>
              <w:spacing w:line="360" w:lineRule="auto"/>
              <w:ind w:firstLine="696" w:firstLineChars="3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本次招标代理服务费按计价格【2002】1980号《招标代理服务收费管理办法》规定的服务招标收费标准计取</w:t>
            </w:r>
            <w:r>
              <w:rPr>
                <w:rFonts w:hint="eastAsia" w:ascii="Arial" w:hAnsi="Arial" w:eastAsia="宋体" w:cs="Arial"/>
                <w:color w:val="auto"/>
                <w:sz w:val="22"/>
                <w:szCs w:val="22"/>
                <w:highlight w:val="none"/>
              </w:rPr>
              <w:t>，</w:t>
            </w:r>
            <w:r>
              <w:rPr>
                <w:rFonts w:ascii="宋体" w:hAnsi="宋体" w:cs="宋体"/>
                <w:sz w:val="22"/>
                <w:szCs w:val="22"/>
                <w:highlight w:val="none"/>
              </w:rPr>
              <w:t>由</w:t>
            </w:r>
            <w:r>
              <w:rPr>
                <w:rFonts w:hint="eastAsia" w:ascii="宋体" w:hAnsi="宋体" w:cs="宋体"/>
                <w:sz w:val="22"/>
                <w:szCs w:val="22"/>
                <w:highlight w:val="none"/>
              </w:rPr>
              <w:t>中标单位在领取中标通知书前一次性支付给采购代理机构，</w:t>
            </w:r>
            <w:r>
              <w:rPr>
                <w:rFonts w:hint="eastAsia" w:ascii="宋体" w:hAnsi="宋体" w:eastAsia="宋体" w:cs="宋体"/>
                <w:sz w:val="22"/>
                <w:szCs w:val="22"/>
                <w:highlight w:val="none"/>
              </w:rPr>
              <w:t>投标供应商在</w:t>
            </w:r>
            <w:r>
              <w:rPr>
                <w:rFonts w:hint="eastAsia" w:ascii="宋体" w:hAnsi="宋体" w:eastAsia="宋体" w:cs="宋体"/>
                <w:sz w:val="22"/>
                <w:szCs w:val="22"/>
                <w:highlight w:val="none"/>
                <w:lang w:eastAsia="zh-CN"/>
              </w:rPr>
              <w:t>最终</w:t>
            </w:r>
            <w:r>
              <w:rPr>
                <w:rFonts w:hint="eastAsia" w:ascii="宋体" w:hAnsi="宋体" w:eastAsia="宋体" w:cs="宋体"/>
                <w:sz w:val="22"/>
                <w:szCs w:val="22"/>
                <w:highlight w:val="none"/>
              </w:rPr>
              <w:t>报价时应充分考虑该部分费用。</w:t>
            </w:r>
          </w:p>
          <w:p w14:paraId="5848AFEC">
            <w:pPr>
              <w:spacing w:line="360" w:lineRule="auto"/>
              <w:jc w:val="left"/>
              <w:rPr>
                <w:rFonts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户名：温州百工工程咨询管理有限公司</w:t>
            </w:r>
          </w:p>
          <w:p w14:paraId="431FD8EC">
            <w:pPr>
              <w:spacing w:line="360" w:lineRule="auto"/>
              <w:jc w:val="left"/>
              <w:rPr>
                <w:rFonts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 xml:space="preserve">开户银行：浙江温州瓯海农村商业银行股份有限公司新桥支行高翔分理处 </w:t>
            </w:r>
          </w:p>
          <w:p w14:paraId="0DE81244">
            <w:pPr>
              <w:spacing w:line="360" w:lineRule="auto"/>
              <w:jc w:val="left"/>
              <w:rPr>
                <w:rFonts w:hint="eastAsia" w:ascii="宋体" w:hAnsi="宋体" w:cs="宋体"/>
                <w:sz w:val="22"/>
                <w:szCs w:val="22"/>
                <w:highlight w:val="none"/>
              </w:rPr>
            </w:pPr>
            <w:r>
              <w:rPr>
                <w:rFonts w:hint="eastAsia" w:ascii="宋体" w:hAnsi="宋体" w:eastAsia="宋体" w:cs="宋体"/>
                <w:spacing w:val="6"/>
                <w:sz w:val="22"/>
                <w:szCs w:val="22"/>
                <w:highlight w:val="none"/>
                <w:lang w:val="zh-CN"/>
              </w:rPr>
              <w:t xml:space="preserve">账号：201000237047484 </w:t>
            </w:r>
          </w:p>
        </w:tc>
      </w:tr>
    </w:tbl>
    <w:p w14:paraId="31A0567B">
      <w:pPr>
        <w:spacing w:before="100" w:beforeAutospacing="1" w:after="100" w:afterAutospacing="1" w:line="360" w:lineRule="auto"/>
        <w:jc w:val="center"/>
        <w:outlineLvl w:val="0"/>
        <w:rPr>
          <w:rFonts w:ascii="宋体" w:hAnsi="宋体" w:eastAsia="宋体" w:cs="宋体"/>
          <w:b/>
          <w:bCs/>
          <w:sz w:val="36"/>
          <w:szCs w:val="36"/>
          <w:highlight w:val="none"/>
        </w:rPr>
      </w:pPr>
    </w:p>
    <w:p w14:paraId="77A56FDA">
      <w:pPr>
        <w:pStyle w:val="37"/>
        <w:rPr>
          <w:rFonts w:ascii="宋体" w:hAnsi="宋体" w:eastAsia="宋体" w:cs="宋体"/>
          <w:b/>
          <w:sz w:val="36"/>
          <w:szCs w:val="36"/>
          <w:highlight w:val="none"/>
        </w:rPr>
      </w:pPr>
    </w:p>
    <w:p w14:paraId="2D1276F8">
      <w:pPr>
        <w:pStyle w:val="3"/>
        <w:rPr>
          <w:rFonts w:ascii="宋体" w:hAnsi="宋体" w:eastAsia="宋体" w:cs="宋体"/>
          <w:b/>
          <w:bCs/>
          <w:sz w:val="36"/>
          <w:szCs w:val="36"/>
          <w:highlight w:val="none"/>
        </w:rPr>
      </w:pPr>
    </w:p>
    <w:p w14:paraId="3BF59AF2">
      <w:pPr>
        <w:pStyle w:val="2"/>
        <w:ind w:firstLine="361"/>
        <w:rPr>
          <w:rFonts w:ascii="宋体" w:hAnsi="宋体" w:eastAsia="宋体" w:cs="宋体"/>
          <w:b/>
          <w:bCs/>
          <w:sz w:val="36"/>
          <w:szCs w:val="36"/>
          <w:highlight w:val="none"/>
        </w:rPr>
        <w:sectPr>
          <w:footerReference r:id="rId16" w:type="default"/>
          <w:pgSz w:w="11906" w:h="16838"/>
          <w:pgMar w:top="1134" w:right="1134" w:bottom="1134" w:left="1134" w:header="567" w:footer="567" w:gutter="0"/>
          <w:cols w:space="720" w:num="1"/>
          <w:docGrid w:linePitch="312" w:charSpace="0"/>
        </w:sectPr>
      </w:pPr>
    </w:p>
    <w:p w14:paraId="7F5DE815">
      <w:pPr>
        <w:pStyle w:val="15"/>
        <w:ind w:firstLine="542"/>
        <w:rPr>
          <w:highlight w:val="none"/>
        </w:rPr>
      </w:pPr>
    </w:p>
    <w:bookmarkEnd w:id="24"/>
    <w:bookmarkEnd w:id="25"/>
    <w:p w14:paraId="6221A6D9">
      <w:pPr>
        <w:pStyle w:val="6"/>
        <w:spacing w:line="500" w:lineRule="exact"/>
        <w:jc w:val="center"/>
        <w:rPr>
          <w:rFonts w:ascii="宋体" w:hAnsi="宋体" w:eastAsia="宋体" w:cs="宋体"/>
          <w:sz w:val="24"/>
          <w:szCs w:val="24"/>
          <w:highlight w:val="none"/>
        </w:rPr>
      </w:pPr>
      <w:bookmarkStart w:id="28" w:name="_Toc221374625"/>
      <w:bookmarkStart w:id="29" w:name="_Toc241404201"/>
      <w:bookmarkStart w:id="30" w:name="_Toc30945"/>
      <w:bookmarkStart w:id="31" w:name="_Toc223715997"/>
      <w:bookmarkStart w:id="32" w:name="_Toc222114878"/>
      <w:bookmarkStart w:id="33" w:name="_Toc265529382"/>
      <w:bookmarkStart w:id="34" w:name="_Toc239145353"/>
      <w:bookmarkStart w:id="35" w:name="_Toc221356950"/>
      <w:bookmarkStart w:id="36" w:name="_Toc221423618"/>
      <w:bookmarkStart w:id="37" w:name="_Toc221356885"/>
      <w:r>
        <w:rPr>
          <w:rFonts w:hint="eastAsia" w:ascii="宋体" w:hAnsi="宋体" w:eastAsia="宋体" w:cs="宋体"/>
          <w:sz w:val="24"/>
          <w:szCs w:val="24"/>
          <w:highlight w:val="none"/>
        </w:rPr>
        <w:t>一、  说明</w:t>
      </w:r>
    </w:p>
    <w:p w14:paraId="0FDF0542">
      <w:pPr>
        <w:tabs>
          <w:tab w:val="left" w:pos="540"/>
          <w:tab w:val="left" w:pos="900"/>
        </w:tabs>
        <w:spacing w:line="460" w:lineRule="exact"/>
        <w:rPr>
          <w:rFonts w:ascii="宋体" w:hAnsi="宋体" w:cs="宋体"/>
          <w:sz w:val="22"/>
          <w:szCs w:val="22"/>
          <w:highlight w:val="none"/>
        </w:rPr>
      </w:pPr>
      <w:r>
        <w:rPr>
          <w:rFonts w:hint="eastAsia" w:ascii="宋体" w:hAnsi="宋体" w:cs="宋体"/>
          <w:sz w:val="22"/>
          <w:szCs w:val="22"/>
          <w:highlight w:val="none"/>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6FDC9EE2">
      <w:pPr>
        <w:tabs>
          <w:tab w:val="left" w:pos="540"/>
          <w:tab w:val="left" w:pos="900"/>
        </w:tabs>
        <w:spacing w:line="460" w:lineRule="exact"/>
        <w:rPr>
          <w:rFonts w:ascii="宋体" w:hAnsi="宋体" w:cs="宋体"/>
          <w:b/>
          <w:sz w:val="22"/>
          <w:szCs w:val="22"/>
          <w:highlight w:val="none"/>
        </w:rPr>
      </w:pPr>
      <w:r>
        <w:rPr>
          <w:rFonts w:hint="eastAsia" w:ascii="宋体" w:hAnsi="宋体" w:cs="宋体"/>
          <w:b/>
          <w:sz w:val="22"/>
          <w:szCs w:val="22"/>
          <w:highlight w:val="none"/>
        </w:rPr>
        <w:t>2.合格投标人要求以采购公告对投标人资格条件要求的表述为准。</w:t>
      </w:r>
    </w:p>
    <w:p w14:paraId="6578472F">
      <w:pPr>
        <w:tabs>
          <w:tab w:val="left" w:pos="540"/>
          <w:tab w:val="left" w:pos="900"/>
        </w:tabs>
        <w:spacing w:line="460" w:lineRule="exact"/>
        <w:rPr>
          <w:rFonts w:ascii="宋体" w:hAnsi="宋体" w:cs="宋体"/>
          <w:sz w:val="22"/>
          <w:szCs w:val="22"/>
          <w:highlight w:val="none"/>
        </w:rPr>
      </w:pPr>
      <w:r>
        <w:rPr>
          <w:rFonts w:hint="eastAsia" w:ascii="宋体" w:hAnsi="宋体" w:cs="宋体"/>
          <w:sz w:val="22"/>
          <w:szCs w:val="22"/>
          <w:highlight w:val="none"/>
        </w:rPr>
        <w:t>3.投标人代表</w:t>
      </w:r>
    </w:p>
    <w:p w14:paraId="6ACDC684">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指全权代表投标人参加投标活动并签署投标文件的人。如果投标人代表不是法定代表人，须持有《法定代表人授权书》。</w:t>
      </w:r>
    </w:p>
    <w:p w14:paraId="3DD7CBAA">
      <w:pPr>
        <w:tabs>
          <w:tab w:val="left" w:pos="540"/>
          <w:tab w:val="left" w:pos="900"/>
        </w:tabs>
        <w:spacing w:line="460" w:lineRule="exact"/>
        <w:rPr>
          <w:rFonts w:ascii="宋体" w:hAnsi="宋体" w:cs="宋体"/>
          <w:sz w:val="22"/>
          <w:szCs w:val="22"/>
          <w:highlight w:val="none"/>
        </w:rPr>
      </w:pPr>
      <w:r>
        <w:rPr>
          <w:rFonts w:hint="eastAsia" w:ascii="宋体" w:hAnsi="宋体" w:cs="宋体"/>
          <w:sz w:val="22"/>
          <w:szCs w:val="22"/>
          <w:highlight w:val="none"/>
        </w:rPr>
        <w:t>4.投标费用</w:t>
      </w:r>
    </w:p>
    <w:p w14:paraId="01EB9071">
      <w:pPr>
        <w:spacing w:line="440" w:lineRule="exact"/>
        <w:rPr>
          <w:rFonts w:ascii="宋体" w:hAnsi="宋体" w:cs="宋体"/>
          <w:sz w:val="22"/>
          <w:szCs w:val="22"/>
          <w:highlight w:val="none"/>
        </w:rPr>
      </w:pPr>
      <w:r>
        <w:rPr>
          <w:rFonts w:hint="eastAsia" w:ascii="宋体" w:hAnsi="宋体" w:cs="宋体"/>
          <w:sz w:val="22"/>
          <w:szCs w:val="22"/>
          <w:highlight w:val="none"/>
        </w:rPr>
        <w:t>4.1投标人应承担所有与准备和参加投标有关费用，不论投标的结果如何，采购人和采购代理机构均无义务和责任承担这些费用。</w:t>
      </w:r>
    </w:p>
    <w:p w14:paraId="44A1425B">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5.优化政府采购金融服务</w:t>
      </w:r>
    </w:p>
    <w:p w14:paraId="3113EDFE">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16E74776">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6B180127">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6.特别说明：</w:t>
      </w:r>
    </w:p>
    <w:p w14:paraId="4E58DAC7">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6.1投标人应仔细阅读采购文件的所有内容，按照采购文件的要求提交投标文件，并对所提供的全部资料的真实性承担法律责任。</w:t>
      </w:r>
    </w:p>
    <w:p w14:paraId="6C975462">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45B99BB0">
      <w:pPr>
        <w:spacing w:line="400" w:lineRule="exact"/>
        <w:ind w:firstLine="464" w:firstLineChars="200"/>
        <w:rPr>
          <w:rFonts w:ascii="宋体" w:hAnsi="宋体" w:cs="宋体"/>
          <w:bCs/>
          <w:spacing w:val="6"/>
          <w:sz w:val="22"/>
          <w:highlight w:val="none"/>
        </w:rPr>
      </w:pPr>
      <w:r>
        <w:rPr>
          <w:rFonts w:hint="eastAsia" w:ascii="宋体" w:hAnsi="宋体" w:cs="宋体"/>
          <w:bCs/>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6CAAE365">
      <w:pPr>
        <w:spacing w:line="400" w:lineRule="exact"/>
        <w:ind w:firstLine="464" w:firstLineChars="200"/>
        <w:rPr>
          <w:rFonts w:ascii="宋体" w:hAnsi="宋体" w:cs="宋体"/>
          <w:bCs/>
          <w:spacing w:val="6"/>
          <w:sz w:val="22"/>
          <w:highlight w:val="none"/>
        </w:rPr>
      </w:pPr>
      <w:r>
        <w:rPr>
          <w:rFonts w:hint="eastAsia" w:ascii="宋体" w:hAnsi="宋体" w:cs="宋体"/>
          <w:bCs/>
          <w:spacing w:val="6"/>
          <w:sz w:val="22"/>
          <w:szCs w:val="22"/>
          <w:highlight w:val="none"/>
        </w:rPr>
        <w:t>注：所有核心产品品牌均相同按同品牌投标人计算。</w:t>
      </w:r>
    </w:p>
    <w:p w14:paraId="424850A2">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AB81FBA">
      <w:pPr>
        <w:spacing w:line="400" w:lineRule="exact"/>
        <w:rPr>
          <w:rFonts w:ascii="宋体" w:hAnsi="宋体" w:cs="宋体"/>
          <w:bCs/>
          <w:spacing w:val="6"/>
          <w:sz w:val="22"/>
          <w:highlight w:val="none"/>
        </w:rPr>
      </w:pPr>
      <w:r>
        <w:rPr>
          <w:rFonts w:hint="eastAsia" w:ascii="宋体" w:hAnsi="宋体" w:cs="宋体"/>
          <w:bCs/>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8BF10D3">
      <w:pPr>
        <w:spacing w:line="460" w:lineRule="exact"/>
        <w:rPr>
          <w:rFonts w:ascii="宋体" w:hAnsi="宋体" w:cs="宋体"/>
          <w:sz w:val="22"/>
          <w:szCs w:val="22"/>
          <w:highlight w:val="none"/>
        </w:rPr>
      </w:pPr>
      <w:r>
        <w:rPr>
          <w:rFonts w:hint="eastAsia" w:ascii="宋体" w:hAnsi="宋体" w:cs="宋体"/>
          <w:bCs/>
          <w:spacing w:val="6"/>
          <w:sz w:val="22"/>
          <w:szCs w:val="22"/>
          <w:highlight w:val="none"/>
        </w:rPr>
        <w:t>6.5</w:t>
      </w:r>
      <w:r>
        <w:rPr>
          <w:rFonts w:hint="eastAsia" w:ascii="宋体" w:hAnsi="宋体" w:cs="宋体"/>
          <w:bCs/>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0B864A0B">
      <w:pPr>
        <w:pStyle w:val="6"/>
        <w:spacing w:line="500" w:lineRule="exact"/>
        <w:jc w:val="center"/>
        <w:rPr>
          <w:rFonts w:ascii="宋体" w:hAnsi="宋体" w:eastAsia="宋体" w:cs="宋体"/>
          <w:sz w:val="24"/>
          <w:szCs w:val="24"/>
          <w:highlight w:val="none"/>
        </w:rPr>
      </w:pPr>
      <w:bookmarkStart w:id="38" w:name="_Toc24916"/>
      <w:bookmarkStart w:id="39" w:name="_Toc221356884"/>
      <w:bookmarkStart w:id="40" w:name="_Toc221423617"/>
      <w:bookmarkStart w:id="41" w:name="_Toc223715996"/>
      <w:bookmarkStart w:id="42" w:name="_Toc34508131"/>
      <w:bookmarkStart w:id="43" w:name="_Toc241404200"/>
      <w:bookmarkStart w:id="44" w:name="_Toc221356949"/>
      <w:bookmarkStart w:id="45" w:name="_Toc222114877"/>
      <w:bookmarkStart w:id="46" w:name="_Toc265529381"/>
      <w:bookmarkStart w:id="47" w:name="_Toc239145352"/>
      <w:bookmarkStart w:id="48" w:name="_Toc221374624"/>
      <w:r>
        <w:rPr>
          <w:rFonts w:hint="eastAsia" w:ascii="宋体" w:hAnsi="宋体" w:eastAsia="宋体" w:cs="宋体"/>
          <w:sz w:val="24"/>
          <w:szCs w:val="24"/>
          <w:highlight w:val="none"/>
        </w:rPr>
        <w:t>二、 采购文件</w:t>
      </w:r>
      <w:bookmarkEnd w:id="38"/>
      <w:bookmarkEnd w:id="39"/>
      <w:bookmarkEnd w:id="40"/>
      <w:bookmarkEnd w:id="41"/>
      <w:bookmarkEnd w:id="42"/>
      <w:bookmarkEnd w:id="43"/>
      <w:bookmarkEnd w:id="44"/>
      <w:bookmarkEnd w:id="45"/>
      <w:bookmarkEnd w:id="46"/>
      <w:bookmarkEnd w:id="47"/>
      <w:bookmarkEnd w:id="48"/>
    </w:p>
    <w:p w14:paraId="53195AE1">
      <w:pPr>
        <w:tabs>
          <w:tab w:val="left" w:pos="540"/>
        </w:tabs>
        <w:spacing w:line="460" w:lineRule="exact"/>
        <w:rPr>
          <w:rFonts w:ascii="宋体" w:hAnsi="宋体" w:cs="宋体"/>
          <w:sz w:val="22"/>
          <w:szCs w:val="22"/>
          <w:highlight w:val="none"/>
        </w:rPr>
      </w:pPr>
      <w:r>
        <w:rPr>
          <w:rFonts w:hint="eastAsia" w:ascii="宋体" w:hAnsi="宋体" w:cs="宋体"/>
          <w:sz w:val="22"/>
          <w:szCs w:val="22"/>
          <w:highlight w:val="none"/>
        </w:rPr>
        <w:t>7.采购文件由采购文件目录所列内容及相关资料组成。</w:t>
      </w:r>
    </w:p>
    <w:p w14:paraId="0A0183B0">
      <w:pPr>
        <w:tabs>
          <w:tab w:val="left" w:pos="540"/>
        </w:tabs>
        <w:spacing w:line="460" w:lineRule="exact"/>
        <w:rPr>
          <w:rFonts w:ascii="宋体" w:hAnsi="宋体" w:cs="宋体"/>
          <w:sz w:val="22"/>
          <w:szCs w:val="22"/>
          <w:highlight w:val="none"/>
        </w:rPr>
      </w:pPr>
      <w:r>
        <w:rPr>
          <w:rFonts w:hint="eastAsia" w:ascii="宋体" w:hAnsi="宋体" w:cs="宋体"/>
          <w:sz w:val="22"/>
          <w:szCs w:val="22"/>
          <w:highlight w:val="none"/>
        </w:rPr>
        <w:t>8.质疑</w:t>
      </w:r>
    </w:p>
    <w:p w14:paraId="2E1C4E63">
      <w:pPr>
        <w:tabs>
          <w:tab w:val="left" w:pos="540"/>
        </w:tabs>
        <w:spacing w:line="460" w:lineRule="exact"/>
        <w:rPr>
          <w:rFonts w:ascii="宋体" w:hAnsi="宋体" w:cs="宋体"/>
          <w:spacing w:val="6"/>
          <w:sz w:val="22"/>
          <w:highlight w:val="none"/>
        </w:rPr>
      </w:pPr>
      <w:r>
        <w:rPr>
          <w:rFonts w:hint="eastAsia" w:ascii="宋体" w:hAnsi="宋体" w:cs="宋体"/>
          <w:sz w:val="22"/>
          <w:szCs w:val="22"/>
          <w:highlight w:val="none"/>
        </w:rPr>
        <w:t>8.1</w:t>
      </w:r>
      <w:r>
        <w:rPr>
          <w:rFonts w:hint="eastAsia" w:ascii="宋体" w:hAnsi="宋体" w:cs="宋体"/>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5AE3C15F">
      <w:pPr>
        <w:tabs>
          <w:tab w:val="left" w:pos="540"/>
        </w:tabs>
        <w:spacing w:line="460" w:lineRule="exact"/>
        <w:rPr>
          <w:rFonts w:ascii="宋体" w:hAnsi="宋体" w:cs="宋体"/>
          <w:spacing w:val="6"/>
          <w:sz w:val="22"/>
          <w:highlight w:val="none"/>
        </w:rPr>
      </w:pPr>
      <w:r>
        <w:rPr>
          <w:rFonts w:hint="eastAsia" w:ascii="宋体" w:hAnsi="宋体" w:cs="宋体"/>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4C662B7D">
      <w:pPr>
        <w:tabs>
          <w:tab w:val="left" w:pos="540"/>
        </w:tabs>
        <w:spacing w:line="460" w:lineRule="exact"/>
        <w:rPr>
          <w:rFonts w:ascii="宋体" w:hAnsi="宋体" w:cs="宋体"/>
          <w:bCs/>
          <w:spacing w:val="6"/>
          <w:sz w:val="22"/>
          <w:highlight w:val="none"/>
        </w:rPr>
      </w:pPr>
      <w:r>
        <w:rPr>
          <w:rFonts w:hint="eastAsia" w:ascii="宋体" w:hAnsi="宋体" w:cs="宋体"/>
          <w:spacing w:val="6"/>
          <w:sz w:val="22"/>
          <w:highlight w:val="none"/>
        </w:rPr>
        <w:t>8.3提出质疑的投标人应当是参与本项目采购活动的投标人。</w:t>
      </w:r>
      <w:r>
        <w:rPr>
          <w:rFonts w:hint="eastAsia" w:ascii="宋体" w:hAnsi="宋体" w:cs="宋体"/>
          <w:bCs/>
          <w:spacing w:val="6"/>
          <w:sz w:val="22"/>
          <w:highlight w:val="none"/>
        </w:rPr>
        <w:t>投标人在法定质疑期内一次性提出针对同一采购程序环节的质疑。</w:t>
      </w:r>
    </w:p>
    <w:p w14:paraId="401D2464">
      <w:pPr>
        <w:tabs>
          <w:tab w:val="left" w:pos="540"/>
        </w:tabs>
        <w:spacing w:line="460" w:lineRule="exact"/>
        <w:rPr>
          <w:rFonts w:ascii="宋体" w:hAnsi="宋体" w:cs="宋体"/>
          <w:spacing w:val="6"/>
          <w:sz w:val="22"/>
          <w:highlight w:val="none"/>
        </w:rPr>
      </w:pPr>
      <w:r>
        <w:rPr>
          <w:rFonts w:hint="eastAsia" w:ascii="宋体" w:hAnsi="宋体" w:cs="宋体"/>
          <w:bCs/>
          <w:spacing w:val="6"/>
          <w:sz w:val="22"/>
          <w:highlight w:val="none"/>
        </w:rPr>
        <w:t>8.4</w:t>
      </w:r>
      <w:r>
        <w:rPr>
          <w:rFonts w:hint="eastAsia" w:ascii="宋体" w:hAnsi="宋体" w:cs="宋体"/>
          <w:spacing w:val="6"/>
          <w:sz w:val="22"/>
          <w:highlight w:val="none"/>
        </w:rPr>
        <w:t>根据《政府采购质疑和投诉办法》第三十七条的规定，投诉人在全国范围12个月内三次以上投诉查无实据的，由财政部门列入不良行为记录名单。</w:t>
      </w:r>
    </w:p>
    <w:p w14:paraId="677CA817">
      <w:pPr>
        <w:tabs>
          <w:tab w:val="left" w:pos="540"/>
        </w:tabs>
        <w:spacing w:line="460" w:lineRule="exact"/>
        <w:rPr>
          <w:rFonts w:ascii="宋体" w:hAnsi="宋体" w:cs="宋体"/>
          <w:spacing w:val="6"/>
          <w:sz w:val="22"/>
          <w:highlight w:val="none"/>
        </w:rPr>
      </w:pPr>
      <w:r>
        <w:rPr>
          <w:rFonts w:hint="eastAsia" w:ascii="宋体" w:hAnsi="宋体" w:cs="宋体"/>
          <w:spacing w:val="6"/>
          <w:sz w:val="22"/>
          <w:highlight w:val="none"/>
        </w:rPr>
        <w:t>9.投诉</w:t>
      </w:r>
    </w:p>
    <w:p w14:paraId="0316480D">
      <w:pPr>
        <w:tabs>
          <w:tab w:val="left" w:pos="540"/>
        </w:tabs>
        <w:spacing w:line="460" w:lineRule="exact"/>
        <w:rPr>
          <w:rFonts w:ascii="宋体" w:hAnsi="宋体" w:cs="宋体"/>
          <w:sz w:val="22"/>
          <w:szCs w:val="22"/>
          <w:highlight w:val="none"/>
        </w:rPr>
      </w:pPr>
      <w:r>
        <w:rPr>
          <w:rFonts w:hint="eastAsia" w:ascii="宋体" w:hAnsi="宋体" w:cs="宋体"/>
          <w:spacing w:val="6"/>
          <w:sz w:val="22"/>
          <w:highlight w:val="none"/>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12F47D9C">
      <w:pPr>
        <w:tabs>
          <w:tab w:val="left" w:pos="540"/>
        </w:tabs>
        <w:spacing w:line="460" w:lineRule="exact"/>
        <w:rPr>
          <w:rFonts w:ascii="宋体" w:hAnsi="宋体" w:cs="宋体"/>
          <w:sz w:val="22"/>
          <w:szCs w:val="22"/>
          <w:highlight w:val="none"/>
        </w:rPr>
      </w:pPr>
      <w:r>
        <w:rPr>
          <w:rFonts w:hint="eastAsia" w:ascii="宋体" w:hAnsi="宋体" w:cs="宋体"/>
          <w:sz w:val="22"/>
          <w:szCs w:val="22"/>
          <w:highlight w:val="none"/>
        </w:rPr>
        <w:t>10.采购文件的澄清或修改</w:t>
      </w:r>
    </w:p>
    <w:p w14:paraId="4C294039">
      <w:pPr>
        <w:spacing w:line="400" w:lineRule="exact"/>
        <w:rPr>
          <w:rFonts w:ascii="宋体" w:hAnsi="宋体" w:cs="宋体"/>
          <w:spacing w:val="6"/>
          <w:sz w:val="22"/>
          <w:highlight w:val="none"/>
        </w:rPr>
      </w:pPr>
      <w:r>
        <w:rPr>
          <w:rFonts w:hint="eastAsia" w:ascii="宋体" w:hAnsi="宋体" w:cs="宋体"/>
          <w:spacing w:val="6"/>
          <w:sz w:val="22"/>
          <w:highlight w:val="none"/>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0513FBC4">
      <w:pPr>
        <w:spacing w:line="400" w:lineRule="exact"/>
        <w:rPr>
          <w:rFonts w:ascii="宋体" w:hAnsi="宋体" w:cs="宋体"/>
          <w:spacing w:val="6"/>
          <w:sz w:val="22"/>
          <w:highlight w:val="none"/>
        </w:rPr>
      </w:pPr>
      <w:r>
        <w:rPr>
          <w:rFonts w:hint="eastAsia" w:ascii="宋体" w:hAnsi="宋体" w:cs="宋体"/>
          <w:spacing w:val="6"/>
          <w:sz w:val="22"/>
          <w:highlight w:val="none"/>
        </w:rPr>
        <w:t>10.2澄清或者修改的内容可能影响投标文件编制的，采购人或者采购代理机构应当在投标截止时间至少15日前，以书面形式（</w:t>
      </w:r>
      <w:r>
        <w:rPr>
          <w:rFonts w:hint="eastAsia" w:ascii="宋体" w:hAnsi="宋体" w:cs="宋体"/>
          <w:bCs/>
          <w:spacing w:val="6"/>
          <w:highlight w:val="none"/>
        </w:rPr>
        <w:t>在浙江政府采购网上发布公告</w:t>
      </w:r>
      <w:r>
        <w:rPr>
          <w:rFonts w:hint="eastAsia" w:ascii="宋体" w:hAnsi="宋体" w:cs="宋体"/>
          <w:spacing w:val="6"/>
          <w:sz w:val="22"/>
          <w:highlight w:val="none"/>
        </w:rPr>
        <w:t>）通知所有获取采购文件的潜在投标人；不足15日的，采购人或者采购代理机构应当顺延提交投标文件的截止时间。</w:t>
      </w:r>
    </w:p>
    <w:p w14:paraId="2051B5AC">
      <w:pPr>
        <w:tabs>
          <w:tab w:val="left" w:pos="540"/>
        </w:tabs>
        <w:spacing w:line="460" w:lineRule="exact"/>
        <w:rPr>
          <w:rFonts w:ascii="宋体" w:hAnsi="宋体" w:cs="宋体"/>
          <w:sz w:val="22"/>
          <w:szCs w:val="22"/>
          <w:highlight w:val="none"/>
        </w:rPr>
      </w:pPr>
      <w:r>
        <w:rPr>
          <w:rFonts w:hint="eastAsia" w:ascii="宋体" w:hAnsi="宋体" w:cs="宋体"/>
          <w:spacing w:val="6"/>
          <w:sz w:val="22"/>
          <w:highlight w:val="none"/>
        </w:rPr>
        <w:t>10.3采购文件如有补充更正均见“政采云”（http://www.zcygov.cn）。投标人须在开标前一日自行查看是否有补充更正文件，并按补充更正文件要求投标，否则责任自负。</w:t>
      </w:r>
    </w:p>
    <w:p w14:paraId="0B418ED5">
      <w:pPr>
        <w:pStyle w:val="10"/>
        <w:ind w:left="0" w:leftChars="0" w:firstLine="0" w:firstLineChars="0"/>
        <w:rPr>
          <w:rFonts w:ascii="宋体" w:hAnsi="宋体" w:eastAsia="宋体" w:cs="宋体"/>
          <w:highlight w:val="none"/>
        </w:rPr>
      </w:pPr>
    </w:p>
    <w:p w14:paraId="34A6547B">
      <w:pPr>
        <w:pStyle w:val="6"/>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 电子投标文件的编制</w:t>
      </w:r>
      <w:bookmarkEnd w:id="28"/>
      <w:bookmarkEnd w:id="29"/>
      <w:bookmarkEnd w:id="30"/>
      <w:bookmarkEnd w:id="31"/>
      <w:bookmarkEnd w:id="32"/>
      <w:bookmarkEnd w:id="33"/>
      <w:bookmarkEnd w:id="34"/>
      <w:bookmarkEnd w:id="35"/>
      <w:bookmarkEnd w:id="36"/>
      <w:bookmarkEnd w:id="37"/>
    </w:p>
    <w:p w14:paraId="40403A3A">
      <w:pPr>
        <w:spacing w:line="440" w:lineRule="exact"/>
        <w:rPr>
          <w:rFonts w:ascii="宋体" w:hAnsi="宋体" w:cs="宋体"/>
          <w:snapToGrid w:val="0"/>
          <w:sz w:val="22"/>
          <w:szCs w:val="22"/>
          <w:highlight w:val="none"/>
        </w:rPr>
      </w:pPr>
      <w:r>
        <w:rPr>
          <w:rFonts w:hint="eastAsia" w:ascii="宋体" w:hAnsi="宋体" w:cs="宋体"/>
          <w:snapToGrid w:val="0"/>
          <w:sz w:val="22"/>
          <w:szCs w:val="22"/>
          <w:highlight w:val="none"/>
        </w:rPr>
        <w:t>11. 投标文件的形式和效力</w:t>
      </w:r>
    </w:p>
    <w:p w14:paraId="26BB3D46">
      <w:pPr>
        <w:spacing w:line="440" w:lineRule="exact"/>
        <w:rPr>
          <w:rFonts w:ascii="宋体" w:hAnsi="宋体" w:cs="宋体"/>
          <w:snapToGrid w:val="0"/>
          <w:sz w:val="22"/>
          <w:szCs w:val="22"/>
          <w:highlight w:val="none"/>
        </w:rPr>
      </w:pPr>
      <w:r>
        <w:rPr>
          <w:rFonts w:hint="eastAsia" w:ascii="宋体" w:hAnsi="宋体" w:cs="宋体"/>
          <w:snapToGrid w:val="0"/>
          <w:sz w:val="22"/>
          <w:szCs w:val="22"/>
          <w:highlight w:val="none"/>
        </w:rPr>
        <w:t>11.1电子投标文件分为 “电子加密投标文件”和“备份投标文件”两类，在投标文件编制完成后同时生成。</w:t>
      </w:r>
    </w:p>
    <w:p w14:paraId="1F189B38">
      <w:pPr>
        <w:spacing w:line="440" w:lineRule="exact"/>
        <w:rPr>
          <w:rFonts w:ascii="宋体" w:hAnsi="宋体" w:cs="宋体"/>
          <w:snapToGrid w:val="0"/>
          <w:sz w:val="22"/>
          <w:szCs w:val="22"/>
          <w:highlight w:val="none"/>
        </w:rPr>
      </w:pPr>
      <w:r>
        <w:rPr>
          <w:rFonts w:hint="eastAsia" w:ascii="宋体" w:hAnsi="宋体" w:cs="宋体"/>
          <w:snapToGrid w:val="0"/>
          <w:sz w:val="22"/>
          <w:szCs w:val="22"/>
          <w:highlight w:val="none"/>
        </w:rPr>
        <w:t>11.2“电子加密投标文件”是指通过“政采云电子交易客户端”完成投标文件编制后生成并加密的数据电文形式的投标文件。</w:t>
      </w:r>
    </w:p>
    <w:p w14:paraId="4F010020">
      <w:pPr>
        <w:spacing w:line="440" w:lineRule="exact"/>
        <w:rPr>
          <w:rFonts w:ascii="宋体" w:hAnsi="宋体" w:cs="宋体"/>
          <w:snapToGrid w:val="0"/>
          <w:sz w:val="22"/>
          <w:szCs w:val="22"/>
          <w:highlight w:val="none"/>
        </w:rPr>
      </w:pPr>
      <w:r>
        <w:rPr>
          <w:rFonts w:hint="eastAsia" w:ascii="宋体" w:hAnsi="宋体" w:cs="宋体"/>
          <w:snapToGrid w:val="0"/>
          <w:sz w:val="22"/>
          <w:szCs w:val="22"/>
          <w:highlight w:val="none"/>
        </w:rPr>
        <w:t>11.3“备份投标文件”是指与“电子加密投标文件”同时生成的数据电文形式的电子文件（备份标书），其他方式编制的备份投标文件视为无效备份投标文件。</w:t>
      </w:r>
    </w:p>
    <w:p w14:paraId="67501046">
      <w:pPr>
        <w:spacing w:line="440" w:lineRule="exact"/>
        <w:rPr>
          <w:rFonts w:ascii="宋体" w:hAnsi="宋体" w:cs="宋体"/>
          <w:snapToGrid w:val="0"/>
          <w:sz w:val="22"/>
          <w:szCs w:val="22"/>
          <w:highlight w:val="none"/>
        </w:rPr>
      </w:pPr>
      <w:r>
        <w:rPr>
          <w:rFonts w:hint="eastAsia" w:ascii="宋体" w:hAnsi="宋体" w:cs="宋体"/>
          <w:snapToGrid w:val="0"/>
          <w:sz w:val="22"/>
          <w:szCs w:val="22"/>
          <w:highlight w:val="none"/>
        </w:rPr>
        <w:t>11.4投标文件的启用，按先后顺位分别为“电子加密投标文件”、 “备份投标文件”。在下一顺位的投标文件启用时，前一顺位的投标文件自动失效。</w:t>
      </w:r>
    </w:p>
    <w:p w14:paraId="5B4665EA">
      <w:pPr>
        <w:spacing w:line="440" w:lineRule="exact"/>
        <w:rPr>
          <w:rFonts w:ascii="宋体" w:hAnsi="宋体" w:cs="宋体"/>
          <w:snapToGrid w:val="0"/>
          <w:sz w:val="22"/>
          <w:szCs w:val="22"/>
          <w:highlight w:val="none"/>
        </w:rPr>
      </w:pPr>
      <w:r>
        <w:rPr>
          <w:rFonts w:hint="eastAsia" w:ascii="宋体" w:hAnsi="宋体" w:cs="宋体"/>
          <w:snapToGrid w:val="0"/>
          <w:sz w:val="22"/>
          <w:szCs w:val="22"/>
          <w:highlight w:val="none"/>
        </w:rPr>
        <w:t>12. 投标文件的构成</w:t>
      </w:r>
    </w:p>
    <w:p w14:paraId="25574CDF">
      <w:pPr>
        <w:spacing w:line="360" w:lineRule="auto"/>
        <w:rPr>
          <w:rFonts w:hint="eastAsia" w:ascii="宋体" w:hAnsi="宋体" w:eastAsia="宋体" w:cs="宋体"/>
          <w:b/>
          <w:szCs w:val="21"/>
          <w:highlight w:val="none"/>
        </w:rPr>
      </w:pPr>
      <w:r>
        <w:rPr>
          <w:rFonts w:hint="eastAsia" w:ascii="宋体" w:hAnsi="宋体" w:cs="宋体"/>
          <w:b/>
          <w:bCs/>
          <w:sz w:val="22"/>
          <w:szCs w:val="22"/>
          <w:highlight w:val="none"/>
        </w:rPr>
        <w:t>12.1 投标文件包括资格审查资料、商务技术文件、报价文件</w:t>
      </w:r>
      <w:r>
        <w:rPr>
          <w:rFonts w:hint="eastAsia" w:ascii="宋体" w:hAnsi="宋体" w:cs="宋体"/>
          <w:b/>
          <w:bCs/>
          <w:sz w:val="22"/>
          <w:szCs w:val="22"/>
          <w:highlight w:val="none"/>
          <w:lang w:eastAsia="zh-CN"/>
        </w:rPr>
        <w:t>、</w:t>
      </w:r>
      <w:r>
        <w:rPr>
          <w:rFonts w:hint="eastAsia" w:ascii="宋体" w:hAnsi="宋体" w:cs="宋体"/>
          <w:b/>
          <w:bCs/>
          <w:kern w:val="0"/>
          <w:sz w:val="22"/>
          <w:szCs w:val="22"/>
          <w:highlight w:val="none"/>
          <w:lang w:val="zh-CN"/>
        </w:rPr>
        <w:t>功能演示文件</w:t>
      </w:r>
      <w:r>
        <w:rPr>
          <w:rFonts w:hint="eastAsia"/>
          <w:b/>
          <w:bCs/>
          <w:sz w:val="22"/>
          <w:szCs w:val="22"/>
          <w:highlight w:val="none"/>
        </w:rPr>
        <w:t>（如有）</w:t>
      </w:r>
      <w:r>
        <w:rPr>
          <w:rFonts w:hint="eastAsia" w:ascii="宋体" w:hAnsi="宋体" w:cs="宋体"/>
          <w:b/>
          <w:bCs/>
          <w:sz w:val="22"/>
          <w:szCs w:val="22"/>
          <w:highlight w:val="none"/>
        </w:rPr>
        <w:t>。</w:t>
      </w:r>
    </w:p>
    <w:p w14:paraId="3094D8CE">
      <w:pPr>
        <w:spacing w:line="430" w:lineRule="exact"/>
        <w:rPr>
          <w:rFonts w:ascii="宋体" w:hAnsi="宋体" w:cs="宋体"/>
          <w:b/>
          <w:bCs/>
          <w:sz w:val="22"/>
          <w:szCs w:val="22"/>
          <w:highlight w:val="none"/>
        </w:rPr>
      </w:pPr>
      <w:r>
        <w:rPr>
          <w:rFonts w:hint="eastAsia" w:ascii="宋体" w:hAnsi="宋体" w:cs="宋体"/>
          <w:b/>
          <w:bCs/>
          <w:sz w:val="22"/>
          <w:szCs w:val="22"/>
          <w:highlight w:val="none"/>
        </w:rPr>
        <w:t>12.2 资格审查资料须包括下列部分：</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54A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9" w:type="dxa"/>
            <w:vAlign w:val="center"/>
          </w:tcPr>
          <w:p w14:paraId="2552876F">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序号</w:t>
            </w:r>
          </w:p>
        </w:tc>
        <w:tc>
          <w:tcPr>
            <w:tcW w:w="9115" w:type="dxa"/>
            <w:vAlign w:val="center"/>
          </w:tcPr>
          <w:p w14:paraId="51471FC7">
            <w:pPr>
              <w:overflowPunct w:val="0"/>
              <w:spacing w:line="430" w:lineRule="exact"/>
              <w:jc w:val="center"/>
              <w:rPr>
                <w:rFonts w:ascii="宋体" w:hAnsi="宋体" w:cs="宋体"/>
                <w:b/>
                <w:sz w:val="22"/>
                <w:szCs w:val="22"/>
                <w:highlight w:val="none"/>
              </w:rPr>
            </w:pPr>
            <w:r>
              <w:rPr>
                <w:rFonts w:hint="eastAsia" w:ascii="宋体" w:hAnsi="宋体" w:cs="宋体"/>
                <w:b/>
                <w:sz w:val="22"/>
                <w:szCs w:val="22"/>
                <w:highlight w:val="none"/>
              </w:rPr>
              <w:t>内 容</w:t>
            </w:r>
          </w:p>
        </w:tc>
      </w:tr>
      <w:tr w14:paraId="0E75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39" w:type="dxa"/>
            <w:tcBorders>
              <w:top w:val="single" w:color="auto" w:sz="4" w:space="0"/>
              <w:left w:val="single" w:color="auto" w:sz="4" w:space="0"/>
              <w:bottom w:val="single" w:color="auto" w:sz="4" w:space="0"/>
              <w:right w:val="single" w:color="auto" w:sz="4" w:space="0"/>
            </w:tcBorders>
            <w:vAlign w:val="center"/>
          </w:tcPr>
          <w:p w14:paraId="76ECD200">
            <w:pPr>
              <w:overflowPunct w:val="0"/>
              <w:spacing w:line="430" w:lineRule="exact"/>
              <w:jc w:val="center"/>
              <w:rPr>
                <w:rFonts w:ascii="宋体" w:hAnsi="宋体" w:cs="宋体"/>
                <w:bCs/>
                <w:sz w:val="22"/>
                <w:szCs w:val="22"/>
                <w:highlight w:val="none"/>
              </w:rPr>
            </w:pPr>
            <w:bookmarkStart w:id="49" w:name="_Hlk16667472"/>
            <w:r>
              <w:rPr>
                <w:rFonts w:hint="eastAsia" w:ascii="宋体" w:hAnsi="宋体" w:cs="宋体"/>
                <w:bCs/>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6F8BF24F">
            <w:pPr>
              <w:autoSpaceDE w:val="0"/>
              <w:autoSpaceDN w:val="0"/>
              <w:adjustRightInd w:val="0"/>
              <w:snapToGrid w:val="0"/>
              <w:rPr>
                <w:rFonts w:ascii="宋体" w:hAnsi="宋体" w:cs="宋体"/>
                <w:kern w:val="0"/>
                <w:sz w:val="22"/>
                <w:szCs w:val="22"/>
                <w:highlight w:val="none"/>
              </w:rPr>
            </w:pPr>
            <w:r>
              <w:rPr>
                <w:rFonts w:hint="eastAsia" w:ascii="宋体" w:hAnsi="宋体" w:eastAsia="宋体" w:cs="宋体"/>
                <w:color w:val="auto"/>
                <w:szCs w:val="21"/>
                <w:highlight w:val="none"/>
              </w:rPr>
              <w:t>有效的法人或者其他组织的营业执照等证明文件（复印件）</w:t>
            </w:r>
          </w:p>
        </w:tc>
      </w:tr>
      <w:tr w14:paraId="392D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1F47D319">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3E8DF4E7">
            <w:pPr>
              <w:autoSpaceDE w:val="0"/>
              <w:autoSpaceDN w:val="0"/>
              <w:adjustRightInd w:val="0"/>
              <w:snapToGrid w:val="0"/>
              <w:rPr>
                <w:rFonts w:ascii="宋体" w:hAnsi="宋体" w:cs="宋体"/>
                <w:kern w:val="0"/>
                <w:sz w:val="22"/>
                <w:szCs w:val="22"/>
                <w:highlight w:val="none"/>
              </w:rPr>
            </w:pPr>
            <w:r>
              <w:rPr>
                <w:rFonts w:hint="eastAsia" w:ascii="宋体" w:hAnsi="宋体" w:eastAsia="宋体" w:cs="宋体"/>
                <w:color w:val="auto"/>
                <w:szCs w:val="21"/>
                <w:highlight w:val="none"/>
              </w:rPr>
              <w:t>法定代表人（负责人）资格声明书/法定代表人（负责人）授权委托书</w:t>
            </w:r>
          </w:p>
        </w:tc>
      </w:tr>
      <w:tr w14:paraId="3CD0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6EBD60C">
            <w:pPr>
              <w:overflowPunct w:val="0"/>
              <w:spacing w:line="430" w:lineRule="exact"/>
              <w:jc w:val="center"/>
              <w:rPr>
                <w:rFonts w:ascii="宋体" w:hAnsi="宋体" w:cs="宋体"/>
                <w:bCs/>
                <w:sz w:val="22"/>
                <w:szCs w:val="22"/>
                <w:highlight w:val="none"/>
              </w:rPr>
            </w:pPr>
            <w:r>
              <w:rPr>
                <w:rFonts w:hint="eastAsia" w:ascii="宋体" w:hAnsi="宋体" w:cs="宋体"/>
                <w:bCs/>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14:paraId="0963EB93">
            <w:pPr>
              <w:autoSpaceDE w:val="0"/>
              <w:autoSpaceDN w:val="0"/>
              <w:adjustRightInd w:val="0"/>
              <w:snapToGrid w:val="0"/>
              <w:rPr>
                <w:rFonts w:ascii="宋体" w:hAnsi="宋体" w:cs="宋体"/>
                <w:bCs/>
                <w:kern w:val="0"/>
                <w:sz w:val="22"/>
                <w:szCs w:val="22"/>
                <w:highlight w:val="none"/>
              </w:rPr>
            </w:pPr>
            <w:r>
              <w:rPr>
                <w:rFonts w:hint="eastAsia" w:ascii="宋体" w:hAnsi="宋体" w:eastAsia="宋体" w:cs="宋体"/>
                <w:color w:val="auto"/>
                <w:szCs w:val="21"/>
                <w:highlight w:val="none"/>
              </w:rPr>
              <w:t>关于符合《中华人民共和国政府采购法》第二十二条规定的承诺函</w:t>
            </w:r>
          </w:p>
        </w:tc>
      </w:tr>
      <w:bookmarkEnd w:id="49"/>
    </w:tbl>
    <w:p w14:paraId="0DF17D6D">
      <w:pPr>
        <w:numPr>
          <w:ilvl w:val="0"/>
          <w:numId w:val="0"/>
        </w:numPr>
        <w:spacing w:line="430" w:lineRule="exact"/>
        <w:rPr>
          <w:rFonts w:ascii="宋体" w:hAnsi="宋体" w:cs="宋体"/>
          <w:sz w:val="22"/>
          <w:szCs w:val="22"/>
          <w:highlight w:val="none"/>
        </w:rPr>
      </w:pPr>
    </w:p>
    <w:p w14:paraId="21B47AC1">
      <w:pPr>
        <w:tabs>
          <w:tab w:val="left" w:pos="4860"/>
        </w:tabs>
        <w:spacing w:line="360" w:lineRule="auto"/>
        <w:ind w:right="1560"/>
        <w:rPr>
          <w:rFonts w:ascii="宋体" w:hAnsi="宋体" w:eastAsia="宋体" w:cs="宋体"/>
          <w:b/>
          <w:sz w:val="22"/>
          <w:szCs w:val="22"/>
          <w:highlight w:val="none"/>
        </w:rPr>
      </w:pPr>
      <w:r>
        <w:rPr>
          <w:rFonts w:hint="eastAsia" w:ascii="宋体" w:hAnsi="宋体" w:eastAsia="宋体" w:cs="宋体"/>
          <w:b/>
          <w:sz w:val="22"/>
          <w:szCs w:val="22"/>
          <w:highlight w:val="none"/>
          <w:lang w:eastAsia="zh-CN"/>
        </w:rPr>
        <w:t>备注</w:t>
      </w:r>
      <w:r>
        <w:rPr>
          <w:rFonts w:hint="eastAsia" w:ascii="宋体" w:hAnsi="宋体" w:eastAsia="宋体" w:cs="宋体"/>
          <w:b/>
          <w:sz w:val="22"/>
          <w:szCs w:val="22"/>
          <w:highlight w:val="none"/>
        </w:rPr>
        <w:t>说明：</w:t>
      </w:r>
    </w:p>
    <w:p w14:paraId="06FCE1CD">
      <w:pPr>
        <w:tabs>
          <w:tab w:val="left" w:pos="4860"/>
        </w:tabs>
        <w:spacing w:line="360" w:lineRule="auto"/>
        <w:ind w:right="100"/>
        <w:rPr>
          <w:rFonts w:ascii="宋体" w:hAnsi="宋体" w:eastAsia="宋体" w:cs="宋体"/>
          <w:b/>
          <w:sz w:val="22"/>
          <w:szCs w:val="22"/>
          <w:highlight w:val="none"/>
        </w:rPr>
      </w:pPr>
      <w:r>
        <w:rPr>
          <w:rFonts w:hint="eastAsia" w:ascii="宋体" w:hAnsi="宋体" w:eastAsia="宋体" w:cs="宋体"/>
          <w:b/>
          <w:sz w:val="22"/>
          <w:szCs w:val="22"/>
          <w:highlight w:val="none"/>
        </w:rPr>
        <w:t>1、如中标，将</w:t>
      </w:r>
      <w:r>
        <w:rPr>
          <w:rFonts w:hint="eastAsia" w:ascii="宋体" w:hAnsi="宋体" w:eastAsia="宋体" w:cs="宋体"/>
          <w:b/>
          <w:szCs w:val="21"/>
          <w:highlight w:val="none"/>
        </w:rPr>
        <w:t>中小企业声明函或残疾人福利性单位（或</w:t>
      </w:r>
      <w:r>
        <w:rPr>
          <w:rFonts w:hint="eastAsia" w:ascii="宋体" w:hAnsi="宋体"/>
          <w:b/>
          <w:color w:val="000000"/>
          <w:spacing w:val="6"/>
          <w:sz w:val="22"/>
          <w:szCs w:val="22"/>
          <w:highlight w:val="none"/>
        </w:rPr>
        <w:t>监狱企业）</w:t>
      </w:r>
      <w:r>
        <w:rPr>
          <w:rFonts w:hint="eastAsia" w:ascii="宋体" w:hAnsi="宋体" w:eastAsia="宋体" w:cs="宋体"/>
          <w:b/>
          <w:sz w:val="22"/>
          <w:szCs w:val="22"/>
          <w:highlight w:val="none"/>
        </w:rPr>
        <w:t>声明函予以公示，接受社会监督；</w:t>
      </w:r>
    </w:p>
    <w:p w14:paraId="150DC009">
      <w:pPr>
        <w:spacing w:line="360" w:lineRule="auto"/>
        <w:ind w:left="20" w:hanging="20" w:hangingChars="9"/>
        <w:rPr>
          <w:rFonts w:ascii="宋体" w:hAnsi="宋体" w:eastAsia="宋体" w:cs="宋体"/>
          <w:bCs/>
          <w:sz w:val="22"/>
          <w:szCs w:val="22"/>
          <w:highlight w:val="none"/>
        </w:rPr>
      </w:pPr>
      <w:r>
        <w:rPr>
          <w:rFonts w:hint="eastAsia" w:ascii="宋体" w:hAnsi="宋体" w:eastAsia="宋体" w:cs="宋体"/>
          <w:b/>
          <w:sz w:val="22"/>
          <w:szCs w:val="22"/>
          <w:highlight w:val="none"/>
        </w:rPr>
        <w:t>2、投标供应商提供的</w:t>
      </w:r>
      <w:r>
        <w:rPr>
          <w:rFonts w:hint="eastAsia" w:ascii="宋体" w:hAnsi="宋体" w:eastAsia="宋体" w:cs="宋体"/>
          <w:b/>
          <w:szCs w:val="21"/>
          <w:highlight w:val="none"/>
        </w:rPr>
        <w:t>声明函</w:t>
      </w:r>
      <w:r>
        <w:rPr>
          <w:rFonts w:hint="eastAsia" w:ascii="宋体" w:hAnsi="宋体" w:eastAsia="宋体" w:cs="宋体"/>
          <w:b/>
          <w:sz w:val="22"/>
          <w:szCs w:val="22"/>
          <w:highlight w:val="none"/>
        </w:rPr>
        <w:t>与事实不符的，依照《政府采购法》第七十七条第一款的规定追究法律责任。</w:t>
      </w:r>
    </w:p>
    <w:p w14:paraId="73E06E7B">
      <w:pPr>
        <w:tabs>
          <w:tab w:val="left" w:pos="4860"/>
        </w:tabs>
        <w:spacing w:line="360" w:lineRule="auto"/>
        <w:ind w:right="100"/>
        <w:rPr>
          <w:highlight w:val="none"/>
        </w:rPr>
      </w:pPr>
      <w:r>
        <w:rPr>
          <w:rFonts w:hint="eastAsia" w:ascii="宋体" w:hAnsi="宋体" w:eastAsia="宋体" w:cs="宋体"/>
          <w:b/>
          <w:sz w:val="22"/>
          <w:szCs w:val="22"/>
          <w:highlight w:val="none"/>
          <w:lang w:val="en-US" w:eastAsia="zh-CN"/>
        </w:rPr>
        <w:t>3、</w:t>
      </w:r>
      <w:r>
        <w:rPr>
          <w:rFonts w:hint="eastAsia" w:ascii="宋体" w:hAnsi="宋体" w:eastAsia="宋体" w:cs="宋体"/>
          <w:b/>
          <w:sz w:val="22"/>
          <w:szCs w:val="22"/>
          <w:highlight w:val="none"/>
        </w:rPr>
        <w:t>以上所需的各种（另有要求除外）证书、证件、执照提供原件扫描件并加盖公章，因提供的资料不清晰所引起的后果，投标供应商责任自负。</w:t>
      </w:r>
    </w:p>
    <w:p w14:paraId="4450E794">
      <w:pPr>
        <w:tabs>
          <w:tab w:val="left" w:pos="360"/>
        </w:tabs>
        <w:spacing w:line="460" w:lineRule="exact"/>
        <w:rPr>
          <w:rFonts w:ascii="宋体" w:hAnsi="宋体" w:cs="宋体"/>
          <w:b/>
          <w:bCs/>
          <w:sz w:val="22"/>
          <w:szCs w:val="22"/>
          <w:highlight w:val="none"/>
        </w:rPr>
      </w:pPr>
      <w:r>
        <w:rPr>
          <w:rFonts w:hint="eastAsia" w:ascii="宋体" w:hAnsi="宋体" w:cs="宋体"/>
          <w:b/>
          <w:bCs/>
          <w:sz w:val="22"/>
          <w:szCs w:val="22"/>
          <w:highlight w:val="none"/>
        </w:rPr>
        <w:t>12.3 商务技术文件应包括下列部分：</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5301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14:paraId="6771134C">
            <w:pPr>
              <w:jc w:val="center"/>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序号</w:t>
            </w:r>
          </w:p>
        </w:tc>
        <w:tc>
          <w:tcPr>
            <w:tcW w:w="9109" w:type="dxa"/>
            <w:vAlign w:val="center"/>
          </w:tcPr>
          <w:p w14:paraId="1D685727">
            <w:pPr>
              <w:jc w:val="center"/>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内容</w:t>
            </w:r>
          </w:p>
        </w:tc>
      </w:tr>
      <w:tr w14:paraId="62EA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769CF54A">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1</w:t>
            </w:r>
          </w:p>
        </w:tc>
        <w:tc>
          <w:tcPr>
            <w:tcW w:w="9109" w:type="dxa"/>
            <w:vAlign w:val="center"/>
          </w:tcPr>
          <w:p w14:paraId="6BBA8118">
            <w:pPr>
              <w:rPr>
                <w:rFonts w:ascii="新宋体" w:hAnsi="新宋体" w:eastAsia="新宋体" w:cs="新宋体"/>
                <w:b/>
                <w:sz w:val="22"/>
                <w:szCs w:val="22"/>
                <w:highlight w:val="none"/>
              </w:rPr>
            </w:pPr>
            <w:r>
              <w:rPr>
                <w:rFonts w:hint="eastAsia" w:ascii="新宋体" w:hAnsi="新宋体" w:eastAsia="新宋体" w:cs="新宋体"/>
                <w:sz w:val="22"/>
                <w:szCs w:val="22"/>
                <w:highlight w:val="none"/>
              </w:rPr>
              <w:t>投标函</w:t>
            </w:r>
          </w:p>
        </w:tc>
      </w:tr>
      <w:tr w14:paraId="7D5D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59B46F4">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2</w:t>
            </w:r>
          </w:p>
        </w:tc>
        <w:tc>
          <w:tcPr>
            <w:tcW w:w="9109" w:type="dxa"/>
            <w:vAlign w:val="center"/>
          </w:tcPr>
          <w:p w14:paraId="07D3780F">
            <w:pPr>
              <w:rPr>
                <w:rFonts w:ascii="新宋体" w:hAnsi="新宋体" w:eastAsia="新宋体" w:cs="新宋体"/>
                <w:b/>
                <w:sz w:val="22"/>
                <w:szCs w:val="22"/>
                <w:highlight w:val="none"/>
              </w:rPr>
            </w:pPr>
            <w:r>
              <w:rPr>
                <w:rFonts w:hint="eastAsia" w:ascii="宋体" w:hAnsi="宋体"/>
                <w:color w:val="auto"/>
                <w:sz w:val="22"/>
                <w:szCs w:val="22"/>
                <w:highlight w:val="none"/>
              </w:rPr>
              <w:t>技术规格、商务条款偏离表</w:t>
            </w:r>
          </w:p>
        </w:tc>
      </w:tr>
      <w:tr w14:paraId="004F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2FD815B7">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3</w:t>
            </w:r>
          </w:p>
        </w:tc>
        <w:tc>
          <w:tcPr>
            <w:tcW w:w="9109" w:type="dxa"/>
            <w:vAlign w:val="center"/>
          </w:tcPr>
          <w:p w14:paraId="0854BBCD">
            <w:pPr>
              <w:rPr>
                <w:rFonts w:ascii="新宋体" w:hAnsi="新宋体" w:eastAsia="新宋体" w:cs="新宋体"/>
                <w:bCs/>
                <w:sz w:val="22"/>
                <w:szCs w:val="22"/>
                <w:highlight w:val="none"/>
              </w:rPr>
            </w:pPr>
            <w:r>
              <w:rPr>
                <w:rFonts w:hint="eastAsia" w:ascii="宋体" w:hAnsi="宋体" w:eastAsia="宋体" w:cs="宋体"/>
                <w:bCs/>
                <w:sz w:val="22"/>
                <w:szCs w:val="22"/>
                <w:highlight w:val="none"/>
              </w:rPr>
              <w:t>诚信投标承诺书</w:t>
            </w:r>
          </w:p>
        </w:tc>
      </w:tr>
      <w:tr w14:paraId="5B6D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B8D363D">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4</w:t>
            </w:r>
          </w:p>
        </w:tc>
        <w:tc>
          <w:tcPr>
            <w:tcW w:w="9109" w:type="dxa"/>
            <w:vAlign w:val="center"/>
          </w:tcPr>
          <w:p w14:paraId="2ED160D2">
            <w:pPr>
              <w:rPr>
                <w:rFonts w:ascii="新宋体" w:hAnsi="新宋体" w:eastAsia="新宋体" w:cs="新宋体"/>
                <w:sz w:val="22"/>
                <w:szCs w:val="22"/>
                <w:highlight w:val="none"/>
              </w:rPr>
            </w:pPr>
            <w:r>
              <w:rPr>
                <w:rFonts w:hint="eastAsia" w:ascii="宋体" w:hAnsi="宋体" w:eastAsia="宋体" w:cs="宋体"/>
                <w:bCs/>
                <w:sz w:val="22"/>
                <w:szCs w:val="22"/>
                <w:highlight w:val="none"/>
              </w:rPr>
              <w:t>企业相关证书</w:t>
            </w:r>
            <w:r>
              <w:rPr>
                <w:rFonts w:hint="eastAsia" w:ascii="宋体" w:hAnsi="宋体" w:eastAsia="宋体" w:cs="宋体"/>
                <w:bCs/>
                <w:sz w:val="22"/>
                <w:szCs w:val="22"/>
                <w:highlight w:val="none"/>
              </w:rPr>
              <w:tab/>
            </w:r>
          </w:p>
        </w:tc>
      </w:tr>
      <w:tr w14:paraId="20D7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A3143B6">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5</w:t>
            </w:r>
          </w:p>
        </w:tc>
        <w:tc>
          <w:tcPr>
            <w:tcW w:w="9109" w:type="dxa"/>
            <w:vAlign w:val="center"/>
          </w:tcPr>
          <w:p w14:paraId="5F5DEAAA">
            <w:pPr>
              <w:rPr>
                <w:rFonts w:ascii="新宋体" w:hAnsi="新宋体" w:eastAsia="新宋体" w:cs="新宋体"/>
                <w:sz w:val="22"/>
                <w:szCs w:val="22"/>
                <w:highlight w:val="none"/>
              </w:rPr>
            </w:pPr>
            <w:r>
              <w:rPr>
                <w:rFonts w:hint="eastAsia" w:ascii="宋体" w:hAnsi="宋体" w:eastAsia="宋体" w:cs="宋体"/>
                <w:bCs/>
                <w:sz w:val="22"/>
                <w:szCs w:val="22"/>
                <w:highlight w:val="none"/>
                <w:lang w:eastAsia="zh-CN"/>
              </w:rPr>
              <w:t>类似</w:t>
            </w:r>
            <w:r>
              <w:rPr>
                <w:rFonts w:hint="eastAsia" w:ascii="宋体" w:hAnsi="宋体" w:eastAsia="宋体" w:cs="宋体"/>
                <w:bCs/>
                <w:sz w:val="22"/>
                <w:szCs w:val="22"/>
                <w:highlight w:val="none"/>
              </w:rPr>
              <w:t>项目业绩</w:t>
            </w:r>
          </w:p>
        </w:tc>
      </w:tr>
      <w:tr w14:paraId="76E6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45" w:type="dxa"/>
            <w:vAlign w:val="center"/>
          </w:tcPr>
          <w:p w14:paraId="17FC6E53">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6</w:t>
            </w:r>
          </w:p>
        </w:tc>
        <w:tc>
          <w:tcPr>
            <w:tcW w:w="9109" w:type="dxa"/>
            <w:vAlign w:val="center"/>
          </w:tcPr>
          <w:p w14:paraId="56A39BDC">
            <w:pPr>
              <w:rPr>
                <w:rFonts w:ascii="新宋体" w:hAnsi="新宋体" w:eastAsia="新宋体" w:cs="新宋体"/>
                <w:sz w:val="22"/>
                <w:szCs w:val="22"/>
                <w:highlight w:val="none"/>
              </w:rPr>
            </w:pPr>
            <w:r>
              <w:rPr>
                <w:rFonts w:hint="eastAsia" w:ascii="宋体" w:hAnsi="宋体" w:eastAsia="宋体" w:cs="宋体"/>
                <w:bCs/>
                <w:sz w:val="22"/>
                <w:szCs w:val="22"/>
                <w:highlight w:val="none"/>
              </w:rPr>
              <w:t>项目负责人情况表</w:t>
            </w:r>
          </w:p>
        </w:tc>
      </w:tr>
      <w:tr w14:paraId="3216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74DCB52F">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7</w:t>
            </w:r>
          </w:p>
        </w:tc>
        <w:tc>
          <w:tcPr>
            <w:tcW w:w="9109" w:type="dxa"/>
            <w:vAlign w:val="center"/>
          </w:tcPr>
          <w:p w14:paraId="23B614EA">
            <w:pPr>
              <w:rPr>
                <w:rFonts w:ascii="新宋体" w:hAnsi="新宋体" w:eastAsia="新宋体" w:cs="宋体"/>
                <w:kern w:val="0"/>
                <w:sz w:val="22"/>
                <w:szCs w:val="22"/>
                <w:highlight w:val="none"/>
              </w:rPr>
            </w:pPr>
            <w:r>
              <w:rPr>
                <w:rFonts w:hint="eastAsia" w:ascii="宋体" w:hAnsi="宋体" w:eastAsia="宋体" w:cs="宋体"/>
                <w:bCs/>
                <w:sz w:val="22"/>
                <w:szCs w:val="22"/>
                <w:highlight w:val="none"/>
              </w:rPr>
              <w:t>项目组其他人员一览表</w:t>
            </w:r>
          </w:p>
        </w:tc>
      </w:tr>
      <w:tr w14:paraId="1C20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06651440">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8</w:t>
            </w:r>
          </w:p>
        </w:tc>
        <w:tc>
          <w:tcPr>
            <w:tcW w:w="9109" w:type="dxa"/>
          </w:tcPr>
          <w:p w14:paraId="3C7CF6A1">
            <w:pPr>
              <w:spacing w:line="380" w:lineRule="exact"/>
              <w:rPr>
                <w:rFonts w:ascii="新宋体" w:hAnsi="新宋体" w:eastAsia="新宋体" w:cs="新宋体"/>
                <w:sz w:val="22"/>
                <w:szCs w:val="22"/>
                <w:highlight w:val="none"/>
              </w:rPr>
            </w:pPr>
            <w:r>
              <w:rPr>
                <w:rFonts w:hint="eastAsia" w:ascii="宋体" w:hAnsi="宋体" w:eastAsia="宋体" w:cs="宋体"/>
                <w:bCs/>
                <w:sz w:val="22"/>
                <w:szCs w:val="22"/>
                <w:highlight w:val="none"/>
              </w:rPr>
              <w:t>拟投入设备、工具一览表</w:t>
            </w:r>
          </w:p>
        </w:tc>
      </w:tr>
      <w:tr w14:paraId="5ED1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57784D9">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9</w:t>
            </w:r>
          </w:p>
        </w:tc>
        <w:tc>
          <w:tcPr>
            <w:tcW w:w="9109" w:type="dxa"/>
          </w:tcPr>
          <w:p w14:paraId="26787321">
            <w:pPr>
              <w:spacing w:line="380" w:lineRule="exact"/>
              <w:rPr>
                <w:rFonts w:ascii="宋体" w:hAnsi="宋体" w:cs="宋体"/>
                <w:sz w:val="22"/>
                <w:highlight w:val="none"/>
              </w:rPr>
            </w:pPr>
            <w:r>
              <w:rPr>
                <w:rFonts w:hint="eastAsia" w:ascii="宋体" w:hAnsi="宋体" w:eastAsia="宋体" w:cs="宋体"/>
                <w:bCs/>
                <w:sz w:val="22"/>
                <w:szCs w:val="22"/>
                <w:highlight w:val="none"/>
              </w:rPr>
              <w:t>人员及设施配备情况</w:t>
            </w:r>
          </w:p>
        </w:tc>
      </w:tr>
      <w:tr w14:paraId="0F2B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14:paraId="0EB32C42">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10</w:t>
            </w:r>
          </w:p>
        </w:tc>
        <w:tc>
          <w:tcPr>
            <w:tcW w:w="9109" w:type="dxa"/>
            <w:vAlign w:val="center"/>
          </w:tcPr>
          <w:p w14:paraId="69C4092F">
            <w:pPr>
              <w:widowControl/>
              <w:adjustRightInd w:val="0"/>
              <w:snapToGrid w:val="0"/>
              <w:spacing w:line="360" w:lineRule="exact"/>
              <w:jc w:val="left"/>
              <w:rPr>
                <w:rFonts w:ascii="宋体" w:hAnsi="宋体" w:cs="宋体"/>
                <w:sz w:val="22"/>
                <w:highlight w:val="none"/>
              </w:rPr>
            </w:pPr>
            <w:r>
              <w:rPr>
                <w:rFonts w:hint="eastAsia" w:ascii="宋体" w:hAnsi="宋体" w:eastAsia="宋体" w:cs="宋体"/>
                <w:bCs/>
                <w:sz w:val="22"/>
                <w:szCs w:val="22"/>
                <w:highlight w:val="none"/>
              </w:rPr>
              <w:t>针对评分细则的服务方案提出的各项方案</w:t>
            </w:r>
          </w:p>
        </w:tc>
      </w:tr>
      <w:tr w14:paraId="4B4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45" w:type="dxa"/>
            <w:vAlign w:val="center"/>
          </w:tcPr>
          <w:p w14:paraId="5B09FC8F">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11</w:t>
            </w:r>
          </w:p>
        </w:tc>
        <w:tc>
          <w:tcPr>
            <w:tcW w:w="9109" w:type="dxa"/>
            <w:vAlign w:val="center"/>
          </w:tcPr>
          <w:p w14:paraId="3934169E">
            <w:pPr>
              <w:spacing w:line="360" w:lineRule="auto"/>
              <w:rPr>
                <w:rFonts w:hint="eastAsia" w:ascii="宋体" w:hAnsi="宋体" w:eastAsia="宋体" w:cs="宋体"/>
                <w:sz w:val="22"/>
                <w:highlight w:val="none"/>
                <w:lang w:eastAsia="zh-CN"/>
              </w:rPr>
            </w:pPr>
            <w:r>
              <w:rPr>
                <w:rFonts w:hint="eastAsia" w:ascii="宋体" w:hAnsi="宋体" w:eastAsia="宋体" w:cs="宋体"/>
                <w:bCs/>
                <w:sz w:val="22"/>
                <w:szCs w:val="22"/>
                <w:highlight w:val="none"/>
              </w:rPr>
              <w:t>投标供应商认为需要提供的其他技术资料</w:t>
            </w:r>
          </w:p>
        </w:tc>
      </w:tr>
    </w:tbl>
    <w:p w14:paraId="6149BC32">
      <w:pPr>
        <w:spacing w:line="430" w:lineRule="exact"/>
        <w:rPr>
          <w:rFonts w:ascii="宋体" w:hAnsi="宋体" w:cs="宋体"/>
          <w:b/>
          <w:sz w:val="22"/>
          <w:szCs w:val="22"/>
          <w:highlight w:val="none"/>
        </w:rPr>
      </w:pPr>
      <w:r>
        <w:rPr>
          <w:rFonts w:hint="eastAsia" w:ascii="宋体" w:hAnsi="宋体" w:cs="宋体"/>
          <w:b/>
          <w:sz w:val="22"/>
          <w:szCs w:val="22"/>
          <w:highlight w:val="none"/>
        </w:rPr>
        <w:t>备注：</w:t>
      </w:r>
    </w:p>
    <w:p w14:paraId="0B5A7829">
      <w:pPr>
        <w:numPr>
          <w:ilvl w:val="0"/>
          <w:numId w:val="6"/>
        </w:numPr>
        <w:spacing w:line="430" w:lineRule="exact"/>
        <w:rPr>
          <w:rFonts w:ascii="宋体" w:hAnsi="宋体" w:cs="宋体"/>
          <w:sz w:val="22"/>
          <w:szCs w:val="22"/>
          <w:highlight w:val="none"/>
        </w:rPr>
      </w:pPr>
      <w:r>
        <w:rPr>
          <w:rFonts w:hint="eastAsia" w:ascii="宋体" w:hAnsi="宋体" w:cs="宋体"/>
          <w:sz w:val="22"/>
          <w:szCs w:val="22"/>
          <w:highlight w:val="none"/>
        </w:rPr>
        <w:t>投标人可根据采购文件中的采购内容及需求和商务技术文件评分细则，提供投标人认为需要提供的文件和资料。</w:t>
      </w:r>
    </w:p>
    <w:p w14:paraId="45F6955D">
      <w:pPr>
        <w:numPr>
          <w:ilvl w:val="0"/>
          <w:numId w:val="6"/>
        </w:numPr>
        <w:spacing w:line="430" w:lineRule="exact"/>
        <w:rPr>
          <w:rFonts w:ascii="宋体" w:hAnsi="宋体" w:cs="宋体"/>
          <w:sz w:val="22"/>
          <w:szCs w:val="22"/>
          <w:highlight w:val="none"/>
        </w:rPr>
      </w:pPr>
      <w:r>
        <w:rPr>
          <w:rFonts w:hint="eastAsia" w:ascii="宋体" w:hAnsi="宋体" w:cs="宋体"/>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39687E38">
      <w:pPr>
        <w:numPr>
          <w:ilvl w:val="0"/>
          <w:numId w:val="6"/>
        </w:numPr>
        <w:spacing w:line="430" w:lineRule="exact"/>
        <w:rPr>
          <w:rFonts w:ascii="宋体" w:hAnsi="宋体" w:cs="宋体"/>
          <w:sz w:val="22"/>
          <w:szCs w:val="22"/>
          <w:highlight w:val="none"/>
        </w:rPr>
      </w:pPr>
      <w:r>
        <w:rPr>
          <w:rFonts w:hint="eastAsia" w:ascii="宋体" w:hAnsi="宋体" w:cs="宋体"/>
          <w:sz w:val="22"/>
          <w:szCs w:val="22"/>
          <w:highlight w:val="none"/>
        </w:rPr>
        <w:t>以上所需的各种证书、证件、证明等若系扫描件，须加盖投标人有效的公章。</w:t>
      </w:r>
    </w:p>
    <w:p w14:paraId="5247C4F6">
      <w:pPr>
        <w:tabs>
          <w:tab w:val="left" w:pos="5355"/>
        </w:tabs>
        <w:spacing w:line="430" w:lineRule="exact"/>
        <w:rPr>
          <w:rFonts w:ascii="宋体" w:hAnsi="宋体" w:cs="宋体"/>
          <w:b/>
          <w:bCs/>
          <w:sz w:val="22"/>
          <w:szCs w:val="22"/>
          <w:highlight w:val="none"/>
        </w:rPr>
      </w:pPr>
      <w:r>
        <w:rPr>
          <w:rFonts w:hint="eastAsia" w:ascii="宋体" w:hAnsi="宋体" w:cs="宋体"/>
          <w:b/>
          <w:bCs/>
          <w:sz w:val="22"/>
          <w:szCs w:val="22"/>
          <w:highlight w:val="none"/>
        </w:rPr>
        <w:t>12.4 报价文件应包括下列部分：</w:t>
      </w:r>
    </w:p>
    <w:tbl>
      <w:tblPr>
        <w:tblStyle w:val="24"/>
        <w:tblW w:w="9854" w:type="dxa"/>
        <w:tblInd w:w="0" w:type="dxa"/>
        <w:tblLayout w:type="fixed"/>
        <w:tblCellMar>
          <w:top w:w="0" w:type="dxa"/>
          <w:left w:w="108" w:type="dxa"/>
          <w:bottom w:w="0" w:type="dxa"/>
          <w:right w:w="108" w:type="dxa"/>
        </w:tblCellMar>
      </w:tblPr>
      <w:tblGrid>
        <w:gridCol w:w="966"/>
        <w:gridCol w:w="8888"/>
      </w:tblGrid>
      <w:tr w14:paraId="64889DEF">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12098A">
            <w:pPr>
              <w:autoSpaceDE w:val="0"/>
              <w:autoSpaceDN w:val="0"/>
              <w:adjustRightInd w:val="0"/>
              <w:spacing w:line="430" w:lineRule="atLeast"/>
              <w:jc w:val="center"/>
              <w:rPr>
                <w:rFonts w:ascii="宋体" w:hAnsi="宋体" w:cs="宋体"/>
                <w:b/>
                <w:bCs/>
                <w:kern w:val="0"/>
                <w:sz w:val="22"/>
                <w:szCs w:val="22"/>
                <w:highlight w:val="none"/>
                <w:lang w:val="zh-CN"/>
              </w:rPr>
            </w:pPr>
            <w:r>
              <w:rPr>
                <w:rFonts w:hint="eastAsia" w:ascii="宋体" w:hAnsi="宋体" w:cs="宋体"/>
                <w:b/>
                <w:bCs/>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A5F032">
            <w:pPr>
              <w:autoSpaceDE w:val="0"/>
              <w:autoSpaceDN w:val="0"/>
              <w:adjustRightInd w:val="0"/>
              <w:spacing w:line="430" w:lineRule="atLeast"/>
              <w:jc w:val="center"/>
              <w:rPr>
                <w:rFonts w:ascii="宋体" w:hAnsi="宋体" w:cs="宋体"/>
                <w:b/>
                <w:bCs/>
                <w:kern w:val="0"/>
                <w:sz w:val="22"/>
                <w:szCs w:val="22"/>
                <w:highlight w:val="none"/>
                <w:lang w:val="zh-CN"/>
              </w:rPr>
            </w:pPr>
            <w:r>
              <w:rPr>
                <w:rFonts w:hint="eastAsia" w:ascii="宋体" w:hAnsi="宋体" w:cs="宋体"/>
                <w:b/>
                <w:bCs/>
                <w:kern w:val="0"/>
                <w:sz w:val="22"/>
                <w:szCs w:val="22"/>
                <w:highlight w:val="none"/>
                <w:lang w:val="zh-CN"/>
              </w:rPr>
              <w:t>内容</w:t>
            </w:r>
          </w:p>
        </w:tc>
      </w:tr>
      <w:tr w14:paraId="6D2B8DDD">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55436F">
            <w:pPr>
              <w:autoSpaceDE w:val="0"/>
              <w:autoSpaceDN w:val="0"/>
              <w:adjustRightInd w:val="0"/>
              <w:spacing w:line="430" w:lineRule="atLeas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4B3FAF">
            <w:pPr>
              <w:autoSpaceDE w:val="0"/>
              <w:autoSpaceDN w:val="0"/>
              <w:adjustRightInd w:val="0"/>
              <w:spacing w:line="430" w:lineRule="atLeast"/>
              <w:rPr>
                <w:rFonts w:ascii="宋体" w:hAnsi="宋体" w:cs="宋体"/>
                <w:kern w:val="0"/>
                <w:sz w:val="22"/>
                <w:szCs w:val="22"/>
                <w:highlight w:val="none"/>
                <w:lang w:val="zh-CN"/>
              </w:rPr>
            </w:pPr>
            <w:r>
              <w:rPr>
                <w:rFonts w:hint="eastAsia" w:ascii="宋体" w:hAnsi="宋体" w:cs="宋体"/>
                <w:kern w:val="0"/>
                <w:sz w:val="22"/>
                <w:szCs w:val="22"/>
                <w:highlight w:val="none"/>
                <w:lang w:val="zh-CN"/>
              </w:rPr>
              <w:t>开标一览表</w:t>
            </w:r>
          </w:p>
        </w:tc>
      </w:tr>
      <w:tr w14:paraId="63C4DEC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C47F22">
            <w:pPr>
              <w:autoSpaceDE w:val="0"/>
              <w:autoSpaceDN w:val="0"/>
              <w:adjustRightInd w:val="0"/>
              <w:spacing w:line="430" w:lineRule="atLeast"/>
              <w:jc w:val="center"/>
              <w:rPr>
                <w:rFonts w:ascii="宋体" w:hAnsi="宋体" w:cs="宋体"/>
                <w:kern w:val="0"/>
                <w:sz w:val="22"/>
                <w:szCs w:val="22"/>
                <w:highlight w:val="none"/>
              </w:rPr>
            </w:pPr>
            <w:r>
              <w:rPr>
                <w:rFonts w:hint="eastAsia" w:ascii="宋体" w:hAnsi="宋体" w:cs="宋体"/>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7DE1F6">
            <w:pPr>
              <w:autoSpaceDE w:val="0"/>
              <w:autoSpaceDN w:val="0"/>
              <w:adjustRightInd w:val="0"/>
              <w:spacing w:line="430" w:lineRule="atLeas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投标分项报价表</w:t>
            </w:r>
          </w:p>
        </w:tc>
      </w:tr>
      <w:tr w14:paraId="2246A26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F901F9">
            <w:pPr>
              <w:autoSpaceDE w:val="0"/>
              <w:autoSpaceDN w:val="0"/>
              <w:adjustRightInd w:val="0"/>
              <w:spacing w:line="430" w:lineRule="atLeast"/>
              <w:jc w:val="center"/>
              <w:rPr>
                <w:rFonts w:ascii="宋体" w:hAnsi="宋体" w:cs="宋体"/>
                <w:kern w:val="0"/>
                <w:sz w:val="22"/>
                <w:szCs w:val="22"/>
                <w:highlight w:val="none"/>
                <w:lang w:val="zh-CN"/>
              </w:rPr>
            </w:pPr>
            <w:r>
              <w:rPr>
                <w:rFonts w:hint="eastAsia" w:ascii="宋体" w:hAnsi="宋体" w:eastAsia="宋体" w:cs="宋体"/>
                <w:kern w:val="0"/>
                <w:sz w:val="22"/>
                <w:szCs w:val="22"/>
                <w:highlight w:val="none"/>
                <w:lang w:val="zh-CN"/>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73F63D">
            <w:pPr>
              <w:autoSpaceDE w:val="0"/>
              <w:autoSpaceDN w:val="0"/>
              <w:adjustRightInd w:val="0"/>
              <w:spacing w:line="430" w:lineRule="atLeast"/>
              <w:rPr>
                <w:rFonts w:ascii="宋体" w:hAnsi="宋体" w:cs="宋体"/>
                <w:kern w:val="0"/>
                <w:sz w:val="22"/>
                <w:szCs w:val="22"/>
                <w:highlight w:val="none"/>
                <w:lang w:val="zh-CN"/>
              </w:rPr>
            </w:pPr>
            <w:r>
              <w:rPr>
                <w:rFonts w:hint="eastAsia" w:ascii="宋体" w:hAnsi="宋体" w:cs="宋体"/>
                <w:kern w:val="0"/>
                <w:sz w:val="22"/>
                <w:szCs w:val="22"/>
                <w:highlight w:val="none"/>
                <w:lang w:val="zh-CN"/>
              </w:rPr>
              <w:t>中小企业声明函（或监狱企业声明函、残疾人福利性单位声明函）（</w:t>
            </w:r>
            <w:r>
              <w:rPr>
                <w:rFonts w:hint="eastAsia" w:ascii="宋体" w:hAnsi="宋体" w:cs="宋体"/>
                <w:kern w:val="0"/>
                <w:sz w:val="22"/>
                <w:szCs w:val="22"/>
                <w:highlight w:val="none"/>
                <w:lang w:val="en-US" w:eastAsia="zh-CN"/>
              </w:rPr>
              <w:t>如有</w:t>
            </w:r>
            <w:r>
              <w:rPr>
                <w:rFonts w:hint="eastAsia" w:ascii="宋体" w:hAnsi="宋体" w:cs="宋体"/>
                <w:kern w:val="0"/>
                <w:sz w:val="22"/>
                <w:szCs w:val="22"/>
                <w:highlight w:val="none"/>
                <w:lang w:val="zh-CN"/>
              </w:rPr>
              <w:t>）</w:t>
            </w:r>
          </w:p>
        </w:tc>
      </w:tr>
      <w:tr w14:paraId="55041A6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BF4A62">
            <w:pPr>
              <w:autoSpaceDE w:val="0"/>
              <w:autoSpaceDN w:val="0"/>
              <w:adjustRightInd w:val="0"/>
              <w:spacing w:line="430" w:lineRule="atLeas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F96FDD">
            <w:pPr>
              <w:autoSpaceDE w:val="0"/>
              <w:autoSpaceDN w:val="0"/>
              <w:adjustRightInd w:val="0"/>
              <w:spacing w:line="430" w:lineRule="atLeast"/>
              <w:rPr>
                <w:rFonts w:hint="eastAsia" w:ascii="宋体" w:hAnsi="宋体" w:cs="宋体"/>
                <w:kern w:val="0"/>
                <w:sz w:val="22"/>
                <w:szCs w:val="22"/>
                <w:highlight w:val="none"/>
                <w:lang w:val="zh-CN"/>
              </w:rPr>
            </w:pPr>
            <w:r>
              <w:rPr>
                <w:rFonts w:hint="eastAsia" w:ascii="宋体" w:cs="宋体"/>
                <w:sz w:val="22"/>
                <w:highlight w:val="none"/>
              </w:rPr>
              <w:t>其他须说明的资料（如有）</w:t>
            </w:r>
          </w:p>
        </w:tc>
      </w:tr>
    </w:tbl>
    <w:p w14:paraId="0A52A518">
      <w:pPr>
        <w:spacing w:line="440" w:lineRule="exact"/>
        <w:ind w:left="331" w:hanging="331" w:hangingChars="150"/>
        <w:rPr>
          <w:rFonts w:ascii="宋体" w:hAnsi="宋体" w:cs="宋体"/>
          <w:b/>
          <w:bCs/>
          <w:sz w:val="22"/>
          <w:szCs w:val="22"/>
          <w:highlight w:val="none"/>
        </w:rPr>
      </w:pPr>
      <w:r>
        <w:rPr>
          <w:rFonts w:hint="eastAsia" w:ascii="宋体" w:hAnsi="宋体" w:cs="宋体"/>
          <w:b/>
          <w:bCs/>
          <w:sz w:val="22"/>
          <w:szCs w:val="22"/>
          <w:highlight w:val="none"/>
        </w:rPr>
        <w:t>13.投标文件编制</w:t>
      </w:r>
    </w:p>
    <w:p w14:paraId="536FD83A">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13.1本项目通过“政采云平台（www.zcygov.cn）”实行在线投标响应（电子投标）。供应商应通过“政采云电子交易客户端”，并按照本采购文件和“政采云平台”的要求编制并加密投标文件。</w:t>
      </w:r>
    </w:p>
    <w:p w14:paraId="7D37898F">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21D6286B">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033B4A86">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13.4投标文件内容不完整、编排混乱导致投标文件被误读、漏读或者查找不到相关内容的，是投标人的责任。</w:t>
      </w:r>
    </w:p>
    <w:p w14:paraId="490323E5">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13.5投标文件因字迹潦草或表达不清所引起的后果由投标人负责。</w:t>
      </w:r>
    </w:p>
    <w:p w14:paraId="1B08DC8B">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74805D38">
      <w:pPr>
        <w:spacing w:line="440" w:lineRule="exact"/>
        <w:ind w:left="331" w:hanging="331" w:hangingChars="150"/>
        <w:rPr>
          <w:rFonts w:ascii="宋体" w:hAnsi="宋体" w:cs="宋体"/>
          <w:b/>
          <w:bCs/>
          <w:sz w:val="22"/>
          <w:szCs w:val="22"/>
          <w:highlight w:val="none"/>
        </w:rPr>
      </w:pPr>
      <w:r>
        <w:rPr>
          <w:rFonts w:hint="eastAsia" w:ascii="宋体" w:hAnsi="宋体" w:cs="宋体"/>
          <w:b/>
          <w:bCs/>
          <w:sz w:val="22"/>
          <w:szCs w:val="22"/>
          <w:highlight w:val="none"/>
        </w:rPr>
        <w:t>14.投标文件的签章</w:t>
      </w:r>
    </w:p>
    <w:p w14:paraId="4009B56C">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14.1投标文件的签章要求：投标人须知前附表第17款；</w:t>
      </w:r>
    </w:p>
    <w:p w14:paraId="2BC85016">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14.2投标文件应由投标人法定代表人或其授权代表签章，并时加盖投标人公章（电子签章）。</w:t>
      </w:r>
    </w:p>
    <w:p w14:paraId="31EFACCD">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14.3电子签章操作指南详见采购公告附件《供应商项目采购-电子招投标操作指南》。</w:t>
      </w:r>
    </w:p>
    <w:p w14:paraId="4A7BE776">
      <w:pPr>
        <w:spacing w:line="440" w:lineRule="exact"/>
        <w:ind w:left="331" w:hanging="331" w:hangingChars="150"/>
        <w:rPr>
          <w:rFonts w:ascii="宋体" w:hAnsi="宋体" w:cs="宋体"/>
          <w:b/>
          <w:bCs/>
          <w:sz w:val="22"/>
          <w:szCs w:val="22"/>
          <w:highlight w:val="none"/>
        </w:rPr>
      </w:pPr>
      <w:r>
        <w:rPr>
          <w:rFonts w:hint="eastAsia" w:ascii="宋体" w:hAnsi="宋体" w:cs="宋体"/>
          <w:b/>
          <w:bCs/>
          <w:sz w:val="22"/>
          <w:szCs w:val="22"/>
          <w:highlight w:val="none"/>
        </w:rPr>
        <w:t>15.投标文件的形式</w:t>
      </w:r>
    </w:p>
    <w:p w14:paraId="51625F11">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15.1投标文件的形式：见投标人须知前附表第18款；</w:t>
      </w:r>
    </w:p>
    <w:p w14:paraId="78BCA31A">
      <w:pPr>
        <w:tabs>
          <w:tab w:val="left" w:pos="360"/>
        </w:tabs>
        <w:spacing w:line="460" w:lineRule="exact"/>
        <w:rPr>
          <w:rFonts w:ascii="宋体" w:hAnsi="宋体" w:cs="宋体"/>
          <w:sz w:val="22"/>
          <w:szCs w:val="22"/>
          <w:highlight w:val="none"/>
        </w:rPr>
      </w:pPr>
      <w:r>
        <w:rPr>
          <w:rFonts w:hint="eastAsia" w:ascii="宋体" w:hAnsi="宋体" w:cs="宋体"/>
          <w:sz w:val="22"/>
          <w:szCs w:val="22"/>
          <w:highlight w:val="none"/>
        </w:rPr>
        <w:t>15.2“电子加密投标文件”：“电子加密投标文件”是指通过“政采云电子交易客户端”完成投标文件编制后生成并加密的数据电文形式的投标文件。</w:t>
      </w:r>
    </w:p>
    <w:p w14:paraId="2FBA1361">
      <w:pPr>
        <w:tabs>
          <w:tab w:val="left" w:pos="360"/>
        </w:tabs>
        <w:spacing w:line="460" w:lineRule="exact"/>
        <w:rPr>
          <w:rFonts w:ascii="宋体" w:hAnsi="宋体" w:cs="宋体"/>
          <w:b/>
          <w:sz w:val="24"/>
          <w:highlight w:val="none"/>
        </w:rPr>
      </w:pPr>
      <w:r>
        <w:rPr>
          <w:rFonts w:hint="eastAsia" w:ascii="宋体" w:hAnsi="宋体" w:cs="宋体"/>
          <w:sz w:val="22"/>
          <w:szCs w:val="22"/>
          <w:highlight w:val="none"/>
        </w:rPr>
        <w:t>15.3“备份投标文件”：“备份投标文件”是指与“电子加密投标文件”同时生成的数据电文形式的电子文件（备份标书），其他方式编制的“备份投标文件”视为无效的“备份投标文件”。</w:t>
      </w:r>
    </w:p>
    <w:p w14:paraId="1C40ED3A">
      <w:pPr>
        <w:spacing w:line="440" w:lineRule="exact"/>
        <w:ind w:left="331" w:hanging="331" w:hangingChars="150"/>
        <w:rPr>
          <w:rFonts w:ascii="宋体" w:hAnsi="宋体" w:cs="宋体"/>
          <w:b/>
          <w:bCs/>
          <w:sz w:val="22"/>
          <w:szCs w:val="22"/>
          <w:highlight w:val="none"/>
        </w:rPr>
      </w:pPr>
      <w:r>
        <w:rPr>
          <w:rFonts w:hint="eastAsia" w:ascii="宋体" w:hAnsi="宋体" w:cs="宋体"/>
          <w:b/>
          <w:bCs/>
          <w:sz w:val="22"/>
          <w:szCs w:val="22"/>
          <w:highlight w:val="none"/>
        </w:rPr>
        <w:t>16.投标文件的份数</w:t>
      </w:r>
    </w:p>
    <w:p w14:paraId="102B2C0F">
      <w:pPr>
        <w:tabs>
          <w:tab w:val="left" w:pos="5355"/>
        </w:tabs>
        <w:spacing w:line="430" w:lineRule="exact"/>
        <w:rPr>
          <w:rFonts w:ascii="宋体" w:hAnsi="宋体" w:cs="宋体"/>
          <w:sz w:val="22"/>
          <w:szCs w:val="22"/>
          <w:highlight w:val="none"/>
        </w:rPr>
      </w:pPr>
      <w:r>
        <w:rPr>
          <w:rFonts w:hint="eastAsia" w:ascii="宋体" w:hAnsi="宋体" w:cs="宋体"/>
          <w:sz w:val="22"/>
          <w:szCs w:val="22"/>
          <w:highlight w:val="none"/>
        </w:rPr>
        <w:t>16.1投标文件的份数：见投标人须知前附表第1</w:t>
      </w:r>
      <w:r>
        <w:rPr>
          <w:rFonts w:hint="eastAsia" w:ascii="宋体" w:hAnsi="宋体" w:cs="宋体"/>
          <w:sz w:val="22"/>
          <w:szCs w:val="22"/>
          <w:highlight w:val="none"/>
          <w:lang w:val="en-US" w:eastAsia="zh-CN"/>
        </w:rPr>
        <w:t>7</w:t>
      </w:r>
      <w:r>
        <w:rPr>
          <w:rFonts w:hint="eastAsia" w:ascii="宋体" w:hAnsi="宋体" w:cs="宋体"/>
          <w:sz w:val="22"/>
          <w:szCs w:val="22"/>
          <w:highlight w:val="none"/>
        </w:rPr>
        <w:t>款。</w:t>
      </w:r>
    </w:p>
    <w:p w14:paraId="4A082D99">
      <w:pPr>
        <w:tabs>
          <w:tab w:val="left" w:pos="540"/>
        </w:tabs>
        <w:spacing w:line="460" w:lineRule="exact"/>
        <w:rPr>
          <w:rFonts w:ascii="宋体" w:hAnsi="宋体" w:cs="宋体"/>
          <w:sz w:val="22"/>
          <w:szCs w:val="22"/>
          <w:highlight w:val="none"/>
        </w:rPr>
      </w:pPr>
      <w:r>
        <w:rPr>
          <w:rFonts w:hint="eastAsia" w:ascii="宋体" w:hAnsi="宋体" w:cs="宋体"/>
          <w:bCs/>
          <w:sz w:val="22"/>
          <w:szCs w:val="22"/>
          <w:highlight w:val="none"/>
        </w:rPr>
        <w:t>17.投标报价</w:t>
      </w:r>
    </w:p>
    <w:p w14:paraId="48D4BD24">
      <w:pPr>
        <w:tabs>
          <w:tab w:val="left" w:pos="540"/>
        </w:tabs>
        <w:spacing w:line="460" w:lineRule="exact"/>
        <w:rPr>
          <w:rFonts w:hint="eastAsia" w:ascii="宋体" w:hAnsi="宋体" w:eastAsia="宋体" w:cs="宋体"/>
          <w:bCs/>
          <w:sz w:val="22"/>
          <w:szCs w:val="22"/>
          <w:highlight w:val="none"/>
        </w:rPr>
      </w:pPr>
      <w:r>
        <w:rPr>
          <w:rFonts w:hint="eastAsia" w:ascii="宋体" w:hAnsi="宋体" w:cs="宋体"/>
          <w:sz w:val="22"/>
          <w:szCs w:val="22"/>
          <w:highlight w:val="none"/>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14:paraId="3F26B3CC">
      <w:pPr>
        <w:tabs>
          <w:tab w:val="left" w:pos="540"/>
        </w:tabs>
        <w:spacing w:line="460" w:lineRule="exact"/>
        <w:rPr>
          <w:rFonts w:ascii="宋体" w:hAnsi="宋体" w:cs="宋体"/>
          <w:sz w:val="22"/>
          <w:szCs w:val="22"/>
          <w:highlight w:val="none"/>
        </w:rPr>
      </w:pPr>
      <w:bookmarkStart w:id="50" w:name="_Toc15310"/>
      <w:bookmarkStart w:id="51" w:name="_Toc221374626"/>
      <w:bookmarkStart w:id="52" w:name="_Toc265529383"/>
      <w:bookmarkStart w:id="53" w:name="_Toc223715998"/>
      <w:bookmarkStart w:id="54" w:name="_Toc221356887"/>
      <w:bookmarkStart w:id="55" w:name="_Toc241404202"/>
      <w:bookmarkStart w:id="56" w:name="_Toc222114879"/>
      <w:bookmarkStart w:id="57" w:name="_Toc221423619"/>
      <w:bookmarkStart w:id="58" w:name="_Toc239145354"/>
      <w:bookmarkStart w:id="59" w:name="_Toc221356951"/>
      <w:r>
        <w:rPr>
          <w:rFonts w:hint="eastAsia" w:ascii="宋体" w:hAnsi="宋体" w:cs="宋体"/>
          <w:sz w:val="22"/>
          <w:szCs w:val="22"/>
          <w:highlight w:val="none"/>
        </w:rPr>
        <w:t>17.</w:t>
      </w:r>
      <w:r>
        <w:rPr>
          <w:rFonts w:hint="eastAsia" w:ascii="宋体" w:hAnsi="宋体" w:cs="宋体"/>
          <w:sz w:val="22"/>
          <w:szCs w:val="22"/>
          <w:highlight w:val="none"/>
          <w:lang w:val="en-US" w:eastAsia="zh-CN"/>
        </w:rPr>
        <w:t>2</w:t>
      </w:r>
      <w:r>
        <w:rPr>
          <w:rFonts w:hint="eastAsia" w:ascii="宋体" w:hAnsi="宋体" w:cs="宋体"/>
          <w:sz w:val="22"/>
          <w:szCs w:val="22"/>
          <w:highlight w:val="none"/>
        </w:rPr>
        <w:t xml:space="preserve">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1E97C09F">
      <w:pPr>
        <w:tabs>
          <w:tab w:val="left" w:pos="540"/>
        </w:tabs>
        <w:spacing w:line="460" w:lineRule="exact"/>
        <w:rPr>
          <w:rFonts w:ascii="宋体" w:hAnsi="宋体" w:cs="宋体"/>
          <w:sz w:val="22"/>
          <w:szCs w:val="22"/>
          <w:highlight w:val="none"/>
        </w:rPr>
      </w:pPr>
      <w:r>
        <w:rPr>
          <w:rFonts w:hint="eastAsia" w:ascii="宋体" w:hAnsi="宋体" w:cs="宋体"/>
          <w:sz w:val="22"/>
          <w:szCs w:val="22"/>
          <w:highlight w:val="none"/>
        </w:rPr>
        <w:t>17.</w:t>
      </w:r>
      <w:r>
        <w:rPr>
          <w:rFonts w:hint="eastAsia" w:ascii="宋体" w:hAnsi="宋体" w:cs="宋体"/>
          <w:sz w:val="22"/>
          <w:szCs w:val="22"/>
          <w:highlight w:val="none"/>
          <w:lang w:val="en-US" w:eastAsia="zh-CN"/>
        </w:rPr>
        <w:t>3</w:t>
      </w:r>
      <w:r>
        <w:rPr>
          <w:rFonts w:hint="eastAsia" w:ascii="宋体" w:hAnsi="宋体" w:cs="宋体"/>
          <w:sz w:val="22"/>
          <w:szCs w:val="22"/>
          <w:highlight w:val="none"/>
        </w:rPr>
        <w:t xml:space="preserve"> 投标人必须按第三部分附件的开标一览表、投标分项报价表的内容填写单价、合价及其他事项，并由法定代表人或授权代表签署。</w:t>
      </w:r>
    </w:p>
    <w:p w14:paraId="2AB70B30">
      <w:pPr>
        <w:tabs>
          <w:tab w:val="left" w:pos="540"/>
        </w:tabs>
        <w:spacing w:line="460" w:lineRule="exact"/>
        <w:rPr>
          <w:rFonts w:ascii="宋体" w:hAnsi="宋体" w:cs="宋体"/>
          <w:b/>
          <w:sz w:val="22"/>
          <w:szCs w:val="22"/>
          <w:highlight w:val="none"/>
        </w:rPr>
      </w:pPr>
      <w:r>
        <w:rPr>
          <w:rFonts w:hint="eastAsia" w:ascii="宋体" w:hAnsi="宋体" w:cs="宋体"/>
          <w:sz w:val="22"/>
          <w:szCs w:val="22"/>
          <w:highlight w:val="none"/>
        </w:rPr>
        <w:t>17.</w:t>
      </w:r>
      <w:r>
        <w:rPr>
          <w:rFonts w:hint="eastAsia" w:ascii="宋体" w:hAnsi="宋体" w:cs="宋体"/>
          <w:sz w:val="22"/>
          <w:szCs w:val="22"/>
          <w:highlight w:val="none"/>
          <w:lang w:val="en-US" w:eastAsia="zh-CN"/>
        </w:rPr>
        <w:t>4</w:t>
      </w:r>
      <w:r>
        <w:rPr>
          <w:rFonts w:hint="eastAsia" w:ascii="宋体" w:hAnsi="宋体" w:cs="宋体"/>
          <w:sz w:val="22"/>
          <w:szCs w:val="22"/>
          <w:highlight w:val="none"/>
        </w:rPr>
        <w:t xml:space="preserve"> 所有投标报价均以人民币报价。</w:t>
      </w:r>
    </w:p>
    <w:p w14:paraId="7A5E308D">
      <w:pPr>
        <w:tabs>
          <w:tab w:val="left" w:pos="540"/>
        </w:tabs>
        <w:spacing w:line="460" w:lineRule="exact"/>
        <w:rPr>
          <w:rFonts w:ascii="宋体" w:hAnsi="宋体" w:cs="宋体"/>
          <w:sz w:val="22"/>
          <w:szCs w:val="22"/>
          <w:highlight w:val="none"/>
        </w:rPr>
      </w:pPr>
      <w:r>
        <w:rPr>
          <w:rFonts w:hint="eastAsia" w:ascii="宋体" w:hAnsi="宋体" w:cs="宋体"/>
          <w:sz w:val="22"/>
          <w:szCs w:val="22"/>
          <w:highlight w:val="none"/>
        </w:rPr>
        <w:t>17.</w:t>
      </w:r>
      <w:r>
        <w:rPr>
          <w:rFonts w:hint="eastAsia" w:ascii="宋体" w:hAnsi="宋体" w:cs="宋体"/>
          <w:sz w:val="22"/>
          <w:szCs w:val="22"/>
          <w:highlight w:val="none"/>
          <w:lang w:val="en-US" w:eastAsia="zh-CN"/>
        </w:rPr>
        <w:t>5</w:t>
      </w:r>
      <w:r>
        <w:rPr>
          <w:rFonts w:hint="eastAsia" w:ascii="宋体" w:hAnsi="宋体" w:cs="宋体"/>
          <w:sz w:val="22"/>
          <w:szCs w:val="22"/>
          <w:highlight w:val="none"/>
        </w:rPr>
        <w:t xml:space="preserve"> 采购人不接受任何选择报价，对每一项货物/服务只允许一个报价。</w:t>
      </w:r>
    </w:p>
    <w:p w14:paraId="7304AC6B">
      <w:pPr>
        <w:tabs>
          <w:tab w:val="left" w:pos="540"/>
        </w:tabs>
        <w:spacing w:line="460" w:lineRule="exact"/>
        <w:rPr>
          <w:rFonts w:ascii="宋体" w:hAnsi="宋体" w:cs="宋体"/>
          <w:sz w:val="22"/>
          <w:szCs w:val="22"/>
          <w:highlight w:val="none"/>
        </w:rPr>
      </w:pPr>
      <w:r>
        <w:rPr>
          <w:rFonts w:hint="eastAsia" w:ascii="宋体" w:hAnsi="宋体" w:cs="宋体"/>
          <w:sz w:val="22"/>
          <w:szCs w:val="22"/>
          <w:highlight w:val="none"/>
        </w:rPr>
        <w:t>17.</w:t>
      </w:r>
      <w:r>
        <w:rPr>
          <w:rFonts w:hint="eastAsia" w:ascii="宋体" w:hAnsi="宋体" w:cs="宋体"/>
          <w:sz w:val="22"/>
          <w:szCs w:val="22"/>
          <w:highlight w:val="none"/>
          <w:lang w:val="en-US" w:eastAsia="zh-CN"/>
        </w:rPr>
        <w:t>6</w:t>
      </w:r>
      <w:r>
        <w:rPr>
          <w:rFonts w:hint="eastAsia" w:ascii="宋体" w:hAnsi="宋体" w:cs="宋体"/>
          <w:sz w:val="22"/>
          <w:szCs w:val="22"/>
          <w:highlight w:val="none"/>
        </w:rPr>
        <w:t xml:space="preserve"> 采购人要求分类报价是为了方便评标，但在任何情况下不限制采购人以其认为最合适的条款、条件签订合同的权利。</w:t>
      </w:r>
    </w:p>
    <w:p w14:paraId="4F9D9D11">
      <w:pPr>
        <w:tabs>
          <w:tab w:val="left" w:pos="540"/>
        </w:tabs>
        <w:spacing w:line="440" w:lineRule="exact"/>
        <w:rPr>
          <w:rFonts w:ascii="宋体" w:hAnsi="宋体" w:cs="宋体"/>
          <w:sz w:val="22"/>
          <w:szCs w:val="22"/>
          <w:highlight w:val="none"/>
        </w:rPr>
      </w:pPr>
      <w:r>
        <w:rPr>
          <w:rFonts w:hint="eastAsia" w:ascii="宋体" w:hAnsi="宋体" w:cs="宋体"/>
          <w:sz w:val="22"/>
          <w:szCs w:val="22"/>
          <w:highlight w:val="none"/>
        </w:rPr>
        <w:t>17.</w:t>
      </w:r>
      <w:r>
        <w:rPr>
          <w:rFonts w:hint="eastAsia" w:ascii="宋体" w:hAnsi="宋体" w:cs="宋体"/>
          <w:sz w:val="22"/>
          <w:szCs w:val="22"/>
          <w:highlight w:val="none"/>
          <w:lang w:val="en-US" w:eastAsia="zh-CN"/>
        </w:rPr>
        <w:t>7</w:t>
      </w:r>
      <w:r>
        <w:rPr>
          <w:rFonts w:hint="eastAsia" w:ascii="宋体" w:hAnsi="宋体" w:cs="宋体"/>
          <w:sz w:val="22"/>
          <w:szCs w:val="22"/>
          <w:highlight w:val="none"/>
        </w:rPr>
        <w:t>报价是成交的一个重要因素，但最低报价不是成交的唯一依据。</w:t>
      </w:r>
    </w:p>
    <w:p w14:paraId="20A398C3">
      <w:pPr>
        <w:tabs>
          <w:tab w:val="left" w:pos="-180"/>
          <w:tab w:val="left" w:pos="180"/>
          <w:tab w:val="left" w:pos="360"/>
        </w:tabs>
        <w:spacing w:line="440" w:lineRule="exact"/>
        <w:ind w:left="660" w:hanging="660" w:hangingChars="300"/>
        <w:rPr>
          <w:rFonts w:ascii="宋体" w:hAnsi="宋体" w:cs="宋体"/>
          <w:b/>
          <w:bCs/>
          <w:sz w:val="22"/>
          <w:szCs w:val="22"/>
          <w:highlight w:val="none"/>
        </w:rPr>
      </w:pPr>
      <w:r>
        <w:rPr>
          <w:rFonts w:hint="eastAsia" w:ascii="宋体" w:hAnsi="宋体" w:cs="宋体"/>
          <w:bCs/>
          <w:sz w:val="22"/>
          <w:szCs w:val="22"/>
          <w:highlight w:val="none"/>
          <w:lang w:val="en-US" w:eastAsia="zh-CN"/>
        </w:rPr>
        <w:t>18.</w:t>
      </w:r>
      <w:r>
        <w:rPr>
          <w:rFonts w:hint="eastAsia" w:ascii="宋体" w:hAnsi="宋体" w:cs="宋体"/>
          <w:bCs/>
          <w:sz w:val="22"/>
          <w:szCs w:val="22"/>
          <w:highlight w:val="none"/>
        </w:rPr>
        <w:t xml:space="preserve"> </w:t>
      </w:r>
      <w:r>
        <w:rPr>
          <w:rFonts w:hint="eastAsia" w:ascii="宋体" w:hAnsi="宋体" w:cs="宋体"/>
          <w:b/>
          <w:bCs/>
          <w:sz w:val="22"/>
          <w:szCs w:val="22"/>
          <w:highlight w:val="none"/>
        </w:rPr>
        <w:t>投标人如发生下列情况之一，将上报同级采购监督管理部门，追究其责任：</w:t>
      </w:r>
    </w:p>
    <w:p w14:paraId="4C6F043B">
      <w:pPr>
        <w:numPr>
          <w:ilvl w:val="0"/>
          <w:numId w:val="7"/>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投标人在采购文件规定的投标有效期内撤回投标；</w:t>
      </w:r>
    </w:p>
    <w:p w14:paraId="1C16D834">
      <w:pPr>
        <w:numPr>
          <w:ilvl w:val="0"/>
          <w:numId w:val="7"/>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中标人未按中标通知书中规定的时间与采购人签订合同；</w:t>
      </w:r>
    </w:p>
    <w:p w14:paraId="774DDACF">
      <w:pPr>
        <w:numPr>
          <w:ilvl w:val="0"/>
          <w:numId w:val="7"/>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投标人在采购文件中提供虚假技术指标及参数，经评标委员会确认属实的。</w:t>
      </w:r>
    </w:p>
    <w:p w14:paraId="05232385">
      <w:pPr>
        <w:numPr>
          <w:ilvl w:val="0"/>
          <w:numId w:val="7"/>
        </w:numPr>
        <w:tabs>
          <w:tab w:val="left" w:pos="360"/>
          <w:tab w:val="clear" w:pos="420"/>
        </w:tabs>
        <w:spacing w:line="440" w:lineRule="exact"/>
        <w:ind w:left="720" w:hanging="720"/>
        <w:rPr>
          <w:rFonts w:ascii="宋体" w:hAnsi="宋体" w:cs="宋体"/>
          <w:sz w:val="22"/>
          <w:szCs w:val="22"/>
          <w:highlight w:val="none"/>
        </w:rPr>
      </w:pPr>
      <w:r>
        <w:rPr>
          <w:rFonts w:hint="eastAsia" w:ascii="宋体" w:hAnsi="宋体" w:cs="宋体"/>
          <w:sz w:val="22"/>
          <w:szCs w:val="22"/>
          <w:highlight w:val="none"/>
        </w:rPr>
        <w:t>经同级采购监督管理部门审查认定投标人有违反有关法律法规的行为。</w:t>
      </w:r>
    </w:p>
    <w:p w14:paraId="126F4732">
      <w:pPr>
        <w:tabs>
          <w:tab w:val="left" w:pos="-180"/>
          <w:tab w:val="left" w:pos="180"/>
          <w:tab w:val="left" w:pos="360"/>
        </w:tabs>
        <w:spacing w:line="440" w:lineRule="exact"/>
        <w:rPr>
          <w:rFonts w:ascii="宋体" w:hAnsi="宋体" w:cs="宋体"/>
          <w:b/>
          <w:bCs/>
          <w:sz w:val="22"/>
          <w:szCs w:val="22"/>
          <w:highlight w:val="none"/>
        </w:rPr>
      </w:pPr>
      <w:r>
        <w:rPr>
          <w:rFonts w:hint="eastAsia" w:ascii="宋体" w:hAnsi="宋体" w:cs="宋体"/>
          <w:b/>
          <w:bCs/>
          <w:sz w:val="22"/>
          <w:szCs w:val="22"/>
          <w:highlight w:val="none"/>
        </w:rPr>
        <w:t>19. 投标有效期</w:t>
      </w:r>
    </w:p>
    <w:p w14:paraId="048D4548">
      <w:pPr>
        <w:tabs>
          <w:tab w:val="left" w:pos="540"/>
          <w:tab w:val="left" w:pos="992"/>
        </w:tabs>
        <w:autoSpaceDE w:val="0"/>
        <w:autoSpaceDN w:val="0"/>
        <w:adjustRightInd w:val="0"/>
        <w:spacing w:line="460" w:lineRule="atLeast"/>
        <w:rPr>
          <w:rFonts w:ascii="宋体" w:hAnsi="宋体" w:cs="宋体"/>
          <w:kern w:val="0"/>
          <w:sz w:val="22"/>
          <w:szCs w:val="22"/>
          <w:highlight w:val="none"/>
        </w:rPr>
      </w:pPr>
      <w:r>
        <w:rPr>
          <w:rFonts w:hint="eastAsia" w:ascii="宋体" w:hAnsi="宋体" w:cs="宋体"/>
          <w:kern w:val="0"/>
          <w:sz w:val="22"/>
          <w:szCs w:val="22"/>
          <w:highlight w:val="none"/>
        </w:rPr>
        <w:t>19.1 自开标之日起 90天内投标应保持有效。投标有效期短于这个规定期限的投标将视为非响应性投标而予以拒绝。</w:t>
      </w:r>
    </w:p>
    <w:p w14:paraId="1DB66F47">
      <w:pPr>
        <w:spacing w:line="440" w:lineRule="exact"/>
        <w:rPr>
          <w:rFonts w:ascii="宋体" w:hAnsi="宋体" w:cs="宋体"/>
          <w:sz w:val="22"/>
          <w:szCs w:val="22"/>
          <w:highlight w:val="none"/>
        </w:rPr>
      </w:pPr>
      <w:r>
        <w:rPr>
          <w:rFonts w:hint="eastAsia" w:ascii="宋体" w:hAnsi="宋体" w:cs="宋体"/>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0869AC6F">
      <w:pPr>
        <w:pStyle w:val="6"/>
        <w:spacing w:line="500" w:lineRule="exact"/>
        <w:jc w:val="center"/>
        <w:rPr>
          <w:rFonts w:ascii="宋体" w:hAnsi="宋体" w:eastAsia="宋体" w:cs="宋体"/>
          <w:sz w:val="24"/>
          <w:szCs w:val="24"/>
          <w:highlight w:val="none"/>
        </w:rPr>
      </w:pPr>
      <w:bookmarkStart w:id="60" w:name="_Toc34508133"/>
      <w:bookmarkStart w:id="61" w:name="_Toc12219"/>
      <w:r>
        <w:rPr>
          <w:rFonts w:hint="eastAsia" w:ascii="宋体" w:hAnsi="宋体" w:eastAsia="宋体" w:cs="宋体"/>
          <w:sz w:val="24"/>
          <w:szCs w:val="24"/>
          <w:highlight w:val="none"/>
        </w:rPr>
        <w:t>四、 投标文件的递交</w:t>
      </w:r>
      <w:bookmarkEnd w:id="60"/>
      <w:bookmarkEnd w:id="61"/>
    </w:p>
    <w:p w14:paraId="1BB8C98B">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20. 投标文件的递交</w:t>
      </w:r>
    </w:p>
    <w:p w14:paraId="0D048920">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20.1投标文件的上传、递交：见投标人须知前附表。</w:t>
      </w:r>
    </w:p>
    <w:p w14:paraId="261A15AF">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21. “电子加密投标文件”解密和异常情况处理。</w:t>
      </w:r>
    </w:p>
    <w:p w14:paraId="675CDE9E">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21.1“电子加密投标文件”解密：见投标人须知前附表。</w:t>
      </w:r>
    </w:p>
    <w:p w14:paraId="3986995E">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22. 投标文件的补充、修改或撤回</w:t>
      </w:r>
    </w:p>
    <w:p w14:paraId="7B025211">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A02F9C8">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22.2投标文件递交截止时间后，投标人不得撤回、修改投标文件。</w:t>
      </w:r>
    </w:p>
    <w:p w14:paraId="14D6AA8C">
      <w:pPr>
        <w:tabs>
          <w:tab w:val="left" w:pos="540"/>
        </w:tabs>
        <w:spacing w:line="460" w:lineRule="exact"/>
        <w:rPr>
          <w:rFonts w:ascii="宋体" w:hAnsi="宋体" w:cs="宋体"/>
          <w:bCs/>
          <w:kern w:val="0"/>
          <w:sz w:val="22"/>
          <w:szCs w:val="22"/>
          <w:highlight w:val="none"/>
        </w:rPr>
      </w:pPr>
      <w:r>
        <w:rPr>
          <w:rFonts w:hint="eastAsia" w:ascii="宋体" w:hAnsi="宋体" w:cs="宋体"/>
          <w:b/>
          <w:bCs/>
          <w:kern w:val="0"/>
          <w:sz w:val="22"/>
          <w:szCs w:val="22"/>
          <w:highlight w:val="none"/>
        </w:rPr>
        <w:t>23. 投标文件的备选方案</w:t>
      </w:r>
    </w:p>
    <w:p w14:paraId="52554CE7">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23.1投标人不得递交任何的投标备选（替代）方案，否则其投标文件将作无效标处理。与“电子加密投标文件”同时生成的“备份投标文件”不是投标备选（替代）方案。</w:t>
      </w:r>
    </w:p>
    <w:p w14:paraId="00896074">
      <w:pPr>
        <w:tabs>
          <w:tab w:val="left" w:pos="540"/>
        </w:tabs>
        <w:spacing w:line="460" w:lineRule="exact"/>
        <w:rPr>
          <w:rFonts w:ascii="宋体" w:hAnsi="宋体" w:cs="宋体"/>
          <w:b/>
          <w:sz w:val="22"/>
          <w:szCs w:val="22"/>
          <w:highlight w:val="none"/>
        </w:rPr>
      </w:pPr>
    </w:p>
    <w:p w14:paraId="2C7DF1D2">
      <w:pPr>
        <w:pStyle w:val="6"/>
        <w:spacing w:line="500" w:lineRule="exact"/>
        <w:jc w:val="center"/>
        <w:rPr>
          <w:rFonts w:ascii="宋体" w:hAnsi="宋体" w:eastAsia="宋体" w:cs="宋体"/>
          <w:sz w:val="24"/>
          <w:szCs w:val="24"/>
          <w:highlight w:val="none"/>
        </w:rPr>
      </w:pPr>
      <w:bookmarkStart w:id="62" w:name="_Toc27328"/>
      <w:bookmarkStart w:id="63" w:name="_Toc34508134"/>
      <w:r>
        <w:rPr>
          <w:rFonts w:hint="eastAsia" w:ascii="宋体" w:hAnsi="宋体" w:eastAsia="宋体" w:cs="宋体"/>
          <w:sz w:val="24"/>
          <w:szCs w:val="24"/>
          <w:highlight w:val="none"/>
        </w:rPr>
        <w:t>五、 开标</w:t>
      </w:r>
      <w:bookmarkEnd w:id="62"/>
      <w:bookmarkEnd w:id="63"/>
    </w:p>
    <w:p w14:paraId="53F34CCC">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24. 开标形式</w:t>
      </w:r>
    </w:p>
    <w:p w14:paraId="48B7E7AC">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24.1 采购组织机构将按照采购文件规定的时间通过“政采云平台”组织开标、开启投标文件，所有供应商均应当准时在线参加。</w:t>
      </w:r>
    </w:p>
    <w:p w14:paraId="54353757">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25. 开标准备</w:t>
      </w:r>
    </w:p>
    <w:p w14:paraId="0880FB79">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25.1开标的准备工作由采购组织机构负责落实。</w:t>
      </w:r>
    </w:p>
    <w:p w14:paraId="09D78CBD">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2C027729">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26.开标流程（两阶段）</w:t>
      </w:r>
    </w:p>
    <w:p w14:paraId="2ABD12BB">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26.1开标第一阶段</w:t>
      </w:r>
    </w:p>
    <w:p w14:paraId="155F2E8A">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1）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0A13846A">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（2）投标文件解密结束，各投标人签署《采购活动现场确认声明书》（见附件）后将扫描件发送至采购代理机构邮箱：</w:t>
      </w:r>
      <w:r>
        <w:rPr>
          <w:rFonts w:hint="eastAsia" w:ascii="宋体" w:hAnsi="宋体" w:cs="宋体"/>
          <w:b/>
          <w:sz w:val="22"/>
          <w:szCs w:val="22"/>
          <w:highlight w:val="none"/>
          <w:u w:val="single"/>
          <w:lang w:val="en-US" w:eastAsia="zh-CN"/>
        </w:rPr>
        <w:t>249234765@qq.com</w:t>
      </w:r>
      <w:r>
        <w:rPr>
          <w:rFonts w:hint="eastAsia" w:ascii="宋体" w:hAnsi="宋体" w:cs="宋体"/>
          <w:b/>
          <w:bCs/>
          <w:kern w:val="0"/>
          <w:sz w:val="22"/>
          <w:szCs w:val="22"/>
          <w:highlight w:val="none"/>
        </w:rPr>
        <w:t>；</w:t>
      </w:r>
    </w:p>
    <w:p w14:paraId="548B92CF">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（3）开启投标文件，进入资格审查；</w:t>
      </w:r>
    </w:p>
    <w:p w14:paraId="49FD31E5">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（4）开启资格审查通过的投标人的商务技术文件进入符合性审查、商务技术评审；</w:t>
      </w:r>
    </w:p>
    <w:p w14:paraId="4E5BD194">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（5）第一阶段开标结束。</w:t>
      </w:r>
    </w:p>
    <w:p w14:paraId="72537F20">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备注：第一阶段结束后，采购人或采购代理机构将对依法对投标人的资格进行审查，资格审查结束后进入符合性审查和商务技术文件的评审工作，具体见本章节“投标人资格审查”相关规定。</w:t>
      </w:r>
    </w:p>
    <w:p w14:paraId="43F32994">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26.2第二阶段</w:t>
      </w:r>
    </w:p>
    <w:p w14:paraId="0FA4B841">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1）符合性审查、商务技术文件的评审结束后，举行第二阶段会议。开启商务技术文件报价文件，在“政采云平台”系统平台上公布开标一览表有关内容，同时当场制作开标记录。开标结束后，由评标委员会对报价的合理性、准确性等进行审查核实。</w:t>
      </w:r>
    </w:p>
    <w:p w14:paraId="4A6BE816">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w:t>
      </w:r>
      <w:r>
        <w:rPr>
          <w:rFonts w:hint="eastAsia" w:ascii="宋体" w:hAnsi="宋体" w:cs="宋体"/>
          <w:b/>
          <w:bCs/>
          <w:kern w:val="0"/>
          <w:sz w:val="22"/>
          <w:szCs w:val="22"/>
          <w:highlight w:val="none"/>
          <w:lang w:val="en-US" w:eastAsia="zh-CN"/>
        </w:rPr>
        <w:t>2</w:t>
      </w:r>
      <w:r>
        <w:rPr>
          <w:rFonts w:hint="eastAsia" w:ascii="宋体" w:hAnsi="宋体" w:cs="宋体"/>
          <w:b/>
          <w:bCs/>
          <w:kern w:val="0"/>
          <w:sz w:val="22"/>
          <w:szCs w:val="22"/>
          <w:highlight w:val="none"/>
        </w:rPr>
        <w:t>）评审结束后，在“政采云平台”系统平台上公布中标（成交）候选供应商名单，及采购人最终确定中标或成交供应商名单的时间和公告方式等。</w:t>
      </w:r>
    </w:p>
    <w:p w14:paraId="54493E1C">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特别说明：如遇“政采云平台”电子化开标或评审程序调整的，按调整后程序执行。</w:t>
      </w:r>
    </w:p>
    <w:p w14:paraId="59EA1C74">
      <w:pPr>
        <w:tabs>
          <w:tab w:val="left" w:pos="540"/>
        </w:tabs>
        <w:spacing w:line="460" w:lineRule="exact"/>
        <w:rPr>
          <w:rFonts w:ascii="宋体" w:hAnsi="宋体" w:cs="宋体"/>
          <w:b/>
          <w:bCs/>
          <w:kern w:val="0"/>
          <w:sz w:val="22"/>
          <w:szCs w:val="22"/>
          <w:highlight w:val="none"/>
        </w:rPr>
      </w:pPr>
      <w:r>
        <w:rPr>
          <w:rFonts w:hint="eastAsia" w:ascii="宋体" w:hAnsi="宋体" w:cs="宋体"/>
          <w:b/>
          <w:bCs/>
          <w:kern w:val="0"/>
          <w:sz w:val="22"/>
          <w:szCs w:val="22"/>
          <w:highlight w:val="none"/>
        </w:rPr>
        <w:t>27. 投标人资格审查</w:t>
      </w:r>
    </w:p>
    <w:p w14:paraId="71ACB0DF">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27.1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7C0BC3E6">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61362E2A">
      <w:pPr>
        <w:tabs>
          <w:tab w:val="left" w:pos="540"/>
        </w:tabs>
        <w:spacing w:line="460" w:lineRule="exact"/>
        <w:rPr>
          <w:rFonts w:ascii="宋体" w:hAnsi="宋体" w:cs="宋体"/>
          <w:bCs/>
          <w:kern w:val="0"/>
          <w:sz w:val="22"/>
          <w:szCs w:val="22"/>
          <w:highlight w:val="none"/>
        </w:rPr>
      </w:pPr>
      <w:r>
        <w:rPr>
          <w:rFonts w:hint="eastAsia" w:ascii="宋体" w:hAnsi="宋体" w:cs="宋体"/>
          <w:bCs/>
          <w:kern w:val="0"/>
          <w:sz w:val="22"/>
          <w:szCs w:val="22"/>
          <w:highlight w:val="none"/>
        </w:rPr>
        <w:t>27.3单位负责人为同一人或者存在直接控股、管理关系的不同供应商参加同一合同项下的采购活动的，相关投标人均作资格无效处理。</w:t>
      </w:r>
    </w:p>
    <w:p w14:paraId="4DDF5D03">
      <w:pPr>
        <w:pStyle w:val="15"/>
        <w:ind w:firstLine="542"/>
        <w:rPr>
          <w:highlight w:val="none"/>
        </w:rPr>
      </w:pPr>
    </w:p>
    <w:bookmarkEnd w:id="50"/>
    <w:bookmarkEnd w:id="51"/>
    <w:bookmarkEnd w:id="52"/>
    <w:bookmarkEnd w:id="53"/>
    <w:bookmarkEnd w:id="54"/>
    <w:bookmarkEnd w:id="55"/>
    <w:bookmarkEnd w:id="56"/>
    <w:bookmarkEnd w:id="57"/>
    <w:bookmarkEnd w:id="58"/>
    <w:bookmarkEnd w:id="59"/>
    <w:p w14:paraId="7240AEA1">
      <w:pPr>
        <w:pStyle w:val="6"/>
        <w:spacing w:line="500" w:lineRule="exact"/>
        <w:jc w:val="center"/>
        <w:rPr>
          <w:rFonts w:ascii="宋体" w:hAnsi="宋体" w:eastAsia="宋体" w:cs="宋体"/>
          <w:sz w:val="24"/>
          <w:szCs w:val="24"/>
          <w:highlight w:val="none"/>
        </w:rPr>
      </w:pPr>
      <w:bookmarkStart w:id="64" w:name="_Toc34508135"/>
      <w:bookmarkStart w:id="65" w:name="_Toc21168"/>
      <w:bookmarkStart w:id="66" w:name="_Toc34221900"/>
      <w:bookmarkStart w:id="67" w:name="_Toc221423621"/>
      <w:bookmarkStart w:id="68" w:name="_Toc239145356"/>
      <w:bookmarkStart w:id="69" w:name="_Toc222114881"/>
      <w:bookmarkStart w:id="70" w:name="_Toc265529385"/>
      <w:bookmarkStart w:id="71" w:name="_Toc221374628"/>
      <w:bookmarkStart w:id="72" w:name="_Toc223716000"/>
      <w:bookmarkStart w:id="73" w:name="_Toc3998"/>
      <w:bookmarkStart w:id="74" w:name="_Toc221356953"/>
      <w:bookmarkStart w:id="75" w:name="_Toc221356889"/>
      <w:bookmarkStart w:id="76" w:name="_Toc241404204"/>
      <w:r>
        <w:rPr>
          <w:rFonts w:hint="eastAsia" w:ascii="宋体" w:hAnsi="宋体" w:eastAsia="宋体" w:cs="宋体"/>
          <w:sz w:val="24"/>
          <w:szCs w:val="24"/>
          <w:highlight w:val="none"/>
        </w:rPr>
        <w:t>六、 评  标</w:t>
      </w:r>
      <w:bookmarkEnd w:id="64"/>
      <w:bookmarkEnd w:id="65"/>
      <w:bookmarkEnd w:id="66"/>
    </w:p>
    <w:p w14:paraId="5A66CC52">
      <w:pPr>
        <w:spacing w:line="460" w:lineRule="exact"/>
        <w:rPr>
          <w:rFonts w:ascii="宋体" w:hAnsi="宋体" w:cs="宋体"/>
          <w:b/>
          <w:kern w:val="0"/>
          <w:sz w:val="22"/>
          <w:szCs w:val="22"/>
          <w:highlight w:val="none"/>
        </w:rPr>
      </w:pPr>
      <w:r>
        <w:rPr>
          <w:rFonts w:hint="eastAsia" w:ascii="宋体" w:hAnsi="宋体" w:cs="宋体"/>
          <w:b/>
          <w:kern w:val="0"/>
          <w:sz w:val="22"/>
          <w:szCs w:val="22"/>
          <w:highlight w:val="none"/>
        </w:rPr>
        <w:t>28. 评标委员会</w:t>
      </w:r>
    </w:p>
    <w:p w14:paraId="2D86D810">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采购人按照有关法律、法规的规定组建评标委员会，评标委员会成员由采购人代表和有关技术、经济等方面的专家组成，成员人数为</w:t>
      </w:r>
      <w:r>
        <w:rPr>
          <w:rFonts w:hint="eastAsia" w:ascii="宋体" w:hAnsi="宋体" w:cs="宋体"/>
          <w:kern w:val="0"/>
          <w:sz w:val="22"/>
          <w:szCs w:val="22"/>
          <w:highlight w:val="none"/>
          <w:lang w:val="en-US" w:eastAsia="zh-CN"/>
        </w:rPr>
        <w:t>7</w:t>
      </w:r>
      <w:r>
        <w:rPr>
          <w:rFonts w:hint="eastAsia" w:ascii="宋体" w:hAnsi="宋体" w:cs="宋体"/>
          <w:kern w:val="0"/>
          <w:sz w:val="22"/>
          <w:szCs w:val="22"/>
          <w:highlight w:val="none"/>
        </w:rPr>
        <w:t>人（含）以上单数，除采购人代表外的专家将在评标专家库中随机抽取产生。</w:t>
      </w:r>
    </w:p>
    <w:p w14:paraId="24ACE6FC">
      <w:pPr>
        <w:spacing w:line="460" w:lineRule="exact"/>
        <w:rPr>
          <w:rFonts w:ascii="宋体" w:hAnsi="宋体" w:cs="宋体"/>
          <w:b/>
          <w:kern w:val="0"/>
          <w:sz w:val="22"/>
          <w:szCs w:val="22"/>
          <w:highlight w:val="none"/>
        </w:rPr>
      </w:pPr>
      <w:r>
        <w:rPr>
          <w:rFonts w:hint="eastAsia" w:ascii="宋体" w:hAnsi="宋体" w:cs="宋体"/>
          <w:b/>
          <w:kern w:val="0"/>
          <w:sz w:val="22"/>
          <w:szCs w:val="22"/>
          <w:highlight w:val="none"/>
        </w:rPr>
        <w:t>29. 评标过程的保密性</w:t>
      </w:r>
    </w:p>
    <w:p w14:paraId="3503B30D">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2F3357C7">
      <w:pPr>
        <w:spacing w:line="460" w:lineRule="exact"/>
        <w:rPr>
          <w:rFonts w:ascii="宋体" w:hAnsi="宋体" w:cs="宋体"/>
          <w:b/>
          <w:kern w:val="0"/>
          <w:sz w:val="22"/>
          <w:szCs w:val="22"/>
          <w:highlight w:val="none"/>
        </w:rPr>
      </w:pPr>
      <w:r>
        <w:rPr>
          <w:rFonts w:hint="eastAsia" w:ascii="宋体" w:hAnsi="宋体" w:cs="宋体"/>
          <w:b/>
          <w:kern w:val="0"/>
          <w:sz w:val="22"/>
          <w:szCs w:val="22"/>
          <w:highlight w:val="none"/>
        </w:rPr>
        <w:t>30. 投标文件的初审（符合性检查）。</w:t>
      </w:r>
    </w:p>
    <w:p w14:paraId="32571D5E">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评标委员会依据采购文件的规定，从投标文件中的有效性、完整性和对采购文件的响应程度进行审查，以确定是否对采购文件的实质性要求作出响应。</w:t>
      </w:r>
    </w:p>
    <w:p w14:paraId="0E669359">
      <w:pPr>
        <w:tabs>
          <w:tab w:val="left" w:pos="540"/>
        </w:tabs>
        <w:spacing w:line="440" w:lineRule="exact"/>
        <w:rPr>
          <w:rFonts w:ascii="宋体" w:hAnsi="宋体" w:cs="Arial"/>
          <w:b/>
          <w:bCs/>
          <w:color w:val="auto"/>
          <w:sz w:val="22"/>
          <w:szCs w:val="22"/>
          <w:highlight w:val="none"/>
        </w:rPr>
      </w:pPr>
      <w:r>
        <w:rPr>
          <w:rFonts w:hint="eastAsia" w:ascii="宋体" w:hAnsi="宋体" w:cs="宋体"/>
          <w:kern w:val="0"/>
          <w:sz w:val="22"/>
          <w:szCs w:val="22"/>
          <w:highlight w:val="none"/>
        </w:rPr>
        <w:t>30.1▲</w:t>
      </w: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r>
        <w:rPr>
          <w:rFonts w:hint="eastAsia" w:ascii="宋体" w:hAnsi="宋体" w:cs="Arial"/>
          <w:b/>
          <w:bCs/>
          <w:color w:val="auto"/>
          <w:sz w:val="22"/>
          <w:szCs w:val="22"/>
          <w:highlight w:val="none"/>
        </w:rPr>
        <w:t>：</w:t>
      </w:r>
    </w:p>
    <w:p w14:paraId="4CDC5FE7">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（1）电子投标文件未按规定进行CA签章；</w:t>
      </w:r>
    </w:p>
    <w:p w14:paraId="62241D98">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（2）电子投标文件中要求投标人法定代表人（负责人）或授权代表签字（或盖章）的地方无法定代表人（负责人）签字（或盖章）或其授权代表签字（或盖章）的；</w:t>
      </w:r>
    </w:p>
    <w:p w14:paraId="0DDE1F56">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（3）不具备招标文件中规定的资格要求的；</w:t>
      </w:r>
    </w:p>
    <w:p w14:paraId="05E1E60F">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（4）仅提交“备份投标文件”的；</w:t>
      </w:r>
    </w:p>
    <w:p w14:paraId="595E311C">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（5）投标报价超过招标文件中规定的</w:t>
      </w:r>
      <w:r>
        <w:rPr>
          <w:rFonts w:hint="eastAsia" w:ascii="宋体" w:hAnsi="宋体" w:cs="hakuyoxingshu7000"/>
          <w:b/>
          <w:color w:val="auto"/>
          <w:kern w:val="0"/>
          <w:sz w:val="22"/>
          <w:szCs w:val="22"/>
          <w:highlight w:val="none"/>
          <w:u w:val="single"/>
          <w:lang w:val="en-US" w:eastAsia="zh-CN"/>
        </w:rPr>
        <w:t>最高限价</w:t>
      </w:r>
      <w:r>
        <w:rPr>
          <w:rFonts w:hint="eastAsia" w:ascii="宋体" w:hAnsi="宋体" w:cs="hakuyoxingshu7000"/>
          <w:b/>
          <w:color w:val="auto"/>
          <w:kern w:val="0"/>
          <w:sz w:val="22"/>
          <w:szCs w:val="22"/>
          <w:highlight w:val="none"/>
          <w:u w:val="single"/>
        </w:rPr>
        <w:t>金额的；</w:t>
      </w:r>
    </w:p>
    <w:p w14:paraId="6A4C208D">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（6）电子投标文件含有采购人不能接受的附加条件的；</w:t>
      </w:r>
    </w:p>
    <w:p w14:paraId="537C3D91">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（7）经评标委员会认定投标人串通投标的；</w:t>
      </w:r>
    </w:p>
    <w:p w14:paraId="0845D9E5">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（8）同时出现两种及以上不一致价格且修正后投标人不确认报价的；</w:t>
      </w:r>
    </w:p>
    <w:p w14:paraId="3429F76A">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color w:val="auto"/>
          <w:kern w:val="0"/>
          <w:sz w:val="22"/>
          <w:szCs w:val="22"/>
          <w:highlight w:val="none"/>
          <w:u w:val="single"/>
        </w:rPr>
        <w:t>（9）投标报价明显低于其他通过符合性审查投标人的投标报价，且在评标现场合理的时间内不能证明其投标报价合理性的；</w:t>
      </w:r>
    </w:p>
    <w:p w14:paraId="6684A09F">
      <w:pPr>
        <w:spacing w:line="440" w:lineRule="exact"/>
        <w:ind w:left="420"/>
        <w:rPr>
          <w:rFonts w:ascii="宋体" w:hAnsi="宋体" w:cs="hakuyoxingshu7000"/>
          <w:b/>
          <w:color w:val="auto"/>
          <w:kern w:val="0"/>
          <w:sz w:val="22"/>
          <w:szCs w:val="22"/>
          <w:highlight w:val="none"/>
          <w:u w:val="single"/>
        </w:rPr>
      </w:pPr>
      <w:r>
        <w:rPr>
          <w:rFonts w:hint="eastAsia" w:ascii="宋体" w:hAnsi="宋体" w:cs="hakuyoxingshu7000"/>
          <w:b/>
          <w:bCs/>
          <w:color w:val="auto"/>
          <w:kern w:val="0"/>
          <w:sz w:val="22"/>
          <w:szCs w:val="22"/>
          <w:highlight w:val="none"/>
          <w:u w:val="single"/>
        </w:rPr>
        <w:t>（10）授权代表</w:t>
      </w:r>
      <w:r>
        <w:rPr>
          <w:rFonts w:hint="eastAsia" w:ascii="宋体" w:hAnsi="宋体" w:cs="hakuyoxingshu7000"/>
          <w:b/>
          <w:color w:val="auto"/>
          <w:kern w:val="0"/>
          <w:sz w:val="22"/>
          <w:szCs w:val="22"/>
          <w:highlight w:val="none"/>
          <w:u w:val="single"/>
        </w:rPr>
        <w:t>无法定代表人（负责人）合法、有效委托的；</w:t>
      </w:r>
    </w:p>
    <w:p w14:paraId="1729F3CE">
      <w:pPr>
        <w:spacing w:line="440" w:lineRule="exact"/>
        <w:ind w:left="420"/>
        <w:rPr>
          <w:rFonts w:ascii="宋体" w:hAnsi="宋体" w:cs="hakuyoxingshu7000"/>
          <w:b/>
          <w:color w:val="auto"/>
          <w:kern w:val="0"/>
          <w:sz w:val="22"/>
          <w:szCs w:val="22"/>
          <w:highlight w:val="none"/>
          <w:u w:val="single"/>
        </w:rPr>
      </w:pPr>
      <w:r>
        <w:rPr>
          <w:rFonts w:hint="eastAsia" w:ascii="宋体" w:hAnsi="宋体" w:cs="Arial"/>
          <w:b/>
          <w:color w:val="auto"/>
          <w:sz w:val="22"/>
          <w:szCs w:val="22"/>
          <w:highlight w:val="none"/>
          <w:u w:val="single"/>
        </w:rPr>
        <w:t>（11）规定时间内解密失败且经异常处理但政采云电子交易系统仍未能识别备份投标文件的；</w:t>
      </w:r>
    </w:p>
    <w:p w14:paraId="03A39866">
      <w:pPr>
        <w:numPr>
          <w:ilvl w:val="0"/>
          <w:numId w:val="8"/>
        </w:numPr>
        <w:spacing w:line="440" w:lineRule="exact"/>
        <w:rPr>
          <w:rFonts w:ascii="宋体" w:hAnsi="宋体" w:cs="宋体"/>
          <w:kern w:val="0"/>
          <w:sz w:val="22"/>
          <w:szCs w:val="22"/>
          <w:highlight w:val="none"/>
        </w:rPr>
      </w:pPr>
      <w:r>
        <w:rPr>
          <w:rFonts w:hint="eastAsia" w:ascii="宋体" w:hAnsi="宋体" w:cs="hakuyoxingshu7000"/>
          <w:b/>
          <w:color w:val="auto"/>
          <w:kern w:val="0"/>
          <w:sz w:val="22"/>
          <w:szCs w:val="22"/>
          <w:highlight w:val="none"/>
          <w:u w:val="single"/>
        </w:rPr>
        <w:t>评标委员会认定不符合法律、法规和招标文件中规定的其他实质性要求的。</w:t>
      </w:r>
    </w:p>
    <w:p w14:paraId="38991408">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30.2▲</w:t>
      </w:r>
      <w:r>
        <w:rPr>
          <w:rFonts w:hint="eastAsia" w:ascii="宋体" w:hAnsi="宋体" w:cs="宋体"/>
          <w:b/>
          <w:bCs/>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宋体"/>
          <w:kern w:val="0"/>
          <w:sz w:val="22"/>
          <w:szCs w:val="22"/>
          <w:highlight w:val="none"/>
        </w:rPr>
        <w:t>：</w:t>
      </w:r>
    </w:p>
    <w:p w14:paraId="4D7464B9">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1）未按采购文件要求编制或字迹模糊、辨认不清的投标文件；</w:t>
      </w:r>
    </w:p>
    <w:p w14:paraId="3C08547B">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2）除30.1条款以外，出现其它明显不符合技术规格、技术标准的要求或不满足采购文件技术规格书中的主要参数的投标文件；</w:t>
      </w:r>
    </w:p>
    <w:p w14:paraId="60D677D3">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3）除30.1条款以外，出现投标项目数量与采购文件对比出现较大偏差；商务报价明细表计算错误，出现较大差错；</w:t>
      </w:r>
    </w:p>
    <w:p w14:paraId="6CC1B1B4">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4）除30.1条款以外，出现其它不符合采购文件中规定的实质性要求的投标文件，是否为偏离实质性要求由评标委员会认定。</w:t>
      </w:r>
    </w:p>
    <w:p w14:paraId="1DFA7171">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30.3</w:t>
      </w:r>
      <w:r>
        <w:rPr>
          <w:rFonts w:hint="eastAsia" w:ascii="宋体" w:hAnsi="宋体" w:cs="宋体"/>
          <w:b/>
          <w:bCs/>
          <w:kern w:val="0"/>
          <w:sz w:val="22"/>
          <w:szCs w:val="22"/>
          <w:highlight w:val="none"/>
          <w:u w:val="single"/>
        </w:rPr>
        <w:t>有下列情形之一的，视为投标人串通投标，其投标无效</w:t>
      </w:r>
      <w:r>
        <w:rPr>
          <w:rFonts w:hint="eastAsia" w:ascii="宋体" w:hAnsi="宋体" w:cs="宋体"/>
          <w:kern w:val="0"/>
          <w:sz w:val="22"/>
          <w:szCs w:val="22"/>
          <w:highlight w:val="none"/>
        </w:rPr>
        <w:t>：</w:t>
      </w:r>
    </w:p>
    <w:p w14:paraId="49E8726A">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1)不同投标人的投标文件由同一单位或者个人编制；</w:t>
      </w:r>
    </w:p>
    <w:p w14:paraId="11160FB6">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2)不同投标人委托同一单位或者个人办理投标事宜；</w:t>
      </w:r>
    </w:p>
    <w:p w14:paraId="05550023">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3)不同投标人的投标文件载明的项目管理成员或者联系人员为同一人；</w:t>
      </w:r>
    </w:p>
    <w:p w14:paraId="75D0AFFA">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4）不同投标人的投标文件异常一致或者投标报价呈规律性差异；</w:t>
      </w:r>
    </w:p>
    <w:p w14:paraId="41B2954D">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5）不同投标人的投标文件相互混装；</w:t>
      </w:r>
    </w:p>
    <w:p w14:paraId="6846CDC2">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18AF32C1">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30.5实质上没有响应采购文件要求的投标将被否决，投标人不得通过修正或撤消不合要求的偏离或保留从而使其投标成为实质上响应的投标。</w:t>
      </w:r>
    </w:p>
    <w:p w14:paraId="250FBCCA">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31.投标文件的澄清</w:t>
      </w:r>
    </w:p>
    <w:p w14:paraId="56DF7481">
      <w:pPr>
        <w:spacing w:line="460" w:lineRule="exact"/>
        <w:rPr>
          <w:rFonts w:ascii="宋体" w:hAnsi="宋体" w:cs="宋体"/>
          <w:b/>
          <w:bCs/>
          <w:sz w:val="22"/>
          <w:szCs w:val="22"/>
          <w:highlight w:val="none"/>
        </w:rPr>
      </w:pPr>
      <w:r>
        <w:rPr>
          <w:rFonts w:hint="eastAsia" w:ascii="宋体" w:hAnsi="宋体" w:cs="宋体"/>
          <w:kern w:val="0"/>
          <w:sz w:val="22"/>
          <w:szCs w:val="22"/>
          <w:highlight w:val="none"/>
        </w:rPr>
        <w:t>31.1</w:t>
      </w:r>
      <w:r>
        <w:rPr>
          <w:rFonts w:hint="eastAsia" w:ascii="宋体" w:hAnsi="宋体" w:cs="宋体"/>
          <w:b/>
          <w:bCs/>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68205AE">
      <w:pPr>
        <w:spacing w:line="460" w:lineRule="exact"/>
        <w:rPr>
          <w:rFonts w:ascii="宋体" w:hAnsi="宋体" w:cs="宋体"/>
          <w:b/>
          <w:bCs/>
          <w:sz w:val="22"/>
          <w:szCs w:val="22"/>
          <w:highlight w:val="none"/>
        </w:rPr>
      </w:pPr>
      <w:r>
        <w:rPr>
          <w:rFonts w:hint="eastAsia" w:ascii="宋体" w:hAnsi="宋体" w:cs="宋体"/>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49EEC14">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31.3</w:t>
      </w:r>
      <w:r>
        <w:rPr>
          <w:rFonts w:hint="eastAsia" w:ascii="宋体" w:hAnsi="宋体" w:cs="宋体"/>
          <w:sz w:val="22"/>
          <w:highlight w:val="none"/>
        </w:rPr>
        <w:t>投标文件报价出现前后不一致的，除采购文件另有规定外，按照下列规定修正</w:t>
      </w:r>
      <w:r>
        <w:rPr>
          <w:rFonts w:hint="eastAsia" w:ascii="宋体" w:hAnsi="宋体" w:cs="宋体"/>
          <w:kern w:val="0"/>
          <w:sz w:val="22"/>
          <w:szCs w:val="22"/>
          <w:highlight w:val="none"/>
        </w:rPr>
        <w:t>：</w:t>
      </w:r>
    </w:p>
    <w:p w14:paraId="17306D56">
      <w:pPr>
        <w:spacing w:line="460" w:lineRule="exact"/>
        <w:ind w:firstLine="418" w:firstLineChars="190"/>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sz w:val="22"/>
          <w:highlight w:val="none"/>
        </w:rPr>
        <w:t>投标文件中开标一览表（报价表）内容与投标文件中相应内容不一致的，以开标一览表（报价表）为准</w:t>
      </w:r>
      <w:r>
        <w:rPr>
          <w:rFonts w:hint="eastAsia" w:ascii="宋体" w:hAnsi="宋体" w:cs="宋体"/>
          <w:kern w:val="0"/>
          <w:sz w:val="22"/>
          <w:szCs w:val="22"/>
          <w:highlight w:val="none"/>
        </w:rPr>
        <w:t>。</w:t>
      </w:r>
    </w:p>
    <w:p w14:paraId="154CDD1C">
      <w:pPr>
        <w:spacing w:line="460" w:lineRule="exact"/>
        <w:ind w:firstLine="418" w:firstLineChars="190"/>
        <w:rPr>
          <w:rFonts w:ascii="宋体" w:hAnsi="宋体" w:cs="宋体"/>
          <w:sz w:val="22"/>
          <w:highlight w:val="none"/>
        </w:rPr>
      </w:pPr>
      <w:r>
        <w:rPr>
          <w:rFonts w:hint="eastAsia" w:ascii="宋体" w:hAnsi="宋体" w:cs="宋体"/>
          <w:kern w:val="0"/>
          <w:sz w:val="22"/>
          <w:szCs w:val="22"/>
          <w:highlight w:val="none"/>
        </w:rPr>
        <w:t>2）</w:t>
      </w:r>
      <w:r>
        <w:rPr>
          <w:rFonts w:hint="eastAsia" w:ascii="宋体" w:hAnsi="宋体" w:cs="宋体"/>
          <w:sz w:val="22"/>
          <w:highlight w:val="none"/>
        </w:rPr>
        <w:t>大写金额和小写金额不一致的，以大写金额为准。</w:t>
      </w:r>
    </w:p>
    <w:p w14:paraId="68D3F186">
      <w:pPr>
        <w:spacing w:line="460" w:lineRule="exact"/>
        <w:ind w:firstLine="418" w:firstLineChars="190"/>
        <w:rPr>
          <w:rFonts w:ascii="宋体" w:hAnsi="宋体" w:cs="宋体"/>
          <w:sz w:val="22"/>
          <w:highlight w:val="none"/>
        </w:rPr>
      </w:pPr>
      <w:r>
        <w:rPr>
          <w:rFonts w:hint="eastAsia" w:ascii="宋体" w:hAnsi="宋体" w:cs="宋体"/>
          <w:sz w:val="22"/>
          <w:highlight w:val="none"/>
        </w:rPr>
        <w:t>3）单价金额小数点或者百分比有明显错位的，以开标一览表的总价为准，并修改单价。</w:t>
      </w:r>
    </w:p>
    <w:p w14:paraId="59F24A73">
      <w:pPr>
        <w:spacing w:line="460" w:lineRule="exact"/>
        <w:ind w:firstLine="418" w:firstLineChars="190"/>
        <w:rPr>
          <w:rFonts w:ascii="宋体" w:hAnsi="宋体" w:cs="宋体"/>
          <w:sz w:val="22"/>
          <w:highlight w:val="none"/>
        </w:rPr>
      </w:pPr>
      <w:r>
        <w:rPr>
          <w:rFonts w:hint="eastAsia" w:ascii="宋体" w:hAnsi="宋体" w:cs="宋体"/>
          <w:sz w:val="22"/>
          <w:highlight w:val="none"/>
        </w:rPr>
        <w:t>4）总价金额与按单价汇总金额不一致的，以单价金额计算结果为准。</w:t>
      </w:r>
    </w:p>
    <w:p w14:paraId="0EAC71A0">
      <w:pPr>
        <w:spacing w:line="460" w:lineRule="exact"/>
        <w:ind w:firstLine="418" w:firstLineChars="190"/>
        <w:rPr>
          <w:rFonts w:ascii="宋体" w:hAnsi="宋体" w:cs="宋体"/>
          <w:sz w:val="22"/>
          <w:highlight w:val="none"/>
        </w:rPr>
      </w:pPr>
      <w:r>
        <w:rPr>
          <w:rFonts w:hint="eastAsia" w:ascii="宋体" w:hAnsi="宋体" w:cs="宋体"/>
          <w:sz w:val="22"/>
          <w:highlight w:val="none"/>
        </w:rPr>
        <w:t>5）</w:t>
      </w:r>
      <w:r>
        <w:rPr>
          <w:rFonts w:hint="eastAsia" w:ascii="新宋体" w:hAnsi="新宋体" w:eastAsia="新宋体" w:cs="新宋体"/>
          <w:sz w:val="22"/>
          <w:szCs w:val="22"/>
          <w:highlight w:val="none"/>
        </w:rPr>
        <w:t>投标人在政采云</w:t>
      </w:r>
      <w:r>
        <w:rPr>
          <w:rFonts w:hint="eastAsia" w:ascii="宋体" w:hAnsi="宋体" w:cs="宋体"/>
          <w:sz w:val="22"/>
          <w:szCs w:val="22"/>
          <w:highlight w:val="none"/>
        </w:rPr>
        <w:t>客户端填写的报价与以pdf格式上传文件中的报价不一致的，应以Pdf格式上传文件中的报价为准，修正客户端的报价。</w:t>
      </w:r>
    </w:p>
    <w:p w14:paraId="24483BBA">
      <w:pPr>
        <w:spacing w:line="460" w:lineRule="exact"/>
        <w:ind w:firstLine="420" w:firstLineChars="190"/>
        <w:rPr>
          <w:rFonts w:ascii="宋体" w:hAnsi="宋体" w:cs="宋体"/>
          <w:sz w:val="22"/>
          <w:highlight w:val="none"/>
        </w:rPr>
      </w:pPr>
      <w:r>
        <w:rPr>
          <w:rFonts w:hint="eastAsia" w:ascii="宋体" w:hAnsi="宋体" w:cs="宋体"/>
          <w:b/>
          <w:bCs/>
          <w:sz w:val="22"/>
          <w:highlight w:val="none"/>
        </w:rPr>
        <w:t>同时出现两种以上不一致的，按照前款规定的顺序修正。修正后的报价按照本采购文件规定经投标人确认后产生约束力，投标人不确认的，其投标无效。</w:t>
      </w:r>
    </w:p>
    <w:p w14:paraId="51C8900E">
      <w:pPr>
        <w:spacing w:line="460" w:lineRule="exact"/>
        <w:rPr>
          <w:rFonts w:ascii="宋体" w:hAnsi="宋体" w:cs="宋体"/>
          <w:b/>
          <w:bCs/>
          <w:sz w:val="22"/>
          <w:szCs w:val="22"/>
          <w:highlight w:val="none"/>
        </w:rPr>
      </w:pPr>
      <w:r>
        <w:rPr>
          <w:rFonts w:hint="eastAsia" w:ascii="宋体" w:hAnsi="宋体" w:cs="宋体"/>
          <w:b/>
          <w:bCs/>
          <w:sz w:val="22"/>
          <w:szCs w:val="22"/>
          <w:highlight w:val="none"/>
        </w:rPr>
        <w:t>31.4</w:t>
      </w:r>
      <w:r>
        <w:rPr>
          <w:rFonts w:hint="eastAsia" w:ascii="宋体" w:hAnsi="宋体" w:cs="宋体"/>
          <w:kern w:val="0"/>
          <w:sz w:val="22"/>
          <w:szCs w:val="22"/>
          <w:highlight w:val="none"/>
        </w:rPr>
        <w:t>▲</w:t>
      </w:r>
      <w:r>
        <w:rPr>
          <w:rFonts w:hint="eastAsia" w:ascii="宋体" w:hAnsi="宋体" w:cs="宋体"/>
          <w:b/>
          <w:bCs/>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kern w:val="0"/>
          <w:sz w:val="22"/>
          <w:szCs w:val="22"/>
          <w:highlight w:val="none"/>
        </w:rPr>
        <w:t>。</w:t>
      </w:r>
    </w:p>
    <w:p w14:paraId="1D143620">
      <w:pPr>
        <w:spacing w:line="460" w:lineRule="exact"/>
        <w:rPr>
          <w:rFonts w:ascii="宋体" w:hAnsi="宋体" w:cs="宋体"/>
          <w:b/>
          <w:bCs/>
          <w:sz w:val="22"/>
          <w:szCs w:val="22"/>
          <w:highlight w:val="none"/>
        </w:rPr>
      </w:pPr>
      <w:r>
        <w:rPr>
          <w:rFonts w:hint="eastAsia" w:ascii="宋体" w:hAnsi="宋体" w:cs="宋体"/>
          <w:b/>
          <w:bCs/>
          <w:sz w:val="22"/>
          <w:szCs w:val="22"/>
          <w:highlight w:val="none"/>
        </w:rPr>
        <w:t>31.5如果投标人代表拒绝按评标委员会要求在“政采云平台”作出在线回复且无其他有效回复方式的，评标委员会可以对其作出否决投标处理。</w:t>
      </w:r>
    </w:p>
    <w:p w14:paraId="1B85BC93">
      <w:pPr>
        <w:spacing w:line="460" w:lineRule="exact"/>
        <w:rPr>
          <w:rFonts w:ascii="宋体" w:hAnsi="宋体" w:cs="宋体"/>
          <w:kern w:val="0"/>
          <w:sz w:val="22"/>
          <w:szCs w:val="22"/>
          <w:highlight w:val="none"/>
        </w:rPr>
      </w:pPr>
      <w:r>
        <w:rPr>
          <w:rFonts w:hint="eastAsia" w:ascii="宋体" w:hAnsi="宋体" w:cs="宋体"/>
          <w:b/>
          <w:bCs/>
          <w:sz w:val="22"/>
          <w:szCs w:val="22"/>
          <w:highlight w:val="none"/>
        </w:rPr>
        <w:t>31.6</w:t>
      </w:r>
      <w:r>
        <w:rPr>
          <w:rFonts w:hint="eastAsia" w:ascii="宋体" w:hAnsi="宋体" w:cs="宋体"/>
          <w:sz w:val="22"/>
          <w:highlight w:val="none"/>
          <w:u w:val="single"/>
        </w:rPr>
        <w:t>经澄清后，若偏差仍存在，且不可接受，则投标文件将被认定为“没有实质性响应采购文件要求”，按无效投标处理，不再进入下一步评审。</w:t>
      </w:r>
    </w:p>
    <w:p w14:paraId="799FA23F">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32.</w:t>
      </w:r>
      <w:r>
        <w:rPr>
          <w:rFonts w:hint="eastAsia" w:ascii="宋体" w:hAnsi="宋体" w:cs="宋体"/>
          <w:b/>
          <w:bCs/>
          <w:sz w:val="22"/>
          <w:highlight w:val="none"/>
        </w:rPr>
        <w:t xml:space="preserve"> 评标原则和评标办法</w:t>
      </w:r>
    </w:p>
    <w:p w14:paraId="6C8BE987">
      <w:pPr>
        <w:pStyle w:val="13"/>
        <w:snapToGrid w:val="0"/>
        <w:spacing w:line="460" w:lineRule="exact"/>
        <w:rPr>
          <w:rFonts w:hAnsi="宋体" w:cs="宋体"/>
          <w:sz w:val="22"/>
          <w:highlight w:val="none"/>
        </w:rPr>
      </w:pPr>
      <w:r>
        <w:rPr>
          <w:rFonts w:hint="eastAsia" w:hAnsi="宋体" w:cs="宋体"/>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5A75627F">
      <w:pPr>
        <w:pStyle w:val="22"/>
        <w:spacing w:before="0" w:beforeAutospacing="0" w:after="0" w:afterAutospacing="0" w:line="460" w:lineRule="exact"/>
        <w:jc w:val="both"/>
        <w:rPr>
          <w:rFonts w:cs="宋体"/>
          <w:color w:val="auto"/>
          <w:sz w:val="22"/>
          <w:highlight w:val="none"/>
        </w:rPr>
      </w:pPr>
      <w:r>
        <w:rPr>
          <w:rFonts w:hint="eastAsia" w:cs="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3B7FD6FE">
      <w:pPr>
        <w:pStyle w:val="13"/>
        <w:snapToGrid w:val="0"/>
        <w:spacing w:line="460" w:lineRule="exact"/>
        <w:rPr>
          <w:rFonts w:hAnsi="宋体" w:cs="宋体"/>
          <w:sz w:val="22"/>
          <w:highlight w:val="none"/>
        </w:rPr>
      </w:pPr>
      <w:r>
        <w:rPr>
          <w:rFonts w:hint="eastAsia" w:hAnsi="宋体" w:cs="宋体"/>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7F1EE7D9">
      <w:pPr>
        <w:pStyle w:val="13"/>
        <w:snapToGrid w:val="0"/>
        <w:spacing w:line="460" w:lineRule="exact"/>
        <w:rPr>
          <w:rFonts w:hAnsi="宋体" w:cs="宋体"/>
          <w:sz w:val="22"/>
          <w:highlight w:val="none"/>
        </w:rPr>
      </w:pPr>
      <w:r>
        <w:rPr>
          <w:rFonts w:hint="eastAsia" w:hAnsi="宋体" w:cs="宋体"/>
          <w:sz w:val="22"/>
          <w:highlight w:val="none"/>
        </w:rPr>
        <w:t>32.4本项目评标办法是综合评分法，具体评标内容及评分标准等详见第六部分“评标原则及方法”。</w:t>
      </w:r>
    </w:p>
    <w:p w14:paraId="69826BB8">
      <w:pPr>
        <w:pStyle w:val="13"/>
        <w:snapToGrid w:val="0"/>
        <w:spacing w:line="460" w:lineRule="exact"/>
        <w:rPr>
          <w:rFonts w:hAnsi="宋体" w:cs="宋体"/>
          <w:b/>
          <w:sz w:val="22"/>
          <w:highlight w:val="none"/>
        </w:rPr>
      </w:pPr>
      <w:r>
        <w:rPr>
          <w:rFonts w:hint="eastAsia" w:hAnsi="宋体" w:cs="宋体"/>
          <w:b/>
          <w:sz w:val="22"/>
          <w:highlight w:val="none"/>
          <w:u w:val="single"/>
        </w:rPr>
        <w:t>32.5▲根据《中华人民共和国政府采购法》第三十六条规定：在招标采购中，符合专业条件的投标人或者对采购文件作实质响应的投标人不足三家的，此项目废标，应重新组织采购。</w:t>
      </w:r>
    </w:p>
    <w:p w14:paraId="68181EC5">
      <w:pPr>
        <w:spacing w:line="460" w:lineRule="exact"/>
        <w:rPr>
          <w:rFonts w:ascii="宋体" w:hAnsi="宋体" w:cs="宋体"/>
          <w:kern w:val="0"/>
          <w:sz w:val="22"/>
          <w:szCs w:val="22"/>
          <w:highlight w:val="none"/>
        </w:rPr>
      </w:pPr>
      <w:r>
        <w:rPr>
          <w:rFonts w:hint="eastAsia" w:ascii="宋体" w:hAnsi="宋体" w:cs="宋体"/>
          <w:sz w:val="22"/>
          <w:highlight w:val="none"/>
        </w:rPr>
        <w:t>32.6评标过程中遇到特殊情况，由评标委员会遵循公开、公正原则，采取投票方式按照少数服从多数原则决定。</w:t>
      </w:r>
    </w:p>
    <w:p w14:paraId="2DC9EA18">
      <w:pPr>
        <w:spacing w:line="460" w:lineRule="exact"/>
        <w:rPr>
          <w:rFonts w:ascii="新宋体" w:hAnsi="新宋体" w:eastAsia="新宋体" w:cs="新宋体"/>
          <w:b/>
          <w:kern w:val="0"/>
          <w:sz w:val="22"/>
          <w:szCs w:val="22"/>
          <w:highlight w:val="none"/>
        </w:rPr>
      </w:pPr>
      <w:r>
        <w:rPr>
          <w:rFonts w:hint="eastAsia" w:ascii="新宋体" w:hAnsi="新宋体" w:eastAsia="新宋体" w:cs="新宋体"/>
          <w:b/>
          <w:kern w:val="0"/>
          <w:sz w:val="22"/>
          <w:szCs w:val="22"/>
          <w:highlight w:val="none"/>
        </w:rPr>
        <w:t>33.确定中标候选人</w:t>
      </w:r>
    </w:p>
    <w:p w14:paraId="1E2436C7">
      <w:pPr>
        <w:spacing w:line="4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33.1本次采购由评标委员会推荐中标候选人，采购人根据评标委员会的推荐结果进行最终确认。</w:t>
      </w:r>
    </w:p>
    <w:p w14:paraId="7FC2DA8B">
      <w:pPr>
        <w:spacing w:line="4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33.2</w:t>
      </w:r>
      <w:r>
        <w:rPr>
          <w:rFonts w:hint="eastAsia" w:ascii="新宋体" w:hAnsi="新宋体" w:eastAsia="新宋体" w:cs="新宋体"/>
          <w:sz w:val="22"/>
          <w:szCs w:val="22"/>
          <w:highlight w:val="none"/>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kern w:val="0"/>
          <w:sz w:val="22"/>
          <w:szCs w:val="22"/>
          <w:highlight w:val="none"/>
        </w:rPr>
        <w:t>。</w:t>
      </w:r>
    </w:p>
    <w:p w14:paraId="6C6949AB">
      <w:pPr>
        <w:spacing w:line="4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33.3若出现以下情形之一，采购人可视具体情况确定是否由备选中标人为中标人或重新组织采购：</w:t>
      </w:r>
    </w:p>
    <w:p w14:paraId="486FF984">
      <w:pPr>
        <w:spacing w:line="460" w:lineRule="exact"/>
        <w:ind w:firstLine="418" w:firstLineChars="190"/>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1）中标候选人放弃中标资格；</w:t>
      </w:r>
    </w:p>
    <w:p w14:paraId="1793A5AC">
      <w:pPr>
        <w:spacing w:line="460" w:lineRule="exact"/>
        <w:ind w:firstLine="418" w:firstLineChars="190"/>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2）中标候选人因不可抗力提出不能履行合同；</w:t>
      </w:r>
    </w:p>
    <w:p w14:paraId="282BD420">
      <w:pPr>
        <w:spacing w:line="460" w:lineRule="exact"/>
        <w:ind w:firstLine="418" w:firstLineChars="190"/>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3）中标候选人未能在规定时间内与采购单位签订合同；</w:t>
      </w:r>
    </w:p>
    <w:p w14:paraId="27ED4A71">
      <w:pPr>
        <w:spacing w:line="460" w:lineRule="exact"/>
        <w:ind w:firstLine="418" w:firstLineChars="190"/>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4）经质疑，采购人审查后，中标候选人确实在本次采购活动中存在违法违规行为或其他原因使质疑成立的。</w:t>
      </w:r>
    </w:p>
    <w:p w14:paraId="1F7A3E46">
      <w:pPr>
        <w:spacing w:line="4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14:paraId="091E5D11">
      <w:pPr>
        <w:tabs>
          <w:tab w:val="left" w:pos="1365"/>
        </w:tabs>
        <w:spacing w:line="460" w:lineRule="exact"/>
        <w:ind w:left="550" w:hanging="550" w:hangingChars="250"/>
        <w:rPr>
          <w:rFonts w:ascii="宋体" w:hAnsi="宋体" w:cs="宋体"/>
          <w:bCs/>
          <w:sz w:val="22"/>
          <w:szCs w:val="22"/>
          <w:highlight w:val="none"/>
        </w:rPr>
      </w:pPr>
      <w:r>
        <w:rPr>
          <w:rFonts w:hint="eastAsia" w:ascii="新宋体" w:hAnsi="新宋体" w:eastAsia="新宋体" w:cs="新宋体"/>
          <w:kern w:val="0"/>
          <w:sz w:val="22"/>
          <w:szCs w:val="22"/>
          <w:highlight w:val="none"/>
        </w:rPr>
        <w:t>34. 评标细则详见“评标原则及方法”</w:t>
      </w:r>
      <w:r>
        <w:rPr>
          <w:rFonts w:hint="eastAsia" w:ascii="新宋体" w:hAnsi="新宋体" w:eastAsia="新宋体" w:cs="新宋体"/>
          <w:bCs/>
          <w:sz w:val="22"/>
          <w:szCs w:val="22"/>
          <w:highlight w:val="none"/>
        </w:rPr>
        <w:t>。</w:t>
      </w:r>
    </w:p>
    <w:p w14:paraId="42E403E7">
      <w:pPr>
        <w:spacing w:line="460" w:lineRule="exact"/>
        <w:rPr>
          <w:rFonts w:ascii="宋体" w:hAnsi="宋体" w:cs="宋体"/>
          <w:b/>
          <w:kern w:val="0"/>
          <w:sz w:val="22"/>
          <w:szCs w:val="22"/>
          <w:highlight w:val="none"/>
        </w:rPr>
      </w:pPr>
      <w:r>
        <w:rPr>
          <w:rFonts w:hint="eastAsia" w:ascii="宋体" w:hAnsi="宋体" w:cs="宋体"/>
          <w:b/>
          <w:kern w:val="0"/>
          <w:sz w:val="22"/>
          <w:szCs w:val="22"/>
          <w:highlight w:val="none"/>
        </w:rPr>
        <w:t>35. 可中止电子交易活动的情形</w:t>
      </w:r>
    </w:p>
    <w:p w14:paraId="09BB0F27">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35.1采购过程中出现以下情形，导致电子交易平台无法正常运行，或者无法保证电子交易的公平、公正和安全时，采购组织机构可中止电子交易活动：</w:t>
      </w:r>
    </w:p>
    <w:p w14:paraId="341547DD">
      <w:pPr>
        <w:numPr>
          <w:ilvl w:val="2"/>
          <w:numId w:val="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电子交易平台发生故障而无法登录访问的；</w:t>
      </w:r>
    </w:p>
    <w:p w14:paraId="02FD33F5">
      <w:pPr>
        <w:numPr>
          <w:ilvl w:val="2"/>
          <w:numId w:val="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电子交易平台应用或数据库出现错误，不能进行正常操作的；</w:t>
      </w:r>
    </w:p>
    <w:p w14:paraId="2E4DF633">
      <w:pPr>
        <w:numPr>
          <w:ilvl w:val="2"/>
          <w:numId w:val="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电子交易平台发现严重安全漏洞，有潜在泄密危险的；</w:t>
      </w:r>
    </w:p>
    <w:p w14:paraId="0B715130">
      <w:pPr>
        <w:numPr>
          <w:ilvl w:val="2"/>
          <w:numId w:val="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病毒发作导致不能进行正常操作的；</w:t>
      </w:r>
    </w:p>
    <w:p w14:paraId="5DB15CE9">
      <w:pPr>
        <w:numPr>
          <w:ilvl w:val="2"/>
          <w:numId w:val="9"/>
        </w:numPr>
        <w:tabs>
          <w:tab w:val="left" w:pos="993"/>
        </w:tabs>
        <w:spacing w:line="460" w:lineRule="exact"/>
        <w:ind w:left="993" w:hanging="426"/>
        <w:rPr>
          <w:rFonts w:ascii="宋体" w:hAnsi="宋体" w:cs="宋体"/>
          <w:kern w:val="0"/>
          <w:sz w:val="22"/>
          <w:szCs w:val="22"/>
          <w:highlight w:val="none"/>
        </w:rPr>
      </w:pPr>
      <w:r>
        <w:rPr>
          <w:rFonts w:hint="eastAsia" w:ascii="宋体" w:hAnsi="宋体" w:cs="宋体"/>
          <w:kern w:val="0"/>
          <w:sz w:val="22"/>
          <w:szCs w:val="22"/>
          <w:highlight w:val="none"/>
        </w:rPr>
        <w:t>其他无法保证电子交易的公平、公正和安全的情况。</w:t>
      </w:r>
    </w:p>
    <w:p w14:paraId="1EEE24FF">
      <w:p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63C2181B">
      <w:pPr>
        <w:pStyle w:val="6"/>
        <w:spacing w:line="500" w:lineRule="exact"/>
        <w:jc w:val="center"/>
        <w:rPr>
          <w:rFonts w:ascii="宋体" w:hAnsi="宋体" w:eastAsia="宋体" w:cs="宋体"/>
          <w:sz w:val="24"/>
          <w:szCs w:val="24"/>
          <w:highlight w:val="none"/>
        </w:rPr>
      </w:pPr>
      <w:bookmarkStart w:id="77" w:name="_Toc13077"/>
      <w:bookmarkStart w:id="78" w:name="_Toc34508136"/>
      <w:bookmarkStart w:id="79" w:name="_Toc34221901"/>
      <w:bookmarkStart w:id="80" w:name="_Toc306613654"/>
      <w:r>
        <w:rPr>
          <w:rFonts w:hint="eastAsia" w:ascii="宋体" w:hAnsi="宋体" w:eastAsia="宋体" w:cs="宋体"/>
          <w:sz w:val="24"/>
          <w:szCs w:val="24"/>
          <w:highlight w:val="none"/>
        </w:rPr>
        <w:t>七、 授予合同</w:t>
      </w:r>
      <w:bookmarkEnd w:id="77"/>
      <w:bookmarkEnd w:id="78"/>
      <w:bookmarkEnd w:id="79"/>
      <w:bookmarkEnd w:id="80"/>
    </w:p>
    <w:p w14:paraId="0A1AA759">
      <w:pPr>
        <w:tabs>
          <w:tab w:val="left" w:pos="540"/>
        </w:tabs>
        <w:spacing w:line="440" w:lineRule="exact"/>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36. 确定中标人</w:t>
      </w:r>
    </w:p>
    <w:p w14:paraId="2520E271">
      <w:pPr>
        <w:tabs>
          <w:tab w:val="left" w:pos="540"/>
        </w:tabs>
        <w:spacing w:line="44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36.1采购人自收到评标报告之日起5个工作日内，在评标报告确定的中标候选人名单中按顺序确定中标人。</w:t>
      </w:r>
    </w:p>
    <w:p w14:paraId="616BCE97">
      <w:pPr>
        <w:tabs>
          <w:tab w:val="left" w:pos="540"/>
        </w:tabs>
        <w:spacing w:line="44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36.2中标人确定之日起2个工作日内，在“政采云”平台上公示中标结果，中标公告期限为1个工作日；</w:t>
      </w:r>
    </w:p>
    <w:p w14:paraId="44AABA96">
      <w:pPr>
        <w:tabs>
          <w:tab w:val="left" w:pos="540"/>
        </w:tabs>
        <w:spacing w:line="44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36.3在公告中标结果的同时，采购人向中标人发出中标通知书。</w:t>
      </w:r>
    </w:p>
    <w:p w14:paraId="27738DA2">
      <w:pPr>
        <w:tabs>
          <w:tab w:val="left" w:pos="540"/>
        </w:tabs>
        <w:spacing w:line="440" w:lineRule="exact"/>
        <w:rPr>
          <w:rFonts w:ascii="宋体" w:hAnsi="宋体" w:cs="宋体"/>
          <w:kern w:val="0"/>
          <w:sz w:val="22"/>
          <w:szCs w:val="22"/>
          <w:highlight w:val="none"/>
        </w:rPr>
      </w:pPr>
      <w:r>
        <w:rPr>
          <w:rFonts w:hint="eastAsia" w:ascii="新宋体" w:hAnsi="新宋体" w:eastAsia="新宋体" w:cs="新宋体"/>
          <w:sz w:val="22"/>
          <w:szCs w:val="22"/>
          <w:highlight w:val="none"/>
        </w:rPr>
        <w:t>36.4各投标人对评标结果如有异议，可在中标结果公示之日起7个工作日内以书面形式向采购人进行署名投诉或提出质疑，但需对投诉或质疑内容的真实性承担法律责任。</w:t>
      </w:r>
    </w:p>
    <w:p w14:paraId="5529D24A">
      <w:pPr>
        <w:tabs>
          <w:tab w:val="left" w:pos="540"/>
        </w:tabs>
        <w:spacing w:line="440" w:lineRule="exact"/>
        <w:rPr>
          <w:rFonts w:ascii="宋体" w:hAnsi="宋体" w:cs="宋体"/>
          <w:b/>
          <w:sz w:val="22"/>
          <w:szCs w:val="22"/>
          <w:highlight w:val="none"/>
        </w:rPr>
      </w:pPr>
      <w:r>
        <w:rPr>
          <w:rFonts w:hint="eastAsia" w:ascii="宋体" w:hAnsi="宋体" w:cs="宋体"/>
          <w:b/>
          <w:sz w:val="22"/>
          <w:szCs w:val="22"/>
          <w:highlight w:val="none"/>
        </w:rPr>
        <w:t>37. 签订合同</w:t>
      </w:r>
    </w:p>
    <w:p w14:paraId="218F5976">
      <w:pPr>
        <w:tabs>
          <w:tab w:val="left" w:pos="540"/>
        </w:tabs>
        <w:spacing w:line="440" w:lineRule="exact"/>
        <w:rPr>
          <w:rFonts w:ascii="宋体" w:hAnsi="宋体" w:cs="宋体"/>
          <w:sz w:val="22"/>
          <w:szCs w:val="22"/>
          <w:highlight w:val="none"/>
        </w:rPr>
      </w:pPr>
      <w:r>
        <w:rPr>
          <w:rFonts w:hint="eastAsia" w:ascii="宋体" w:hAnsi="宋体" w:cs="宋体"/>
          <w:sz w:val="22"/>
          <w:szCs w:val="22"/>
          <w:highlight w:val="none"/>
        </w:rPr>
        <w:t>37.1公示期结束后，中标投标人须在5个工作日内主动联系采购人或采购机构领取中标通知书。中标投标人应当在中标通知书发出之日起</w:t>
      </w:r>
      <w:r>
        <w:rPr>
          <w:rFonts w:ascii="宋体" w:hAnsi="宋体" w:cs="宋体"/>
          <w:sz w:val="22"/>
          <w:szCs w:val="22"/>
          <w:highlight w:val="none"/>
        </w:rPr>
        <w:t>30</w:t>
      </w:r>
      <w:r>
        <w:rPr>
          <w:rFonts w:hint="eastAsia" w:ascii="宋体" w:hAnsi="宋体" w:cs="宋体"/>
          <w:sz w:val="22"/>
          <w:szCs w:val="22"/>
          <w:highlight w:val="none"/>
        </w:rPr>
        <w:t>日内与采购人签订合同。中标投标人未经采购人许可，在规定时间内未到采购人处与采购人签订合同，则视为拒签合同。</w:t>
      </w:r>
    </w:p>
    <w:p w14:paraId="0F22E210">
      <w:pPr>
        <w:tabs>
          <w:tab w:val="left" w:pos="540"/>
        </w:tabs>
        <w:spacing w:line="440" w:lineRule="exact"/>
        <w:rPr>
          <w:rFonts w:ascii="宋体" w:hAnsi="宋体" w:cs="宋体"/>
          <w:sz w:val="22"/>
          <w:szCs w:val="22"/>
          <w:highlight w:val="none"/>
        </w:rPr>
      </w:pPr>
      <w:r>
        <w:rPr>
          <w:rFonts w:hint="eastAsia" w:ascii="宋体" w:hAnsi="宋体" w:cs="宋体"/>
          <w:sz w:val="22"/>
          <w:szCs w:val="22"/>
          <w:highlight w:val="none"/>
        </w:rPr>
        <w:t>37.2采购文件、中标投标人的投标文件及投标修改文件、评标过程中有关澄清文件及经双方签字的询标纪要（承诺）和中标通知书均作为合同附件。</w:t>
      </w:r>
    </w:p>
    <w:p w14:paraId="5AC9E558">
      <w:pPr>
        <w:tabs>
          <w:tab w:val="left" w:pos="540"/>
        </w:tabs>
        <w:spacing w:line="440" w:lineRule="exact"/>
        <w:rPr>
          <w:rFonts w:hint="eastAsia" w:ascii="宋体" w:hAnsi="宋体" w:cs="宋体"/>
          <w:sz w:val="22"/>
          <w:szCs w:val="22"/>
          <w:highlight w:val="none"/>
        </w:rPr>
      </w:pPr>
      <w:r>
        <w:rPr>
          <w:rFonts w:hint="eastAsia" w:ascii="宋体" w:hAnsi="宋体" w:cs="宋体"/>
          <w:sz w:val="22"/>
          <w:szCs w:val="22"/>
          <w:highlight w:val="none"/>
        </w:rPr>
        <w:t>37.3拒签合同的责任</w:t>
      </w:r>
    </w:p>
    <w:p w14:paraId="7FFE9272">
      <w:pPr>
        <w:tabs>
          <w:tab w:val="left" w:pos="540"/>
        </w:tabs>
        <w:spacing w:line="440" w:lineRule="exact"/>
        <w:rPr>
          <w:rFonts w:hint="eastAsia" w:ascii="宋体" w:hAnsi="宋体" w:cs="宋体"/>
          <w:sz w:val="22"/>
          <w:szCs w:val="22"/>
          <w:highlight w:val="none"/>
        </w:rPr>
      </w:pPr>
      <w:r>
        <w:rPr>
          <w:rFonts w:hint="eastAsia" w:ascii="宋体" w:hAnsi="宋体" w:cs="宋体"/>
          <w:sz w:val="22"/>
          <w:szCs w:val="22"/>
          <w:highlight w:val="none"/>
        </w:rPr>
        <w:t>37.4中标投标人在规定时间内（30日历天）借故否认已经承诺的条件、拒签合同，以投标违约处理，并赔偿采购人由此造成的直接经济损失；采购人重新组织采购的，所需费用由原中标投标人承担。</w:t>
      </w:r>
    </w:p>
    <w:bookmarkEnd w:id="26"/>
    <w:bookmarkEnd w:id="27"/>
    <w:bookmarkEnd w:id="67"/>
    <w:bookmarkEnd w:id="68"/>
    <w:bookmarkEnd w:id="69"/>
    <w:bookmarkEnd w:id="70"/>
    <w:bookmarkEnd w:id="71"/>
    <w:bookmarkEnd w:id="72"/>
    <w:bookmarkEnd w:id="73"/>
    <w:bookmarkEnd w:id="74"/>
    <w:bookmarkEnd w:id="75"/>
    <w:bookmarkEnd w:id="76"/>
    <w:p w14:paraId="4AB9085A">
      <w:pPr>
        <w:pStyle w:val="44"/>
        <w:rPr>
          <w:highlight w:val="none"/>
        </w:rPr>
      </w:pPr>
      <w:bookmarkStart w:id="81" w:name="_Toc448731806"/>
      <w:bookmarkStart w:id="82" w:name="_Toc7410"/>
    </w:p>
    <w:p w14:paraId="547BEE46">
      <w:pP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br w:type="page"/>
      </w:r>
    </w:p>
    <w:p w14:paraId="332DFC4A">
      <w:pPr>
        <w:pStyle w:val="5"/>
        <w:bidi w:val="0"/>
        <w:spacing w:line="240" w:lineRule="auto"/>
        <w:jc w:val="center"/>
        <w:rPr>
          <w:rFonts w:hint="eastAsia" w:ascii="宋体" w:hAnsi="宋体" w:eastAsia="宋体" w:cs="宋体"/>
          <w:sz w:val="32"/>
          <w:szCs w:val="32"/>
          <w:highlight w:val="none"/>
        </w:rPr>
      </w:pPr>
      <w:bookmarkStart w:id="83" w:name="_Toc24261"/>
      <w:r>
        <w:rPr>
          <w:rFonts w:hint="eastAsia" w:ascii="宋体" w:hAnsi="宋体" w:eastAsia="宋体" w:cs="宋体"/>
          <w:sz w:val="32"/>
          <w:szCs w:val="32"/>
          <w:highlight w:val="none"/>
          <w:lang w:val="en-US" w:eastAsia="zh-CN"/>
        </w:rPr>
        <w:t xml:space="preserve">第二部分 </w:t>
      </w:r>
      <w:r>
        <w:rPr>
          <w:rFonts w:hint="eastAsia" w:ascii="宋体" w:hAnsi="宋体" w:eastAsia="宋体" w:cs="宋体"/>
          <w:sz w:val="32"/>
          <w:szCs w:val="32"/>
          <w:highlight w:val="none"/>
        </w:rPr>
        <w:t>合同主要条款</w:t>
      </w:r>
      <w:bookmarkEnd w:id="81"/>
      <w:bookmarkEnd w:id="82"/>
      <w:bookmarkEnd w:id="83"/>
    </w:p>
    <w:p w14:paraId="7E98D89D">
      <w:pPr>
        <w:spacing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956F92E">
      <w:pPr>
        <w:spacing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DFF8935">
      <w:pPr>
        <w:widowControl/>
        <w:snapToGrid w:val="0"/>
        <w:spacing w:line="240" w:lineRule="auto"/>
        <w:jc w:val="left"/>
        <w:rPr>
          <w:rFonts w:hint="eastAsia" w:ascii="宋体" w:hAnsi="宋体" w:eastAsia="宋体" w:cs="宋体"/>
          <w:color w:val="auto"/>
          <w:sz w:val="24"/>
          <w:highlight w:val="none"/>
        </w:rPr>
      </w:pPr>
    </w:p>
    <w:p w14:paraId="2EAD098E">
      <w:pPr>
        <w:adjustRightInd w:val="0"/>
        <w:snapToGrid w:val="0"/>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（合同文本仅作参考，实际签订以双方协商为准）</w:t>
      </w:r>
    </w:p>
    <w:p w14:paraId="3CD1377A">
      <w:pPr>
        <w:pStyle w:val="13"/>
        <w:wordWrap w:val="0"/>
        <w:snapToGrid w:val="0"/>
        <w:spacing w:line="460" w:lineRule="atLeast"/>
        <w:jc w:val="righ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编号：      </w:t>
      </w:r>
    </w:p>
    <w:p w14:paraId="4D3C22EF">
      <w:pPr>
        <w:pStyle w:val="13"/>
        <w:spacing w:line="360" w:lineRule="auto"/>
        <w:rPr>
          <w:rFonts w:hAnsi="宋体" w:cs="宋体"/>
          <w:b/>
          <w:bCs/>
          <w:highlight w:val="none"/>
        </w:rPr>
      </w:pPr>
      <w:r>
        <w:rPr>
          <w:rFonts w:hint="eastAsia" w:hAnsi="宋体" w:cs="宋体"/>
          <w:b/>
          <w:bCs/>
          <w:highlight w:val="none"/>
        </w:rPr>
        <w:t>甲</w:t>
      </w:r>
      <w:r>
        <w:rPr>
          <w:rFonts w:hint="eastAsia" w:hAnsi="宋体" w:cs="宋体"/>
          <w:b/>
          <w:bCs/>
          <w:highlight w:val="none"/>
          <w:vertAlign w:val="superscript"/>
        </w:rPr>
        <w:t>1</w:t>
      </w:r>
      <w:r>
        <w:rPr>
          <w:rFonts w:hint="eastAsia" w:hAnsi="宋体" w:cs="宋体"/>
          <w:b/>
          <w:bCs/>
          <w:highlight w:val="none"/>
        </w:rPr>
        <w:t>方（采购人）：温州市瓯海区综合行政执法局</w:t>
      </w:r>
    </w:p>
    <w:p w14:paraId="711CFF35">
      <w:pPr>
        <w:pStyle w:val="13"/>
        <w:spacing w:line="360" w:lineRule="auto"/>
        <w:rPr>
          <w:rFonts w:hAnsi="宋体" w:cs="宋体"/>
          <w:b/>
          <w:bCs/>
          <w:highlight w:val="none"/>
        </w:rPr>
      </w:pPr>
      <w:r>
        <w:rPr>
          <w:rFonts w:hint="eastAsia" w:hAnsi="宋体" w:cs="宋体"/>
          <w:b/>
          <w:bCs/>
          <w:highlight w:val="none"/>
        </w:rPr>
        <w:t>甲</w:t>
      </w:r>
      <w:r>
        <w:rPr>
          <w:rFonts w:hint="eastAsia" w:hAnsi="宋体" w:cs="宋体"/>
          <w:b/>
          <w:bCs/>
          <w:highlight w:val="none"/>
          <w:vertAlign w:val="superscript"/>
        </w:rPr>
        <w:t>2</w:t>
      </w:r>
      <w:r>
        <w:rPr>
          <w:rFonts w:hint="eastAsia" w:hAnsi="宋体" w:cs="宋体"/>
          <w:b/>
          <w:bCs/>
          <w:highlight w:val="none"/>
        </w:rPr>
        <w:t>方（采购人）：温州市瓯海区人民政府娄桥街道办事处等14个镇街开发区</w:t>
      </w:r>
    </w:p>
    <w:p w14:paraId="2CC1EABA">
      <w:pPr>
        <w:pStyle w:val="13"/>
        <w:spacing w:line="360" w:lineRule="auto"/>
        <w:rPr>
          <w:rFonts w:hint="eastAsia" w:ascii="宋体" w:hAnsi="宋体" w:eastAsia="宋体" w:cs="宋体"/>
          <w:color w:val="auto"/>
          <w:spacing w:val="-3"/>
          <w:sz w:val="22"/>
          <w:szCs w:val="22"/>
          <w:highlight w:val="none"/>
        </w:rPr>
      </w:pPr>
      <w:r>
        <w:rPr>
          <w:rFonts w:hint="eastAsia" w:hAnsi="宋体" w:cs="宋体"/>
          <w:b/>
          <w:bCs/>
          <w:highlight w:val="none"/>
        </w:rPr>
        <w:t>乙方（中标人）：中标供应商</w:t>
      </w:r>
      <w:r>
        <w:rPr>
          <w:rFonts w:hint="eastAsia" w:ascii="宋体" w:hAnsi="宋体" w:eastAsia="宋体" w:cs="宋体"/>
          <w:color w:val="auto"/>
          <w:spacing w:val="-3"/>
          <w:sz w:val="22"/>
          <w:szCs w:val="22"/>
          <w:highlight w:val="none"/>
        </w:rPr>
        <w:t xml:space="preserve">  </w:t>
      </w:r>
    </w:p>
    <w:p w14:paraId="2B0C3B62">
      <w:pPr>
        <w:pStyle w:val="3"/>
        <w:spacing w:before="157" w:line="360" w:lineRule="auto"/>
        <w:ind w:right="527" w:firstLine="420" w:firstLineChars="200"/>
        <w:rPr>
          <w:rFonts w:hint="eastAsia" w:ascii="宋体" w:hAnsi="宋体" w:eastAsia="宋体" w:cs="宋体"/>
          <w:color w:val="auto"/>
          <w:spacing w:val="-1"/>
          <w:sz w:val="22"/>
          <w:szCs w:val="22"/>
          <w:highlight w:val="none"/>
        </w:rPr>
      </w:pPr>
      <w:r>
        <w:rPr>
          <w:rFonts w:hint="eastAsia" w:hAnsi="宋体" w:cs="宋体"/>
          <w:szCs w:val="21"/>
          <w:highlight w:val="none"/>
        </w:rPr>
        <w:t>本合同</w:t>
      </w:r>
      <w:r>
        <w:rPr>
          <w:rFonts w:hint="eastAsia" w:hAnsi="宋体" w:cs="宋体"/>
          <w:bCs/>
          <w:highlight w:val="none"/>
        </w:rPr>
        <w:t>甲</w:t>
      </w:r>
      <w:r>
        <w:rPr>
          <w:rFonts w:hint="eastAsia" w:hAnsi="宋体" w:cs="宋体"/>
          <w:bCs/>
          <w:highlight w:val="none"/>
          <w:vertAlign w:val="superscript"/>
        </w:rPr>
        <w:t>1</w:t>
      </w:r>
      <w:r>
        <w:rPr>
          <w:rFonts w:hint="eastAsia" w:hAnsi="宋体" w:cs="宋体"/>
          <w:bCs/>
          <w:highlight w:val="none"/>
        </w:rPr>
        <w:t>方</w:t>
      </w:r>
      <w:r>
        <w:rPr>
          <w:rFonts w:hint="eastAsia" w:hAnsi="宋体" w:cs="宋体"/>
          <w:szCs w:val="21"/>
          <w:highlight w:val="none"/>
        </w:rPr>
        <w:t>、</w:t>
      </w:r>
      <w:r>
        <w:rPr>
          <w:rFonts w:hint="eastAsia" w:hAnsi="宋体" w:cs="宋体"/>
          <w:bCs/>
          <w:highlight w:val="none"/>
        </w:rPr>
        <w:t>甲</w:t>
      </w:r>
      <w:r>
        <w:rPr>
          <w:rFonts w:hint="eastAsia" w:hAnsi="宋体" w:cs="宋体"/>
          <w:bCs/>
          <w:highlight w:val="none"/>
          <w:vertAlign w:val="superscript"/>
        </w:rPr>
        <w:t>2</w:t>
      </w:r>
      <w:r>
        <w:rPr>
          <w:rFonts w:hint="eastAsia" w:hAnsi="宋体" w:cs="宋体"/>
          <w:bCs/>
          <w:highlight w:val="none"/>
        </w:rPr>
        <w:t>方</w:t>
      </w:r>
      <w:r>
        <w:rPr>
          <w:rFonts w:hint="eastAsia" w:hAnsi="宋体" w:cs="宋体"/>
          <w:szCs w:val="21"/>
          <w:highlight w:val="none"/>
        </w:rPr>
        <w:t>合称为甲方</w:t>
      </w:r>
      <w:r>
        <w:rPr>
          <w:rFonts w:hint="eastAsia" w:hAnsi="宋体" w:cs="宋体"/>
          <w:szCs w:val="21"/>
          <w:highlight w:val="none"/>
          <w:lang w:eastAsia="zh-CN"/>
        </w:rPr>
        <w:t>，</w:t>
      </w:r>
      <w:r>
        <w:rPr>
          <w:rFonts w:hint="eastAsia" w:hAnsi="宋体" w:cs="宋体"/>
          <w:szCs w:val="21"/>
          <w:highlight w:val="none"/>
        </w:rPr>
        <w:t>甲方</w:t>
      </w:r>
      <w:r>
        <w:rPr>
          <w:rFonts w:hint="eastAsia" w:ascii="宋体" w:hAnsi="宋体" w:eastAsia="宋体" w:cs="宋体"/>
          <w:color w:val="auto"/>
          <w:spacing w:val="-1"/>
          <w:sz w:val="22"/>
          <w:szCs w:val="22"/>
          <w:highlight w:val="none"/>
        </w:rPr>
        <w:t>根据</w:t>
      </w:r>
      <w:r>
        <w:rPr>
          <w:rFonts w:hint="eastAsia" w:ascii="宋体" w:hAnsi="宋体" w:eastAsia="宋体" w:cs="宋体"/>
          <w:color w:val="auto"/>
          <w:spacing w:val="-1"/>
          <w:sz w:val="22"/>
          <w:szCs w:val="22"/>
          <w:highlight w:val="none"/>
          <w:u w:val="single"/>
        </w:rPr>
        <w:t xml:space="preserve">        </w:t>
      </w:r>
      <w:r>
        <w:rPr>
          <w:rFonts w:hint="eastAsia" w:ascii="宋体" w:hAnsi="宋体" w:eastAsia="宋体" w:cs="宋体"/>
          <w:color w:val="auto"/>
          <w:spacing w:val="-1"/>
          <w:sz w:val="22"/>
          <w:szCs w:val="22"/>
          <w:highlight w:val="none"/>
        </w:rPr>
        <w:t>（项目名称）（项目编号：</w:t>
      </w:r>
      <w:r>
        <w:rPr>
          <w:rFonts w:hint="eastAsia" w:ascii="宋体" w:hAnsi="宋体" w:eastAsia="宋体" w:cs="宋体"/>
          <w:color w:val="auto"/>
          <w:spacing w:val="-1"/>
          <w:sz w:val="22"/>
          <w:szCs w:val="22"/>
          <w:highlight w:val="none"/>
          <w:u w:val="single"/>
        </w:rPr>
        <w:t xml:space="preserve">   </w:t>
      </w:r>
      <w:r>
        <w:rPr>
          <w:rFonts w:hint="eastAsia" w:ascii="宋体" w:hAnsi="宋体" w:eastAsia="宋体" w:cs="宋体"/>
          <w:color w:val="auto"/>
          <w:spacing w:val="-1"/>
          <w:sz w:val="22"/>
          <w:szCs w:val="22"/>
          <w:highlight w:val="none"/>
          <w:u w:val="single"/>
          <w:lang w:val="en-US" w:eastAsia="zh-CN"/>
        </w:rPr>
        <w:t xml:space="preserve">        </w:t>
      </w:r>
      <w:r>
        <w:rPr>
          <w:rFonts w:hint="eastAsia" w:ascii="宋体" w:hAnsi="宋体" w:eastAsia="宋体" w:cs="宋体"/>
          <w:color w:val="auto"/>
          <w:spacing w:val="-1"/>
          <w:sz w:val="22"/>
          <w:szCs w:val="22"/>
          <w:highlight w:val="none"/>
        </w:rPr>
        <w:t>）招标的结果和《中华人民共和国</w:t>
      </w:r>
      <w:r>
        <w:rPr>
          <w:rFonts w:hint="eastAsia" w:ascii="宋体" w:hAnsi="宋体" w:eastAsia="宋体" w:cs="宋体"/>
          <w:color w:val="auto"/>
          <w:spacing w:val="-1"/>
          <w:sz w:val="22"/>
          <w:szCs w:val="22"/>
          <w:highlight w:val="none"/>
          <w:lang w:val="en-US" w:eastAsia="zh-CN"/>
        </w:rPr>
        <w:t>民法典</w:t>
      </w:r>
      <w:r>
        <w:rPr>
          <w:rFonts w:hint="eastAsia" w:ascii="宋体" w:hAnsi="宋体" w:eastAsia="宋体" w:cs="宋体"/>
          <w:color w:val="auto"/>
          <w:spacing w:val="-1"/>
          <w:sz w:val="22"/>
          <w:szCs w:val="22"/>
          <w:highlight w:val="none"/>
        </w:rPr>
        <w:t>》及有关法规的规定，经双方同意订立本合同，并信守下列条款，共同严格履行。其条款如下：</w:t>
      </w:r>
    </w:p>
    <w:p w14:paraId="7E5FEFEE">
      <w:pPr>
        <w:pStyle w:val="7"/>
        <w:numPr>
          <w:ilvl w:val="0"/>
          <w:numId w:val="0"/>
        </w:numPr>
        <w:spacing w:after="120" w:line="360" w:lineRule="auto"/>
        <w:ind w:left="720" w:hanging="720"/>
        <w:rPr>
          <w:rFonts w:hint="eastAsia" w:ascii="宋体" w:hAnsi="宋体" w:eastAsia="宋体" w:cs="宋体"/>
          <w:color w:val="auto"/>
          <w:highlight w:val="none"/>
        </w:rPr>
      </w:pPr>
      <w:bookmarkStart w:id="84" w:name="_Toc10013"/>
      <w:bookmarkStart w:id="85" w:name="_Toc9116"/>
      <w:r>
        <w:rPr>
          <w:rFonts w:hint="eastAsia" w:ascii="宋体" w:hAnsi="宋体" w:eastAsia="宋体" w:cs="宋体"/>
          <w:color w:val="auto"/>
          <w:highlight w:val="none"/>
        </w:rPr>
        <w:t>一、服务内容</w:t>
      </w:r>
      <w:bookmarkEnd w:id="84"/>
      <w:bookmarkEnd w:id="85"/>
    </w:p>
    <w:p w14:paraId="263C7FF0">
      <w:pPr>
        <w:autoSpaceDE w:val="0"/>
        <w:autoSpaceDN w:val="0"/>
        <w:adjustRightInd w:val="0"/>
        <w:spacing w:line="360" w:lineRule="auto"/>
        <w:ind w:firstLine="420" w:firstLineChars="200"/>
        <w:textAlignment w:val="bottom"/>
        <w:rPr>
          <w:rFonts w:hint="eastAsia" w:ascii="宋体" w:hAnsi="宋体" w:cs="宋体"/>
          <w:szCs w:val="21"/>
          <w:highlight w:val="none"/>
          <w:lang w:val="en-US" w:eastAsia="zh-CN"/>
        </w:rPr>
      </w:pPr>
      <w:bookmarkStart w:id="86" w:name="_Toc17279"/>
      <w:r>
        <w:rPr>
          <w:rFonts w:hint="eastAsia" w:ascii="宋体" w:hAnsi="宋体" w:cs="宋体"/>
          <w:szCs w:val="21"/>
          <w:highlight w:val="none"/>
        </w:rPr>
        <w:t>根据招标文件内容，提供瓯海区生活垃圾转运服务</w:t>
      </w:r>
      <w:r>
        <w:rPr>
          <w:rFonts w:hint="eastAsia" w:ascii="宋体" w:hAnsi="宋体" w:cs="宋体"/>
          <w:szCs w:val="21"/>
          <w:highlight w:val="none"/>
          <w:lang w:val="en-US" w:eastAsia="zh-CN"/>
        </w:rPr>
        <w:t>。</w:t>
      </w:r>
    </w:p>
    <w:p w14:paraId="4F734570">
      <w:pPr>
        <w:spacing w:line="300" w:lineRule="auto"/>
        <w:ind w:firstLine="420" w:firstLineChars="200"/>
        <w:rPr>
          <w:rFonts w:hint="eastAsia"/>
          <w:sz w:val="21"/>
          <w:szCs w:val="21"/>
          <w:highlight w:val="yellow"/>
        </w:rPr>
      </w:pPr>
      <w:r>
        <w:rPr>
          <w:rFonts w:hint="eastAsia"/>
          <w:sz w:val="21"/>
          <w:szCs w:val="21"/>
          <w:highlight w:val="yellow"/>
          <w:lang w:val="en-US" w:eastAsia="zh-CN"/>
        </w:rPr>
        <w:t>甲方</w:t>
      </w:r>
      <w:r>
        <w:rPr>
          <w:rFonts w:hint="eastAsia"/>
          <w:sz w:val="21"/>
          <w:szCs w:val="21"/>
          <w:highlight w:val="yellow"/>
        </w:rPr>
        <w:t>指定的送达接收人：__________，送达地点：__________，</w:t>
      </w:r>
      <w:r>
        <w:rPr>
          <w:rFonts w:hint="eastAsia"/>
          <w:sz w:val="21"/>
          <w:szCs w:val="21"/>
          <w:highlight w:val="yellow"/>
          <w:lang w:val="en-US" w:eastAsia="zh-CN"/>
        </w:rPr>
        <w:t>联系方式</w:t>
      </w:r>
      <w:r>
        <w:rPr>
          <w:rFonts w:hint="eastAsia"/>
          <w:sz w:val="21"/>
          <w:szCs w:val="21"/>
          <w:highlight w:val="yellow"/>
        </w:rPr>
        <w:t>：__________。</w:t>
      </w:r>
    </w:p>
    <w:p w14:paraId="5291006C">
      <w:pPr>
        <w:spacing w:line="300" w:lineRule="auto"/>
        <w:ind w:firstLine="420" w:firstLineChars="200"/>
        <w:rPr>
          <w:rFonts w:hint="eastAsia"/>
          <w:sz w:val="21"/>
          <w:szCs w:val="21"/>
          <w:highlight w:val="yellow"/>
        </w:rPr>
      </w:pPr>
      <w:r>
        <w:rPr>
          <w:rFonts w:hint="eastAsia"/>
          <w:sz w:val="21"/>
          <w:szCs w:val="21"/>
          <w:highlight w:val="yellow"/>
          <w:lang w:val="en-US" w:eastAsia="zh-CN"/>
        </w:rPr>
        <w:t>乙方</w:t>
      </w:r>
      <w:r>
        <w:rPr>
          <w:rFonts w:hint="eastAsia"/>
          <w:sz w:val="21"/>
          <w:szCs w:val="21"/>
          <w:highlight w:val="yellow"/>
        </w:rPr>
        <w:t>指定的送达接收人：__________，送达地点：__________，</w:t>
      </w:r>
      <w:r>
        <w:rPr>
          <w:rFonts w:hint="eastAsia"/>
          <w:sz w:val="21"/>
          <w:szCs w:val="21"/>
          <w:highlight w:val="yellow"/>
          <w:lang w:val="en-US" w:eastAsia="zh-CN"/>
        </w:rPr>
        <w:t>联系方式</w:t>
      </w:r>
      <w:r>
        <w:rPr>
          <w:rFonts w:hint="eastAsia"/>
          <w:sz w:val="21"/>
          <w:szCs w:val="21"/>
          <w:highlight w:val="yellow"/>
        </w:rPr>
        <w:t>：__________。</w:t>
      </w:r>
    </w:p>
    <w:p w14:paraId="67FD352F">
      <w:pPr>
        <w:pStyle w:val="2"/>
        <w:ind w:firstLine="420" w:firstLineChars="200"/>
        <w:rPr>
          <w:rFonts w:hint="eastAsia"/>
          <w:highlight w:val="yellow"/>
          <w:lang w:val="en-US" w:eastAsia="zh-CN"/>
        </w:rPr>
      </w:pPr>
      <w:r>
        <w:rPr>
          <w:rFonts w:hint="eastAsia" w:cs="Times New Roman"/>
          <w:sz w:val="21"/>
          <w:szCs w:val="21"/>
          <w:highlight w:val="yellow"/>
          <w:lang w:val="en-US" w:eastAsia="zh-CN"/>
        </w:rPr>
        <w:t>*</w:t>
      </w:r>
      <w:r>
        <w:rPr>
          <w:rFonts w:hint="eastAsia" w:cs="Times New Roman"/>
          <w:sz w:val="21"/>
          <w:szCs w:val="21"/>
          <w:highlight w:val="yellow"/>
        </w:rPr>
        <w:t>任何一方</w:t>
      </w:r>
      <w:r>
        <w:rPr>
          <w:rFonts w:hint="eastAsia"/>
          <w:sz w:val="21"/>
          <w:szCs w:val="21"/>
          <w:highlight w:val="yellow"/>
        </w:rPr>
        <w:t>与合同有关的通知、指示、要求、决定等，均应在</w:t>
      </w:r>
      <w:r>
        <w:rPr>
          <w:rFonts w:hint="eastAsia"/>
          <w:sz w:val="21"/>
          <w:szCs w:val="21"/>
          <w:highlight w:val="yellow"/>
          <w:u w:val="single"/>
          <w:lang w:val="en-US" w:eastAsia="zh-CN"/>
        </w:rPr>
        <w:t xml:space="preserve">  7  </w:t>
      </w:r>
      <w:r>
        <w:rPr>
          <w:rFonts w:hint="eastAsia"/>
          <w:sz w:val="21"/>
          <w:szCs w:val="21"/>
          <w:highlight w:val="yellow"/>
        </w:rPr>
        <w:t>日内送达对方指定的接收人和送达地点。</w:t>
      </w:r>
    </w:p>
    <w:p w14:paraId="0329B22B">
      <w:pPr>
        <w:pStyle w:val="7"/>
        <w:numPr>
          <w:ilvl w:val="0"/>
          <w:numId w:val="0"/>
        </w:numPr>
        <w:spacing w:after="120" w:line="360" w:lineRule="auto"/>
        <w:ind w:left="720" w:hanging="720"/>
        <w:rPr>
          <w:rFonts w:hint="eastAsia" w:ascii="宋体" w:hAnsi="宋体" w:eastAsia="宋体" w:cs="宋体"/>
          <w:color w:val="auto"/>
          <w:highlight w:val="none"/>
        </w:rPr>
      </w:pPr>
      <w:bookmarkStart w:id="87" w:name="_Toc30666"/>
      <w:r>
        <w:rPr>
          <w:rFonts w:hint="eastAsia" w:ascii="宋体" w:hAnsi="宋体" w:eastAsia="宋体" w:cs="宋体"/>
          <w:color w:val="auto"/>
          <w:highlight w:val="none"/>
        </w:rPr>
        <w:t>二、合同服务期限</w:t>
      </w:r>
      <w:bookmarkEnd w:id="86"/>
      <w:bookmarkEnd w:id="87"/>
    </w:p>
    <w:p w14:paraId="0DD3B3A8">
      <w:pPr>
        <w:autoSpaceDE w:val="0"/>
        <w:autoSpaceDN w:val="0"/>
        <w:adjustRightInd w:val="0"/>
        <w:spacing w:line="360" w:lineRule="auto"/>
        <w:ind w:firstLine="422" w:firstLineChars="200"/>
        <w:textAlignment w:val="bottom"/>
        <w:rPr>
          <w:rFonts w:hint="eastAsia" w:ascii="宋体" w:hAnsi="宋体" w:cs="宋体"/>
          <w:b/>
          <w:bCs/>
          <w:szCs w:val="21"/>
          <w:highlight w:val="yellow"/>
        </w:rPr>
      </w:pPr>
      <w:bookmarkStart w:id="88" w:name="_Toc5760"/>
      <w:bookmarkStart w:id="89" w:name="_Toc25975"/>
      <w:r>
        <w:rPr>
          <w:rFonts w:hint="eastAsia" w:ascii="宋体" w:hAnsi="宋体" w:cs="宋体"/>
          <w:b/>
          <w:bCs/>
          <w:szCs w:val="21"/>
          <w:highlight w:val="yellow"/>
        </w:rPr>
        <w:t>本项目服务期限为</w:t>
      </w:r>
      <w:r>
        <w:rPr>
          <w:rFonts w:hint="eastAsia" w:ascii="宋体" w:hAnsi="宋体" w:cs="宋体"/>
          <w:b/>
          <w:bCs/>
          <w:szCs w:val="21"/>
          <w:highlight w:val="yellow"/>
          <w:u w:val="single"/>
          <w:lang w:val="en-US" w:eastAsia="zh-CN"/>
        </w:rPr>
        <w:t xml:space="preserve">     </w:t>
      </w:r>
      <w:r>
        <w:rPr>
          <w:rFonts w:hint="eastAsia" w:ascii="宋体" w:hAnsi="宋体" w:cs="宋体"/>
          <w:b/>
          <w:bCs/>
          <w:szCs w:val="21"/>
          <w:highlight w:val="yellow"/>
          <w:u w:val="single"/>
        </w:rPr>
        <w:t>年</w:t>
      </w:r>
      <w:r>
        <w:rPr>
          <w:rFonts w:hint="eastAsia" w:ascii="宋体" w:hAnsi="宋体" w:cs="宋体"/>
          <w:b/>
          <w:bCs/>
          <w:szCs w:val="21"/>
          <w:highlight w:val="yellow"/>
          <w:u w:val="single"/>
          <w:lang w:val="en-US" w:eastAsia="zh-CN"/>
        </w:rPr>
        <w:t xml:space="preserve">   </w:t>
      </w:r>
      <w:r>
        <w:rPr>
          <w:rFonts w:hint="eastAsia" w:ascii="宋体" w:hAnsi="宋体" w:cs="宋体"/>
          <w:b/>
          <w:bCs/>
          <w:szCs w:val="21"/>
          <w:highlight w:val="yellow"/>
          <w:u w:val="single"/>
        </w:rPr>
        <w:t>月</w:t>
      </w:r>
      <w:r>
        <w:rPr>
          <w:rFonts w:hint="eastAsia" w:ascii="宋体" w:hAnsi="宋体" w:cs="宋体"/>
          <w:b/>
          <w:bCs/>
          <w:szCs w:val="21"/>
          <w:highlight w:val="yellow"/>
          <w:u w:val="single"/>
          <w:lang w:val="en-US" w:eastAsia="zh-CN"/>
        </w:rPr>
        <w:t xml:space="preserve">   </w:t>
      </w:r>
      <w:r>
        <w:rPr>
          <w:rFonts w:hint="eastAsia" w:ascii="宋体" w:hAnsi="宋体" w:cs="宋体"/>
          <w:b/>
          <w:bCs/>
          <w:szCs w:val="21"/>
          <w:highlight w:val="yellow"/>
          <w:u w:val="single"/>
        </w:rPr>
        <w:t>日</w:t>
      </w:r>
      <w:r>
        <w:rPr>
          <w:rFonts w:hint="eastAsia" w:ascii="宋体" w:hAnsi="宋体" w:cs="宋体"/>
          <w:b/>
          <w:bCs/>
          <w:szCs w:val="21"/>
          <w:highlight w:val="yellow"/>
        </w:rPr>
        <w:t>至</w:t>
      </w:r>
      <w:r>
        <w:rPr>
          <w:rFonts w:hint="eastAsia" w:ascii="宋体" w:hAnsi="宋体" w:cs="宋体"/>
          <w:b/>
          <w:bCs/>
          <w:szCs w:val="21"/>
          <w:highlight w:val="yellow"/>
          <w:u w:val="single"/>
          <w:lang w:val="en-US" w:eastAsia="zh-CN"/>
        </w:rPr>
        <w:t xml:space="preserve">     </w:t>
      </w:r>
      <w:r>
        <w:rPr>
          <w:rFonts w:hint="eastAsia" w:ascii="宋体" w:hAnsi="宋体" w:cs="宋体"/>
          <w:b/>
          <w:bCs/>
          <w:szCs w:val="21"/>
          <w:highlight w:val="yellow"/>
          <w:u w:val="single"/>
        </w:rPr>
        <w:t>年</w:t>
      </w:r>
      <w:r>
        <w:rPr>
          <w:rFonts w:hint="eastAsia" w:ascii="宋体" w:hAnsi="宋体" w:cs="宋体"/>
          <w:b/>
          <w:bCs/>
          <w:szCs w:val="21"/>
          <w:highlight w:val="yellow"/>
          <w:u w:val="single"/>
          <w:lang w:val="en-US" w:eastAsia="zh-CN"/>
        </w:rPr>
        <w:t xml:space="preserve">   </w:t>
      </w:r>
      <w:r>
        <w:rPr>
          <w:rFonts w:hint="eastAsia" w:ascii="宋体" w:hAnsi="宋体" w:cs="宋体"/>
          <w:b/>
          <w:bCs/>
          <w:szCs w:val="21"/>
          <w:highlight w:val="yellow"/>
          <w:u w:val="single"/>
        </w:rPr>
        <w:t>月</w:t>
      </w:r>
      <w:r>
        <w:rPr>
          <w:rFonts w:hint="eastAsia" w:ascii="宋体" w:hAnsi="宋体" w:cs="宋体"/>
          <w:b/>
          <w:bCs/>
          <w:szCs w:val="21"/>
          <w:highlight w:val="yellow"/>
          <w:u w:val="single"/>
          <w:lang w:val="en-US" w:eastAsia="zh-CN"/>
        </w:rPr>
        <w:t xml:space="preserve">   </w:t>
      </w:r>
      <w:r>
        <w:rPr>
          <w:rFonts w:hint="eastAsia" w:ascii="宋体" w:hAnsi="宋体" w:cs="宋体"/>
          <w:b/>
          <w:bCs/>
          <w:szCs w:val="21"/>
          <w:highlight w:val="yellow"/>
          <w:u w:val="single"/>
        </w:rPr>
        <w:t>日</w:t>
      </w:r>
      <w:r>
        <w:rPr>
          <w:rFonts w:hint="eastAsia" w:ascii="宋体" w:hAnsi="宋体" w:cs="宋体"/>
          <w:b/>
          <w:bCs/>
          <w:szCs w:val="21"/>
          <w:highlight w:val="yellow"/>
        </w:rPr>
        <w:t>止。</w:t>
      </w:r>
    </w:p>
    <w:p w14:paraId="1D88D66B">
      <w:pPr>
        <w:autoSpaceDE w:val="0"/>
        <w:autoSpaceDN w:val="0"/>
        <w:adjustRightInd w:val="0"/>
        <w:spacing w:line="360" w:lineRule="auto"/>
        <w:ind w:firstLine="422" w:firstLineChars="200"/>
        <w:textAlignment w:val="bottom"/>
        <w:rPr>
          <w:rFonts w:hint="eastAsia" w:ascii="宋体" w:hAnsi="宋体" w:cs="宋体"/>
          <w:b/>
          <w:bCs/>
          <w:szCs w:val="21"/>
          <w:highlight w:val="none"/>
        </w:rPr>
      </w:pPr>
      <w:r>
        <w:rPr>
          <w:rFonts w:hint="eastAsia" w:ascii="宋体" w:hAnsi="宋体" w:cs="宋体"/>
          <w:b/>
          <w:bCs/>
          <w:szCs w:val="21"/>
          <w:highlight w:val="none"/>
        </w:rPr>
        <w:t>服务期限</w:t>
      </w:r>
      <w:r>
        <w:rPr>
          <w:rFonts w:hint="eastAsia" w:ascii="宋体" w:hAnsi="宋体" w:cs="宋体"/>
          <w:b/>
          <w:bCs/>
          <w:szCs w:val="21"/>
          <w:highlight w:val="none"/>
          <w:lang w:val="en-US" w:eastAsia="zh-CN"/>
        </w:rPr>
        <w:t>二</w:t>
      </w:r>
      <w:r>
        <w:rPr>
          <w:rFonts w:hint="eastAsia" w:ascii="宋体" w:hAnsi="宋体" w:cs="宋体"/>
          <w:b/>
          <w:bCs/>
          <w:szCs w:val="21"/>
          <w:highlight w:val="none"/>
        </w:rPr>
        <w:t>年，合同采用一年一签，每年服务期满，</w:t>
      </w:r>
      <w:r>
        <w:rPr>
          <w:rFonts w:hint="eastAsia" w:ascii="宋体" w:hAnsi="宋体" w:cs="宋体"/>
          <w:b/>
          <w:bCs/>
          <w:szCs w:val="21"/>
          <w:highlight w:val="yellow"/>
          <w:lang w:val="en-US" w:eastAsia="zh-CN"/>
        </w:rPr>
        <w:t>综合各月度</w:t>
      </w:r>
      <w:r>
        <w:rPr>
          <w:rFonts w:hint="eastAsia" w:ascii="宋体" w:hAnsi="宋体" w:cs="宋体"/>
          <w:b/>
          <w:bCs/>
          <w:szCs w:val="21"/>
          <w:highlight w:val="yellow"/>
        </w:rPr>
        <w:t>考核</w:t>
      </w:r>
      <w:r>
        <w:rPr>
          <w:rFonts w:hint="eastAsia" w:ascii="宋体" w:hAnsi="宋体" w:cs="宋体"/>
          <w:b/>
          <w:bCs/>
          <w:szCs w:val="21"/>
          <w:highlight w:val="yellow"/>
          <w:lang w:val="en-US" w:eastAsia="zh-CN"/>
        </w:rPr>
        <w:t>结果</w:t>
      </w:r>
      <w:r>
        <w:rPr>
          <w:rFonts w:hint="eastAsia" w:ascii="宋体" w:hAnsi="宋体" w:cs="宋体"/>
          <w:b/>
          <w:bCs/>
          <w:szCs w:val="21"/>
          <w:highlight w:val="yellow"/>
        </w:rPr>
        <w:t>，</w:t>
      </w:r>
      <w:r>
        <w:rPr>
          <w:rFonts w:hint="eastAsia" w:ascii="宋体" w:hAnsi="宋体" w:cs="宋体"/>
          <w:b/>
          <w:bCs/>
          <w:szCs w:val="21"/>
          <w:highlight w:val="yellow"/>
          <w:lang w:val="en-US" w:eastAsia="zh-CN"/>
        </w:rPr>
        <w:t>甲方有权决定是否</w:t>
      </w:r>
      <w:r>
        <w:rPr>
          <w:rFonts w:hint="eastAsia" w:ascii="宋体" w:hAnsi="宋体" w:cs="宋体"/>
          <w:b/>
          <w:bCs/>
          <w:szCs w:val="21"/>
          <w:highlight w:val="yellow"/>
        </w:rPr>
        <w:t>续签。</w:t>
      </w:r>
    </w:p>
    <w:p w14:paraId="66598F7C">
      <w:pPr>
        <w:pStyle w:val="7"/>
        <w:numPr>
          <w:ilvl w:val="0"/>
          <w:numId w:val="0"/>
        </w:numPr>
        <w:spacing w:after="120" w:line="360" w:lineRule="auto"/>
        <w:ind w:left="720" w:hanging="720"/>
        <w:rPr>
          <w:rFonts w:hint="eastAsia" w:ascii="宋体" w:hAnsi="宋体" w:eastAsia="宋体" w:cs="宋体"/>
          <w:color w:val="auto"/>
          <w:highlight w:val="none"/>
        </w:rPr>
      </w:pPr>
      <w:r>
        <w:rPr>
          <w:rFonts w:hint="eastAsia" w:ascii="宋体" w:hAnsi="宋体" w:eastAsia="宋体" w:cs="宋体"/>
          <w:color w:val="auto"/>
          <w:highlight w:val="none"/>
        </w:rPr>
        <w:t>三、履约保证金</w:t>
      </w:r>
      <w:bookmarkEnd w:id="88"/>
      <w:bookmarkEnd w:id="89"/>
    </w:p>
    <w:p w14:paraId="51C5B0B9">
      <w:pPr>
        <w:autoSpaceDE w:val="0"/>
        <w:autoSpaceDN w:val="0"/>
        <w:adjustRightInd w:val="0"/>
        <w:snapToGrid w:val="0"/>
        <w:spacing w:line="460" w:lineRule="atLeast"/>
        <w:ind w:firstLine="440" w:firstLineChars="200"/>
        <w:textAlignment w:val="bottom"/>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本项目不收取履约保证金</w:t>
      </w:r>
    </w:p>
    <w:p w14:paraId="0AA3B0EF">
      <w:pPr>
        <w:pStyle w:val="7"/>
        <w:numPr>
          <w:ilvl w:val="0"/>
          <w:numId w:val="0"/>
        </w:numPr>
        <w:spacing w:after="120" w:line="360" w:lineRule="auto"/>
        <w:ind w:left="720" w:hanging="720"/>
        <w:rPr>
          <w:rFonts w:hint="eastAsia" w:ascii="宋体" w:hAnsi="宋体" w:eastAsia="宋体" w:cs="宋体"/>
          <w:color w:val="auto"/>
          <w:highlight w:val="none"/>
        </w:rPr>
      </w:pPr>
      <w:bookmarkStart w:id="90" w:name="_Toc31727"/>
      <w:bookmarkStart w:id="91" w:name="_Toc21181"/>
      <w:r>
        <w:rPr>
          <w:rFonts w:hint="eastAsia" w:ascii="宋体" w:hAnsi="宋体" w:eastAsia="宋体" w:cs="宋体"/>
          <w:color w:val="auto"/>
          <w:highlight w:val="none"/>
        </w:rPr>
        <w:t>四、费</w:t>
      </w:r>
      <w:r>
        <w:rPr>
          <w:rFonts w:hint="eastAsia" w:ascii="宋体" w:hAnsi="宋体" w:eastAsia="宋体" w:cs="宋体"/>
          <w:color w:val="auto"/>
          <w:highlight w:val="none"/>
          <w:lang w:val="en-US" w:eastAsia="zh-CN"/>
        </w:rPr>
        <w:t>用</w:t>
      </w:r>
      <w:r>
        <w:rPr>
          <w:rFonts w:hint="eastAsia" w:ascii="宋体" w:hAnsi="宋体" w:eastAsia="宋体" w:cs="宋体"/>
          <w:color w:val="auto"/>
          <w:highlight w:val="none"/>
        </w:rPr>
        <w:t>支付</w:t>
      </w:r>
      <w:bookmarkEnd w:id="90"/>
      <w:bookmarkEnd w:id="91"/>
    </w:p>
    <w:p w14:paraId="65F3D0BB">
      <w:pPr>
        <w:pStyle w:val="3"/>
        <w:spacing w:before="157" w:line="360" w:lineRule="auto"/>
        <w:ind w:right="527" w:firstLine="436" w:firstLineChars="200"/>
        <w:rPr>
          <w:rFonts w:hint="eastAsia" w:ascii="宋体" w:hAnsi="宋体" w:eastAsia="宋体" w:cs="宋体"/>
          <w:color w:val="auto"/>
          <w:spacing w:val="-1"/>
          <w:sz w:val="22"/>
          <w:szCs w:val="22"/>
          <w:highlight w:val="none"/>
        </w:rPr>
      </w:pPr>
      <w:bookmarkStart w:id="92" w:name="1.按月结算支付，每月10日前，乙方提交上月的作业量及运行报告，提供与乙方名称相"/>
      <w:bookmarkEnd w:id="92"/>
      <w:r>
        <w:rPr>
          <w:rFonts w:hint="eastAsia" w:ascii="宋体" w:hAnsi="宋体" w:eastAsia="宋体" w:cs="宋体"/>
          <w:color w:val="auto"/>
          <w:spacing w:val="-1"/>
          <w:sz w:val="22"/>
          <w:szCs w:val="22"/>
          <w:highlight w:val="none"/>
        </w:rPr>
        <w:t>（一）承包单价</w:t>
      </w:r>
      <w:r>
        <w:rPr>
          <w:rFonts w:hint="eastAsia" w:ascii="宋体" w:hAnsi="宋体" w:eastAsia="宋体" w:cs="宋体"/>
          <w:color w:val="auto"/>
          <w:spacing w:val="-1"/>
          <w:sz w:val="22"/>
          <w:szCs w:val="22"/>
          <w:highlight w:val="none"/>
          <w:u w:val="single"/>
        </w:rPr>
        <w:t xml:space="preserve">    </w:t>
      </w:r>
      <w:r>
        <w:rPr>
          <w:rFonts w:hint="eastAsia" w:ascii="宋体" w:hAnsi="宋体" w:eastAsia="宋体" w:cs="宋体"/>
          <w:color w:val="auto"/>
          <w:spacing w:val="-1"/>
          <w:sz w:val="22"/>
          <w:szCs w:val="22"/>
          <w:highlight w:val="none"/>
        </w:rPr>
        <w:t>元/吨，合同期垃圾转运量预估约</w:t>
      </w:r>
      <w:r>
        <w:rPr>
          <w:rFonts w:hint="eastAsia" w:ascii="宋体" w:hAnsi="宋体" w:eastAsia="宋体" w:cs="宋体"/>
          <w:color w:val="auto"/>
          <w:spacing w:val="-1"/>
          <w:sz w:val="22"/>
          <w:szCs w:val="22"/>
          <w:highlight w:val="none"/>
          <w:u w:val="single"/>
        </w:rPr>
        <w:t xml:space="preserve">    </w:t>
      </w:r>
      <w:r>
        <w:rPr>
          <w:rFonts w:hint="eastAsia" w:ascii="宋体" w:hAnsi="宋体" w:eastAsia="宋体" w:cs="宋体"/>
          <w:color w:val="auto"/>
          <w:spacing w:val="-1"/>
          <w:sz w:val="22"/>
          <w:szCs w:val="22"/>
          <w:highlight w:val="none"/>
        </w:rPr>
        <w:t>吨/日，具体数量按实际运量结算。</w:t>
      </w:r>
    </w:p>
    <w:p w14:paraId="7A2E7FD6">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二）项目承包经费必须包括在承包区域内提供为履行合同一切所需的人员工资、奖金、各种加班费、夜餐费、各种社会保险、食宿与交通、设备及工具、器材、消耗材料、服装、安全、仓储、管理费用、税费、利润、招标代理服务费等完成合同所需的一切本身和不可或缺的所有工作开支、政策性文件规定及合同包含的所有风险、责任等各项全部费用并承担一切风险责任。</w:t>
      </w:r>
    </w:p>
    <w:p w14:paraId="3A57E859">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（三）付款方式为按月</w:t>
      </w:r>
      <w:r>
        <w:rPr>
          <w:rFonts w:hint="eastAsia" w:ascii="宋体" w:hAnsi="宋体" w:eastAsia="宋体" w:cs="宋体"/>
          <w:color w:val="auto"/>
          <w:spacing w:val="-1"/>
          <w:sz w:val="22"/>
          <w:szCs w:val="22"/>
          <w:highlight w:val="none"/>
          <w:lang w:val="en-US" w:eastAsia="zh-CN"/>
        </w:rPr>
        <w:t>确定</w:t>
      </w:r>
      <w:r>
        <w:rPr>
          <w:rFonts w:hint="eastAsia" w:ascii="宋体" w:hAnsi="宋体" w:eastAsia="宋体" w:cs="宋体"/>
          <w:color w:val="auto"/>
          <w:spacing w:val="-1"/>
          <w:sz w:val="22"/>
          <w:szCs w:val="22"/>
          <w:highlight w:val="none"/>
        </w:rPr>
        <w:t>结算</w:t>
      </w:r>
      <w:r>
        <w:rPr>
          <w:rFonts w:hint="eastAsia" w:ascii="宋体" w:hAnsi="宋体" w:eastAsia="宋体" w:cs="宋体"/>
          <w:color w:val="auto"/>
          <w:spacing w:val="-1"/>
          <w:sz w:val="22"/>
          <w:szCs w:val="22"/>
          <w:highlight w:val="none"/>
          <w:lang w:val="en-US" w:eastAsia="zh-CN"/>
        </w:rPr>
        <w:t>金额</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lang w:val="en-US" w:eastAsia="zh-CN"/>
        </w:rPr>
        <w:t>按季度统一</w:t>
      </w:r>
      <w:r>
        <w:rPr>
          <w:rFonts w:hint="eastAsia" w:ascii="宋体" w:hAnsi="宋体" w:eastAsia="宋体" w:cs="宋体"/>
          <w:color w:val="auto"/>
          <w:spacing w:val="-1"/>
          <w:sz w:val="22"/>
          <w:szCs w:val="22"/>
          <w:highlight w:val="none"/>
        </w:rPr>
        <w:t>支付。甲方收到中标供应商提供的上个月垃圾转运清单</w:t>
      </w:r>
      <w:r>
        <w:rPr>
          <w:rFonts w:hint="eastAsia" w:ascii="宋体" w:hAnsi="宋体" w:eastAsia="宋体" w:cs="宋体"/>
          <w:color w:val="auto"/>
          <w:spacing w:val="-1"/>
          <w:sz w:val="22"/>
          <w:szCs w:val="22"/>
          <w:highlight w:val="yellow"/>
        </w:rPr>
        <w:t>及扣除该月考核</w:t>
      </w:r>
      <w:r>
        <w:rPr>
          <w:rFonts w:hint="eastAsia" w:ascii="宋体" w:hAnsi="宋体" w:eastAsia="宋体" w:cs="宋体"/>
          <w:color w:val="auto"/>
          <w:spacing w:val="-1"/>
          <w:sz w:val="22"/>
          <w:szCs w:val="22"/>
          <w:highlight w:val="yellow"/>
          <w:lang w:eastAsia="zh-CN"/>
        </w:rPr>
        <w:t>、</w:t>
      </w:r>
      <w:r>
        <w:rPr>
          <w:rFonts w:hint="eastAsia" w:ascii="宋体" w:hAnsi="宋体" w:eastAsia="宋体" w:cs="宋体"/>
          <w:color w:val="auto"/>
          <w:spacing w:val="-1"/>
          <w:sz w:val="22"/>
          <w:szCs w:val="22"/>
          <w:highlight w:val="yellow"/>
          <w:lang w:val="en-US" w:eastAsia="zh-CN"/>
        </w:rPr>
        <w:t>奖罚</w:t>
      </w:r>
      <w:r>
        <w:rPr>
          <w:rFonts w:hint="eastAsia" w:ascii="宋体" w:hAnsi="宋体" w:eastAsia="宋体" w:cs="宋体"/>
          <w:color w:val="auto"/>
          <w:spacing w:val="-1"/>
          <w:sz w:val="22"/>
          <w:szCs w:val="22"/>
          <w:highlight w:val="yellow"/>
        </w:rPr>
        <w:t>扣款后</w:t>
      </w:r>
      <w:r>
        <w:rPr>
          <w:rFonts w:hint="eastAsia" w:ascii="宋体" w:hAnsi="宋体" w:eastAsia="宋体" w:cs="宋体"/>
          <w:color w:val="auto"/>
          <w:spacing w:val="-1"/>
          <w:sz w:val="22"/>
          <w:szCs w:val="22"/>
          <w:highlight w:val="yellow"/>
          <w:lang w:eastAsia="zh-CN"/>
        </w:rPr>
        <w:t>，</w:t>
      </w:r>
      <w:r>
        <w:rPr>
          <w:rFonts w:hint="eastAsia" w:ascii="宋体" w:hAnsi="宋体" w:eastAsia="宋体" w:cs="宋体"/>
          <w:color w:val="auto"/>
          <w:spacing w:val="-1"/>
          <w:sz w:val="22"/>
          <w:szCs w:val="22"/>
          <w:highlight w:val="none"/>
        </w:rPr>
        <w:t>与中标方名称相符的一般纳税人增值税专用发票后</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rPr>
        <w:t>二十个工作日内， 按照正常程序</w:t>
      </w:r>
      <w:r>
        <w:rPr>
          <w:rFonts w:hint="eastAsia" w:ascii="宋体" w:hAnsi="宋体" w:eastAsia="宋体" w:cs="宋体"/>
          <w:color w:val="auto"/>
          <w:spacing w:val="-1"/>
          <w:sz w:val="22"/>
          <w:szCs w:val="22"/>
          <w:highlight w:val="none"/>
          <w:lang w:val="en-US" w:eastAsia="zh-CN"/>
        </w:rPr>
        <w:t>确定月结算金额，按季度</w:t>
      </w:r>
      <w:r>
        <w:rPr>
          <w:rFonts w:ascii="宋体" w:hAnsi="宋体" w:cs="宋体"/>
          <w:szCs w:val="21"/>
          <w:highlight w:val="none"/>
          <w:lang w:val="zh-CN"/>
        </w:rPr>
        <w:t>于次季度首月28日前拨付前一季度的承包经费</w:t>
      </w:r>
      <w:r>
        <w:rPr>
          <w:rFonts w:hint="eastAsia" w:ascii="宋体" w:hAnsi="宋体" w:eastAsia="宋体" w:cs="宋体"/>
          <w:color w:val="auto"/>
          <w:spacing w:val="-1"/>
          <w:sz w:val="22"/>
          <w:szCs w:val="22"/>
          <w:highlight w:val="none"/>
        </w:rPr>
        <w:t>。</w:t>
      </w:r>
    </w:p>
    <w:p w14:paraId="7F5B97D1">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lang w:val="en-US" w:eastAsia="zh-CN"/>
        </w:rPr>
        <w:t>四</w:t>
      </w:r>
      <w:r>
        <w:rPr>
          <w:rFonts w:hint="eastAsia" w:ascii="宋体" w:hAnsi="宋体" w:eastAsia="宋体" w:cs="宋体"/>
          <w:color w:val="auto"/>
          <w:spacing w:val="-1"/>
          <w:sz w:val="22"/>
          <w:szCs w:val="22"/>
          <w:highlight w:val="none"/>
        </w:rPr>
        <w:t>）发生不可抗力的因素造成乙方直接损失的费用，经鉴定核准，甲方酌情予以一定补偿。但属乙方可以预见、预防，而乙方预防不力所造成的损失，不予补偿。其经济损失由乙方承担。</w:t>
      </w:r>
    </w:p>
    <w:p w14:paraId="6ABDEA56">
      <w:pPr>
        <w:pStyle w:val="3"/>
        <w:spacing w:before="157" w:line="360" w:lineRule="auto"/>
        <w:ind w:right="527" w:firstLine="436" w:firstLineChars="200"/>
        <w:rPr>
          <w:rFonts w:hint="eastAsia"/>
          <w:highlight w:val="none"/>
        </w:rPr>
      </w:pP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lang w:val="en-US" w:eastAsia="zh-CN"/>
        </w:rPr>
        <w:t>五</w:t>
      </w:r>
      <w:r>
        <w:rPr>
          <w:rFonts w:hint="eastAsia" w:ascii="宋体" w:hAnsi="宋体" w:eastAsia="宋体" w:cs="宋体"/>
          <w:color w:val="auto"/>
          <w:spacing w:val="-1"/>
          <w:sz w:val="22"/>
          <w:szCs w:val="22"/>
          <w:highlight w:val="none"/>
        </w:rPr>
        <w:t>）因政府财政支付审批流程及办理手续而造成项目支付进度有所拖延，而导致甲方逾期付款的，甲方不承担逾期付款违约责任。</w:t>
      </w:r>
    </w:p>
    <w:p w14:paraId="19C73677">
      <w:pPr>
        <w:pStyle w:val="7"/>
        <w:numPr>
          <w:ilvl w:val="0"/>
          <w:numId w:val="0"/>
        </w:numPr>
        <w:spacing w:after="120" w:line="360" w:lineRule="auto"/>
        <w:ind w:left="720" w:hanging="720"/>
        <w:rPr>
          <w:rFonts w:hint="default" w:ascii="宋体" w:hAnsi="宋体" w:eastAsia="宋体" w:cs="宋体"/>
          <w:color w:val="auto"/>
          <w:highlight w:val="none"/>
          <w:lang w:val="en-US" w:eastAsia="zh-CN"/>
        </w:rPr>
      </w:pPr>
      <w:bookmarkStart w:id="93" w:name="_Toc10168"/>
      <w:bookmarkStart w:id="94" w:name="_Toc3331"/>
      <w:r>
        <w:rPr>
          <w:rFonts w:hint="eastAsia" w:ascii="宋体" w:hAnsi="宋体" w:eastAsia="宋体" w:cs="宋体"/>
          <w:color w:val="auto"/>
          <w:highlight w:val="none"/>
        </w:rPr>
        <w:t>五、</w:t>
      </w:r>
      <w:r>
        <w:rPr>
          <w:rFonts w:hint="eastAsia" w:ascii="宋体" w:hAnsi="宋体" w:eastAsia="宋体" w:cs="宋体"/>
          <w:color w:val="auto"/>
          <w:highlight w:val="yellow"/>
        </w:rPr>
        <w:t>双方</w:t>
      </w:r>
      <w:bookmarkEnd w:id="93"/>
      <w:bookmarkEnd w:id="94"/>
      <w:r>
        <w:rPr>
          <w:rFonts w:hint="eastAsia" w:ascii="宋体" w:hAnsi="宋体" w:eastAsia="宋体" w:cs="宋体"/>
          <w:color w:val="auto"/>
          <w:highlight w:val="yellow"/>
          <w:lang w:val="en-US" w:eastAsia="zh-CN"/>
        </w:rPr>
        <w:t>权利与义务</w:t>
      </w:r>
    </w:p>
    <w:p w14:paraId="6B833875">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（一）甲方权利与义务</w:t>
      </w:r>
    </w:p>
    <w:p w14:paraId="0934EC07">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甲方有监督、检查乙方工作人员的工作表现情况权利，发现乙方工作人员有轻微违纪行为者，给予批评教育，对严重违反有关规章制度者，有权随时退回给乙方，乙方不得以任何理由拒绝；对甲方造成经济和名誉损失的，甲方有权要求乙方予以赔偿。</w:t>
      </w:r>
    </w:p>
    <w:p w14:paraId="6574CBE7">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2、乙方指派的乙方工作人员，必须听从甲方的工作安排及排班要求。</w:t>
      </w:r>
    </w:p>
    <w:p w14:paraId="46053155">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3、甲方对乙方工作人员有绝对的管理权。</w:t>
      </w:r>
    </w:p>
    <w:p w14:paraId="708A976C">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4、甲方与乙方派出的工作人员无劳动合同关系，派出的工作人员发生劳资纠纷甲方不予受理。乙方必须为工作人员投保人身意外伤害险和社会保险，如发生意外伤害一切责任由乙方承担。</w:t>
      </w:r>
    </w:p>
    <w:p w14:paraId="3B963E4F">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5、甲方有权对乙方承包工作进行考核管理，可根据对乙方人员的考核情况提出调换要求。</w:t>
      </w:r>
    </w:p>
    <w:p w14:paraId="5B44C757">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6</w:t>
      </w:r>
      <w:r>
        <w:rPr>
          <w:rFonts w:hint="eastAsia" w:ascii="宋体" w:hAnsi="宋体" w:eastAsia="宋体" w:cs="宋体"/>
          <w:color w:val="auto"/>
          <w:spacing w:val="-1"/>
          <w:sz w:val="22"/>
          <w:szCs w:val="22"/>
          <w:highlight w:val="none"/>
        </w:rPr>
        <w:t>、甲方</w:t>
      </w:r>
      <w:r>
        <w:rPr>
          <w:rFonts w:hint="eastAsia" w:ascii="宋体" w:hAnsi="宋体" w:eastAsia="宋体" w:cs="宋体"/>
          <w:color w:val="auto"/>
          <w:spacing w:val="-1"/>
          <w:sz w:val="22"/>
          <w:szCs w:val="22"/>
          <w:highlight w:val="none"/>
          <w:lang w:val="en-US" w:eastAsia="zh-CN"/>
        </w:rPr>
        <w:t>有权按照</w:t>
      </w:r>
      <w:r>
        <w:rPr>
          <w:rFonts w:hint="eastAsia" w:ascii="宋体" w:hAnsi="宋体" w:eastAsia="宋体" w:cs="宋体"/>
          <w:color w:val="auto"/>
          <w:spacing w:val="-1"/>
          <w:sz w:val="22"/>
          <w:szCs w:val="22"/>
          <w:highlight w:val="none"/>
        </w:rPr>
        <w:t>《瓯海区生活垃圾转运服务考核办法》</w:t>
      </w:r>
      <w:r>
        <w:rPr>
          <w:rFonts w:hint="eastAsia" w:ascii="宋体" w:hAnsi="宋体" w:eastAsia="宋体" w:cs="宋体"/>
          <w:color w:val="auto"/>
          <w:spacing w:val="-1"/>
          <w:sz w:val="22"/>
          <w:szCs w:val="22"/>
          <w:highlight w:val="none"/>
          <w:lang w:val="en-US" w:eastAsia="zh-CN"/>
        </w:rPr>
        <w:t>及相关</w:t>
      </w:r>
      <w:r>
        <w:rPr>
          <w:rFonts w:hint="eastAsia" w:ascii="宋体" w:hAnsi="宋体" w:eastAsia="宋体" w:cs="宋体"/>
          <w:color w:val="auto"/>
          <w:spacing w:val="-1"/>
          <w:sz w:val="22"/>
          <w:szCs w:val="22"/>
          <w:highlight w:val="none"/>
        </w:rPr>
        <w:t>考核的标准</w:t>
      </w:r>
      <w:r>
        <w:rPr>
          <w:rFonts w:hint="eastAsia" w:ascii="宋体" w:hAnsi="宋体" w:eastAsia="宋体" w:cs="宋体"/>
          <w:color w:val="auto"/>
          <w:spacing w:val="-1"/>
          <w:sz w:val="22"/>
          <w:szCs w:val="22"/>
          <w:highlight w:val="none"/>
          <w:lang w:val="en-US" w:eastAsia="zh-CN"/>
        </w:rPr>
        <w:t>对乙方进行处罚。</w:t>
      </w:r>
    </w:p>
    <w:p w14:paraId="65BAA6BB">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（二）乙方权利和义务</w:t>
      </w:r>
    </w:p>
    <w:p w14:paraId="39E8577C">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1、甲方对乙方所委派的人员不满意的，在收到甲方更换通知书之日起，3个工作日提供符合条件的人员由甲方选择</w:t>
      </w:r>
      <w:r>
        <w:rPr>
          <w:rFonts w:hint="eastAsia" w:ascii="宋体" w:hAnsi="宋体" w:eastAsia="宋体" w:cs="宋体"/>
          <w:color w:val="auto"/>
          <w:spacing w:val="-1"/>
          <w:sz w:val="22"/>
          <w:szCs w:val="22"/>
          <w:highlight w:val="none"/>
          <w:lang w:val="en-US" w:eastAsia="zh-CN"/>
        </w:rPr>
        <w:t>确认</w:t>
      </w:r>
      <w:r>
        <w:rPr>
          <w:rFonts w:hint="eastAsia" w:ascii="宋体" w:hAnsi="宋体" w:eastAsia="宋体" w:cs="宋体"/>
          <w:color w:val="auto"/>
          <w:spacing w:val="-1"/>
          <w:sz w:val="22"/>
          <w:szCs w:val="22"/>
          <w:highlight w:val="none"/>
        </w:rPr>
        <w:t>，未及时更换的，每次处以违约金5000元。</w:t>
      </w:r>
    </w:p>
    <w:p w14:paraId="6673CA19">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2、乙方根据本合同所承担的服务内容，按实际上岗人数自行到有关部门申办相关手续</w:t>
      </w:r>
      <w:r>
        <w:rPr>
          <w:rFonts w:hint="eastAsia" w:ascii="宋体" w:hAnsi="宋体" w:eastAsia="宋体" w:cs="宋体"/>
          <w:color w:val="auto"/>
          <w:spacing w:val="-1"/>
          <w:sz w:val="22"/>
          <w:szCs w:val="22"/>
          <w:highlight w:val="none"/>
          <w:lang w:val="en-US" w:eastAsia="zh-CN"/>
        </w:rPr>
        <w:t>并出具无违法犯罪记录证明</w:t>
      </w:r>
      <w:r>
        <w:rPr>
          <w:rFonts w:hint="eastAsia" w:ascii="宋体" w:hAnsi="宋体" w:eastAsia="宋体" w:cs="宋体"/>
          <w:color w:val="auto"/>
          <w:spacing w:val="-1"/>
          <w:sz w:val="22"/>
          <w:szCs w:val="22"/>
          <w:highlight w:val="none"/>
        </w:rPr>
        <w:t>。员工最低工资及福利必须符合相关法律法规的规定，并按相关规定办理社保及意外险。</w:t>
      </w:r>
    </w:p>
    <w:p w14:paraId="1E8F9BD9">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3、乙方所派驻的工作人员，应在</w:t>
      </w:r>
      <w:r>
        <w:rPr>
          <w:rFonts w:hint="eastAsia" w:ascii="宋体" w:hAnsi="宋体" w:eastAsia="宋体" w:cs="宋体"/>
          <w:color w:val="auto"/>
          <w:spacing w:val="-1"/>
          <w:sz w:val="22"/>
          <w:szCs w:val="22"/>
          <w:highlight w:val="none"/>
          <w:lang w:val="en-US" w:eastAsia="zh-CN"/>
        </w:rPr>
        <w:t>转运站</w:t>
      </w:r>
      <w:r>
        <w:rPr>
          <w:rFonts w:hint="eastAsia" w:ascii="宋体" w:hAnsi="宋体" w:eastAsia="宋体" w:cs="宋体"/>
          <w:color w:val="auto"/>
          <w:spacing w:val="-1"/>
          <w:sz w:val="22"/>
          <w:szCs w:val="22"/>
          <w:highlight w:val="none"/>
        </w:rPr>
        <w:t>点设置指纹打卡机，每月结算时应提供打卡记录，否则不予结算。</w:t>
      </w:r>
    </w:p>
    <w:p w14:paraId="4A15EDBF">
      <w:pPr>
        <w:pStyle w:val="3"/>
        <w:spacing w:before="157" w:line="360" w:lineRule="auto"/>
        <w:ind w:right="527" w:firstLine="436" w:firstLineChars="200"/>
        <w:rPr>
          <w:rFonts w:hint="eastAsia"/>
        </w:rPr>
      </w:pPr>
      <w:r>
        <w:rPr>
          <w:rFonts w:hint="eastAsia" w:ascii="宋体" w:hAnsi="宋体" w:eastAsia="宋体" w:cs="宋体"/>
          <w:color w:val="auto"/>
          <w:spacing w:val="-1"/>
          <w:sz w:val="22"/>
          <w:szCs w:val="22"/>
          <w:highlight w:val="yellow"/>
          <w:lang w:val="en-US" w:eastAsia="zh-CN"/>
        </w:rPr>
        <w:t>4</w:t>
      </w:r>
      <w:r>
        <w:rPr>
          <w:rFonts w:hint="eastAsia" w:ascii="宋体" w:hAnsi="宋体" w:eastAsia="宋体" w:cs="宋体"/>
          <w:color w:val="auto"/>
          <w:spacing w:val="-1"/>
          <w:sz w:val="22"/>
          <w:szCs w:val="22"/>
          <w:highlight w:val="yellow"/>
        </w:rPr>
        <w:t>、乙方</w:t>
      </w:r>
      <w:r>
        <w:rPr>
          <w:rFonts w:hint="eastAsia" w:ascii="宋体" w:hAnsi="宋体" w:eastAsia="宋体" w:cs="宋体"/>
          <w:color w:val="auto"/>
          <w:spacing w:val="-1"/>
          <w:sz w:val="22"/>
          <w:szCs w:val="22"/>
          <w:highlight w:val="yellow"/>
          <w:lang w:val="en-US" w:eastAsia="zh-CN"/>
        </w:rPr>
        <w:t>应按照投标承诺内容及采购文件要求提供相应的服务并完成相关工作</w:t>
      </w:r>
      <w:r>
        <w:rPr>
          <w:rFonts w:hint="eastAsia" w:ascii="宋体" w:hAnsi="宋体" w:eastAsia="宋体" w:cs="宋体"/>
          <w:color w:val="auto"/>
          <w:spacing w:val="-1"/>
          <w:sz w:val="22"/>
          <w:szCs w:val="22"/>
          <w:highlight w:val="none"/>
        </w:rPr>
        <w:t>。</w:t>
      </w:r>
    </w:p>
    <w:p w14:paraId="5A5D54C9">
      <w:pPr>
        <w:pStyle w:val="3"/>
        <w:spacing w:before="157" w:line="360" w:lineRule="auto"/>
        <w:ind w:right="527" w:firstLine="43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val="en-US" w:eastAsia="zh-CN"/>
        </w:rPr>
        <w:t>5</w:t>
      </w:r>
      <w:r>
        <w:rPr>
          <w:rFonts w:hint="eastAsia" w:ascii="宋体" w:hAnsi="宋体" w:eastAsia="宋体" w:cs="宋体"/>
          <w:color w:val="auto"/>
          <w:spacing w:val="-1"/>
          <w:sz w:val="22"/>
          <w:szCs w:val="22"/>
          <w:highlight w:val="none"/>
        </w:rPr>
        <w:t>、本合同终止时，乙方必须向甲方移交有关管理的全部档案资料，并保证所有车辆及设备</w:t>
      </w:r>
      <w:r>
        <w:rPr>
          <w:rFonts w:hint="eastAsia" w:ascii="宋体" w:hAnsi="宋体" w:eastAsia="宋体" w:cs="宋体"/>
          <w:color w:val="auto"/>
          <w:spacing w:val="-1"/>
          <w:sz w:val="22"/>
          <w:szCs w:val="22"/>
          <w:highlight w:val="none"/>
          <w:lang w:val="en-US" w:eastAsia="zh-CN"/>
        </w:rPr>
        <w:t>正常使用</w:t>
      </w:r>
      <w:r>
        <w:rPr>
          <w:rFonts w:hint="eastAsia" w:ascii="宋体" w:hAnsi="宋体" w:eastAsia="宋体" w:cs="宋体"/>
          <w:color w:val="auto"/>
          <w:spacing w:val="-1"/>
          <w:sz w:val="22"/>
          <w:szCs w:val="22"/>
          <w:highlight w:val="none"/>
        </w:rPr>
        <w:t>，否则相应的修理费甲方有权在乙方的转运费中扣除。</w:t>
      </w:r>
    </w:p>
    <w:p w14:paraId="62CE35FF">
      <w:pPr>
        <w:pStyle w:val="7"/>
        <w:numPr>
          <w:ilvl w:val="0"/>
          <w:numId w:val="0"/>
        </w:numPr>
        <w:spacing w:after="120" w:line="360" w:lineRule="auto"/>
        <w:ind w:left="720" w:hanging="720"/>
        <w:rPr>
          <w:rFonts w:hint="eastAsia" w:ascii="宋体" w:hAnsi="宋体" w:eastAsia="宋体" w:cs="宋体"/>
          <w:color w:val="auto"/>
          <w:highlight w:val="none"/>
        </w:rPr>
      </w:pPr>
      <w:bookmarkStart w:id="95" w:name="_Toc21332"/>
      <w:bookmarkStart w:id="96" w:name="_Toc16272"/>
      <w:r>
        <w:rPr>
          <w:rFonts w:hint="eastAsia" w:ascii="宋体" w:hAnsi="宋体" w:eastAsia="宋体" w:cs="宋体"/>
          <w:color w:val="auto"/>
          <w:highlight w:val="none"/>
        </w:rPr>
        <w:t>六、</w:t>
      </w:r>
      <w:bookmarkEnd w:id="95"/>
      <w:bookmarkEnd w:id="96"/>
      <w:r>
        <w:rPr>
          <w:rFonts w:hint="eastAsia" w:ascii="宋体" w:hAnsi="宋体" w:eastAsia="宋体" w:cs="宋体"/>
          <w:color w:val="auto"/>
          <w:highlight w:val="none"/>
        </w:rPr>
        <w:t>工作要求和质量标准</w:t>
      </w:r>
    </w:p>
    <w:p w14:paraId="6ED6D404">
      <w:pPr>
        <w:pStyle w:val="3"/>
        <w:spacing w:before="157" w:line="360" w:lineRule="auto"/>
        <w:ind w:right="527" w:firstLine="436" w:firstLineChars="200"/>
        <w:rPr>
          <w:rFonts w:hint="eastAsia" w:ascii="宋体" w:hAnsi="宋体" w:eastAsia="宋体" w:cs="宋体"/>
          <w:color w:val="auto"/>
          <w:spacing w:val="-1"/>
          <w:sz w:val="22"/>
          <w:szCs w:val="22"/>
          <w:highlight w:val="none"/>
        </w:rPr>
      </w:pPr>
      <w:bookmarkStart w:id="97" w:name="_Toc3592"/>
      <w:bookmarkStart w:id="98" w:name="_Toc14520"/>
      <w:r>
        <w:rPr>
          <w:rFonts w:hint="eastAsia" w:ascii="宋体" w:hAnsi="宋体" w:eastAsia="宋体" w:cs="宋体"/>
          <w:color w:val="auto"/>
          <w:spacing w:val="-1"/>
          <w:sz w:val="22"/>
          <w:szCs w:val="22"/>
          <w:highlight w:val="none"/>
        </w:rPr>
        <w:t>各项具体工作的质量标准和作业规范按甲方具体要求及《招标文件》中所规定的执行。</w:t>
      </w:r>
    </w:p>
    <w:p w14:paraId="4EB85B92">
      <w:pPr>
        <w:pStyle w:val="7"/>
        <w:numPr>
          <w:ilvl w:val="0"/>
          <w:numId w:val="0"/>
        </w:numPr>
        <w:spacing w:after="120" w:line="360" w:lineRule="auto"/>
        <w:ind w:left="720" w:hanging="720"/>
        <w:rPr>
          <w:rFonts w:hint="eastAsia" w:ascii="宋体" w:hAnsi="宋体" w:eastAsia="宋体" w:cs="宋体"/>
          <w:color w:val="auto"/>
          <w:highlight w:val="none"/>
        </w:rPr>
      </w:pPr>
      <w:r>
        <w:rPr>
          <w:rFonts w:hint="eastAsia" w:ascii="宋体" w:hAnsi="宋体" w:eastAsia="宋体" w:cs="宋体"/>
          <w:color w:val="auto"/>
          <w:highlight w:val="none"/>
        </w:rPr>
        <w:t>七、</w:t>
      </w:r>
      <w:bookmarkEnd w:id="97"/>
      <w:bookmarkEnd w:id="98"/>
      <w:r>
        <w:rPr>
          <w:rFonts w:hint="eastAsia" w:ascii="宋体" w:hAnsi="宋体" w:eastAsia="宋体" w:cs="宋体"/>
          <w:color w:val="auto"/>
          <w:highlight w:val="none"/>
        </w:rPr>
        <w:t>考核验收办法</w:t>
      </w:r>
    </w:p>
    <w:p w14:paraId="7AD8990E">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具体的检查验收方法、内容、程序等按甲方具体要求及《招标文件》及附件执行。合同履行过程中</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rPr>
        <w:t>甲方有权调整《瓯海区生活垃圾转运服务考核办法》</w:t>
      </w:r>
      <w:r>
        <w:rPr>
          <w:rFonts w:hint="eastAsia" w:ascii="宋体" w:hAnsi="宋体" w:eastAsia="宋体" w:cs="宋体"/>
          <w:color w:val="auto"/>
          <w:spacing w:val="-1"/>
          <w:sz w:val="22"/>
          <w:szCs w:val="22"/>
          <w:highlight w:val="none"/>
          <w:lang w:val="en-US" w:eastAsia="zh-CN"/>
        </w:rPr>
        <w:t>及相关</w:t>
      </w:r>
      <w:r>
        <w:rPr>
          <w:rFonts w:hint="eastAsia" w:ascii="宋体" w:hAnsi="宋体" w:eastAsia="宋体" w:cs="宋体"/>
          <w:color w:val="auto"/>
          <w:spacing w:val="-1"/>
          <w:sz w:val="22"/>
          <w:szCs w:val="22"/>
          <w:highlight w:val="none"/>
        </w:rPr>
        <w:t>考核的标准，承包人不得拒绝，否则将作为合同违约，甲方有权</w:t>
      </w:r>
      <w:r>
        <w:rPr>
          <w:rFonts w:hint="eastAsia" w:ascii="宋体" w:hAnsi="宋体" w:eastAsia="宋体" w:cs="宋体"/>
          <w:color w:val="auto"/>
          <w:spacing w:val="-1"/>
          <w:sz w:val="22"/>
          <w:szCs w:val="22"/>
          <w:highlight w:val="none"/>
          <w:lang w:val="en-US" w:eastAsia="zh-CN"/>
        </w:rPr>
        <w:t>要求乙</w:t>
      </w:r>
      <w:r>
        <w:rPr>
          <w:rFonts w:hint="eastAsia" w:ascii="宋体" w:hAnsi="宋体" w:eastAsia="宋体" w:cs="宋体"/>
          <w:color w:val="auto"/>
          <w:spacing w:val="-1"/>
          <w:sz w:val="22"/>
          <w:szCs w:val="22"/>
          <w:highlight w:val="none"/>
        </w:rPr>
        <w:t>方</w:t>
      </w:r>
      <w:r>
        <w:rPr>
          <w:rFonts w:hint="eastAsia" w:ascii="宋体" w:hAnsi="宋体" w:eastAsia="宋体" w:cs="宋体"/>
          <w:color w:val="auto"/>
          <w:spacing w:val="-1"/>
          <w:sz w:val="22"/>
          <w:szCs w:val="22"/>
          <w:highlight w:val="none"/>
          <w:lang w:val="en-US" w:eastAsia="zh-CN"/>
        </w:rPr>
        <w:t>支付10万元</w:t>
      </w:r>
      <w:r>
        <w:rPr>
          <w:rFonts w:hint="eastAsia" w:ascii="宋体" w:hAnsi="宋体" w:eastAsia="宋体" w:cs="宋体"/>
          <w:color w:val="auto"/>
          <w:spacing w:val="-1"/>
          <w:sz w:val="22"/>
          <w:szCs w:val="22"/>
          <w:highlight w:val="none"/>
        </w:rPr>
        <w:t>违约金</w:t>
      </w:r>
      <w:r>
        <w:rPr>
          <w:rFonts w:hint="eastAsia" w:ascii="宋体" w:hAnsi="宋体" w:eastAsia="宋体" w:cs="宋体"/>
          <w:color w:val="auto"/>
          <w:spacing w:val="-1"/>
          <w:sz w:val="22"/>
          <w:szCs w:val="22"/>
          <w:highlight w:val="none"/>
          <w:lang w:val="en-US" w:eastAsia="zh-CN"/>
        </w:rPr>
        <w:t>并</w:t>
      </w:r>
      <w:r>
        <w:rPr>
          <w:rFonts w:hint="eastAsia" w:ascii="宋体" w:hAnsi="宋体" w:eastAsia="宋体" w:cs="宋体"/>
          <w:color w:val="auto"/>
          <w:spacing w:val="-1"/>
          <w:sz w:val="22"/>
          <w:szCs w:val="22"/>
          <w:highlight w:val="none"/>
        </w:rPr>
        <w:t>终止合同。</w:t>
      </w:r>
    </w:p>
    <w:p w14:paraId="4CC4536A">
      <w:pPr>
        <w:pStyle w:val="7"/>
        <w:numPr>
          <w:ilvl w:val="0"/>
          <w:numId w:val="0"/>
        </w:numPr>
        <w:spacing w:after="120" w:line="360" w:lineRule="auto"/>
        <w:ind w:left="720" w:hanging="720"/>
        <w:rPr>
          <w:rFonts w:hint="eastAsia" w:ascii="宋体" w:hAnsi="宋体" w:eastAsia="宋体" w:cs="宋体"/>
          <w:color w:val="auto"/>
          <w:highlight w:val="none"/>
        </w:rPr>
      </w:pPr>
      <w:bookmarkStart w:id="99" w:name="_Toc5186"/>
      <w:bookmarkStart w:id="100" w:name="_Toc11717"/>
      <w:r>
        <w:rPr>
          <w:rFonts w:hint="eastAsia" w:ascii="宋体" w:hAnsi="宋体" w:eastAsia="宋体" w:cs="宋体"/>
          <w:color w:val="auto"/>
          <w:highlight w:val="none"/>
        </w:rPr>
        <w:t>八、</w:t>
      </w:r>
      <w:bookmarkEnd w:id="99"/>
      <w:bookmarkEnd w:id="100"/>
      <w:r>
        <w:rPr>
          <w:rFonts w:hint="eastAsia" w:ascii="宋体" w:hAnsi="宋体" w:eastAsia="宋体" w:cs="宋体"/>
          <w:color w:val="auto"/>
          <w:highlight w:val="none"/>
        </w:rPr>
        <w:t>违约责任</w:t>
      </w:r>
    </w:p>
    <w:p w14:paraId="4D298CAB">
      <w:pPr>
        <w:pStyle w:val="13"/>
        <w:numPr>
          <w:ilvl w:val="0"/>
          <w:numId w:val="0"/>
        </w:numPr>
        <w:snapToGrid w:val="0"/>
        <w:spacing w:line="360" w:lineRule="auto"/>
        <w:ind w:firstLine="420" w:firstLineChars="200"/>
        <w:rPr>
          <w:rFonts w:hAnsi="宋体"/>
          <w:highlight w:val="none"/>
        </w:rPr>
      </w:pPr>
      <w:bookmarkStart w:id="101" w:name="_Toc1457"/>
      <w:bookmarkStart w:id="102" w:name="_Toc80"/>
      <w:r>
        <w:rPr>
          <w:rFonts w:hint="eastAsia" w:ascii="仿宋_GB2312" w:hAnsi="宋体"/>
          <w:sz w:val="21"/>
          <w:szCs w:val="21"/>
          <w:highlight w:val="none"/>
          <w:lang w:val="en-US" w:eastAsia="zh-CN" w:bidi="ar-SA"/>
        </w:rPr>
        <w:t>（一）</w:t>
      </w:r>
      <w:r>
        <w:rPr>
          <w:rFonts w:hint="eastAsia" w:hAnsi="宋体" w:cs="宋体"/>
          <w:highlight w:val="none"/>
        </w:rPr>
        <w:t>除不可抗力外以，如发生乙方不能履行合同义务，或甲方发生中途终止合同等情况，应</w:t>
      </w:r>
      <w:r>
        <w:rPr>
          <w:rFonts w:hint="eastAsia" w:hAnsi="宋体" w:cs="宋体"/>
          <w:highlight w:val="none"/>
          <w:lang w:val="en-US" w:eastAsia="zh-CN"/>
        </w:rPr>
        <w:t>及</w:t>
      </w:r>
      <w:r>
        <w:rPr>
          <w:rFonts w:hint="eastAsia" w:hAnsi="宋体" w:cs="宋体"/>
          <w:highlight w:val="none"/>
        </w:rPr>
        <w:t>时以书面形式通知对方。甲乙各方应本着友好的态度进行协商，妥善解决。如协商无效，</w:t>
      </w:r>
      <w:r>
        <w:rPr>
          <w:rFonts w:hint="eastAsia" w:hAnsi="宋体" w:cs="宋体"/>
          <w:highlight w:val="yellow"/>
          <w:lang w:val="en-US" w:eastAsia="zh-CN"/>
        </w:rPr>
        <w:t>乙方按以下约定支付违约金，如违约行为给甲方造成损失，乙方还应全额赔偿甲方的全部损失</w:t>
      </w:r>
      <w:r>
        <w:rPr>
          <w:rFonts w:hint="eastAsia" w:hAnsi="宋体" w:cs="宋体"/>
          <w:highlight w:val="none"/>
        </w:rPr>
        <w:t>：</w:t>
      </w:r>
    </w:p>
    <w:p w14:paraId="5E844256">
      <w:pPr>
        <w:pStyle w:val="13"/>
        <w:snapToGrid w:val="0"/>
        <w:spacing w:line="360" w:lineRule="auto"/>
        <w:ind w:firstLine="420" w:firstLineChars="200"/>
        <w:rPr>
          <w:rFonts w:hAnsi="宋体"/>
          <w:highlight w:val="none"/>
        </w:rPr>
      </w:pPr>
      <w:r>
        <w:rPr>
          <w:rFonts w:hint="eastAsia" w:hAnsi="宋体" w:cs="宋体"/>
          <w:highlight w:val="none"/>
        </w:rPr>
        <w:t>（1）</w:t>
      </w:r>
      <w:r>
        <w:rPr>
          <w:rFonts w:hint="eastAsia" w:hAnsi="宋体" w:cs="宋体"/>
          <w:highlight w:val="yellow"/>
          <w:lang w:val="en-US" w:eastAsia="zh-CN"/>
        </w:rPr>
        <w:t>因</w:t>
      </w:r>
      <w:r>
        <w:rPr>
          <w:rFonts w:hint="eastAsia" w:hAnsi="宋体"/>
          <w:highlight w:val="yellow"/>
        </w:rPr>
        <w:t>乙方</w:t>
      </w:r>
      <w:r>
        <w:rPr>
          <w:rFonts w:hint="eastAsia" w:hAnsi="宋体"/>
          <w:highlight w:val="yellow"/>
          <w:lang w:val="en-US" w:eastAsia="zh-CN"/>
        </w:rPr>
        <w:t>原因</w:t>
      </w:r>
      <w:r>
        <w:rPr>
          <w:rFonts w:hint="eastAsia" w:hAnsi="宋体"/>
          <w:highlight w:val="yellow"/>
        </w:rPr>
        <w:t>不能履行</w:t>
      </w:r>
      <w:r>
        <w:rPr>
          <w:rFonts w:hint="eastAsia" w:hAnsi="宋体"/>
          <w:highlight w:val="yellow"/>
          <w:lang w:val="en-US" w:eastAsia="zh-CN"/>
        </w:rPr>
        <w:t>剩余</w:t>
      </w:r>
      <w:r>
        <w:rPr>
          <w:rFonts w:hint="eastAsia" w:hAnsi="宋体"/>
          <w:highlight w:val="yellow"/>
        </w:rPr>
        <w:t>合同</w:t>
      </w:r>
      <w:r>
        <w:rPr>
          <w:rFonts w:hint="eastAsia" w:hAnsi="宋体"/>
          <w:highlight w:val="yellow"/>
          <w:lang w:val="en-US" w:eastAsia="zh-CN"/>
        </w:rPr>
        <w:t>任务的</w:t>
      </w:r>
      <w:r>
        <w:rPr>
          <w:rFonts w:hint="eastAsia" w:hAnsi="宋体"/>
          <w:highlight w:val="yellow"/>
        </w:rPr>
        <w:t>，应按</w:t>
      </w:r>
      <w:r>
        <w:rPr>
          <w:rFonts w:hint="eastAsia" w:hAnsi="宋体"/>
          <w:highlight w:val="yellow"/>
          <w:lang w:val="en-US" w:eastAsia="zh-CN"/>
        </w:rPr>
        <w:t>已确认的上一个月的结算量作为基准量，对</w:t>
      </w:r>
      <w:r>
        <w:rPr>
          <w:rFonts w:hint="eastAsia" w:hAnsi="宋体"/>
          <w:highlight w:val="yellow"/>
        </w:rPr>
        <w:t>未履行部分合同</w:t>
      </w:r>
      <w:r>
        <w:rPr>
          <w:rFonts w:hint="eastAsia" w:hAnsi="宋体"/>
          <w:highlight w:val="yellow"/>
          <w:lang w:val="en-US" w:eastAsia="zh-CN"/>
        </w:rPr>
        <w:t>总</w:t>
      </w:r>
      <w:r>
        <w:rPr>
          <w:rFonts w:hint="eastAsia" w:hAnsi="宋体"/>
          <w:highlight w:val="yellow"/>
        </w:rPr>
        <w:t>价格的10%向甲方偿付违约金。</w:t>
      </w:r>
    </w:p>
    <w:p w14:paraId="4C3707B9">
      <w:pPr>
        <w:snapToGrid w:val="0"/>
        <w:spacing w:line="360" w:lineRule="auto"/>
        <w:ind w:firstLine="420" w:firstLineChars="200"/>
        <w:rPr>
          <w:rFonts w:ascii="宋体" w:hAnsi="宋体"/>
          <w:szCs w:val="21"/>
          <w:highlight w:val="none"/>
        </w:rPr>
      </w:pPr>
      <w:r>
        <w:rPr>
          <w:rFonts w:hint="eastAsia" w:ascii="宋体" w:hAnsi="宋体"/>
          <w:szCs w:val="21"/>
          <w:highlight w:val="none"/>
        </w:rPr>
        <w:t>（2）如乙方未能履行合同规定的任何一项义务，</w:t>
      </w:r>
      <w:r>
        <w:rPr>
          <w:rFonts w:hint="eastAsia" w:ascii="宋体" w:hAnsi="宋体" w:eastAsia="宋体" w:cs="宋体"/>
          <w:color w:val="auto"/>
          <w:spacing w:val="-1"/>
          <w:sz w:val="22"/>
          <w:szCs w:val="22"/>
          <w:highlight w:val="none"/>
        </w:rPr>
        <w:t>甲方有权</w:t>
      </w:r>
      <w:r>
        <w:rPr>
          <w:rFonts w:hint="eastAsia" w:ascii="宋体" w:hAnsi="宋体" w:eastAsia="宋体" w:cs="宋体"/>
          <w:color w:val="auto"/>
          <w:spacing w:val="-1"/>
          <w:sz w:val="22"/>
          <w:szCs w:val="22"/>
          <w:highlight w:val="none"/>
          <w:lang w:val="en-US" w:eastAsia="zh-CN"/>
        </w:rPr>
        <w:t>要求乙</w:t>
      </w:r>
      <w:r>
        <w:rPr>
          <w:rFonts w:hint="eastAsia" w:ascii="宋体" w:hAnsi="宋体" w:eastAsia="宋体" w:cs="宋体"/>
          <w:color w:val="auto"/>
          <w:spacing w:val="-1"/>
          <w:sz w:val="22"/>
          <w:szCs w:val="22"/>
          <w:highlight w:val="none"/>
        </w:rPr>
        <w:t>方</w:t>
      </w:r>
      <w:r>
        <w:rPr>
          <w:rFonts w:hint="eastAsia" w:ascii="宋体" w:hAnsi="宋体" w:eastAsia="宋体" w:cs="宋体"/>
          <w:color w:val="auto"/>
          <w:spacing w:val="-1"/>
          <w:sz w:val="22"/>
          <w:szCs w:val="22"/>
          <w:highlight w:val="none"/>
          <w:lang w:val="en-US" w:eastAsia="zh-CN"/>
        </w:rPr>
        <w:t>支付5万元</w:t>
      </w:r>
      <w:r>
        <w:rPr>
          <w:rFonts w:hint="eastAsia" w:ascii="宋体" w:hAnsi="宋体" w:eastAsia="宋体" w:cs="宋体"/>
          <w:color w:val="auto"/>
          <w:spacing w:val="-1"/>
          <w:sz w:val="22"/>
          <w:szCs w:val="22"/>
          <w:highlight w:val="none"/>
        </w:rPr>
        <w:t>违约金</w:t>
      </w:r>
      <w:r>
        <w:rPr>
          <w:rFonts w:hint="eastAsia" w:ascii="宋体" w:hAnsi="宋体"/>
          <w:szCs w:val="21"/>
          <w:highlight w:val="none"/>
        </w:rPr>
        <w:t>。</w:t>
      </w:r>
    </w:p>
    <w:p w14:paraId="5D609F7B">
      <w:pPr>
        <w:snapToGrid w:val="0"/>
        <w:spacing w:line="360" w:lineRule="auto"/>
        <w:ind w:firstLine="420" w:firstLineChars="200"/>
        <w:rPr>
          <w:rFonts w:hint="eastAsia" w:hAnsi="宋体"/>
          <w:highlight w:val="none"/>
        </w:rPr>
      </w:pPr>
      <w:r>
        <w:rPr>
          <w:rFonts w:hint="eastAsia" w:ascii="宋体" w:hAnsi="宋体"/>
          <w:szCs w:val="21"/>
          <w:highlight w:val="none"/>
        </w:rPr>
        <w:t>（3）甲方在任何时候都有权</w:t>
      </w:r>
      <w:r>
        <w:rPr>
          <w:rFonts w:hint="eastAsia" w:ascii="宋体" w:hAnsi="宋体"/>
          <w:szCs w:val="21"/>
          <w:highlight w:val="none"/>
          <w:lang w:val="en-US" w:eastAsia="zh-CN"/>
        </w:rPr>
        <w:t>要求</w:t>
      </w:r>
      <w:r>
        <w:rPr>
          <w:rFonts w:hint="eastAsia" w:ascii="宋体" w:hAnsi="宋体"/>
          <w:szCs w:val="21"/>
          <w:highlight w:val="none"/>
        </w:rPr>
        <w:t>乙方</w:t>
      </w:r>
      <w:r>
        <w:rPr>
          <w:rFonts w:hint="eastAsia" w:ascii="宋体" w:hAnsi="宋体"/>
          <w:szCs w:val="21"/>
          <w:highlight w:val="none"/>
          <w:lang w:val="en-US" w:eastAsia="zh-CN"/>
        </w:rPr>
        <w:t>赔偿因乙方</w:t>
      </w:r>
      <w:r>
        <w:rPr>
          <w:rFonts w:hint="eastAsia" w:ascii="宋体" w:hAnsi="宋体"/>
          <w:szCs w:val="21"/>
          <w:highlight w:val="none"/>
        </w:rPr>
        <w:t>损坏</w:t>
      </w:r>
      <w:r>
        <w:rPr>
          <w:rFonts w:hint="eastAsia" w:ascii="宋体" w:hAnsi="宋体"/>
          <w:szCs w:val="21"/>
          <w:highlight w:val="none"/>
          <w:lang w:val="en-US" w:eastAsia="zh-CN"/>
        </w:rPr>
        <w:t>的</w:t>
      </w:r>
      <w:r>
        <w:rPr>
          <w:rFonts w:hint="eastAsia" w:ascii="宋体" w:hAnsi="宋体"/>
          <w:szCs w:val="21"/>
          <w:highlight w:val="none"/>
        </w:rPr>
        <w:t>甲方的设备、设施、场地或因乙方违约而导致损失金额，且乙方应在接到</w:t>
      </w:r>
      <w:r>
        <w:rPr>
          <w:rFonts w:hint="eastAsia" w:ascii="宋体" w:hAnsi="宋体"/>
          <w:szCs w:val="21"/>
          <w:highlight w:val="none"/>
          <w:lang w:val="en-US" w:eastAsia="zh-CN"/>
        </w:rPr>
        <w:t>索赔</w:t>
      </w:r>
      <w:r>
        <w:rPr>
          <w:rFonts w:hint="eastAsia" w:ascii="宋体" w:hAnsi="宋体"/>
          <w:szCs w:val="21"/>
          <w:highlight w:val="none"/>
        </w:rPr>
        <w:t>通知后一周</w:t>
      </w:r>
      <w:r>
        <w:rPr>
          <w:rFonts w:hint="eastAsia" w:ascii="宋体" w:hAnsi="宋体"/>
          <w:szCs w:val="21"/>
          <w:highlight w:val="none"/>
          <w:lang w:val="en-US" w:eastAsia="zh-CN"/>
        </w:rPr>
        <w:t>内支付相应款项</w:t>
      </w:r>
      <w:r>
        <w:rPr>
          <w:rFonts w:hint="eastAsia" w:ascii="宋体" w:hAnsi="宋体"/>
          <w:szCs w:val="21"/>
          <w:highlight w:val="none"/>
        </w:rPr>
        <w:t>，</w:t>
      </w:r>
      <w:r>
        <w:rPr>
          <w:rFonts w:hint="eastAsia" w:ascii="宋体" w:hAnsi="宋体"/>
          <w:szCs w:val="21"/>
          <w:highlight w:val="none"/>
          <w:lang w:val="en-US" w:eastAsia="zh-CN"/>
        </w:rPr>
        <w:t>否则</w:t>
      </w:r>
      <w:r>
        <w:rPr>
          <w:rFonts w:hint="eastAsia" w:ascii="宋体" w:hAnsi="宋体" w:eastAsia="宋体" w:cs="宋体"/>
          <w:color w:val="auto"/>
          <w:spacing w:val="-1"/>
          <w:sz w:val="22"/>
          <w:szCs w:val="22"/>
          <w:highlight w:val="none"/>
        </w:rPr>
        <w:t>甲方有权</w:t>
      </w:r>
      <w:r>
        <w:rPr>
          <w:rFonts w:hint="eastAsia" w:ascii="宋体" w:hAnsi="宋体" w:eastAsia="宋体" w:cs="宋体"/>
          <w:color w:val="auto"/>
          <w:spacing w:val="-1"/>
          <w:sz w:val="22"/>
          <w:szCs w:val="22"/>
          <w:highlight w:val="none"/>
          <w:lang w:val="en-US" w:eastAsia="zh-CN"/>
        </w:rPr>
        <w:t>要求乙</w:t>
      </w:r>
      <w:r>
        <w:rPr>
          <w:rFonts w:hint="eastAsia" w:ascii="宋体" w:hAnsi="宋体" w:eastAsia="宋体" w:cs="宋体"/>
          <w:color w:val="auto"/>
          <w:spacing w:val="-1"/>
          <w:sz w:val="22"/>
          <w:szCs w:val="22"/>
          <w:highlight w:val="none"/>
        </w:rPr>
        <w:t>方</w:t>
      </w:r>
      <w:r>
        <w:rPr>
          <w:rFonts w:hint="eastAsia" w:ascii="宋体" w:hAnsi="宋体" w:eastAsia="宋体" w:cs="宋体"/>
          <w:color w:val="auto"/>
          <w:spacing w:val="-1"/>
          <w:sz w:val="22"/>
          <w:szCs w:val="22"/>
          <w:highlight w:val="none"/>
          <w:lang w:val="en-US" w:eastAsia="zh-CN"/>
        </w:rPr>
        <w:t>支付5万元</w:t>
      </w:r>
      <w:r>
        <w:rPr>
          <w:rFonts w:hint="eastAsia" w:ascii="宋体" w:hAnsi="宋体" w:eastAsia="宋体" w:cs="宋体"/>
          <w:color w:val="auto"/>
          <w:spacing w:val="-1"/>
          <w:sz w:val="22"/>
          <w:szCs w:val="22"/>
          <w:highlight w:val="none"/>
        </w:rPr>
        <w:t>违约金</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且甲方有权单方面终止合同</w:t>
      </w:r>
      <w:r>
        <w:rPr>
          <w:rFonts w:hint="eastAsia" w:ascii="宋体" w:hAnsi="宋体"/>
          <w:szCs w:val="21"/>
          <w:highlight w:val="none"/>
        </w:rPr>
        <w:t>。</w:t>
      </w:r>
    </w:p>
    <w:p w14:paraId="1B6A9947">
      <w:pPr>
        <w:snapToGrid w:val="0"/>
        <w:spacing w:line="360" w:lineRule="auto"/>
        <w:ind w:firstLine="420" w:firstLineChars="200"/>
        <w:rPr>
          <w:rFonts w:hint="eastAsia" w:ascii="宋体" w:hAnsi="宋体"/>
          <w:szCs w:val="21"/>
          <w:highlight w:val="yellow"/>
          <w:lang w:val="en-US" w:eastAsia="zh-CN"/>
        </w:rPr>
      </w:pPr>
      <w:r>
        <w:rPr>
          <w:rFonts w:hint="eastAsia" w:ascii="宋体" w:hAnsi="宋体"/>
          <w:szCs w:val="21"/>
          <w:highlight w:val="yellow"/>
          <w:lang w:val="en-US" w:eastAsia="zh-CN"/>
        </w:rPr>
        <w:t>（二）甲方有权在转运费中扣除本合同约定的违约金及损失赔偿。</w:t>
      </w:r>
    </w:p>
    <w:p w14:paraId="3D9C2A89">
      <w:pPr>
        <w:snapToGrid w:val="0"/>
        <w:spacing w:line="360" w:lineRule="auto"/>
        <w:ind w:firstLine="420" w:firstLineChars="200"/>
        <w:rPr>
          <w:highlight w:val="none"/>
        </w:rPr>
      </w:pPr>
      <w:r>
        <w:rPr>
          <w:rFonts w:hint="eastAsia" w:ascii="宋体" w:hAnsi="宋体"/>
          <w:szCs w:val="21"/>
          <w:highlight w:val="yellow"/>
          <w:lang w:val="en-US" w:eastAsia="zh-CN"/>
        </w:rPr>
        <w:t>（三）</w:t>
      </w:r>
      <w:r>
        <w:rPr>
          <w:rFonts w:hint="eastAsia" w:ascii="宋体" w:hAnsi="宋体"/>
          <w:szCs w:val="21"/>
          <w:highlight w:val="none"/>
        </w:rPr>
        <w:t>经各方协商可终止部分或全部合同的，无须承担违约责任。</w:t>
      </w:r>
    </w:p>
    <w:p w14:paraId="7CEC86F7">
      <w:pPr>
        <w:pStyle w:val="7"/>
        <w:numPr>
          <w:ilvl w:val="0"/>
          <w:numId w:val="0"/>
        </w:numPr>
        <w:spacing w:after="120" w:line="360" w:lineRule="auto"/>
        <w:ind w:left="720" w:hanging="720"/>
        <w:rPr>
          <w:rFonts w:hint="eastAsia" w:ascii="宋体" w:hAnsi="宋体" w:eastAsia="宋体" w:cs="宋体"/>
          <w:color w:val="auto"/>
          <w:highlight w:val="none"/>
        </w:rPr>
      </w:pPr>
      <w:r>
        <w:rPr>
          <w:rFonts w:hint="eastAsia" w:ascii="宋体" w:hAnsi="宋体" w:eastAsia="宋体" w:cs="宋体"/>
          <w:color w:val="auto"/>
          <w:highlight w:val="none"/>
        </w:rPr>
        <w:t>九、争议的解决</w:t>
      </w:r>
      <w:bookmarkEnd w:id="101"/>
      <w:bookmarkEnd w:id="102"/>
    </w:p>
    <w:p w14:paraId="4EC7C295">
      <w:pPr>
        <w:pStyle w:val="13"/>
        <w:snapToGrid w:val="0"/>
        <w:spacing w:line="360" w:lineRule="auto"/>
        <w:ind w:firstLine="482"/>
        <w:rPr>
          <w:rFonts w:hAnsi="宋体" w:cs="宋体"/>
          <w:highlight w:val="none"/>
        </w:rPr>
      </w:pPr>
      <w:bookmarkStart w:id="103" w:name="_Toc1299"/>
      <w:bookmarkStart w:id="104" w:name="_Toc9333"/>
      <w:r>
        <w:rPr>
          <w:rFonts w:hint="eastAsia" w:hAnsi="宋体" w:cs="宋体"/>
          <w:highlight w:val="none"/>
        </w:rPr>
        <w:t>合同未尽事宜，各方友好协调解决。协商不一致，任何一方均可向</w:t>
      </w:r>
      <w:r>
        <w:rPr>
          <w:rFonts w:hint="eastAsia" w:hAnsi="宋体" w:cs="宋体"/>
          <w:highlight w:val="none"/>
          <w:u w:val="single"/>
        </w:rPr>
        <w:t>温州市瓯海区人民法院</w:t>
      </w:r>
      <w:r>
        <w:rPr>
          <w:rFonts w:hint="eastAsia" w:hAnsi="宋体" w:cs="宋体"/>
          <w:highlight w:val="none"/>
        </w:rPr>
        <w:t>提起诉讼。</w:t>
      </w:r>
    </w:p>
    <w:p w14:paraId="2DCE4D57">
      <w:pPr>
        <w:pStyle w:val="7"/>
        <w:numPr>
          <w:ilvl w:val="0"/>
          <w:numId w:val="0"/>
        </w:numPr>
        <w:spacing w:after="120" w:line="360" w:lineRule="auto"/>
        <w:ind w:left="720" w:hanging="720"/>
        <w:rPr>
          <w:rFonts w:hint="eastAsia" w:ascii="宋体" w:hAnsi="宋体" w:eastAsia="宋体" w:cs="宋体"/>
          <w:color w:val="auto"/>
          <w:highlight w:val="none"/>
          <w:lang w:eastAsia="zh-CN"/>
        </w:rPr>
      </w:pPr>
      <w:r>
        <w:rPr>
          <w:rFonts w:hint="eastAsia" w:ascii="宋体" w:hAnsi="宋体" w:eastAsia="宋体" w:cs="宋体"/>
          <w:color w:val="auto"/>
          <w:highlight w:val="none"/>
        </w:rPr>
        <w:t>十、合同</w:t>
      </w:r>
      <w:bookmarkEnd w:id="103"/>
      <w:bookmarkEnd w:id="104"/>
      <w:r>
        <w:rPr>
          <w:rFonts w:hint="eastAsia" w:ascii="宋体" w:hAnsi="宋体" w:eastAsia="宋体" w:cs="宋体"/>
          <w:color w:val="auto"/>
          <w:highlight w:val="none"/>
          <w:lang w:val="en-US" w:eastAsia="zh-CN"/>
        </w:rPr>
        <w:t>组成</w:t>
      </w:r>
    </w:p>
    <w:p w14:paraId="2AFCE86C">
      <w:pPr>
        <w:pStyle w:val="13"/>
        <w:snapToGrid w:val="0"/>
        <w:spacing w:line="360" w:lineRule="auto"/>
        <w:ind w:firstLine="564" w:firstLineChars="269"/>
        <w:rPr>
          <w:rFonts w:hAnsi="宋体" w:cs="宋体"/>
          <w:highlight w:val="none"/>
        </w:rPr>
      </w:pPr>
      <w:r>
        <w:rPr>
          <w:rFonts w:hint="eastAsia" w:hAnsi="宋体" w:cs="宋体"/>
          <w:highlight w:val="none"/>
        </w:rPr>
        <w:t>下列文件与本合同具有同等法律效力：</w:t>
      </w:r>
    </w:p>
    <w:p w14:paraId="429A193C">
      <w:pPr>
        <w:pStyle w:val="13"/>
        <w:snapToGrid w:val="0"/>
        <w:spacing w:line="360" w:lineRule="auto"/>
        <w:ind w:firstLine="564" w:firstLineChars="269"/>
        <w:rPr>
          <w:rFonts w:hAnsi="宋体" w:cs="宋体"/>
          <w:highlight w:val="none"/>
        </w:rPr>
      </w:pPr>
      <w:r>
        <w:rPr>
          <w:rFonts w:hint="eastAsia" w:hAnsi="宋体" w:cs="宋体"/>
          <w:highlight w:val="none"/>
        </w:rPr>
        <w:t>1、甲方的招标文件与招标文件补充文件；</w:t>
      </w:r>
    </w:p>
    <w:p w14:paraId="683A0957">
      <w:pPr>
        <w:pStyle w:val="13"/>
        <w:snapToGrid w:val="0"/>
        <w:spacing w:line="360" w:lineRule="auto"/>
        <w:ind w:firstLine="564" w:firstLineChars="269"/>
        <w:rPr>
          <w:rFonts w:hAnsi="宋体" w:cs="宋体"/>
          <w:highlight w:val="none"/>
        </w:rPr>
      </w:pPr>
      <w:r>
        <w:rPr>
          <w:rFonts w:hint="eastAsia" w:hAnsi="宋体" w:cs="宋体"/>
          <w:highlight w:val="none"/>
        </w:rPr>
        <w:t>2、乙方投标文件；</w:t>
      </w:r>
    </w:p>
    <w:p w14:paraId="0AE6935A">
      <w:pPr>
        <w:pStyle w:val="13"/>
        <w:snapToGrid w:val="0"/>
        <w:spacing w:line="360" w:lineRule="auto"/>
        <w:ind w:firstLine="564" w:firstLineChars="269"/>
        <w:rPr>
          <w:rFonts w:hint="eastAsia" w:ascii="宋体" w:hAnsi="宋体" w:cs="宋体"/>
          <w:highlight w:val="none"/>
        </w:rPr>
      </w:pPr>
      <w:r>
        <w:rPr>
          <w:rFonts w:hint="eastAsia" w:hAnsi="宋体" w:cs="宋体"/>
          <w:highlight w:val="none"/>
        </w:rPr>
        <w:t>3、</w:t>
      </w:r>
      <w:r>
        <w:rPr>
          <w:rFonts w:hint="eastAsia" w:ascii="宋体" w:hAnsi="宋体" w:cs="宋体"/>
          <w:highlight w:val="none"/>
        </w:rPr>
        <w:t>询标纪要和承诺书；</w:t>
      </w:r>
    </w:p>
    <w:p w14:paraId="09E517B2">
      <w:pPr>
        <w:pStyle w:val="13"/>
        <w:snapToGrid w:val="0"/>
        <w:spacing w:line="360" w:lineRule="auto"/>
        <w:ind w:firstLine="564" w:firstLineChars="269"/>
        <w:rPr>
          <w:rFonts w:hint="eastAsia" w:ascii="宋体" w:hAnsi="宋体" w:cs="宋体"/>
          <w:highlight w:val="none"/>
          <w:lang w:eastAsia="zh-CN"/>
        </w:rPr>
      </w:pPr>
      <w:r>
        <w:rPr>
          <w:rFonts w:hint="eastAsia" w:ascii="宋体" w:hAnsi="宋体" w:cs="宋体"/>
          <w:highlight w:val="none"/>
        </w:rPr>
        <w:t>4、中标通知书</w:t>
      </w:r>
      <w:r>
        <w:rPr>
          <w:rFonts w:hint="eastAsia" w:ascii="宋体" w:hAnsi="宋体" w:cs="宋体"/>
          <w:highlight w:val="none"/>
          <w:lang w:eastAsia="zh-CN"/>
        </w:rPr>
        <w:t>；</w:t>
      </w:r>
    </w:p>
    <w:p w14:paraId="12D9E939">
      <w:pPr>
        <w:pStyle w:val="13"/>
        <w:snapToGrid w:val="0"/>
        <w:spacing w:line="360" w:lineRule="auto"/>
        <w:ind w:firstLine="564" w:firstLineChars="269"/>
        <w:rPr>
          <w:rFonts w:hint="eastAsia" w:ascii="宋体" w:hAnsi="宋体" w:cs="宋体"/>
          <w:highlight w:val="none"/>
        </w:rPr>
      </w:pPr>
      <w:r>
        <w:rPr>
          <w:rFonts w:hint="eastAsia" w:ascii="宋体" w:hAnsi="宋体" w:cs="宋体"/>
          <w:highlight w:val="none"/>
        </w:rPr>
        <w:t>5、《瓯海区生活垃圾转运服务考核办法》</w:t>
      </w:r>
      <w:r>
        <w:rPr>
          <w:rFonts w:hint="eastAsia" w:ascii="宋体" w:hAnsi="宋体" w:cs="宋体"/>
          <w:highlight w:val="none"/>
          <w:lang w:val="en-US" w:eastAsia="zh-CN"/>
        </w:rPr>
        <w:t>及相关</w:t>
      </w:r>
      <w:r>
        <w:rPr>
          <w:rFonts w:hint="eastAsia" w:ascii="宋体" w:hAnsi="宋体" w:cs="宋体"/>
          <w:highlight w:val="none"/>
        </w:rPr>
        <w:t>考核的标准。</w:t>
      </w:r>
    </w:p>
    <w:p w14:paraId="171802C3">
      <w:pPr>
        <w:pStyle w:val="7"/>
        <w:numPr>
          <w:ilvl w:val="0"/>
          <w:numId w:val="0"/>
        </w:numPr>
        <w:spacing w:after="120" w:line="360" w:lineRule="auto"/>
        <w:ind w:left="720" w:hanging="720"/>
        <w:rPr>
          <w:rFonts w:hint="eastAsia" w:ascii="宋体" w:hAnsi="宋体" w:eastAsia="宋体" w:cs="宋体"/>
          <w:color w:val="auto"/>
          <w:highlight w:val="none"/>
        </w:rPr>
      </w:pPr>
      <w:bookmarkStart w:id="105" w:name="_Toc12478"/>
      <w:bookmarkStart w:id="106" w:name="_Toc3387"/>
      <w:r>
        <w:rPr>
          <w:rFonts w:hint="eastAsia" w:ascii="宋体" w:hAnsi="宋体" w:eastAsia="宋体" w:cs="宋体"/>
          <w:color w:val="auto"/>
          <w:highlight w:val="none"/>
        </w:rPr>
        <w:t>十一、</w:t>
      </w:r>
      <w:bookmarkEnd w:id="105"/>
      <w:bookmarkEnd w:id="106"/>
      <w:r>
        <w:rPr>
          <w:rFonts w:hint="eastAsia" w:ascii="宋体" w:hAnsi="宋体" w:eastAsia="宋体" w:cs="宋体"/>
          <w:color w:val="auto"/>
          <w:highlight w:val="none"/>
        </w:rPr>
        <w:t>合同生效及终止</w:t>
      </w:r>
    </w:p>
    <w:p w14:paraId="1069F972">
      <w:pPr>
        <w:pStyle w:val="13"/>
        <w:snapToGrid w:val="0"/>
        <w:spacing w:line="360" w:lineRule="auto"/>
        <w:ind w:firstLine="482"/>
        <w:rPr>
          <w:rFonts w:hAnsi="宋体" w:cs="宋体"/>
          <w:highlight w:val="none"/>
        </w:rPr>
      </w:pPr>
      <w:r>
        <w:rPr>
          <w:rFonts w:hint="eastAsia" w:hAnsi="宋体" w:cs="宋体"/>
          <w:highlight w:val="none"/>
        </w:rPr>
        <w:t>（一）本合同经各方法定代表人或授权代表签署，并加盖公章后生效。</w:t>
      </w:r>
    </w:p>
    <w:p w14:paraId="1A619E99">
      <w:pPr>
        <w:pStyle w:val="13"/>
        <w:snapToGrid w:val="0"/>
        <w:spacing w:line="360" w:lineRule="auto"/>
        <w:ind w:firstLine="482"/>
        <w:rPr>
          <w:rFonts w:hAnsi="宋体" w:cs="宋体"/>
          <w:highlight w:val="none"/>
        </w:rPr>
      </w:pPr>
      <w:r>
        <w:rPr>
          <w:rFonts w:hint="eastAsia" w:hAnsi="宋体" w:cs="宋体"/>
          <w:highlight w:val="none"/>
        </w:rPr>
        <w:t>（二）合同终止：本合同出现以下情况时，有权单方面终止全部或部分合同，并保留进一步追究乙方责任的权利（包括经济赔偿）。</w:t>
      </w:r>
    </w:p>
    <w:p w14:paraId="1C792C4E">
      <w:pPr>
        <w:pStyle w:val="13"/>
        <w:snapToGrid w:val="0"/>
        <w:spacing w:line="360" w:lineRule="auto"/>
        <w:ind w:firstLine="669" w:firstLineChars="319"/>
        <w:rPr>
          <w:rFonts w:hAnsi="宋体" w:cs="宋体"/>
          <w:highlight w:val="none"/>
        </w:rPr>
      </w:pPr>
      <w:r>
        <w:rPr>
          <w:rFonts w:hint="eastAsia" w:hAnsi="宋体" w:cs="宋体"/>
          <w:highlight w:val="none"/>
        </w:rPr>
        <w:t>1、根据</w:t>
      </w:r>
      <w:r>
        <w:rPr>
          <w:rFonts w:hint="eastAsia" w:ascii="宋体" w:hAnsi="宋体" w:eastAsia="宋体" w:cs="宋体"/>
          <w:color w:val="auto"/>
          <w:spacing w:val="-1"/>
          <w:sz w:val="22"/>
          <w:szCs w:val="22"/>
          <w:highlight w:val="none"/>
        </w:rPr>
        <w:t>《瓯海区生活垃圾转运服务考核办法》</w:t>
      </w:r>
      <w:r>
        <w:rPr>
          <w:rFonts w:hint="eastAsia" w:ascii="宋体" w:hAnsi="宋体" w:eastAsia="宋体" w:cs="宋体"/>
          <w:color w:val="auto"/>
          <w:spacing w:val="-1"/>
          <w:sz w:val="22"/>
          <w:szCs w:val="22"/>
          <w:highlight w:val="none"/>
          <w:lang w:val="en-US" w:eastAsia="zh-CN"/>
        </w:rPr>
        <w:t>及相关</w:t>
      </w:r>
      <w:r>
        <w:rPr>
          <w:rFonts w:hint="eastAsia" w:ascii="宋体" w:hAnsi="宋体" w:eastAsia="宋体" w:cs="宋体"/>
          <w:color w:val="auto"/>
          <w:spacing w:val="-1"/>
          <w:sz w:val="22"/>
          <w:szCs w:val="22"/>
          <w:highlight w:val="none"/>
        </w:rPr>
        <w:t>考核的标准</w:t>
      </w:r>
      <w:r>
        <w:rPr>
          <w:rFonts w:hint="eastAsia" w:hAnsi="宋体" w:cs="宋体"/>
          <w:highlight w:val="none"/>
        </w:rPr>
        <w:t>进行检查考评，乙方所提供的服务质量不符合相关规定。</w:t>
      </w:r>
    </w:p>
    <w:p w14:paraId="13EEF234">
      <w:pPr>
        <w:pStyle w:val="13"/>
        <w:snapToGrid w:val="0"/>
        <w:spacing w:line="360" w:lineRule="auto"/>
        <w:ind w:firstLine="669" w:firstLineChars="319"/>
        <w:rPr>
          <w:rFonts w:hAnsi="宋体" w:cs="宋体"/>
          <w:highlight w:val="none"/>
        </w:rPr>
      </w:pPr>
      <w:r>
        <w:rPr>
          <w:rFonts w:hint="eastAsia" w:hAnsi="宋体" w:cs="宋体"/>
          <w:highlight w:val="none"/>
        </w:rPr>
        <w:t>2、</w:t>
      </w:r>
      <w:r>
        <w:rPr>
          <w:rFonts w:hint="eastAsia" w:hAnsi="宋体"/>
          <w:highlight w:val="none"/>
        </w:rPr>
        <w:t>乙方未能履行合同规定的义务</w:t>
      </w:r>
      <w:r>
        <w:rPr>
          <w:rFonts w:hint="eastAsia" w:hAnsi="宋体" w:cs="宋体"/>
          <w:highlight w:val="none"/>
        </w:rPr>
        <w:t>。</w:t>
      </w:r>
    </w:p>
    <w:p w14:paraId="770648D9">
      <w:pPr>
        <w:pStyle w:val="13"/>
        <w:snapToGrid w:val="0"/>
        <w:spacing w:line="360" w:lineRule="auto"/>
        <w:ind w:firstLine="669" w:firstLineChars="319"/>
        <w:rPr>
          <w:rFonts w:hAnsi="宋体" w:cs="宋体"/>
          <w:highlight w:val="none"/>
        </w:rPr>
      </w:pPr>
      <w:r>
        <w:rPr>
          <w:rFonts w:hint="eastAsia" w:hAnsi="宋体" w:cs="宋体"/>
          <w:highlight w:val="none"/>
        </w:rPr>
        <w:t>3、有严重影响</w:t>
      </w:r>
      <w:r>
        <w:rPr>
          <w:rFonts w:hint="eastAsia" w:hAnsi="宋体" w:cs="宋体"/>
          <w:highlight w:val="yellow"/>
          <w:lang w:val="en-US" w:eastAsia="zh-CN"/>
        </w:rPr>
        <w:t>甲方</w:t>
      </w:r>
      <w:r>
        <w:rPr>
          <w:rFonts w:hint="eastAsia" w:hAnsi="宋体" w:cs="宋体"/>
          <w:highlight w:val="none"/>
        </w:rPr>
        <w:t>的正常工作及公众形象。</w:t>
      </w:r>
    </w:p>
    <w:p w14:paraId="51AA390E">
      <w:pPr>
        <w:pStyle w:val="13"/>
        <w:snapToGrid w:val="0"/>
        <w:spacing w:line="360" w:lineRule="auto"/>
        <w:ind w:firstLine="669" w:firstLineChars="319"/>
        <w:rPr>
          <w:rFonts w:hAnsi="宋体" w:cs="宋体"/>
          <w:highlight w:val="none"/>
        </w:rPr>
      </w:pPr>
      <w:r>
        <w:rPr>
          <w:rFonts w:hint="eastAsia" w:hAnsi="宋体" w:cs="宋体"/>
          <w:highlight w:val="none"/>
        </w:rPr>
        <w:t>4、乙方在合同履行过程中，有以下行为之一的：</w:t>
      </w:r>
    </w:p>
    <w:p w14:paraId="66317A8E">
      <w:pPr>
        <w:pStyle w:val="13"/>
        <w:snapToGrid w:val="0"/>
        <w:spacing w:line="360" w:lineRule="auto"/>
        <w:ind w:firstLine="482"/>
        <w:rPr>
          <w:rFonts w:hAnsi="宋体" w:cs="宋体"/>
          <w:highlight w:val="none"/>
        </w:rPr>
      </w:pPr>
      <w:r>
        <w:rPr>
          <w:rFonts w:hint="eastAsia" w:hAnsi="宋体" w:cs="宋体"/>
          <w:highlight w:val="none"/>
        </w:rPr>
        <w:t>（1）违反管理规定，造成重大伤亡或重大损失。</w:t>
      </w:r>
    </w:p>
    <w:p w14:paraId="0B9D29AF">
      <w:pPr>
        <w:pStyle w:val="13"/>
        <w:snapToGrid w:val="0"/>
        <w:spacing w:line="360" w:lineRule="auto"/>
        <w:ind w:firstLine="482"/>
        <w:rPr>
          <w:rFonts w:hAnsi="宋体" w:cs="宋体"/>
          <w:highlight w:val="none"/>
        </w:rPr>
      </w:pPr>
      <w:r>
        <w:rPr>
          <w:rFonts w:hint="eastAsia" w:hAnsi="宋体" w:cs="宋体"/>
          <w:highlight w:val="none"/>
        </w:rPr>
        <w:t>（2）因管理不善造成恶劣影响。</w:t>
      </w:r>
    </w:p>
    <w:p w14:paraId="5E23F57E">
      <w:pPr>
        <w:pStyle w:val="13"/>
        <w:snapToGrid w:val="0"/>
        <w:spacing w:line="360" w:lineRule="auto"/>
        <w:ind w:firstLine="482"/>
        <w:rPr>
          <w:rFonts w:hAnsi="宋体" w:cs="宋体"/>
          <w:highlight w:val="none"/>
        </w:rPr>
      </w:pPr>
      <w:r>
        <w:rPr>
          <w:rFonts w:hint="eastAsia" w:hAnsi="宋体" w:cs="宋体"/>
          <w:highlight w:val="none"/>
        </w:rPr>
        <w:t>（3）擅自将合同</w:t>
      </w:r>
      <w:r>
        <w:rPr>
          <w:rFonts w:hint="eastAsia" w:hAnsi="宋体" w:cs="宋体"/>
          <w:highlight w:val="yellow"/>
        </w:rPr>
        <w:t>转包</w:t>
      </w:r>
      <w:r>
        <w:rPr>
          <w:rFonts w:hint="eastAsia" w:hAnsi="宋体" w:cs="宋体"/>
          <w:highlight w:val="yellow"/>
          <w:lang w:eastAsia="zh-CN"/>
        </w:rPr>
        <w:t>、</w:t>
      </w:r>
      <w:r>
        <w:rPr>
          <w:rFonts w:hint="eastAsia" w:hAnsi="宋体" w:cs="宋体"/>
          <w:highlight w:val="yellow"/>
          <w:lang w:val="en-US" w:eastAsia="zh-CN"/>
        </w:rPr>
        <w:t>分包</w:t>
      </w:r>
      <w:r>
        <w:rPr>
          <w:rFonts w:hint="eastAsia" w:hAnsi="宋体" w:cs="宋体"/>
          <w:highlight w:val="none"/>
        </w:rPr>
        <w:t>给第三者。</w:t>
      </w:r>
    </w:p>
    <w:p w14:paraId="4E60708B">
      <w:pPr>
        <w:pStyle w:val="13"/>
        <w:snapToGrid w:val="0"/>
        <w:spacing w:line="360" w:lineRule="auto"/>
        <w:ind w:firstLine="482"/>
        <w:rPr>
          <w:rFonts w:hAnsi="宋体" w:cs="宋体"/>
          <w:highlight w:val="none"/>
        </w:rPr>
      </w:pPr>
      <w:r>
        <w:rPr>
          <w:rFonts w:hint="eastAsia" w:hAnsi="宋体" w:cs="宋体"/>
          <w:highlight w:val="none"/>
        </w:rPr>
        <w:t>（4）违反劳动法或其他相关法律法规，造成恶劣影响。</w:t>
      </w:r>
    </w:p>
    <w:p w14:paraId="5624307C">
      <w:pPr>
        <w:pStyle w:val="13"/>
        <w:snapToGrid w:val="0"/>
        <w:spacing w:line="360" w:lineRule="auto"/>
        <w:ind w:firstLine="482"/>
        <w:rPr>
          <w:rFonts w:hAnsi="宋体" w:cs="宋体"/>
          <w:highlight w:val="none"/>
        </w:rPr>
      </w:pPr>
      <w:r>
        <w:rPr>
          <w:rFonts w:hint="eastAsia" w:hAnsi="宋体" w:cs="宋体"/>
          <w:highlight w:val="none"/>
        </w:rPr>
        <w:t>（5）弄虚作假及其他不正当行为。</w:t>
      </w:r>
    </w:p>
    <w:p w14:paraId="62D076F0">
      <w:pPr>
        <w:pStyle w:val="13"/>
        <w:snapToGrid w:val="0"/>
        <w:spacing w:line="360" w:lineRule="auto"/>
        <w:ind w:firstLine="669" w:firstLineChars="319"/>
        <w:rPr>
          <w:rFonts w:hAnsi="宋体" w:cs="宋体"/>
          <w:highlight w:val="none"/>
        </w:rPr>
      </w:pPr>
      <w:r>
        <w:rPr>
          <w:rFonts w:hint="eastAsia" w:hAnsi="宋体" w:cs="宋体"/>
          <w:highlight w:val="none"/>
        </w:rPr>
        <w:t>5、法律规定的终止事由。</w:t>
      </w:r>
    </w:p>
    <w:p w14:paraId="2E173A9A">
      <w:pPr>
        <w:pStyle w:val="3"/>
        <w:spacing w:before="157" w:line="360" w:lineRule="auto"/>
        <w:ind w:right="527" w:firstLine="420" w:firstLineChars="200"/>
        <w:rPr>
          <w:rFonts w:hint="eastAsia" w:ascii="宋体" w:hAnsi="宋体" w:eastAsia="宋体" w:cs="宋体"/>
          <w:color w:val="auto"/>
          <w:spacing w:val="-1"/>
          <w:sz w:val="22"/>
          <w:szCs w:val="22"/>
          <w:highlight w:val="none"/>
        </w:rPr>
      </w:pPr>
      <w:r>
        <w:rPr>
          <w:rFonts w:hint="eastAsia" w:hAnsi="宋体" w:cs="宋体"/>
          <w:highlight w:val="none"/>
        </w:rPr>
        <w:t>（三）合同一式三十二份，各方各执二份，具有同等效力</w:t>
      </w:r>
      <w:r>
        <w:rPr>
          <w:rFonts w:hint="eastAsia" w:ascii="宋体" w:hAnsi="宋体" w:eastAsia="宋体" w:cs="宋体"/>
          <w:color w:val="auto"/>
          <w:spacing w:val="-1"/>
          <w:sz w:val="22"/>
          <w:szCs w:val="22"/>
          <w:highlight w:val="none"/>
        </w:rPr>
        <w:t>。</w:t>
      </w:r>
    </w:p>
    <w:p w14:paraId="336FD6B5">
      <w:pPr>
        <w:pStyle w:val="13"/>
        <w:snapToGrid w:val="0"/>
        <w:spacing w:line="480" w:lineRule="auto"/>
        <w:ind w:firstLine="482"/>
        <w:rPr>
          <w:rFonts w:hint="eastAsia" w:hAnsi="宋体" w:cs="宋体"/>
          <w:b/>
          <w:bCs/>
          <w:highlight w:val="none"/>
        </w:rPr>
      </w:pPr>
    </w:p>
    <w:p w14:paraId="5F07B350">
      <w:pPr>
        <w:rPr>
          <w:rFonts w:hint="eastAsia" w:hAnsi="宋体" w:cs="宋体"/>
          <w:b/>
          <w:bCs/>
          <w:highlight w:val="none"/>
        </w:rPr>
      </w:pPr>
      <w:r>
        <w:rPr>
          <w:rFonts w:hint="eastAsia" w:hAnsi="宋体" w:cs="宋体"/>
          <w:b/>
          <w:bCs/>
          <w:highlight w:val="none"/>
        </w:rPr>
        <w:br w:type="page"/>
      </w:r>
    </w:p>
    <w:p w14:paraId="6BF7927D">
      <w:pPr>
        <w:pStyle w:val="13"/>
        <w:snapToGrid w:val="0"/>
        <w:spacing w:line="480" w:lineRule="auto"/>
        <w:ind w:firstLine="482"/>
        <w:rPr>
          <w:rFonts w:hint="eastAsia" w:hAnsi="宋体" w:cs="宋体"/>
          <w:b/>
          <w:bCs/>
          <w:highlight w:val="none"/>
        </w:rPr>
      </w:pPr>
    </w:p>
    <w:p w14:paraId="3609B115">
      <w:pPr>
        <w:pStyle w:val="13"/>
        <w:snapToGrid w:val="0"/>
        <w:spacing w:line="480" w:lineRule="auto"/>
        <w:ind w:firstLine="482"/>
        <w:rPr>
          <w:rFonts w:hAnsi="宋体" w:cs="宋体"/>
          <w:b/>
          <w:bCs/>
          <w:highlight w:val="none"/>
        </w:rPr>
      </w:pPr>
      <w:r>
        <w:rPr>
          <w:rFonts w:hint="eastAsia" w:hAnsi="宋体" w:cs="宋体"/>
          <w:b/>
          <w:bCs/>
          <w:highlight w:val="none"/>
        </w:rPr>
        <w:t>甲</w:t>
      </w:r>
      <w:r>
        <w:rPr>
          <w:rFonts w:hint="eastAsia" w:hAnsi="宋体" w:cs="宋体"/>
          <w:b/>
          <w:bCs/>
          <w:highlight w:val="none"/>
          <w:vertAlign w:val="superscript"/>
        </w:rPr>
        <w:t>1</w:t>
      </w:r>
      <w:r>
        <w:rPr>
          <w:rFonts w:hint="eastAsia" w:hAnsi="宋体" w:cs="宋体"/>
          <w:b/>
          <w:bCs/>
          <w:highlight w:val="none"/>
        </w:rPr>
        <w:t xml:space="preserve">   方（盖章）：温州市瓯海区综合行政执法局  </w:t>
      </w:r>
    </w:p>
    <w:p w14:paraId="4E31C3C4">
      <w:pPr>
        <w:pStyle w:val="13"/>
        <w:snapToGrid w:val="0"/>
        <w:spacing w:line="480" w:lineRule="auto"/>
        <w:ind w:firstLine="482"/>
        <w:rPr>
          <w:rFonts w:hint="eastAsia" w:hAnsi="宋体" w:cs="宋体"/>
          <w:b/>
          <w:bCs/>
          <w:highlight w:val="none"/>
        </w:rPr>
      </w:pPr>
      <w:r>
        <w:rPr>
          <w:rFonts w:hint="eastAsia" w:hAnsi="宋体" w:cs="宋体"/>
          <w:b/>
          <w:bCs/>
          <w:highlight w:val="none"/>
        </w:rPr>
        <w:t>全权代表（签字）：</w:t>
      </w:r>
    </w:p>
    <w:p w14:paraId="2FD593A0">
      <w:pPr>
        <w:pStyle w:val="13"/>
        <w:snapToGrid w:val="0"/>
        <w:spacing w:line="480" w:lineRule="auto"/>
        <w:ind w:firstLine="482"/>
        <w:rPr>
          <w:rFonts w:hAnsi="宋体" w:cs="宋体"/>
          <w:b/>
          <w:bCs/>
          <w:highlight w:val="none"/>
        </w:rPr>
      </w:pPr>
      <w:r>
        <w:rPr>
          <w:rFonts w:hint="eastAsia" w:ascii="宋体" w:hAnsi="宋体" w:eastAsia="宋体" w:cs="宋体"/>
          <w:b/>
          <w:color w:val="auto"/>
          <w:sz w:val="21"/>
          <w:szCs w:val="21"/>
          <w:highlight w:val="none"/>
        </w:rPr>
        <w:t xml:space="preserve">确认送达地址： </w:t>
      </w:r>
    </w:p>
    <w:p w14:paraId="48F1AB33">
      <w:pPr>
        <w:pStyle w:val="13"/>
        <w:snapToGrid w:val="0"/>
        <w:spacing w:line="480" w:lineRule="auto"/>
        <w:ind w:firstLine="482"/>
        <w:rPr>
          <w:rFonts w:hint="eastAsia" w:hAnsi="宋体" w:cs="宋体"/>
          <w:b/>
          <w:bCs/>
          <w:highlight w:val="none"/>
        </w:rPr>
      </w:pPr>
    </w:p>
    <w:p w14:paraId="75FE71FD">
      <w:pPr>
        <w:pStyle w:val="13"/>
        <w:snapToGrid w:val="0"/>
        <w:spacing w:line="480" w:lineRule="auto"/>
        <w:ind w:firstLine="482"/>
        <w:rPr>
          <w:rFonts w:hAnsi="宋体" w:cs="宋体"/>
          <w:b/>
          <w:bCs/>
          <w:highlight w:val="none"/>
        </w:rPr>
      </w:pPr>
      <w:r>
        <w:rPr>
          <w:rFonts w:hint="eastAsia" w:hAnsi="宋体" w:cs="宋体"/>
          <w:b/>
          <w:bCs/>
          <w:highlight w:val="none"/>
        </w:rPr>
        <w:t>乙    方（盖章）：</w:t>
      </w:r>
    </w:p>
    <w:p w14:paraId="0D8AEAF2">
      <w:pPr>
        <w:pStyle w:val="13"/>
        <w:snapToGrid w:val="0"/>
        <w:spacing w:line="480" w:lineRule="auto"/>
        <w:ind w:firstLine="482"/>
        <w:rPr>
          <w:rFonts w:hint="eastAsia" w:hAnsi="宋体" w:cs="宋体"/>
          <w:b/>
          <w:bCs/>
          <w:highlight w:val="none"/>
        </w:rPr>
      </w:pPr>
      <w:r>
        <w:rPr>
          <w:rFonts w:hint="eastAsia" w:hAnsi="宋体" w:cs="宋体"/>
          <w:b/>
          <w:bCs/>
          <w:highlight w:val="none"/>
        </w:rPr>
        <w:t>全权代表（签字）：</w:t>
      </w:r>
    </w:p>
    <w:p w14:paraId="6225151E">
      <w:pPr>
        <w:pStyle w:val="13"/>
        <w:snapToGrid w:val="0"/>
        <w:spacing w:line="480" w:lineRule="auto"/>
        <w:ind w:firstLine="482"/>
        <w:rPr>
          <w:rFonts w:hAnsi="宋体" w:cs="宋体"/>
          <w:b/>
          <w:bCs/>
          <w:highlight w:val="none"/>
        </w:rPr>
      </w:pPr>
      <w:r>
        <w:rPr>
          <w:rFonts w:hint="eastAsia" w:ascii="宋体" w:hAnsi="宋体" w:eastAsia="宋体" w:cs="宋体"/>
          <w:b/>
          <w:color w:val="auto"/>
          <w:sz w:val="21"/>
          <w:szCs w:val="21"/>
          <w:highlight w:val="none"/>
        </w:rPr>
        <w:t xml:space="preserve">确认送达地址： </w:t>
      </w:r>
    </w:p>
    <w:p w14:paraId="2371D187">
      <w:pPr>
        <w:pStyle w:val="3"/>
        <w:spacing w:before="157" w:line="360" w:lineRule="auto"/>
        <w:ind w:right="527" w:firstLine="436" w:firstLineChars="200"/>
        <w:rPr>
          <w:rFonts w:hint="eastAsia" w:ascii="宋体" w:hAnsi="宋体" w:eastAsia="宋体" w:cs="宋体"/>
          <w:color w:val="auto"/>
          <w:spacing w:val="-1"/>
          <w:sz w:val="22"/>
          <w:szCs w:val="22"/>
          <w:highlight w:val="none"/>
        </w:rPr>
      </w:pPr>
    </w:p>
    <w:p w14:paraId="5000C44F">
      <w:pP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br w:type="page"/>
      </w:r>
    </w:p>
    <w:p w14:paraId="3507E983">
      <w:pPr>
        <w:pStyle w:val="2"/>
        <w:rPr>
          <w:rFonts w:hint="eastAsia"/>
          <w:highlight w:val="none"/>
        </w:rPr>
      </w:pPr>
    </w:p>
    <w:p w14:paraId="18EC2EF1">
      <w:pPr>
        <w:pStyle w:val="13"/>
        <w:snapToGrid w:val="0"/>
        <w:spacing w:line="480" w:lineRule="auto"/>
        <w:rPr>
          <w:rFonts w:hint="eastAsia" w:hAnsi="宋体" w:cs="宋体"/>
          <w:b/>
          <w:bCs/>
          <w:highlight w:val="none"/>
        </w:rPr>
      </w:pPr>
      <w:r>
        <w:rPr>
          <w:rFonts w:hint="eastAsia" w:hAnsi="宋体" w:cs="宋体"/>
          <w:b/>
          <w:bCs/>
          <w:highlight w:val="none"/>
        </w:rPr>
        <w:t>甲</w:t>
      </w:r>
      <w:r>
        <w:rPr>
          <w:rFonts w:hint="eastAsia" w:hAnsi="宋体" w:cs="宋体"/>
          <w:b/>
          <w:bCs/>
          <w:highlight w:val="none"/>
          <w:vertAlign w:val="superscript"/>
        </w:rPr>
        <w:t>2</w:t>
      </w:r>
      <w:r>
        <w:rPr>
          <w:rFonts w:hint="eastAsia" w:hAnsi="宋体" w:cs="宋体"/>
          <w:b/>
          <w:bCs/>
          <w:highlight w:val="none"/>
        </w:rPr>
        <w:t xml:space="preserve">   方：</w:t>
      </w:r>
    </w:p>
    <w:tbl>
      <w:tblPr>
        <w:tblStyle w:val="24"/>
        <w:tblW w:w="0" w:type="auto"/>
        <w:tblInd w:w="0" w:type="dxa"/>
        <w:tblLayout w:type="autofit"/>
        <w:tblCellMar>
          <w:top w:w="0" w:type="dxa"/>
          <w:left w:w="108" w:type="dxa"/>
          <w:bottom w:w="0" w:type="dxa"/>
          <w:right w:w="108" w:type="dxa"/>
        </w:tblCellMar>
      </w:tblPr>
      <w:tblGrid>
        <w:gridCol w:w="4757"/>
        <w:gridCol w:w="4757"/>
      </w:tblGrid>
      <w:tr w14:paraId="1668DACC">
        <w:tblPrEx>
          <w:tblCellMar>
            <w:top w:w="0" w:type="dxa"/>
            <w:left w:w="108" w:type="dxa"/>
            <w:bottom w:w="0" w:type="dxa"/>
            <w:right w:w="108" w:type="dxa"/>
          </w:tblCellMar>
        </w:tblPrEx>
        <w:tc>
          <w:tcPr>
            <w:tcW w:w="4757" w:type="dxa"/>
            <w:noWrap w:val="0"/>
            <w:vAlign w:val="top"/>
          </w:tcPr>
          <w:p w14:paraId="24866501">
            <w:pPr>
              <w:pStyle w:val="13"/>
              <w:snapToGrid w:val="0"/>
              <w:spacing w:line="480" w:lineRule="auto"/>
              <w:rPr>
                <w:rFonts w:hint="eastAsia" w:hAnsi="宋体" w:cs="宋体"/>
                <w:b/>
                <w:bCs/>
                <w:highlight w:val="none"/>
              </w:rPr>
            </w:pPr>
            <w:r>
              <w:rPr>
                <w:rFonts w:hint="eastAsia" w:hAnsi="宋体" w:cs="宋体"/>
                <w:b/>
                <w:bCs/>
                <w:highlight w:val="none"/>
              </w:rPr>
              <w:t>温州市瓯海区人民政府娄桥街道办事处（盖章）</w:t>
            </w:r>
          </w:p>
          <w:p w14:paraId="4C9DD27B">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0CDF845E">
            <w:pPr>
              <w:pStyle w:val="13"/>
              <w:snapToGrid w:val="0"/>
              <w:spacing w:line="480" w:lineRule="auto"/>
              <w:rPr>
                <w:rFonts w:hint="eastAsia" w:hAnsi="宋体" w:cs="宋体"/>
                <w:b/>
                <w:bCs/>
                <w:highlight w:val="none"/>
              </w:rPr>
            </w:pPr>
            <w:r>
              <w:rPr>
                <w:rFonts w:hint="eastAsia" w:hAnsi="宋体" w:cs="宋体"/>
                <w:b/>
                <w:bCs/>
                <w:highlight w:val="none"/>
              </w:rPr>
              <w:t>温州市瓯海区人民政府潘桥街道办事处（盖章）</w:t>
            </w:r>
          </w:p>
          <w:p w14:paraId="50A9950C">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r w14:paraId="1AFD9239">
        <w:tblPrEx>
          <w:tblCellMar>
            <w:top w:w="0" w:type="dxa"/>
            <w:left w:w="108" w:type="dxa"/>
            <w:bottom w:w="0" w:type="dxa"/>
            <w:right w:w="108" w:type="dxa"/>
          </w:tblCellMar>
        </w:tblPrEx>
        <w:tc>
          <w:tcPr>
            <w:tcW w:w="4757" w:type="dxa"/>
            <w:noWrap w:val="0"/>
            <w:vAlign w:val="top"/>
          </w:tcPr>
          <w:p w14:paraId="3F98B18B">
            <w:pPr>
              <w:pStyle w:val="13"/>
              <w:snapToGrid w:val="0"/>
              <w:spacing w:line="480" w:lineRule="auto"/>
              <w:rPr>
                <w:rFonts w:hint="eastAsia" w:hAnsi="宋体" w:cs="宋体"/>
                <w:b/>
                <w:bCs/>
                <w:highlight w:val="none"/>
              </w:rPr>
            </w:pPr>
          </w:p>
        </w:tc>
        <w:tc>
          <w:tcPr>
            <w:tcW w:w="4757" w:type="dxa"/>
            <w:noWrap w:val="0"/>
            <w:vAlign w:val="top"/>
          </w:tcPr>
          <w:p w14:paraId="3BAF672A">
            <w:pPr>
              <w:pStyle w:val="13"/>
              <w:snapToGrid w:val="0"/>
              <w:spacing w:line="480" w:lineRule="auto"/>
              <w:rPr>
                <w:rFonts w:hint="eastAsia" w:hAnsi="宋体" w:cs="宋体"/>
                <w:b/>
                <w:bCs/>
                <w:highlight w:val="none"/>
              </w:rPr>
            </w:pPr>
          </w:p>
        </w:tc>
      </w:tr>
      <w:tr w14:paraId="221756D2">
        <w:tblPrEx>
          <w:tblCellMar>
            <w:top w:w="0" w:type="dxa"/>
            <w:left w:w="108" w:type="dxa"/>
            <w:bottom w:w="0" w:type="dxa"/>
            <w:right w:w="108" w:type="dxa"/>
          </w:tblCellMar>
        </w:tblPrEx>
        <w:tc>
          <w:tcPr>
            <w:tcW w:w="4757" w:type="dxa"/>
            <w:noWrap w:val="0"/>
            <w:vAlign w:val="top"/>
          </w:tcPr>
          <w:p w14:paraId="3B933790">
            <w:pPr>
              <w:pStyle w:val="13"/>
              <w:snapToGrid w:val="0"/>
              <w:spacing w:line="480" w:lineRule="auto"/>
              <w:rPr>
                <w:rFonts w:hint="eastAsia" w:hAnsi="宋体" w:cs="宋体"/>
                <w:b/>
                <w:bCs/>
                <w:highlight w:val="none"/>
              </w:rPr>
            </w:pPr>
            <w:r>
              <w:rPr>
                <w:rFonts w:hint="eastAsia" w:hAnsi="宋体" w:cs="宋体"/>
                <w:b/>
                <w:bCs/>
                <w:highlight w:val="none"/>
              </w:rPr>
              <w:t>温州市瓯海区人民政府瞿溪街道办事处（盖章）</w:t>
            </w:r>
          </w:p>
          <w:p w14:paraId="755FE851">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1290FA3B">
            <w:pPr>
              <w:pStyle w:val="13"/>
              <w:snapToGrid w:val="0"/>
              <w:spacing w:line="480" w:lineRule="auto"/>
              <w:rPr>
                <w:rFonts w:hint="eastAsia" w:hAnsi="宋体" w:cs="宋体"/>
                <w:b/>
                <w:bCs/>
                <w:highlight w:val="none"/>
              </w:rPr>
            </w:pPr>
            <w:r>
              <w:rPr>
                <w:rFonts w:hint="eastAsia" w:hAnsi="宋体" w:cs="宋体"/>
                <w:b/>
                <w:bCs/>
                <w:highlight w:val="none"/>
              </w:rPr>
              <w:t>温州市瓯海区人民政府郭溪街道办事处（盖章）</w:t>
            </w:r>
          </w:p>
          <w:p w14:paraId="383F7724">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r w14:paraId="78DAC802">
        <w:tblPrEx>
          <w:tblCellMar>
            <w:top w:w="0" w:type="dxa"/>
            <w:left w:w="108" w:type="dxa"/>
            <w:bottom w:w="0" w:type="dxa"/>
            <w:right w:w="108" w:type="dxa"/>
          </w:tblCellMar>
        </w:tblPrEx>
        <w:tc>
          <w:tcPr>
            <w:tcW w:w="4757" w:type="dxa"/>
            <w:noWrap w:val="0"/>
            <w:vAlign w:val="top"/>
          </w:tcPr>
          <w:p w14:paraId="3C0EB081">
            <w:pPr>
              <w:pStyle w:val="13"/>
              <w:snapToGrid w:val="0"/>
              <w:spacing w:line="480" w:lineRule="auto"/>
              <w:rPr>
                <w:rFonts w:hint="eastAsia" w:hAnsi="宋体" w:cs="宋体"/>
                <w:b/>
                <w:bCs/>
                <w:highlight w:val="none"/>
              </w:rPr>
            </w:pPr>
          </w:p>
        </w:tc>
        <w:tc>
          <w:tcPr>
            <w:tcW w:w="4757" w:type="dxa"/>
            <w:noWrap w:val="0"/>
            <w:vAlign w:val="top"/>
          </w:tcPr>
          <w:p w14:paraId="11B13FE7">
            <w:pPr>
              <w:pStyle w:val="13"/>
              <w:snapToGrid w:val="0"/>
              <w:spacing w:line="480" w:lineRule="auto"/>
              <w:rPr>
                <w:rFonts w:hint="eastAsia" w:hAnsi="宋体" w:cs="宋体"/>
                <w:b/>
                <w:bCs/>
                <w:highlight w:val="none"/>
              </w:rPr>
            </w:pPr>
          </w:p>
        </w:tc>
      </w:tr>
      <w:tr w14:paraId="2AB0CD41">
        <w:tblPrEx>
          <w:tblCellMar>
            <w:top w:w="0" w:type="dxa"/>
            <w:left w:w="108" w:type="dxa"/>
            <w:bottom w:w="0" w:type="dxa"/>
            <w:right w:w="108" w:type="dxa"/>
          </w:tblCellMar>
        </w:tblPrEx>
        <w:tc>
          <w:tcPr>
            <w:tcW w:w="4757" w:type="dxa"/>
            <w:noWrap w:val="0"/>
            <w:vAlign w:val="top"/>
          </w:tcPr>
          <w:p w14:paraId="24145581">
            <w:pPr>
              <w:pStyle w:val="13"/>
              <w:snapToGrid w:val="0"/>
              <w:spacing w:line="480" w:lineRule="auto"/>
              <w:rPr>
                <w:rFonts w:hint="eastAsia" w:hAnsi="宋体" w:cs="宋体"/>
                <w:b/>
                <w:bCs/>
                <w:highlight w:val="none"/>
              </w:rPr>
            </w:pPr>
            <w:r>
              <w:rPr>
                <w:rFonts w:hint="eastAsia" w:hAnsi="宋体" w:cs="宋体"/>
                <w:b/>
                <w:bCs/>
                <w:highlight w:val="none"/>
              </w:rPr>
              <w:t>温州市瓯海区人民政府梧田街道办事处（盖章）</w:t>
            </w:r>
          </w:p>
          <w:p w14:paraId="051C5349">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00AF1DD8">
            <w:pPr>
              <w:pStyle w:val="13"/>
              <w:snapToGrid w:val="0"/>
              <w:spacing w:line="480" w:lineRule="auto"/>
              <w:rPr>
                <w:rFonts w:hint="eastAsia" w:hAnsi="宋体" w:cs="宋体"/>
                <w:b/>
                <w:bCs/>
                <w:highlight w:val="none"/>
              </w:rPr>
            </w:pPr>
            <w:r>
              <w:rPr>
                <w:rFonts w:hint="eastAsia" w:hAnsi="宋体" w:cs="宋体"/>
                <w:b/>
                <w:bCs/>
                <w:highlight w:val="none"/>
              </w:rPr>
              <w:t>温州市瓯海区人民政府三垟街道办事处（盖章）</w:t>
            </w:r>
          </w:p>
          <w:p w14:paraId="65DA0735">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r w14:paraId="1725F476">
        <w:tblPrEx>
          <w:tblCellMar>
            <w:top w:w="0" w:type="dxa"/>
            <w:left w:w="108" w:type="dxa"/>
            <w:bottom w:w="0" w:type="dxa"/>
            <w:right w:w="108" w:type="dxa"/>
          </w:tblCellMar>
        </w:tblPrEx>
        <w:tc>
          <w:tcPr>
            <w:tcW w:w="4757" w:type="dxa"/>
            <w:noWrap w:val="0"/>
            <w:vAlign w:val="top"/>
          </w:tcPr>
          <w:p w14:paraId="497607EC">
            <w:pPr>
              <w:pStyle w:val="13"/>
              <w:snapToGrid w:val="0"/>
              <w:spacing w:line="480" w:lineRule="auto"/>
              <w:rPr>
                <w:rFonts w:hint="eastAsia" w:hAnsi="宋体" w:cs="宋体"/>
                <w:b/>
                <w:bCs/>
                <w:highlight w:val="none"/>
              </w:rPr>
            </w:pPr>
          </w:p>
        </w:tc>
        <w:tc>
          <w:tcPr>
            <w:tcW w:w="4757" w:type="dxa"/>
            <w:noWrap w:val="0"/>
            <w:vAlign w:val="top"/>
          </w:tcPr>
          <w:p w14:paraId="5B5B707F">
            <w:pPr>
              <w:pStyle w:val="13"/>
              <w:snapToGrid w:val="0"/>
              <w:spacing w:line="480" w:lineRule="auto"/>
              <w:rPr>
                <w:rFonts w:hint="eastAsia" w:hAnsi="宋体" w:cs="宋体"/>
                <w:b/>
                <w:bCs/>
                <w:highlight w:val="none"/>
              </w:rPr>
            </w:pPr>
          </w:p>
        </w:tc>
      </w:tr>
      <w:tr w14:paraId="7DE6D527">
        <w:tblPrEx>
          <w:tblCellMar>
            <w:top w:w="0" w:type="dxa"/>
            <w:left w:w="108" w:type="dxa"/>
            <w:bottom w:w="0" w:type="dxa"/>
            <w:right w:w="108" w:type="dxa"/>
          </w:tblCellMar>
        </w:tblPrEx>
        <w:tc>
          <w:tcPr>
            <w:tcW w:w="4757" w:type="dxa"/>
            <w:noWrap w:val="0"/>
            <w:vAlign w:val="top"/>
          </w:tcPr>
          <w:p w14:paraId="5053B8D0">
            <w:pPr>
              <w:pStyle w:val="13"/>
              <w:snapToGrid w:val="0"/>
              <w:spacing w:line="480" w:lineRule="auto"/>
              <w:rPr>
                <w:rFonts w:hint="eastAsia" w:hAnsi="宋体" w:cs="宋体"/>
                <w:b/>
                <w:bCs/>
                <w:highlight w:val="none"/>
              </w:rPr>
            </w:pPr>
            <w:r>
              <w:rPr>
                <w:rFonts w:hint="eastAsia" w:hAnsi="宋体" w:cs="宋体"/>
                <w:b/>
                <w:bCs/>
                <w:highlight w:val="none"/>
              </w:rPr>
              <w:t>温州市瓯海区人民政府茶山街道办事处（盖章）</w:t>
            </w:r>
          </w:p>
          <w:p w14:paraId="7EE9BD7C">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33AD585A">
            <w:pPr>
              <w:pStyle w:val="13"/>
              <w:snapToGrid w:val="0"/>
              <w:spacing w:line="480" w:lineRule="auto"/>
              <w:rPr>
                <w:rFonts w:hint="eastAsia" w:hAnsi="宋体" w:cs="宋体"/>
                <w:b/>
                <w:bCs/>
                <w:highlight w:val="none"/>
              </w:rPr>
            </w:pPr>
            <w:r>
              <w:rPr>
                <w:rFonts w:hint="eastAsia" w:hAnsi="宋体" w:cs="宋体"/>
                <w:b/>
                <w:bCs/>
                <w:highlight w:val="none"/>
              </w:rPr>
              <w:t>温州市瓯海区人民政府南白象街道办事处（盖章）</w:t>
            </w:r>
          </w:p>
          <w:p w14:paraId="1068CF50">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r w14:paraId="64FCC98E">
        <w:tblPrEx>
          <w:tblCellMar>
            <w:top w:w="0" w:type="dxa"/>
            <w:left w:w="108" w:type="dxa"/>
            <w:bottom w:w="0" w:type="dxa"/>
            <w:right w:w="108" w:type="dxa"/>
          </w:tblCellMar>
        </w:tblPrEx>
        <w:tc>
          <w:tcPr>
            <w:tcW w:w="4757" w:type="dxa"/>
            <w:noWrap w:val="0"/>
            <w:vAlign w:val="top"/>
          </w:tcPr>
          <w:p w14:paraId="4DB480F6">
            <w:pPr>
              <w:pStyle w:val="13"/>
              <w:snapToGrid w:val="0"/>
              <w:spacing w:line="480" w:lineRule="auto"/>
              <w:rPr>
                <w:rFonts w:hint="eastAsia" w:hAnsi="宋体" w:cs="宋体"/>
                <w:b/>
                <w:bCs/>
                <w:highlight w:val="none"/>
              </w:rPr>
            </w:pPr>
          </w:p>
        </w:tc>
        <w:tc>
          <w:tcPr>
            <w:tcW w:w="4757" w:type="dxa"/>
            <w:noWrap w:val="0"/>
            <w:vAlign w:val="top"/>
          </w:tcPr>
          <w:p w14:paraId="077473CC">
            <w:pPr>
              <w:pStyle w:val="13"/>
              <w:snapToGrid w:val="0"/>
              <w:spacing w:line="480" w:lineRule="auto"/>
              <w:rPr>
                <w:rFonts w:hint="eastAsia" w:hAnsi="宋体" w:cs="宋体"/>
                <w:b/>
                <w:bCs/>
                <w:highlight w:val="none"/>
              </w:rPr>
            </w:pPr>
          </w:p>
        </w:tc>
      </w:tr>
      <w:tr w14:paraId="7032582A">
        <w:tblPrEx>
          <w:tblCellMar>
            <w:top w:w="0" w:type="dxa"/>
            <w:left w:w="108" w:type="dxa"/>
            <w:bottom w:w="0" w:type="dxa"/>
            <w:right w:w="108" w:type="dxa"/>
          </w:tblCellMar>
        </w:tblPrEx>
        <w:tc>
          <w:tcPr>
            <w:tcW w:w="4757" w:type="dxa"/>
            <w:noWrap w:val="0"/>
            <w:vAlign w:val="top"/>
          </w:tcPr>
          <w:p w14:paraId="2F4BEA27">
            <w:pPr>
              <w:pStyle w:val="13"/>
              <w:snapToGrid w:val="0"/>
              <w:spacing w:line="480" w:lineRule="auto"/>
              <w:rPr>
                <w:rFonts w:hint="eastAsia" w:hAnsi="宋体" w:cs="宋体"/>
                <w:b/>
                <w:bCs/>
                <w:highlight w:val="none"/>
              </w:rPr>
            </w:pPr>
            <w:r>
              <w:rPr>
                <w:rFonts w:hint="eastAsia" w:hAnsi="宋体" w:cs="宋体"/>
                <w:b/>
                <w:bCs/>
                <w:highlight w:val="none"/>
              </w:rPr>
              <w:t>温州市瓯海区人民政府仙岩街道办事处（盖章）</w:t>
            </w:r>
          </w:p>
          <w:p w14:paraId="3C7304C5">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32EABB9D">
            <w:pPr>
              <w:pStyle w:val="13"/>
              <w:snapToGrid w:val="0"/>
              <w:spacing w:line="480" w:lineRule="auto"/>
              <w:rPr>
                <w:rFonts w:hint="eastAsia" w:hAnsi="宋体" w:cs="宋体"/>
                <w:b/>
                <w:bCs/>
                <w:highlight w:val="none"/>
              </w:rPr>
            </w:pPr>
            <w:r>
              <w:rPr>
                <w:rFonts w:hint="eastAsia" w:hAnsi="宋体" w:cs="宋体"/>
                <w:b/>
                <w:bCs/>
                <w:highlight w:val="none"/>
              </w:rPr>
              <w:t>温州市瓯海区人民政府新桥街道办事处（盖章）</w:t>
            </w:r>
          </w:p>
          <w:p w14:paraId="5D500130">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r w14:paraId="63AA3E9C">
        <w:tblPrEx>
          <w:tblCellMar>
            <w:top w:w="0" w:type="dxa"/>
            <w:left w:w="108" w:type="dxa"/>
            <w:bottom w:w="0" w:type="dxa"/>
            <w:right w:w="108" w:type="dxa"/>
          </w:tblCellMar>
        </w:tblPrEx>
        <w:tc>
          <w:tcPr>
            <w:tcW w:w="4757" w:type="dxa"/>
            <w:noWrap w:val="0"/>
            <w:vAlign w:val="top"/>
          </w:tcPr>
          <w:p w14:paraId="7AE0CA55">
            <w:pPr>
              <w:pStyle w:val="13"/>
              <w:snapToGrid w:val="0"/>
              <w:spacing w:line="480" w:lineRule="auto"/>
              <w:rPr>
                <w:rFonts w:hint="eastAsia" w:hAnsi="宋体" w:cs="宋体"/>
                <w:b/>
                <w:bCs/>
                <w:highlight w:val="none"/>
              </w:rPr>
            </w:pPr>
          </w:p>
        </w:tc>
        <w:tc>
          <w:tcPr>
            <w:tcW w:w="4757" w:type="dxa"/>
            <w:noWrap w:val="0"/>
            <w:vAlign w:val="top"/>
          </w:tcPr>
          <w:p w14:paraId="6688F8BE">
            <w:pPr>
              <w:pStyle w:val="13"/>
              <w:snapToGrid w:val="0"/>
              <w:spacing w:line="480" w:lineRule="auto"/>
              <w:rPr>
                <w:rFonts w:hint="eastAsia" w:hAnsi="宋体" w:cs="宋体"/>
                <w:b/>
                <w:bCs/>
                <w:highlight w:val="none"/>
              </w:rPr>
            </w:pPr>
          </w:p>
        </w:tc>
      </w:tr>
      <w:tr w14:paraId="2C097BBA">
        <w:tblPrEx>
          <w:tblCellMar>
            <w:top w:w="0" w:type="dxa"/>
            <w:left w:w="108" w:type="dxa"/>
            <w:bottom w:w="0" w:type="dxa"/>
            <w:right w:w="108" w:type="dxa"/>
          </w:tblCellMar>
        </w:tblPrEx>
        <w:tc>
          <w:tcPr>
            <w:tcW w:w="4757" w:type="dxa"/>
            <w:noWrap w:val="0"/>
            <w:vAlign w:val="top"/>
          </w:tcPr>
          <w:p w14:paraId="216647FA">
            <w:pPr>
              <w:pStyle w:val="13"/>
              <w:snapToGrid w:val="0"/>
              <w:spacing w:line="480" w:lineRule="auto"/>
              <w:rPr>
                <w:rFonts w:hint="eastAsia" w:hAnsi="宋体" w:cs="宋体"/>
                <w:b/>
                <w:bCs/>
                <w:highlight w:val="none"/>
              </w:rPr>
            </w:pPr>
            <w:r>
              <w:rPr>
                <w:rFonts w:hint="eastAsia" w:hAnsi="宋体" w:cs="宋体"/>
                <w:b/>
                <w:bCs/>
                <w:highlight w:val="none"/>
              </w:rPr>
              <w:t>温州市瓯海区人民政府丽岙街道办事处（盖章）</w:t>
            </w:r>
          </w:p>
          <w:p w14:paraId="59EB37CE">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6F479135">
            <w:pPr>
              <w:pStyle w:val="13"/>
              <w:snapToGrid w:val="0"/>
              <w:spacing w:line="480" w:lineRule="auto"/>
              <w:rPr>
                <w:rFonts w:hint="eastAsia" w:hAnsi="宋体" w:cs="宋体"/>
                <w:b/>
                <w:bCs/>
                <w:highlight w:val="none"/>
              </w:rPr>
            </w:pPr>
            <w:r>
              <w:rPr>
                <w:rFonts w:hint="eastAsia" w:hAnsi="宋体" w:cs="宋体"/>
                <w:b/>
                <w:bCs/>
                <w:highlight w:val="none"/>
              </w:rPr>
              <w:t>温州市瓯海区人民政府景山街道办事处（盖章）</w:t>
            </w:r>
          </w:p>
          <w:p w14:paraId="7CF07F29">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r w14:paraId="0AEDE85F">
        <w:tblPrEx>
          <w:tblCellMar>
            <w:top w:w="0" w:type="dxa"/>
            <w:left w:w="108" w:type="dxa"/>
            <w:bottom w:w="0" w:type="dxa"/>
            <w:right w:w="108" w:type="dxa"/>
          </w:tblCellMar>
        </w:tblPrEx>
        <w:tc>
          <w:tcPr>
            <w:tcW w:w="4757" w:type="dxa"/>
            <w:noWrap w:val="0"/>
            <w:vAlign w:val="top"/>
          </w:tcPr>
          <w:p w14:paraId="012A82EE">
            <w:pPr>
              <w:pStyle w:val="13"/>
              <w:snapToGrid w:val="0"/>
              <w:spacing w:line="480" w:lineRule="auto"/>
              <w:rPr>
                <w:rFonts w:hint="eastAsia" w:hAnsi="宋体" w:cs="宋体"/>
                <w:b/>
                <w:bCs/>
                <w:highlight w:val="none"/>
              </w:rPr>
            </w:pPr>
          </w:p>
        </w:tc>
        <w:tc>
          <w:tcPr>
            <w:tcW w:w="4757" w:type="dxa"/>
            <w:noWrap w:val="0"/>
            <w:vAlign w:val="top"/>
          </w:tcPr>
          <w:p w14:paraId="52FAD088">
            <w:pPr>
              <w:pStyle w:val="13"/>
              <w:snapToGrid w:val="0"/>
              <w:spacing w:line="480" w:lineRule="auto"/>
              <w:rPr>
                <w:rFonts w:hint="eastAsia" w:hAnsi="宋体" w:cs="宋体"/>
                <w:b/>
                <w:bCs/>
                <w:highlight w:val="none"/>
              </w:rPr>
            </w:pPr>
          </w:p>
        </w:tc>
      </w:tr>
      <w:tr w14:paraId="100FF817">
        <w:tblPrEx>
          <w:tblCellMar>
            <w:top w:w="0" w:type="dxa"/>
            <w:left w:w="108" w:type="dxa"/>
            <w:bottom w:w="0" w:type="dxa"/>
            <w:right w:w="108" w:type="dxa"/>
          </w:tblCellMar>
        </w:tblPrEx>
        <w:tc>
          <w:tcPr>
            <w:tcW w:w="4757" w:type="dxa"/>
            <w:noWrap w:val="0"/>
            <w:vAlign w:val="top"/>
          </w:tcPr>
          <w:p w14:paraId="2A577042">
            <w:pPr>
              <w:pStyle w:val="13"/>
              <w:snapToGrid w:val="0"/>
              <w:spacing w:line="480" w:lineRule="auto"/>
              <w:rPr>
                <w:rFonts w:hint="eastAsia" w:hAnsi="宋体" w:cs="宋体"/>
                <w:b/>
                <w:bCs/>
                <w:highlight w:val="none"/>
              </w:rPr>
            </w:pPr>
            <w:r>
              <w:rPr>
                <w:rFonts w:hint="eastAsia" w:hAnsi="宋体" w:cs="宋体"/>
                <w:b/>
                <w:bCs/>
                <w:highlight w:val="none"/>
              </w:rPr>
              <w:t>温州市瓯海区泽雅镇人民政府（盖章）</w:t>
            </w:r>
          </w:p>
          <w:p w14:paraId="21AE2695">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c>
          <w:tcPr>
            <w:tcW w:w="4757" w:type="dxa"/>
            <w:noWrap w:val="0"/>
            <w:vAlign w:val="top"/>
          </w:tcPr>
          <w:p w14:paraId="579C2406">
            <w:pPr>
              <w:pStyle w:val="13"/>
              <w:snapToGrid w:val="0"/>
              <w:spacing w:line="480" w:lineRule="auto"/>
              <w:rPr>
                <w:rFonts w:hint="eastAsia" w:hAnsi="宋体" w:cs="宋体"/>
                <w:b/>
                <w:bCs/>
                <w:highlight w:val="none"/>
              </w:rPr>
            </w:pPr>
            <w:r>
              <w:rPr>
                <w:rFonts w:hint="eastAsia" w:hAnsi="宋体" w:cs="宋体"/>
                <w:b/>
                <w:bCs/>
                <w:highlight w:val="none"/>
              </w:rPr>
              <w:t>浙江省瓯海经济开发区管理委员会（盖章）</w:t>
            </w:r>
          </w:p>
          <w:p w14:paraId="03A5F5D0">
            <w:pPr>
              <w:pStyle w:val="13"/>
              <w:snapToGrid w:val="0"/>
              <w:spacing w:line="480" w:lineRule="auto"/>
              <w:rPr>
                <w:rFonts w:hint="eastAsia" w:hAnsi="宋体" w:cs="宋体"/>
                <w:b/>
                <w:bCs/>
                <w:highlight w:val="none"/>
              </w:rPr>
            </w:pPr>
            <w:r>
              <w:rPr>
                <w:rFonts w:hint="eastAsia" w:hAnsi="宋体" w:cs="宋体"/>
                <w:b/>
                <w:bCs/>
                <w:highlight w:val="none"/>
              </w:rPr>
              <w:t>全权代表（签字）：</w:t>
            </w:r>
          </w:p>
        </w:tc>
      </w:tr>
    </w:tbl>
    <w:p w14:paraId="5D5D809E">
      <w:pPr>
        <w:pStyle w:val="13"/>
        <w:snapToGrid w:val="0"/>
        <w:spacing w:line="360" w:lineRule="auto"/>
        <w:ind w:firstLine="482"/>
        <w:rPr>
          <w:rFonts w:hint="eastAsia" w:hAnsi="宋体" w:cs="宋体"/>
          <w:b/>
          <w:bCs/>
          <w:highlight w:val="none"/>
        </w:rPr>
      </w:pPr>
    </w:p>
    <w:p w14:paraId="38ED488D">
      <w:pPr>
        <w:pStyle w:val="13"/>
        <w:snapToGrid w:val="0"/>
        <w:spacing w:line="480" w:lineRule="auto"/>
        <w:rPr>
          <w:rFonts w:hint="eastAsia" w:hAnsi="宋体" w:cs="宋体"/>
          <w:b/>
          <w:bCs/>
          <w:highlight w:val="none"/>
        </w:rPr>
      </w:pPr>
      <w:r>
        <w:rPr>
          <w:rFonts w:hint="eastAsia" w:hAnsi="宋体" w:cs="宋体"/>
          <w:b/>
          <w:bCs/>
          <w:highlight w:val="none"/>
        </w:rPr>
        <w:t>合同签署日期：      年   月   日</w:t>
      </w:r>
    </w:p>
    <w:p w14:paraId="20E4086E">
      <w:pPr>
        <w:pStyle w:val="6"/>
        <w:tabs>
          <w:tab w:val="left" w:pos="840"/>
        </w:tabs>
        <w:spacing w:before="156" w:beforeLines="50" w:after="156" w:afterLines="50" w:line="360" w:lineRule="auto"/>
        <w:rPr>
          <w:rFonts w:ascii="Arial" w:hAnsi="Arial" w:eastAsia="宋体" w:cs="Arial"/>
          <w:sz w:val="24"/>
          <w:szCs w:val="24"/>
          <w:highlight w:val="none"/>
        </w:rPr>
      </w:pPr>
      <w:r>
        <w:rPr>
          <w:rFonts w:hint="eastAsia" w:ascii="宋体" w:hAnsi="宋体" w:eastAsia="宋体" w:cs="宋体"/>
          <w:color w:val="auto"/>
          <w:spacing w:val="-1"/>
          <w:sz w:val="22"/>
          <w:szCs w:val="22"/>
          <w:highlight w:val="none"/>
        </w:rPr>
        <w:br w:type="page"/>
      </w:r>
      <w:bookmarkStart w:id="107" w:name="_Toc92361073"/>
      <w:r>
        <w:rPr>
          <w:rFonts w:hint="eastAsia" w:ascii="Arial" w:hAnsi="Arial" w:eastAsia="宋体" w:cs="Arial"/>
          <w:sz w:val="24"/>
          <w:szCs w:val="24"/>
          <w:highlight w:val="none"/>
        </w:rPr>
        <w:t>附件：瓯海区生活垃圾转运服务考核办法</w:t>
      </w:r>
      <w:bookmarkEnd w:id="107"/>
    </w:p>
    <w:p w14:paraId="7260B64D">
      <w:pPr>
        <w:spacing w:line="360" w:lineRule="auto"/>
        <w:ind w:firstLine="420" w:firstLineChars="200"/>
        <w:rPr>
          <w:rFonts w:ascii="Arial" w:hAnsi="Arial" w:cs="Arial"/>
          <w:szCs w:val="21"/>
          <w:highlight w:val="none"/>
        </w:rPr>
      </w:pPr>
      <w:r>
        <w:rPr>
          <w:rFonts w:ascii="Arial" w:hAnsi="Arial" w:cs="Arial"/>
          <w:szCs w:val="21"/>
          <w:highlight w:val="none"/>
        </w:rPr>
        <w:t>为进一步提高城乡环境卫生建设和管理水平，改善市容环境卫生面貌，</w:t>
      </w:r>
      <w:r>
        <w:rPr>
          <w:rFonts w:hint="eastAsia" w:ascii="宋体" w:hAnsi="宋体" w:cs="宋体"/>
          <w:szCs w:val="21"/>
          <w:highlight w:val="none"/>
        </w:rPr>
        <w:t>优化完善我区生活垃圾中转体系管理，</w:t>
      </w:r>
      <w:r>
        <w:rPr>
          <w:rFonts w:ascii="Arial" w:hAnsi="Arial" w:cs="Arial"/>
          <w:szCs w:val="21"/>
          <w:highlight w:val="none"/>
        </w:rPr>
        <w:t>加强环卫作业监管，建立长效管理机制，现结合实际，特制定本办法。如区级出台新的考核办法，则按区级考核办法为准。</w:t>
      </w:r>
    </w:p>
    <w:p w14:paraId="3C7664C1">
      <w:pPr>
        <w:spacing w:line="360" w:lineRule="auto"/>
        <w:ind w:firstLine="420" w:firstLineChars="200"/>
        <w:rPr>
          <w:rFonts w:ascii="Arial" w:hAnsi="Arial" w:cs="Arial"/>
          <w:szCs w:val="21"/>
          <w:highlight w:val="none"/>
        </w:rPr>
      </w:pPr>
      <w:r>
        <w:rPr>
          <w:rFonts w:hint="eastAsia" w:ascii="Arial" w:hAnsi="Arial" w:cs="Arial"/>
          <w:szCs w:val="21"/>
          <w:highlight w:val="none"/>
        </w:rPr>
        <w:t>一、考核对象</w:t>
      </w:r>
    </w:p>
    <w:p w14:paraId="77553EF9">
      <w:pPr>
        <w:spacing w:line="360" w:lineRule="auto"/>
        <w:ind w:firstLine="420" w:firstLineChars="200"/>
        <w:rPr>
          <w:rFonts w:ascii="Arial" w:hAnsi="Arial" w:cs="Arial"/>
          <w:szCs w:val="21"/>
          <w:highlight w:val="none"/>
        </w:rPr>
      </w:pPr>
      <w:r>
        <w:rPr>
          <w:rFonts w:hint="eastAsia" w:ascii="Arial" w:hAnsi="Arial" w:cs="Arial"/>
          <w:szCs w:val="21"/>
          <w:highlight w:val="none"/>
          <w:lang w:eastAsia="zh-CN"/>
        </w:rPr>
        <w:t>2025年瓯海区生活垃圾转运服务</w:t>
      </w:r>
      <w:r>
        <w:rPr>
          <w:rFonts w:hint="eastAsia" w:ascii="Arial" w:hAnsi="Arial" w:cs="Arial"/>
          <w:szCs w:val="21"/>
          <w:highlight w:val="none"/>
        </w:rPr>
        <w:t>中标供应商。</w:t>
      </w:r>
    </w:p>
    <w:p w14:paraId="14E7DED4">
      <w:pPr>
        <w:spacing w:line="360" w:lineRule="auto"/>
        <w:ind w:firstLine="420" w:firstLineChars="200"/>
        <w:rPr>
          <w:rFonts w:ascii="Arial" w:hAnsi="Arial" w:cs="Arial"/>
          <w:szCs w:val="21"/>
          <w:highlight w:val="none"/>
        </w:rPr>
      </w:pPr>
      <w:r>
        <w:rPr>
          <w:rFonts w:hint="eastAsia" w:ascii="Arial" w:hAnsi="Arial" w:cs="Arial"/>
          <w:szCs w:val="21"/>
          <w:highlight w:val="none"/>
        </w:rPr>
        <w:t>二、考核区域</w:t>
      </w:r>
    </w:p>
    <w:p w14:paraId="0A7281D7">
      <w:pPr>
        <w:spacing w:line="360" w:lineRule="auto"/>
        <w:ind w:firstLine="420" w:firstLineChars="200"/>
        <w:rPr>
          <w:rFonts w:ascii="Arial" w:hAnsi="Arial" w:cs="Arial"/>
          <w:szCs w:val="21"/>
          <w:highlight w:val="none"/>
        </w:rPr>
      </w:pPr>
      <w:r>
        <w:rPr>
          <w:rFonts w:hint="eastAsia" w:ascii="Arial" w:hAnsi="Arial" w:cs="Arial"/>
          <w:szCs w:val="21"/>
          <w:highlight w:val="none"/>
        </w:rPr>
        <w:t>瓯海区全域生活垃圾转运服务。</w:t>
      </w:r>
    </w:p>
    <w:p w14:paraId="7872F72F">
      <w:pPr>
        <w:spacing w:line="360" w:lineRule="auto"/>
        <w:ind w:firstLine="420" w:firstLineChars="200"/>
        <w:rPr>
          <w:rFonts w:ascii="Arial" w:hAnsi="Arial" w:cs="Arial"/>
          <w:szCs w:val="21"/>
          <w:highlight w:val="none"/>
        </w:rPr>
      </w:pPr>
      <w:r>
        <w:rPr>
          <w:rFonts w:hint="eastAsia" w:ascii="Arial" w:hAnsi="Arial" w:cs="Arial"/>
          <w:szCs w:val="21"/>
          <w:highlight w:val="none"/>
        </w:rPr>
        <w:t>三、考核内容</w:t>
      </w:r>
    </w:p>
    <w:p w14:paraId="62B8AD36">
      <w:pPr>
        <w:spacing w:line="360" w:lineRule="auto"/>
        <w:ind w:firstLine="420" w:firstLineChars="200"/>
        <w:rPr>
          <w:rFonts w:ascii="Arial" w:hAnsi="Arial" w:cs="Arial"/>
          <w:szCs w:val="21"/>
          <w:highlight w:val="none"/>
        </w:rPr>
      </w:pPr>
      <w:r>
        <w:rPr>
          <w:rFonts w:hint="eastAsia" w:ascii="Arial" w:hAnsi="Arial" w:cs="Arial"/>
          <w:szCs w:val="21"/>
          <w:highlight w:val="none"/>
        </w:rPr>
        <w:t>考核内容共七大项，分别为：管理制度、保洁质量、站内设备设施、消杀除臭、调度管理、问题督办交办处置、车辆管理。</w:t>
      </w:r>
    </w:p>
    <w:p w14:paraId="1A657BB0">
      <w:pPr>
        <w:spacing w:line="360" w:lineRule="auto"/>
        <w:ind w:firstLine="420" w:firstLineChars="200"/>
        <w:rPr>
          <w:rFonts w:ascii="Arial" w:hAnsi="Arial" w:cs="Arial"/>
          <w:szCs w:val="21"/>
          <w:highlight w:val="none"/>
        </w:rPr>
      </w:pPr>
      <w:r>
        <w:rPr>
          <w:rFonts w:hint="eastAsia" w:ascii="Arial" w:hAnsi="Arial" w:cs="Arial"/>
          <w:szCs w:val="21"/>
          <w:highlight w:val="none"/>
        </w:rPr>
        <w:t>四、考核方式与方法</w:t>
      </w:r>
    </w:p>
    <w:p w14:paraId="0D2006D9">
      <w:pPr>
        <w:numPr>
          <w:ilvl w:val="0"/>
          <w:numId w:val="10"/>
        </w:numPr>
        <w:snapToGrid w:val="0"/>
        <w:spacing w:line="400" w:lineRule="exact"/>
        <w:rPr>
          <w:rFonts w:ascii="宋体" w:hAnsi="宋体" w:cs="宋体"/>
          <w:szCs w:val="21"/>
          <w:highlight w:val="none"/>
        </w:rPr>
      </w:pPr>
      <w:r>
        <w:rPr>
          <w:rFonts w:hint="eastAsia" w:ascii="宋体" w:hAnsi="宋体" w:cs="宋体"/>
          <w:szCs w:val="21"/>
          <w:highlight w:val="none"/>
        </w:rPr>
        <w:t>考核主体：由</w:t>
      </w:r>
      <w:r>
        <w:rPr>
          <w:rFonts w:hint="eastAsia" w:ascii="宋体" w:hAnsi="宋体" w:cs="宋体"/>
          <w:szCs w:val="21"/>
          <w:highlight w:val="none"/>
          <w:lang w:val="zh-CN"/>
        </w:rPr>
        <w:t>区综合行政执法局及</w:t>
      </w:r>
      <w:r>
        <w:rPr>
          <w:rFonts w:hint="eastAsia" w:ascii="宋体" w:hAnsi="宋体" w:cs="宋体"/>
          <w:szCs w:val="21"/>
          <w:highlight w:val="none"/>
        </w:rPr>
        <w:t>瓯海区各镇街开发</w:t>
      </w:r>
      <w:r>
        <w:rPr>
          <w:rFonts w:hint="eastAsia" w:ascii="宋体" w:hAnsi="宋体"/>
          <w:szCs w:val="21"/>
          <w:highlight w:val="none"/>
        </w:rPr>
        <w:t>区负责考核</w:t>
      </w:r>
      <w:r>
        <w:rPr>
          <w:rFonts w:hint="eastAsia" w:ascii="宋体" w:hAnsi="宋体" w:cs="宋体"/>
          <w:szCs w:val="21"/>
          <w:highlight w:val="none"/>
        </w:rPr>
        <w:t>；</w:t>
      </w:r>
    </w:p>
    <w:p w14:paraId="3D1E32B6">
      <w:pPr>
        <w:numPr>
          <w:ilvl w:val="0"/>
          <w:numId w:val="10"/>
        </w:numPr>
        <w:snapToGrid w:val="0"/>
        <w:spacing w:line="400" w:lineRule="exact"/>
        <w:outlineLvl w:val="0"/>
        <w:rPr>
          <w:rFonts w:ascii="宋体" w:hAnsi="宋体" w:cs="宋体"/>
          <w:szCs w:val="21"/>
          <w:highlight w:val="none"/>
        </w:rPr>
      </w:pPr>
      <w:bookmarkStart w:id="108" w:name="_Toc92361074"/>
      <w:r>
        <w:rPr>
          <w:rFonts w:hint="eastAsia" w:ascii="宋体" w:hAnsi="宋体" w:cs="宋体"/>
          <w:szCs w:val="21"/>
          <w:highlight w:val="none"/>
        </w:rPr>
        <w:t>考核方法</w:t>
      </w:r>
      <w:bookmarkEnd w:id="108"/>
    </w:p>
    <w:p w14:paraId="1054D21F">
      <w:pPr>
        <w:snapToGrid w:val="0"/>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根据考评结果，按照“月结算、季拨付”的模式，于次季度首月28日前拨付前一季度的承包经费。</w:t>
      </w:r>
    </w:p>
    <w:p w14:paraId="2979A8CF">
      <w:pPr>
        <w:snapToGrid w:val="0"/>
        <w:spacing w:line="440" w:lineRule="exact"/>
        <w:ind w:firstLine="420" w:firstLineChars="200"/>
        <w:rPr>
          <w:rFonts w:ascii="宋体" w:hAnsi="宋体" w:cs="宋体"/>
          <w:b/>
          <w:bCs/>
          <w:szCs w:val="21"/>
          <w:highlight w:val="none"/>
          <w:u w:val="single"/>
          <w:lang w:val="zh-CN"/>
        </w:rPr>
      </w:pPr>
      <w:r>
        <w:rPr>
          <w:rFonts w:hint="eastAsia" w:ascii="宋体" w:hAnsi="宋体" w:eastAsia="宋体" w:cs="宋体"/>
          <w:bCs/>
          <w:szCs w:val="21"/>
          <w:highlight w:val="none"/>
        </w:rPr>
        <w:t>▲</w:t>
      </w:r>
      <w:r>
        <w:rPr>
          <w:rFonts w:ascii="宋体" w:hAnsi="宋体" w:cs="宋体"/>
          <w:b/>
          <w:bCs/>
          <w:szCs w:val="21"/>
          <w:highlight w:val="none"/>
          <w:u w:val="single"/>
          <w:lang w:val="zh-CN"/>
        </w:rPr>
        <w:t>月度考评达标</w:t>
      </w:r>
      <w:r>
        <w:rPr>
          <w:rFonts w:ascii="宋体" w:hAnsi="宋体" w:cs="宋体"/>
          <w:b/>
          <w:bCs/>
          <w:szCs w:val="21"/>
          <w:highlight w:val="yellow"/>
          <w:u w:val="single"/>
          <w:lang w:val="zh-CN"/>
        </w:rPr>
        <w:t>分为</w:t>
      </w:r>
      <w:r>
        <w:rPr>
          <w:rFonts w:hint="eastAsia" w:ascii="宋体" w:hAnsi="宋体" w:cs="宋体"/>
          <w:b/>
          <w:bCs/>
          <w:szCs w:val="21"/>
          <w:highlight w:val="yellow"/>
          <w:u w:val="single"/>
          <w:lang w:val="en-US" w:eastAsia="zh-CN"/>
        </w:rPr>
        <w:t>90</w:t>
      </w:r>
      <w:r>
        <w:rPr>
          <w:rFonts w:ascii="宋体" w:hAnsi="宋体" w:cs="宋体"/>
          <w:b/>
          <w:bCs/>
          <w:szCs w:val="21"/>
          <w:highlight w:val="yellow"/>
          <w:u w:val="single"/>
          <w:lang w:val="zh-CN"/>
        </w:rPr>
        <w:t>分</w:t>
      </w:r>
      <w:r>
        <w:rPr>
          <w:rFonts w:ascii="宋体" w:hAnsi="宋体" w:cs="宋体"/>
          <w:b/>
          <w:bCs/>
          <w:szCs w:val="21"/>
          <w:highlight w:val="none"/>
          <w:u w:val="single"/>
          <w:lang w:val="zh-CN"/>
        </w:rPr>
        <w:t>。月度考评分不达标的，每</w:t>
      </w:r>
      <w:r>
        <w:rPr>
          <w:rFonts w:hint="eastAsia" w:ascii="宋体" w:hAnsi="宋体" w:cs="宋体"/>
          <w:b/>
          <w:bCs/>
          <w:szCs w:val="21"/>
          <w:highlight w:val="none"/>
          <w:u w:val="single"/>
          <w:lang w:val="en-US" w:eastAsia="zh-CN"/>
        </w:rPr>
        <w:t>低于</w:t>
      </w:r>
      <w:r>
        <w:rPr>
          <w:rFonts w:ascii="宋体" w:hAnsi="宋体" w:cs="宋体"/>
          <w:b/>
          <w:bCs/>
          <w:szCs w:val="21"/>
          <w:highlight w:val="none"/>
          <w:u w:val="single"/>
          <w:lang w:val="zh-CN"/>
        </w:rPr>
        <w:t>月度考评达标分1分扣除当月</w:t>
      </w:r>
      <w:r>
        <w:rPr>
          <w:rFonts w:hint="eastAsia" w:ascii="宋体" w:hAnsi="宋体" w:cs="宋体"/>
          <w:b/>
          <w:bCs/>
          <w:szCs w:val="21"/>
          <w:highlight w:val="none"/>
          <w:u w:val="single"/>
          <w:lang w:val="zh-CN"/>
        </w:rPr>
        <w:t>转运服务</w:t>
      </w:r>
      <w:r>
        <w:rPr>
          <w:rFonts w:ascii="宋体" w:hAnsi="宋体" w:cs="宋体"/>
          <w:b/>
          <w:bCs/>
          <w:szCs w:val="21"/>
          <w:highlight w:val="none"/>
          <w:u w:val="single"/>
          <w:lang w:val="zh-CN"/>
        </w:rPr>
        <w:t>费1%。如连续2个月或12个月内累计3个月考核成绩低于</w:t>
      </w:r>
      <w:r>
        <w:rPr>
          <w:rFonts w:hint="eastAsia" w:ascii="宋体" w:hAnsi="宋体" w:cs="宋体"/>
          <w:b/>
          <w:bCs/>
          <w:szCs w:val="21"/>
          <w:highlight w:val="yellow"/>
          <w:u w:val="single"/>
          <w:lang w:val="en-US" w:eastAsia="zh-CN"/>
        </w:rPr>
        <w:t>80</w:t>
      </w:r>
      <w:r>
        <w:rPr>
          <w:rFonts w:ascii="宋体" w:hAnsi="宋体" w:cs="宋体"/>
          <w:b/>
          <w:bCs/>
          <w:szCs w:val="21"/>
          <w:highlight w:val="yellow"/>
          <w:u w:val="single"/>
          <w:lang w:val="zh-CN"/>
        </w:rPr>
        <w:t>分</w:t>
      </w:r>
      <w:r>
        <w:rPr>
          <w:rFonts w:ascii="宋体" w:hAnsi="宋体" w:cs="宋体"/>
          <w:b/>
          <w:bCs/>
          <w:szCs w:val="21"/>
          <w:highlight w:val="none"/>
          <w:u w:val="single"/>
          <w:lang w:val="zh-CN"/>
        </w:rPr>
        <w:t>，采购人有权单方面解除合同。</w:t>
      </w:r>
    </w:p>
    <w:p w14:paraId="0560DF68">
      <w:pPr>
        <w:snapToGrid w:val="0"/>
        <w:spacing w:line="440" w:lineRule="exact"/>
        <w:ind w:firstLine="420" w:firstLineChars="200"/>
        <w:rPr>
          <w:rFonts w:ascii="宋体" w:hAnsi="宋体" w:cs="宋体"/>
          <w:szCs w:val="21"/>
          <w:highlight w:val="none"/>
          <w:lang w:val="zh-CN"/>
        </w:rPr>
      </w:pPr>
      <w:r>
        <w:rPr>
          <w:rFonts w:hint="eastAsia" w:ascii="宋体" w:hAnsi="宋体" w:cs="宋体"/>
          <w:szCs w:val="21"/>
          <w:highlight w:val="none"/>
          <w:lang w:val="zh-CN"/>
        </w:rPr>
        <w:t>具体考核评分细则如下：</w:t>
      </w:r>
    </w:p>
    <w:p w14:paraId="35CD4E48">
      <w:pPr>
        <w:numPr>
          <w:ilvl w:val="0"/>
          <w:numId w:val="0"/>
        </w:numPr>
        <w:snapToGrid w:val="0"/>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lang w:val="zh-CN"/>
        </w:rPr>
        <w:t>按月计分，</w:t>
      </w:r>
      <w:r>
        <w:rPr>
          <w:rFonts w:hint="eastAsia" w:ascii="宋体" w:hAnsi="宋体" w:cs="宋体"/>
          <w:szCs w:val="21"/>
          <w:highlight w:val="none"/>
        </w:rPr>
        <w:t>总分值100分/月。根据《瓯海区生活垃圾转运服务考核评分标准》（附录1）进行考核，对违反考评表上每项进行扣分，计算该次考核得分。考核得分按当</w:t>
      </w:r>
      <w:r>
        <w:rPr>
          <w:rFonts w:hint="eastAsia" w:ascii="宋体" w:hAnsi="宋体" w:cs="宋体"/>
          <w:szCs w:val="21"/>
          <w:highlight w:val="none"/>
          <w:lang w:val="zh-CN"/>
        </w:rPr>
        <w:t>月内所有检查</w:t>
      </w:r>
      <w:r>
        <w:rPr>
          <w:rFonts w:hint="eastAsia" w:ascii="宋体" w:hAnsi="宋体" w:cs="宋体"/>
          <w:szCs w:val="21"/>
          <w:highlight w:val="none"/>
        </w:rPr>
        <w:t>考核取平均值，结合其相应权重比计算，</w:t>
      </w:r>
      <w:r>
        <w:rPr>
          <w:rFonts w:hint="eastAsia" w:ascii="宋体" w:hAnsi="宋体" w:cs="宋体"/>
          <w:szCs w:val="21"/>
          <w:highlight w:val="none"/>
          <w:lang w:val="zh-CN"/>
        </w:rPr>
        <w:t>作为当月考核得分。</w:t>
      </w:r>
      <w:r>
        <w:rPr>
          <w:rFonts w:hint="eastAsia" w:ascii="宋体" w:hAnsi="宋体" w:cs="宋体"/>
          <w:szCs w:val="21"/>
          <w:highlight w:val="none"/>
        </w:rPr>
        <w:t>具体如下：</w:t>
      </w:r>
    </w:p>
    <w:p w14:paraId="24B819C7">
      <w:pPr>
        <w:widowControl w:val="0"/>
        <w:snapToGrid w:val="0"/>
        <w:spacing w:line="440" w:lineRule="exact"/>
        <w:ind w:firstLine="420" w:firstLineChars="200"/>
        <w:jc w:val="both"/>
        <w:rPr>
          <w:rFonts w:ascii="宋体" w:hAnsi="宋体" w:cs="宋体"/>
          <w:szCs w:val="21"/>
          <w:highlight w:val="none"/>
          <w:lang w:val="zh-CN"/>
        </w:rPr>
      </w:pPr>
      <w:r>
        <w:rPr>
          <w:rFonts w:hint="eastAsia" w:ascii="宋体" w:hAnsi="宋体" w:cs="宋体"/>
          <w:szCs w:val="21"/>
          <w:highlight w:val="none"/>
          <w:lang w:val="zh-CN"/>
        </w:rPr>
        <w:t>区综合行政执法局定期考核：由区综合行政执法局</w:t>
      </w:r>
      <w:r>
        <w:rPr>
          <w:rFonts w:hint="eastAsia" w:ascii="宋体" w:hAnsi="宋体" w:cs="宋体"/>
          <w:b/>
          <w:bCs/>
          <w:szCs w:val="21"/>
          <w:highlight w:val="none"/>
          <w:lang w:val="zh-CN"/>
        </w:rPr>
        <w:t>每月考核一次</w:t>
      </w:r>
      <w:r>
        <w:rPr>
          <w:rFonts w:hint="eastAsia" w:ascii="宋体" w:hAnsi="宋体" w:cs="宋体"/>
          <w:szCs w:val="21"/>
          <w:highlight w:val="none"/>
          <w:lang w:val="zh-CN"/>
        </w:rPr>
        <w:t>，考核得分权重占比</w:t>
      </w:r>
      <w:r>
        <w:rPr>
          <w:rFonts w:hint="eastAsia" w:ascii="宋体" w:hAnsi="宋体" w:cs="宋体"/>
          <w:szCs w:val="21"/>
          <w:highlight w:val="none"/>
          <w:lang w:val="en-US" w:eastAsia="zh-CN"/>
        </w:rPr>
        <w:t>5</w:t>
      </w:r>
      <w:r>
        <w:rPr>
          <w:rFonts w:hint="eastAsia" w:ascii="宋体" w:hAnsi="宋体" w:cs="宋体"/>
          <w:szCs w:val="21"/>
          <w:highlight w:val="none"/>
        </w:rPr>
        <w:t>0%</w:t>
      </w:r>
      <w:r>
        <w:rPr>
          <w:rFonts w:hint="eastAsia" w:ascii="宋体" w:hAnsi="宋体" w:cs="宋体"/>
          <w:szCs w:val="21"/>
          <w:highlight w:val="none"/>
          <w:lang w:val="zh-CN"/>
        </w:rPr>
        <w:t>；镇街考核：由相应管辖垃圾中转站的镇街</w:t>
      </w:r>
      <w:r>
        <w:rPr>
          <w:rFonts w:hint="eastAsia" w:ascii="宋体" w:hAnsi="宋体" w:cs="宋体"/>
          <w:b/>
          <w:bCs/>
          <w:szCs w:val="21"/>
          <w:highlight w:val="none"/>
          <w:lang w:val="zh-CN"/>
        </w:rPr>
        <w:t>每周考核一次</w:t>
      </w:r>
      <w:r>
        <w:rPr>
          <w:rFonts w:hint="eastAsia" w:ascii="宋体" w:hAnsi="宋体" w:cs="宋体"/>
          <w:szCs w:val="21"/>
          <w:highlight w:val="none"/>
          <w:lang w:val="zh-CN"/>
        </w:rPr>
        <w:t>，各周的平均分为该月的最终得分，考核得分权重占比</w:t>
      </w:r>
      <w:r>
        <w:rPr>
          <w:rFonts w:hint="eastAsia" w:ascii="宋体" w:hAnsi="宋体" w:cs="宋体"/>
          <w:szCs w:val="21"/>
          <w:highlight w:val="none"/>
          <w:lang w:val="en-US" w:eastAsia="zh-CN"/>
        </w:rPr>
        <w:t>5</w:t>
      </w:r>
      <w:r>
        <w:rPr>
          <w:rFonts w:hint="eastAsia" w:ascii="宋体" w:hAnsi="宋体" w:cs="宋体"/>
          <w:szCs w:val="21"/>
          <w:highlight w:val="none"/>
        </w:rPr>
        <w:t>0%。</w:t>
      </w:r>
    </w:p>
    <w:tbl>
      <w:tblPr>
        <w:tblStyle w:val="24"/>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1"/>
        <w:gridCol w:w="1897"/>
        <w:gridCol w:w="3837"/>
      </w:tblGrid>
      <w:tr w14:paraId="7B0E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481" w:type="dxa"/>
            <w:noWrap w:val="0"/>
            <w:vAlign w:val="top"/>
          </w:tcPr>
          <w:p w14:paraId="4D7AE66D">
            <w:pPr>
              <w:snapToGrid w:val="0"/>
              <w:spacing w:line="440" w:lineRule="exact"/>
              <w:jc w:val="center"/>
              <w:rPr>
                <w:rFonts w:ascii="宋体" w:hAnsi="宋体" w:cs="宋体"/>
                <w:szCs w:val="21"/>
                <w:highlight w:val="none"/>
                <w:lang w:val="zh-CN"/>
              </w:rPr>
            </w:pPr>
            <w:r>
              <w:rPr>
                <w:rFonts w:hint="eastAsia" w:ascii="宋体" w:hAnsi="宋体" w:cs="宋体"/>
                <w:szCs w:val="21"/>
                <w:highlight w:val="none"/>
                <w:lang w:val="zh-CN"/>
              </w:rPr>
              <w:t>当月得分</w:t>
            </w:r>
          </w:p>
        </w:tc>
        <w:tc>
          <w:tcPr>
            <w:tcW w:w="1897" w:type="dxa"/>
            <w:noWrap w:val="0"/>
            <w:vAlign w:val="top"/>
          </w:tcPr>
          <w:p w14:paraId="20A99055">
            <w:pPr>
              <w:snapToGrid w:val="0"/>
              <w:spacing w:line="440" w:lineRule="exact"/>
              <w:jc w:val="center"/>
              <w:rPr>
                <w:rFonts w:ascii="宋体" w:hAnsi="宋体" w:cs="宋体"/>
                <w:szCs w:val="21"/>
                <w:highlight w:val="none"/>
                <w:lang w:val="zh-CN"/>
              </w:rPr>
            </w:pPr>
            <w:r>
              <w:rPr>
                <w:rFonts w:hint="eastAsia" w:ascii="宋体" w:hAnsi="宋体" w:cs="宋体"/>
                <w:szCs w:val="21"/>
                <w:highlight w:val="none"/>
                <w:lang w:val="zh-CN"/>
              </w:rPr>
              <w:t>权重</w:t>
            </w:r>
          </w:p>
        </w:tc>
        <w:tc>
          <w:tcPr>
            <w:tcW w:w="3837" w:type="dxa"/>
            <w:noWrap w:val="0"/>
            <w:vAlign w:val="top"/>
          </w:tcPr>
          <w:p w14:paraId="5619D79A">
            <w:pPr>
              <w:snapToGrid w:val="0"/>
              <w:spacing w:line="440" w:lineRule="exact"/>
              <w:jc w:val="center"/>
              <w:rPr>
                <w:rFonts w:ascii="宋体" w:hAnsi="宋体" w:cs="宋体"/>
                <w:szCs w:val="21"/>
                <w:highlight w:val="none"/>
                <w:lang w:val="zh-CN"/>
              </w:rPr>
            </w:pPr>
            <w:r>
              <w:rPr>
                <w:rFonts w:hint="eastAsia" w:ascii="宋体" w:hAnsi="宋体" w:cs="宋体"/>
                <w:szCs w:val="21"/>
                <w:highlight w:val="none"/>
                <w:lang w:val="zh-CN"/>
              </w:rPr>
              <w:t>综合评分结果</w:t>
            </w:r>
          </w:p>
        </w:tc>
      </w:tr>
      <w:tr w14:paraId="4F4C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481" w:type="dxa"/>
            <w:noWrap w:val="0"/>
            <w:vAlign w:val="center"/>
          </w:tcPr>
          <w:p w14:paraId="38DF853A">
            <w:pPr>
              <w:snapToGrid w:val="0"/>
              <w:spacing w:line="440" w:lineRule="exact"/>
              <w:jc w:val="center"/>
              <w:rPr>
                <w:rFonts w:ascii="宋体" w:hAnsi="宋体" w:cs="宋体"/>
                <w:szCs w:val="21"/>
                <w:highlight w:val="none"/>
              </w:rPr>
            </w:pPr>
            <w:r>
              <w:rPr>
                <w:rFonts w:hint="eastAsia" w:ascii="宋体" w:hAnsi="宋体" w:cs="宋体"/>
                <w:szCs w:val="21"/>
                <w:highlight w:val="none"/>
                <w:lang w:val="zh-CN"/>
              </w:rPr>
              <w:t>区综合行政执法局考核得分（</w:t>
            </w:r>
            <w:r>
              <w:rPr>
                <w:rFonts w:hint="eastAsia" w:ascii="宋体" w:hAnsi="宋体" w:cs="宋体"/>
                <w:szCs w:val="21"/>
                <w:highlight w:val="none"/>
              </w:rPr>
              <w:t>A</w:t>
            </w:r>
            <w:r>
              <w:rPr>
                <w:rFonts w:hint="eastAsia" w:ascii="宋体" w:hAnsi="宋体" w:cs="宋体"/>
                <w:szCs w:val="21"/>
                <w:highlight w:val="none"/>
                <w:lang w:val="zh-CN"/>
              </w:rPr>
              <w:t>）</w:t>
            </w:r>
          </w:p>
        </w:tc>
        <w:tc>
          <w:tcPr>
            <w:tcW w:w="1897" w:type="dxa"/>
            <w:noWrap w:val="0"/>
            <w:vAlign w:val="center"/>
          </w:tcPr>
          <w:p w14:paraId="77DFBBB6">
            <w:pPr>
              <w:snapToGrid w:val="0"/>
              <w:spacing w:line="440" w:lineRule="exact"/>
              <w:jc w:val="center"/>
              <w:rPr>
                <w:rFonts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rPr>
              <w:t>0%</w:t>
            </w:r>
          </w:p>
        </w:tc>
        <w:tc>
          <w:tcPr>
            <w:tcW w:w="3837" w:type="dxa"/>
            <w:vMerge w:val="restart"/>
            <w:noWrap w:val="0"/>
            <w:vAlign w:val="center"/>
          </w:tcPr>
          <w:p w14:paraId="07EC5DC1">
            <w:pPr>
              <w:snapToGrid w:val="0"/>
              <w:spacing w:line="440" w:lineRule="exact"/>
              <w:jc w:val="both"/>
              <w:rPr>
                <w:rFonts w:ascii="宋体" w:hAnsi="宋体" w:cs="宋体"/>
                <w:szCs w:val="21"/>
                <w:highlight w:val="none"/>
                <w:lang w:val="zh-CN"/>
              </w:rPr>
            </w:pPr>
            <w:r>
              <w:rPr>
                <w:rFonts w:hint="eastAsia" w:ascii="宋体" w:hAnsi="宋体" w:cs="宋体"/>
                <w:szCs w:val="21"/>
                <w:highlight w:val="none"/>
                <w:lang w:val="en-US" w:eastAsia="zh-CN"/>
              </w:rPr>
              <w:t>最终得分</w:t>
            </w:r>
            <w:r>
              <w:rPr>
                <w:rFonts w:hint="eastAsia" w:ascii="宋体" w:hAnsi="宋体" w:cs="宋体"/>
                <w:szCs w:val="21"/>
                <w:highlight w:val="none"/>
                <w:lang w:val="zh-CN"/>
              </w:rPr>
              <w:t>=A*</w:t>
            </w:r>
            <w:r>
              <w:rPr>
                <w:rFonts w:hint="eastAsia" w:ascii="宋体" w:hAnsi="宋体" w:cs="宋体"/>
                <w:szCs w:val="21"/>
                <w:highlight w:val="none"/>
                <w:lang w:val="en-US" w:eastAsia="zh-CN"/>
              </w:rPr>
              <w:t>5</w:t>
            </w:r>
            <w:r>
              <w:rPr>
                <w:rFonts w:hint="eastAsia" w:ascii="宋体" w:hAnsi="宋体" w:cs="宋体"/>
                <w:szCs w:val="21"/>
                <w:highlight w:val="none"/>
                <w:lang w:val="zh-CN"/>
              </w:rPr>
              <w:t>0%+B*</w:t>
            </w:r>
            <w:r>
              <w:rPr>
                <w:rFonts w:hint="eastAsia" w:ascii="宋体" w:hAnsi="宋体" w:cs="宋体"/>
                <w:szCs w:val="21"/>
                <w:highlight w:val="none"/>
                <w:lang w:val="en-US" w:eastAsia="zh-CN"/>
              </w:rPr>
              <w:t>5</w:t>
            </w:r>
            <w:r>
              <w:rPr>
                <w:rFonts w:hint="eastAsia" w:ascii="宋体" w:hAnsi="宋体" w:cs="宋体"/>
                <w:szCs w:val="21"/>
                <w:highlight w:val="none"/>
                <w:lang w:val="zh-CN"/>
              </w:rPr>
              <w:t>0%</w:t>
            </w:r>
          </w:p>
          <w:p w14:paraId="31638A53">
            <w:pPr>
              <w:snapToGrid w:val="0"/>
              <w:spacing w:line="440" w:lineRule="exact"/>
              <w:jc w:val="both"/>
              <w:rPr>
                <w:rFonts w:ascii="宋体" w:hAnsi="宋体" w:cs="宋体"/>
                <w:szCs w:val="21"/>
                <w:highlight w:val="none"/>
                <w:lang w:val="zh-CN"/>
              </w:rPr>
            </w:pPr>
            <w:r>
              <w:rPr>
                <w:rFonts w:hint="eastAsia" w:ascii="宋体" w:hAnsi="宋体" w:cs="宋体"/>
                <w:szCs w:val="21"/>
                <w:highlight w:val="none"/>
                <w:lang w:val="zh-CN"/>
              </w:rPr>
              <w:t>注：所有考核得分保留2位小数。</w:t>
            </w:r>
          </w:p>
        </w:tc>
      </w:tr>
      <w:tr w14:paraId="2DFD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481" w:type="dxa"/>
            <w:noWrap w:val="0"/>
            <w:vAlign w:val="center"/>
          </w:tcPr>
          <w:p w14:paraId="31D79EB3">
            <w:pPr>
              <w:snapToGrid w:val="0"/>
              <w:spacing w:line="440" w:lineRule="exact"/>
              <w:jc w:val="center"/>
              <w:rPr>
                <w:rFonts w:ascii="宋体" w:hAnsi="宋体" w:cs="宋体"/>
                <w:szCs w:val="21"/>
                <w:highlight w:val="none"/>
              </w:rPr>
            </w:pPr>
            <w:r>
              <w:rPr>
                <w:rFonts w:hint="eastAsia" w:ascii="宋体" w:hAnsi="宋体" w:cs="宋体"/>
                <w:szCs w:val="21"/>
                <w:highlight w:val="none"/>
                <w:lang w:val="zh-CN"/>
              </w:rPr>
              <w:t>镇街考核</w:t>
            </w:r>
            <w:r>
              <w:rPr>
                <w:rFonts w:hint="eastAsia" w:ascii="宋体" w:hAnsi="宋体" w:cs="宋体"/>
                <w:szCs w:val="21"/>
                <w:highlight w:val="none"/>
              </w:rPr>
              <w:t>（B）</w:t>
            </w:r>
          </w:p>
        </w:tc>
        <w:tc>
          <w:tcPr>
            <w:tcW w:w="1897" w:type="dxa"/>
            <w:noWrap w:val="0"/>
            <w:vAlign w:val="center"/>
          </w:tcPr>
          <w:p w14:paraId="76257B6F">
            <w:pPr>
              <w:snapToGrid w:val="0"/>
              <w:spacing w:line="440" w:lineRule="exact"/>
              <w:jc w:val="center"/>
              <w:rPr>
                <w:rFonts w:ascii="宋体" w:hAnsi="宋体" w:cs="宋体"/>
                <w:szCs w:val="21"/>
                <w:highlight w:val="none"/>
              </w:rPr>
            </w:pPr>
            <w:r>
              <w:rPr>
                <w:rFonts w:hint="eastAsia" w:ascii="宋体" w:hAnsi="宋体" w:cs="宋体"/>
                <w:szCs w:val="21"/>
                <w:highlight w:val="none"/>
                <w:lang w:val="en-US" w:eastAsia="zh-CN"/>
              </w:rPr>
              <w:t>5</w:t>
            </w:r>
            <w:r>
              <w:rPr>
                <w:rFonts w:ascii="宋体" w:hAnsi="宋体" w:cs="宋体"/>
                <w:szCs w:val="21"/>
                <w:highlight w:val="none"/>
              </w:rPr>
              <w:t>0</w:t>
            </w:r>
            <w:r>
              <w:rPr>
                <w:rFonts w:hint="eastAsia" w:ascii="宋体" w:hAnsi="宋体" w:cs="宋体"/>
                <w:szCs w:val="21"/>
                <w:highlight w:val="none"/>
              </w:rPr>
              <w:t>%</w:t>
            </w:r>
          </w:p>
        </w:tc>
        <w:tc>
          <w:tcPr>
            <w:tcW w:w="3837" w:type="dxa"/>
            <w:vMerge w:val="continue"/>
            <w:noWrap w:val="0"/>
            <w:vAlign w:val="center"/>
          </w:tcPr>
          <w:p w14:paraId="3A61842D">
            <w:pPr>
              <w:snapToGrid w:val="0"/>
              <w:spacing w:line="440" w:lineRule="exact"/>
              <w:jc w:val="center"/>
              <w:rPr>
                <w:rFonts w:ascii="宋体" w:hAnsi="宋体" w:cs="宋体"/>
                <w:szCs w:val="21"/>
                <w:highlight w:val="none"/>
              </w:rPr>
            </w:pPr>
          </w:p>
        </w:tc>
      </w:tr>
    </w:tbl>
    <w:p w14:paraId="557CDD4D">
      <w:pPr>
        <w:snapToGrid w:val="0"/>
        <w:spacing w:line="400" w:lineRule="exact"/>
        <w:rPr>
          <w:rFonts w:ascii="宋体" w:hAnsi="宋体" w:cs="宋体"/>
          <w:szCs w:val="21"/>
          <w:highlight w:val="none"/>
        </w:rPr>
      </w:pPr>
    </w:p>
    <w:p w14:paraId="3A9C8554">
      <w:pPr>
        <w:spacing w:line="360" w:lineRule="auto"/>
        <w:ind w:firstLine="420" w:firstLineChars="200"/>
        <w:rPr>
          <w:rFonts w:ascii="Arial" w:hAnsi="Arial" w:cs="Arial"/>
          <w:szCs w:val="21"/>
          <w:highlight w:val="none"/>
        </w:rPr>
      </w:pPr>
      <w:r>
        <w:rPr>
          <w:rFonts w:hint="eastAsia" w:ascii="Arial" w:hAnsi="Arial" w:cs="Arial"/>
          <w:szCs w:val="21"/>
          <w:highlight w:val="none"/>
        </w:rPr>
        <w:t>五、奖罚措施</w:t>
      </w:r>
    </w:p>
    <w:p w14:paraId="6201D06B">
      <w:pPr>
        <w:tabs>
          <w:tab w:val="left" w:pos="360"/>
        </w:tabs>
        <w:snapToGrid w:val="0"/>
        <w:spacing w:line="400" w:lineRule="exact"/>
        <w:ind w:left="19" w:leftChars="9" w:firstLine="399" w:firstLineChars="190"/>
        <w:rPr>
          <w:rFonts w:ascii="宋体" w:hAnsi="宋体"/>
          <w:b/>
          <w:szCs w:val="21"/>
          <w:highlight w:val="none"/>
        </w:rPr>
      </w:pPr>
      <w:r>
        <w:rPr>
          <w:rFonts w:hint="eastAsia" w:ascii="宋体" w:hAnsi="宋体" w:cs="宋体"/>
          <w:szCs w:val="21"/>
          <w:highlight w:val="none"/>
        </w:rPr>
        <w:t>凡遇国家、浙江省、温州市或瓯海区重大活动或检查时，中转站运行方面发现不达标的，除给予通报批评外，还可以给予相应的经济处罚。国家级检查发现问题的一处扣10000元以上，省级检查发现问题的一处扣5000元以上，地市级检查发现问题的一处扣1000元以上，区级检查发现问题的一处扣500元以上。</w:t>
      </w:r>
      <w:r>
        <w:rPr>
          <w:rFonts w:hint="eastAsia" w:ascii="宋体" w:hAnsi="宋体" w:cs="宋体"/>
          <w:szCs w:val="21"/>
          <w:highlight w:val="none"/>
          <w:lang w:val="en-US" w:eastAsia="zh-CN"/>
        </w:rPr>
        <w:t>如</w:t>
      </w:r>
      <w:r>
        <w:rPr>
          <w:rFonts w:hint="eastAsia" w:ascii="宋体" w:hAnsi="宋体" w:cs="宋体"/>
          <w:szCs w:val="21"/>
          <w:highlight w:val="none"/>
        </w:rPr>
        <w:t>遇市级季度对市区中转站考核排名：排名前2名不奖不罚，第3名扣5</w:t>
      </w:r>
      <w:r>
        <w:rPr>
          <w:rFonts w:ascii="宋体" w:hAnsi="宋体" w:cs="宋体"/>
          <w:szCs w:val="21"/>
          <w:highlight w:val="none"/>
        </w:rPr>
        <w:t>0000</w:t>
      </w:r>
      <w:r>
        <w:rPr>
          <w:rFonts w:hint="eastAsia" w:ascii="宋体" w:hAnsi="宋体" w:cs="宋体"/>
          <w:szCs w:val="21"/>
          <w:highlight w:val="none"/>
        </w:rPr>
        <w:t>元/次，第4名扣1</w:t>
      </w:r>
      <w:r>
        <w:rPr>
          <w:rFonts w:ascii="宋体" w:hAnsi="宋体" w:cs="宋体"/>
          <w:szCs w:val="21"/>
          <w:highlight w:val="none"/>
        </w:rPr>
        <w:t>00000</w:t>
      </w:r>
      <w:r>
        <w:rPr>
          <w:rFonts w:hint="eastAsia" w:ascii="宋体" w:hAnsi="宋体" w:cs="宋体"/>
          <w:szCs w:val="21"/>
          <w:highlight w:val="none"/>
        </w:rPr>
        <w:t>元/次。</w:t>
      </w:r>
    </w:p>
    <w:p w14:paraId="4595896E">
      <w:pPr>
        <w:tabs>
          <w:tab w:val="left" w:pos="360"/>
        </w:tabs>
        <w:snapToGrid w:val="0"/>
        <w:spacing w:line="400" w:lineRule="exact"/>
        <w:ind w:left="19" w:leftChars="9" w:firstLine="399" w:firstLineChars="190"/>
        <w:rPr>
          <w:rFonts w:hint="eastAsia" w:ascii="宋体" w:hAnsi="宋体" w:cs="宋体"/>
          <w:szCs w:val="21"/>
          <w:highlight w:val="none"/>
        </w:rPr>
      </w:pPr>
      <w:r>
        <w:rPr>
          <w:rFonts w:hint="eastAsia" w:ascii="宋体" w:hAnsi="宋体" w:cs="宋体"/>
          <w:szCs w:val="21"/>
          <w:highlight w:val="none"/>
        </w:rPr>
        <w:t>指挥中心、智慧城管等交办问题未处置（办理）的、发生一次扣2000元，未按期处置（办理）或处置（办理）不到位的，发生一次扣1000元。社会反映的热点、焦点问题和市政府阶段重点工作保障任务、领导重要批示要求、市局巡查督办等重点督办件办理、回复不及时、不到位的，发现一次扣2000元。对因管理不当被媒体曝光并造成社会恶劣影响的，发生一次扣5000元。</w:t>
      </w:r>
    </w:p>
    <w:p w14:paraId="4173EBEF">
      <w:pPr>
        <w:pStyle w:val="11"/>
        <w:ind w:left="0" w:leftChars="0" w:firstLine="0" w:firstLineChars="0"/>
        <w:rPr>
          <w:rFonts w:hint="default" w:eastAsiaTheme="minorEastAsia"/>
          <w:b/>
          <w:bCs/>
          <w:highlight w:val="none"/>
          <w:lang w:val="en-US" w:eastAsia="zh-CN"/>
        </w:rPr>
      </w:pPr>
      <w:r>
        <w:rPr>
          <w:rFonts w:hint="eastAsia" w:ascii="宋体" w:hAnsi="宋体" w:cs="宋体"/>
          <w:b/>
          <w:bCs/>
          <w:szCs w:val="21"/>
          <w:highlight w:val="none"/>
          <w:lang w:val="en-US" w:eastAsia="zh-CN"/>
        </w:rPr>
        <w:t xml:space="preserve">   如发生亡人事故的并被认定为主要责任以上的，</w:t>
      </w:r>
      <w:r>
        <w:rPr>
          <w:rFonts w:hint="eastAsia" w:ascii="宋体" w:hAnsi="宋体" w:cs="宋体"/>
          <w:b/>
          <w:bCs/>
          <w:szCs w:val="21"/>
          <w:highlight w:val="none"/>
        </w:rPr>
        <w:t>发生一次扣</w:t>
      </w:r>
      <w:r>
        <w:rPr>
          <w:rFonts w:hint="eastAsia" w:ascii="宋体" w:hAnsi="宋体" w:cs="宋体"/>
          <w:b/>
          <w:bCs/>
          <w:szCs w:val="21"/>
          <w:highlight w:val="none"/>
          <w:lang w:val="en-US" w:eastAsia="zh-CN"/>
        </w:rPr>
        <w:t>20</w:t>
      </w:r>
      <w:r>
        <w:rPr>
          <w:rFonts w:hint="eastAsia" w:ascii="宋体" w:hAnsi="宋体" w:cs="宋体"/>
          <w:b/>
          <w:bCs/>
          <w:szCs w:val="21"/>
          <w:highlight w:val="none"/>
        </w:rPr>
        <w:t>000元。</w:t>
      </w:r>
    </w:p>
    <w:p w14:paraId="5BB79A73">
      <w:pPr>
        <w:spacing w:line="360" w:lineRule="auto"/>
        <w:ind w:firstLine="420" w:firstLineChars="200"/>
        <w:rPr>
          <w:rFonts w:ascii="Arial" w:hAnsi="Arial" w:cs="Arial"/>
          <w:szCs w:val="21"/>
          <w:highlight w:val="none"/>
        </w:rPr>
      </w:pPr>
      <w:r>
        <w:rPr>
          <w:rFonts w:hint="eastAsia" w:ascii="Arial" w:hAnsi="Arial" w:cs="Arial"/>
          <w:szCs w:val="21"/>
          <w:highlight w:val="none"/>
        </w:rPr>
        <w:t>六、其他</w:t>
      </w:r>
    </w:p>
    <w:p w14:paraId="19B37CD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1、本办法为试行，运营期间，甲方有权对不适用条款进行修订。</w:t>
      </w:r>
    </w:p>
    <w:p w14:paraId="02765C20">
      <w:pPr>
        <w:snapToGrid w:val="0"/>
        <w:spacing w:line="400" w:lineRule="exact"/>
        <w:ind w:firstLine="420" w:firstLineChars="200"/>
        <w:rPr>
          <w:rFonts w:ascii="宋体" w:hAnsi="宋体"/>
          <w:b/>
          <w:szCs w:val="21"/>
          <w:highlight w:val="none"/>
        </w:rPr>
      </w:pPr>
      <w:r>
        <w:rPr>
          <w:rFonts w:hint="eastAsia" w:ascii="宋体" w:hAnsi="宋体" w:cs="宋体"/>
          <w:szCs w:val="21"/>
          <w:highlight w:val="none"/>
        </w:rPr>
        <w:t>2、本办法未尽事宜，按招标文件及相关合同、协议执行。</w:t>
      </w:r>
    </w:p>
    <w:p w14:paraId="6B318B7E">
      <w:pPr>
        <w:pStyle w:val="6"/>
        <w:tabs>
          <w:tab w:val="left" w:pos="840"/>
        </w:tabs>
        <w:spacing w:line="440" w:lineRule="exact"/>
        <w:rPr>
          <w:sz w:val="21"/>
          <w:szCs w:val="21"/>
          <w:highlight w:val="none"/>
        </w:rPr>
        <w:sectPr>
          <w:pgSz w:w="11906" w:h="16838"/>
          <w:pgMar w:top="1361" w:right="1304" w:bottom="1247" w:left="1304" w:header="851" w:footer="992" w:gutter="0"/>
          <w:cols w:space="720" w:num="1"/>
          <w:docGrid w:type="lines" w:linePitch="312" w:charSpace="0"/>
        </w:sectPr>
      </w:pPr>
    </w:p>
    <w:p w14:paraId="26AE3816">
      <w:pPr>
        <w:spacing w:line="360" w:lineRule="auto"/>
        <w:ind w:firstLine="420" w:firstLineChars="200"/>
        <w:rPr>
          <w:rFonts w:ascii="Arial" w:hAnsi="Arial" w:cs="Arial"/>
          <w:szCs w:val="21"/>
          <w:highlight w:val="none"/>
        </w:rPr>
      </w:pPr>
      <w:r>
        <w:rPr>
          <w:rFonts w:hint="eastAsia" w:ascii="Arial" w:hAnsi="Arial" w:cs="Arial"/>
          <w:szCs w:val="21"/>
          <w:highlight w:val="none"/>
        </w:rPr>
        <w:t>附录1：瓯海区生活垃圾转运服务（中转站运维）考核评分标准</w:t>
      </w:r>
    </w:p>
    <w:tbl>
      <w:tblPr>
        <w:tblStyle w:val="24"/>
        <w:tblW w:w="97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2"/>
        <w:gridCol w:w="607"/>
        <w:gridCol w:w="579"/>
        <w:gridCol w:w="3969"/>
        <w:gridCol w:w="3981"/>
      </w:tblGrid>
      <w:tr w14:paraId="18708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62" w:type="dxa"/>
            <w:shd w:val="clear" w:color="000000" w:fill="FFFFFF"/>
            <w:noWrap w:val="0"/>
            <w:vAlign w:val="center"/>
          </w:tcPr>
          <w:p w14:paraId="7029874B">
            <w:pPr>
              <w:jc w:val="center"/>
              <w:rPr>
                <w:rFonts w:ascii="宋体" w:hAnsi="宋体" w:cs="宋体"/>
                <w:sz w:val="18"/>
                <w:szCs w:val="18"/>
                <w:highlight w:val="none"/>
              </w:rPr>
            </w:pPr>
            <w:r>
              <w:rPr>
                <w:rFonts w:hint="eastAsia" w:ascii="宋体" w:hAnsi="宋体" w:cs="宋体"/>
                <w:sz w:val="18"/>
                <w:szCs w:val="18"/>
                <w:highlight w:val="none"/>
                <w:lang w:eastAsia="zh-TW"/>
              </w:rPr>
              <w:t>序号</w:t>
            </w:r>
          </w:p>
        </w:tc>
        <w:tc>
          <w:tcPr>
            <w:tcW w:w="607" w:type="dxa"/>
            <w:shd w:val="clear" w:color="000000" w:fill="FFFFFF"/>
            <w:noWrap w:val="0"/>
            <w:vAlign w:val="center"/>
          </w:tcPr>
          <w:p w14:paraId="37CBB575">
            <w:pPr>
              <w:jc w:val="center"/>
              <w:rPr>
                <w:rFonts w:ascii="宋体" w:hAnsi="宋体" w:cs="宋体"/>
                <w:sz w:val="18"/>
                <w:szCs w:val="18"/>
                <w:highlight w:val="none"/>
              </w:rPr>
            </w:pPr>
            <w:r>
              <w:rPr>
                <w:rFonts w:hint="eastAsia" w:ascii="宋体" w:hAnsi="宋体" w:cs="宋体"/>
                <w:sz w:val="18"/>
                <w:szCs w:val="18"/>
                <w:highlight w:val="none"/>
                <w:lang w:eastAsia="zh-TW"/>
              </w:rPr>
              <w:t>考核项目</w:t>
            </w:r>
          </w:p>
        </w:tc>
        <w:tc>
          <w:tcPr>
            <w:tcW w:w="579" w:type="dxa"/>
            <w:shd w:val="clear" w:color="000000" w:fill="FFFFFF"/>
            <w:noWrap w:val="0"/>
            <w:vAlign w:val="center"/>
          </w:tcPr>
          <w:p w14:paraId="6349CEE0">
            <w:pPr>
              <w:jc w:val="center"/>
              <w:rPr>
                <w:rFonts w:ascii="宋体" w:hAnsi="宋体" w:cs="宋体"/>
                <w:sz w:val="18"/>
                <w:szCs w:val="18"/>
                <w:highlight w:val="none"/>
              </w:rPr>
            </w:pPr>
            <w:r>
              <w:rPr>
                <w:rFonts w:hint="eastAsia" w:ascii="宋体" w:hAnsi="宋体" w:cs="宋体"/>
                <w:sz w:val="18"/>
                <w:szCs w:val="18"/>
                <w:highlight w:val="none"/>
                <w:lang w:eastAsia="zh-TW"/>
              </w:rPr>
              <w:t>考核方式</w:t>
            </w:r>
          </w:p>
        </w:tc>
        <w:tc>
          <w:tcPr>
            <w:tcW w:w="3969" w:type="dxa"/>
            <w:shd w:val="clear" w:color="000000" w:fill="FFFFFF"/>
            <w:noWrap w:val="0"/>
            <w:vAlign w:val="center"/>
          </w:tcPr>
          <w:p w14:paraId="13AAABE9">
            <w:pPr>
              <w:jc w:val="center"/>
              <w:rPr>
                <w:rFonts w:ascii="宋体" w:hAnsi="宋体" w:cs="宋体"/>
                <w:sz w:val="18"/>
                <w:szCs w:val="18"/>
                <w:highlight w:val="none"/>
              </w:rPr>
            </w:pPr>
            <w:r>
              <w:rPr>
                <w:rFonts w:hint="eastAsia" w:ascii="宋体" w:hAnsi="宋体" w:cs="宋体"/>
                <w:sz w:val="18"/>
                <w:szCs w:val="18"/>
                <w:highlight w:val="none"/>
                <w:lang w:eastAsia="zh-TW"/>
              </w:rPr>
              <w:t>管理作业标准</w:t>
            </w:r>
          </w:p>
        </w:tc>
        <w:tc>
          <w:tcPr>
            <w:tcW w:w="3981" w:type="dxa"/>
            <w:shd w:val="clear" w:color="000000" w:fill="FFFFFF"/>
            <w:noWrap w:val="0"/>
            <w:vAlign w:val="center"/>
          </w:tcPr>
          <w:p w14:paraId="44BB1B15">
            <w:pPr>
              <w:jc w:val="center"/>
              <w:rPr>
                <w:rFonts w:ascii="宋体" w:hAnsi="宋体" w:cs="宋体"/>
                <w:sz w:val="18"/>
                <w:szCs w:val="18"/>
                <w:highlight w:val="none"/>
              </w:rPr>
            </w:pPr>
            <w:r>
              <w:rPr>
                <w:rFonts w:hint="eastAsia" w:ascii="宋体" w:hAnsi="宋体" w:cs="宋体"/>
                <w:sz w:val="18"/>
                <w:szCs w:val="18"/>
                <w:highlight w:val="none"/>
                <w:lang w:eastAsia="zh-TW"/>
              </w:rPr>
              <w:t>评分细则</w:t>
            </w:r>
          </w:p>
        </w:tc>
      </w:tr>
      <w:tr w14:paraId="38181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7" w:hRule="atLeast"/>
          <w:jc w:val="center"/>
        </w:trPr>
        <w:tc>
          <w:tcPr>
            <w:tcW w:w="662" w:type="dxa"/>
            <w:vMerge w:val="restart"/>
            <w:shd w:val="clear" w:color="000000" w:fill="FFFFFF"/>
            <w:noWrap w:val="0"/>
            <w:vAlign w:val="center"/>
          </w:tcPr>
          <w:p w14:paraId="5510E4B1">
            <w:pPr>
              <w:jc w:val="center"/>
              <w:rPr>
                <w:rFonts w:ascii="Times New Roman" w:hAnsi="Times New Roman"/>
                <w:sz w:val="18"/>
                <w:szCs w:val="18"/>
                <w:highlight w:val="none"/>
              </w:rPr>
            </w:pPr>
            <w:r>
              <w:rPr>
                <w:rFonts w:hint="eastAsia" w:ascii="Times New Roman" w:hAnsi="Times New Roman"/>
                <w:sz w:val="18"/>
                <w:szCs w:val="18"/>
                <w:highlight w:val="none"/>
              </w:rPr>
              <w:t>一</w:t>
            </w:r>
          </w:p>
        </w:tc>
        <w:tc>
          <w:tcPr>
            <w:tcW w:w="607" w:type="dxa"/>
            <w:vMerge w:val="restart"/>
            <w:shd w:val="clear" w:color="000000" w:fill="FFFFFF"/>
            <w:noWrap w:val="0"/>
            <w:vAlign w:val="center"/>
          </w:tcPr>
          <w:p w14:paraId="2A63B740">
            <w:pPr>
              <w:jc w:val="center"/>
              <w:rPr>
                <w:highlight w:val="none"/>
              </w:rPr>
            </w:pPr>
            <w:r>
              <w:rPr>
                <w:rFonts w:hint="eastAsia"/>
                <w:highlight w:val="none"/>
                <w:lang w:eastAsia="zh-TW"/>
              </w:rPr>
              <w:t>管理制度</w:t>
            </w:r>
          </w:p>
        </w:tc>
        <w:tc>
          <w:tcPr>
            <w:tcW w:w="579" w:type="dxa"/>
            <w:vMerge w:val="restart"/>
            <w:shd w:val="clear" w:color="000000" w:fill="FFFFFF"/>
            <w:noWrap w:val="0"/>
            <w:vAlign w:val="center"/>
          </w:tcPr>
          <w:p w14:paraId="59A3D7D3">
            <w:pPr>
              <w:jc w:val="center"/>
              <w:rPr>
                <w:rFonts w:ascii="宋体" w:hAnsi="宋体" w:cs="宋体"/>
                <w:sz w:val="18"/>
                <w:szCs w:val="18"/>
                <w:highlight w:val="none"/>
              </w:rPr>
            </w:pPr>
            <w:r>
              <w:rPr>
                <w:rFonts w:hint="eastAsia" w:ascii="宋体" w:hAnsi="宋体" w:cs="宋体"/>
                <w:sz w:val="18"/>
                <w:szCs w:val="18"/>
                <w:highlight w:val="none"/>
                <w:lang w:eastAsia="zh-TW"/>
              </w:rPr>
              <w:t>实地考核</w:t>
            </w:r>
          </w:p>
        </w:tc>
        <w:tc>
          <w:tcPr>
            <w:tcW w:w="3969" w:type="dxa"/>
            <w:shd w:val="clear" w:color="000000" w:fill="FFFFFF"/>
            <w:noWrap w:val="0"/>
            <w:vAlign w:val="center"/>
          </w:tcPr>
          <w:p w14:paraId="4EB8D035">
            <w:pPr>
              <w:jc w:val="both"/>
              <w:rPr>
                <w:rFonts w:ascii="Times New Roman" w:hAnsi="Times New Roman"/>
                <w:sz w:val="18"/>
                <w:szCs w:val="18"/>
                <w:highlight w:val="none"/>
              </w:rPr>
            </w:pPr>
            <w:r>
              <w:rPr>
                <w:rFonts w:hint="eastAsia" w:ascii="Times New Roman" w:hAnsi="Times New Roman"/>
                <w:sz w:val="18"/>
                <w:szCs w:val="18"/>
                <w:highlight w:val="none"/>
                <w:lang w:eastAsia="zh-TW"/>
              </w:rPr>
              <w:t>1</w:t>
            </w:r>
            <w:r>
              <w:rPr>
                <w:rFonts w:hint="eastAsia" w:ascii="宋体" w:hAnsi="宋体"/>
                <w:sz w:val="18"/>
                <w:szCs w:val="18"/>
                <w:highlight w:val="none"/>
                <w:lang w:eastAsia="zh-TW"/>
              </w:rPr>
              <w:t>、垃圾转运站各项规章制度、操作规程、安全生产标识、监督电话等应上墙。文明配合检查考核人员正常检查。</w:t>
            </w:r>
          </w:p>
        </w:tc>
        <w:tc>
          <w:tcPr>
            <w:tcW w:w="3981" w:type="dxa"/>
            <w:shd w:val="clear" w:color="000000" w:fill="FFFFFF"/>
            <w:noWrap w:val="0"/>
            <w:vAlign w:val="center"/>
          </w:tcPr>
          <w:p w14:paraId="3C6311CA">
            <w:pPr>
              <w:jc w:val="both"/>
              <w:rPr>
                <w:rFonts w:ascii="Times New Roman" w:hAnsi="Times New Roman"/>
                <w:sz w:val="18"/>
                <w:szCs w:val="18"/>
                <w:highlight w:val="none"/>
              </w:rPr>
            </w:pPr>
            <w:r>
              <w:rPr>
                <w:rFonts w:ascii="Times New Roman" w:hAnsi="Times New Roman"/>
                <w:sz w:val="18"/>
                <w:szCs w:val="18"/>
                <w:highlight w:val="none"/>
              </w:rPr>
              <w:t>1.</w:t>
            </w:r>
            <w:r>
              <w:rPr>
                <w:rFonts w:hint="eastAsia" w:ascii="宋体" w:hAnsi="宋体"/>
                <w:sz w:val="18"/>
                <w:szCs w:val="18"/>
                <w:highlight w:val="none"/>
              </w:rPr>
              <w:t>各项规章制度、操作规程、安全标识、监督电话、工作人员亮相牌、开关停时间等未置于明显位置的各扣</w:t>
            </w:r>
            <w:r>
              <w:rPr>
                <w:rFonts w:ascii="Times New Roman" w:hAnsi="Times New Roman"/>
                <w:sz w:val="18"/>
                <w:szCs w:val="18"/>
                <w:highlight w:val="none"/>
              </w:rPr>
              <w:t>2</w:t>
            </w:r>
            <w:r>
              <w:rPr>
                <w:rFonts w:hint="eastAsia" w:ascii="宋体" w:hAnsi="宋体"/>
                <w:sz w:val="18"/>
                <w:szCs w:val="18"/>
                <w:highlight w:val="none"/>
              </w:rPr>
              <w:t>分；</w:t>
            </w:r>
            <w:r>
              <w:rPr>
                <w:rFonts w:hint="eastAsia" w:ascii="宋体" w:hAnsi="宋体"/>
                <w:sz w:val="18"/>
                <w:szCs w:val="18"/>
                <w:highlight w:val="none"/>
                <w:shd w:val="clear" w:color="auto" w:fill="FFFF00"/>
              </w:rPr>
              <w:t>无理阻扰、谩骂、影响检查考核人员正常工作的扣</w:t>
            </w:r>
            <w:r>
              <w:rPr>
                <w:rFonts w:hint="eastAsia" w:ascii="Times New Roman" w:hAnsi="Times New Roman"/>
                <w:sz w:val="18"/>
                <w:szCs w:val="18"/>
                <w:highlight w:val="none"/>
                <w:shd w:val="clear" w:color="auto" w:fill="FFFF00"/>
                <w:lang w:val="en-US" w:eastAsia="zh-CN"/>
              </w:rPr>
              <w:t>10</w:t>
            </w:r>
            <w:r>
              <w:rPr>
                <w:rFonts w:hint="eastAsia" w:ascii="宋体" w:hAnsi="宋体"/>
                <w:sz w:val="18"/>
                <w:szCs w:val="18"/>
                <w:highlight w:val="none"/>
                <w:shd w:val="clear" w:color="auto" w:fill="FFFF00"/>
              </w:rPr>
              <w:t>分</w:t>
            </w:r>
            <w:r>
              <w:rPr>
                <w:rFonts w:hint="eastAsia" w:ascii="宋体" w:hAnsi="宋体"/>
                <w:sz w:val="18"/>
                <w:szCs w:val="18"/>
                <w:highlight w:val="none"/>
              </w:rPr>
              <w:t>。</w:t>
            </w:r>
          </w:p>
        </w:tc>
      </w:tr>
      <w:tr w14:paraId="43C79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662" w:type="dxa"/>
            <w:vMerge w:val="continue"/>
            <w:shd w:val="clear" w:color="auto" w:fill="auto"/>
            <w:noWrap w:val="0"/>
            <w:vAlign w:val="center"/>
          </w:tcPr>
          <w:p w14:paraId="0A18FC2B">
            <w:pPr>
              <w:jc w:val="center"/>
              <w:rPr>
                <w:rFonts w:ascii="Times New Roman" w:hAnsi="Times New Roman"/>
                <w:sz w:val="18"/>
                <w:szCs w:val="18"/>
                <w:highlight w:val="none"/>
              </w:rPr>
            </w:pPr>
          </w:p>
        </w:tc>
        <w:tc>
          <w:tcPr>
            <w:tcW w:w="607" w:type="dxa"/>
            <w:vMerge w:val="continue"/>
            <w:shd w:val="clear" w:color="000000" w:fill="FFFFFF"/>
            <w:noWrap w:val="0"/>
            <w:vAlign w:val="center"/>
          </w:tcPr>
          <w:p w14:paraId="59167C1F">
            <w:pPr>
              <w:jc w:val="center"/>
              <w:rPr>
                <w:rFonts w:ascii="Times New Roman" w:hAnsi="Times New Roman"/>
                <w:sz w:val="18"/>
                <w:szCs w:val="18"/>
                <w:highlight w:val="none"/>
              </w:rPr>
            </w:pPr>
          </w:p>
        </w:tc>
        <w:tc>
          <w:tcPr>
            <w:tcW w:w="579" w:type="dxa"/>
            <w:vMerge w:val="continue"/>
            <w:shd w:val="clear" w:color="auto" w:fill="auto"/>
            <w:noWrap w:val="0"/>
            <w:vAlign w:val="center"/>
          </w:tcPr>
          <w:p w14:paraId="0B677A5C">
            <w:pPr>
              <w:jc w:val="center"/>
              <w:rPr>
                <w:rFonts w:ascii="宋体" w:hAnsi="宋体" w:cs="宋体"/>
                <w:sz w:val="18"/>
                <w:szCs w:val="18"/>
                <w:highlight w:val="none"/>
              </w:rPr>
            </w:pPr>
          </w:p>
        </w:tc>
        <w:tc>
          <w:tcPr>
            <w:tcW w:w="3969" w:type="dxa"/>
            <w:shd w:val="clear" w:color="000000" w:fill="FFFFFF"/>
            <w:noWrap w:val="0"/>
            <w:vAlign w:val="center"/>
          </w:tcPr>
          <w:p w14:paraId="0BCB20FD">
            <w:pPr>
              <w:jc w:val="both"/>
              <w:rPr>
                <w:rFonts w:ascii="Times New Roman" w:hAnsi="Times New Roman"/>
                <w:sz w:val="18"/>
                <w:szCs w:val="18"/>
                <w:highlight w:val="none"/>
              </w:rPr>
            </w:pPr>
            <w:r>
              <w:rPr>
                <w:rFonts w:hint="eastAsia" w:ascii="Times New Roman" w:hAnsi="Times New Roman"/>
                <w:sz w:val="18"/>
                <w:szCs w:val="18"/>
                <w:highlight w:val="none"/>
                <w:lang w:eastAsia="zh-TW"/>
              </w:rPr>
              <w:t>2</w:t>
            </w:r>
            <w:r>
              <w:rPr>
                <w:rFonts w:hint="eastAsia" w:ascii="宋体" w:hAnsi="宋体"/>
                <w:sz w:val="18"/>
                <w:szCs w:val="18"/>
                <w:highlight w:val="none"/>
                <w:lang w:eastAsia="zh-TW"/>
              </w:rPr>
              <w:t>、按照规定的时间开关</w:t>
            </w:r>
            <w:r>
              <w:rPr>
                <w:rFonts w:hint="eastAsia" w:ascii="宋体" w:hAnsi="宋体"/>
                <w:sz w:val="18"/>
                <w:szCs w:val="18"/>
                <w:highlight w:val="none"/>
              </w:rPr>
              <w:t>停</w:t>
            </w:r>
            <w:r>
              <w:rPr>
                <w:rFonts w:hint="eastAsia" w:ascii="宋体" w:hAnsi="宋体"/>
                <w:sz w:val="18"/>
                <w:szCs w:val="18"/>
                <w:highlight w:val="none"/>
                <w:lang w:eastAsia="zh-TW"/>
              </w:rPr>
              <w:t>，严禁出现脱岗现象。</w:t>
            </w:r>
          </w:p>
        </w:tc>
        <w:tc>
          <w:tcPr>
            <w:tcW w:w="3981" w:type="dxa"/>
            <w:shd w:val="clear" w:color="000000" w:fill="FFFFFF"/>
            <w:noWrap w:val="0"/>
            <w:vAlign w:val="center"/>
          </w:tcPr>
          <w:p w14:paraId="6A516618">
            <w:pPr>
              <w:jc w:val="both"/>
              <w:rPr>
                <w:rFonts w:ascii="Times New Roman" w:hAnsi="Times New Roman"/>
                <w:sz w:val="18"/>
                <w:szCs w:val="18"/>
                <w:highlight w:val="none"/>
              </w:rPr>
            </w:pPr>
            <w:r>
              <w:rPr>
                <w:rFonts w:hint="eastAsia" w:ascii="Times New Roman" w:hAnsi="Times New Roman"/>
                <w:sz w:val="18"/>
                <w:szCs w:val="18"/>
                <w:highlight w:val="none"/>
                <w:lang w:eastAsia="zh-TW"/>
              </w:rPr>
              <w:t>2</w:t>
            </w:r>
            <w:r>
              <w:rPr>
                <w:rFonts w:hint="eastAsia" w:ascii="宋体" w:hAnsi="宋体"/>
                <w:sz w:val="18"/>
                <w:szCs w:val="18"/>
                <w:highlight w:val="none"/>
                <w:lang w:eastAsia="zh-TW"/>
              </w:rPr>
              <w:t>、</w:t>
            </w:r>
            <w:r>
              <w:rPr>
                <w:rFonts w:hint="eastAsia" w:ascii="宋体" w:hAnsi="宋体"/>
                <w:sz w:val="18"/>
                <w:szCs w:val="18"/>
                <w:highlight w:val="none"/>
                <w:shd w:val="clear" w:color="auto" w:fill="FFFF00"/>
                <w:lang w:eastAsia="zh-TW"/>
              </w:rPr>
              <w:t>未按规定时间开关</w:t>
            </w:r>
            <w:r>
              <w:rPr>
                <w:rFonts w:hint="eastAsia" w:ascii="宋体" w:hAnsi="宋体"/>
                <w:sz w:val="18"/>
                <w:szCs w:val="18"/>
                <w:highlight w:val="none"/>
                <w:shd w:val="clear" w:color="auto" w:fill="FFFF00"/>
              </w:rPr>
              <w:t>停</w:t>
            </w:r>
            <w:r>
              <w:rPr>
                <w:rFonts w:hint="eastAsia" w:ascii="宋体" w:hAnsi="宋体"/>
                <w:sz w:val="18"/>
                <w:szCs w:val="18"/>
                <w:highlight w:val="none"/>
                <w:shd w:val="clear" w:color="auto" w:fill="FFFF00"/>
                <w:lang w:eastAsia="zh-TW"/>
              </w:rPr>
              <w:t>的扣</w:t>
            </w:r>
            <w:r>
              <w:rPr>
                <w:rFonts w:hint="eastAsia" w:ascii="Times New Roman" w:hAnsi="Times New Roman"/>
                <w:sz w:val="18"/>
                <w:szCs w:val="18"/>
                <w:highlight w:val="none"/>
                <w:shd w:val="clear" w:color="auto" w:fill="FFFF00"/>
                <w:lang w:val="en-US" w:eastAsia="zh-CN"/>
              </w:rPr>
              <w:t>10</w:t>
            </w:r>
            <w:r>
              <w:rPr>
                <w:rFonts w:hint="eastAsia" w:ascii="宋体" w:hAnsi="宋体"/>
                <w:sz w:val="18"/>
                <w:szCs w:val="18"/>
                <w:highlight w:val="none"/>
                <w:shd w:val="clear" w:color="auto" w:fill="FFFF00"/>
                <w:lang w:eastAsia="zh-TW"/>
              </w:rPr>
              <w:t>分/次。工作人员上班时间饮酒、睡觉、玩牌等或做其它与工作无关事情的，扣</w:t>
            </w:r>
            <w:r>
              <w:rPr>
                <w:rFonts w:ascii="Times New Roman" w:hAnsi="Times New Roman"/>
                <w:sz w:val="18"/>
                <w:szCs w:val="18"/>
                <w:highlight w:val="none"/>
                <w:shd w:val="clear" w:color="auto" w:fill="FFFF00"/>
                <w:lang w:eastAsia="zh-TW"/>
              </w:rPr>
              <w:t>5</w:t>
            </w:r>
            <w:r>
              <w:rPr>
                <w:rFonts w:hint="eastAsia" w:ascii="宋体" w:hAnsi="宋体"/>
                <w:sz w:val="18"/>
                <w:szCs w:val="18"/>
                <w:highlight w:val="none"/>
                <w:shd w:val="clear" w:color="auto" w:fill="FFFF00"/>
                <w:lang w:eastAsia="zh-TW"/>
              </w:rPr>
              <w:t>分/次；当班人员出现脱岗的扣</w:t>
            </w:r>
            <w:r>
              <w:rPr>
                <w:rFonts w:hint="eastAsia" w:ascii="Times New Roman" w:hAnsi="Times New Roman"/>
                <w:sz w:val="18"/>
                <w:szCs w:val="18"/>
                <w:highlight w:val="none"/>
                <w:shd w:val="clear" w:color="auto" w:fill="FFFF00"/>
                <w:lang w:val="en-US" w:eastAsia="zh-CN"/>
              </w:rPr>
              <w:t>5</w:t>
            </w:r>
            <w:r>
              <w:rPr>
                <w:rFonts w:hint="eastAsia" w:ascii="宋体" w:hAnsi="宋体"/>
                <w:sz w:val="18"/>
                <w:szCs w:val="18"/>
                <w:highlight w:val="none"/>
                <w:shd w:val="clear" w:color="auto" w:fill="FFFF00"/>
                <w:lang w:eastAsia="zh-TW"/>
              </w:rPr>
              <w:t>分/次。</w:t>
            </w:r>
          </w:p>
        </w:tc>
      </w:tr>
      <w:tr w14:paraId="585CB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atLeast"/>
          <w:jc w:val="center"/>
        </w:trPr>
        <w:tc>
          <w:tcPr>
            <w:tcW w:w="662" w:type="dxa"/>
            <w:vMerge w:val="continue"/>
            <w:shd w:val="clear" w:color="auto" w:fill="auto"/>
            <w:noWrap w:val="0"/>
            <w:vAlign w:val="center"/>
          </w:tcPr>
          <w:p w14:paraId="1E06D374">
            <w:pPr>
              <w:jc w:val="center"/>
              <w:rPr>
                <w:rFonts w:ascii="Times New Roman" w:hAnsi="Times New Roman"/>
                <w:sz w:val="18"/>
                <w:szCs w:val="18"/>
                <w:highlight w:val="none"/>
              </w:rPr>
            </w:pPr>
          </w:p>
        </w:tc>
        <w:tc>
          <w:tcPr>
            <w:tcW w:w="607" w:type="dxa"/>
            <w:vMerge w:val="continue"/>
            <w:shd w:val="clear" w:color="000000" w:fill="FFFFFF"/>
            <w:noWrap w:val="0"/>
            <w:vAlign w:val="center"/>
          </w:tcPr>
          <w:p w14:paraId="0094C443">
            <w:pPr>
              <w:jc w:val="center"/>
              <w:rPr>
                <w:rFonts w:ascii="宋体" w:hAnsi="宋体" w:cs="宋体"/>
                <w:sz w:val="18"/>
                <w:szCs w:val="18"/>
                <w:highlight w:val="none"/>
              </w:rPr>
            </w:pPr>
          </w:p>
        </w:tc>
        <w:tc>
          <w:tcPr>
            <w:tcW w:w="579" w:type="dxa"/>
            <w:vMerge w:val="continue"/>
            <w:shd w:val="clear" w:color="auto" w:fill="auto"/>
            <w:noWrap w:val="0"/>
            <w:vAlign w:val="center"/>
          </w:tcPr>
          <w:p w14:paraId="45054127">
            <w:pPr>
              <w:jc w:val="center"/>
              <w:rPr>
                <w:rFonts w:ascii="宋体" w:hAnsi="宋体" w:cs="宋体"/>
                <w:sz w:val="18"/>
                <w:szCs w:val="18"/>
                <w:highlight w:val="none"/>
              </w:rPr>
            </w:pPr>
          </w:p>
        </w:tc>
        <w:tc>
          <w:tcPr>
            <w:tcW w:w="3969" w:type="dxa"/>
            <w:shd w:val="clear" w:color="000000" w:fill="FFFFFF"/>
            <w:noWrap w:val="0"/>
            <w:vAlign w:val="center"/>
          </w:tcPr>
          <w:p w14:paraId="3267C816">
            <w:pPr>
              <w:jc w:val="both"/>
              <w:rPr>
                <w:rFonts w:ascii="Times New Roman" w:hAnsi="Times New Roman"/>
                <w:sz w:val="18"/>
                <w:szCs w:val="18"/>
                <w:highlight w:val="none"/>
              </w:rPr>
            </w:pPr>
            <w:r>
              <w:rPr>
                <w:rFonts w:hint="eastAsia" w:ascii="Times New Roman" w:hAnsi="Times New Roman"/>
                <w:sz w:val="18"/>
                <w:szCs w:val="18"/>
                <w:highlight w:val="none"/>
                <w:lang w:eastAsia="zh-TW"/>
              </w:rPr>
              <w:t>3</w:t>
            </w:r>
            <w:r>
              <w:rPr>
                <w:rFonts w:hint="eastAsia" w:ascii="宋体" w:hAnsi="宋体"/>
                <w:sz w:val="18"/>
                <w:szCs w:val="18"/>
                <w:highlight w:val="none"/>
                <w:lang w:eastAsia="zh-TW"/>
              </w:rPr>
              <w:t>、站内安全生产工作全面到位，指定专人定岗操作，统一着装，佩证上岗，严格按照操作规程文明作业，严禁拾捡垃圾</w:t>
            </w:r>
            <w:r>
              <w:rPr>
                <w:rFonts w:hint="eastAsia" w:ascii="宋体" w:hAnsi="宋体"/>
                <w:sz w:val="18"/>
                <w:szCs w:val="18"/>
                <w:highlight w:val="none"/>
              </w:rPr>
              <w:t>、</w:t>
            </w:r>
            <w:r>
              <w:rPr>
                <w:rFonts w:hint="eastAsia" w:ascii="宋体" w:hAnsi="宋体"/>
                <w:sz w:val="18"/>
                <w:szCs w:val="18"/>
                <w:highlight w:val="none"/>
                <w:lang w:eastAsia="zh-TW"/>
              </w:rPr>
              <w:t>严禁非生活垃圾以及危险废物掺杂进入转运</w:t>
            </w:r>
            <w:r>
              <w:rPr>
                <w:rFonts w:hint="eastAsia" w:ascii="宋体" w:hAnsi="宋体"/>
                <w:sz w:val="18"/>
                <w:szCs w:val="18"/>
                <w:highlight w:val="none"/>
                <w:lang w:eastAsia="zh-CN"/>
              </w:rPr>
              <w:t>站、</w:t>
            </w:r>
            <w:r>
              <w:rPr>
                <w:rFonts w:hint="eastAsia" w:ascii="宋体" w:hAnsi="宋体"/>
                <w:sz w:val="18"/>
                <w:szCs w:val="18"/>
                <w:highlight w:val="none"/>
                <w:lang w:eastAsia="zh-TW"/>
              </w:rPr>
              <w:t>严禁</w:t>
            </w:r>
            <w:r>
              <w:rPr>
                <w:rFonts w:hint="eastAsia" w:ascii="宋体" w:hAnsi="宋体"/>
                <w:sz w:val="18"/>
                <w:szCs w:val="18"/>
                <w:highlight w:val="none"/>
                <w:lang w:eastAsia="zh-CN"/>
              </w:rPr>
              <w:t>非作业车辆停放转运站内</w:t>
            </w:r>
            <w:r>
              <w:rPr>
                <w:rFonts w:hint="eastAsia" w:ascii="宋体" w:hAnsi="宋体"/>
                <w:sz w:val="18"/>
                <w:szCs w:val="18"/>
                <w:highlight w:val="none"/>
                <w:lang w:eastAsia="zh-TW"/>
              </w:rPr>
              <w:t>。</w:t>
            </w:r>
          </w:p>
        </w:tc>
        <w:tc>
          <w:tcPr>
            <w:tcW w:w="3981" w:type="dxa"/>
            <w:shd w:val="clear" w:color="000000" w:fill="FFFFFF"/>
            <w:noWrap w:val="0"/>
            <w:vAlign w:val="center"/>
          </w:tcPr>
          <w:p w14:paraId="3FC8096D">
            <w:pPr>
              <w:jc w:val="both"/>
              <w:rPr>
                <w:rFonts w:ascii="Times New Roman" w:hAnsi="Times New Roman"/>
                <w:sz w:val="18"/>
                <w:szCs w:val="18"/>
                <w:highlight w:val="none"/>
              </w:rPr>
            </w:pPr>
            <w:r>
              <w:rPr>
                <w:rFonts w:hint="eastAsia" w:ascii="Times New Roman" w:hAnsi="Times New Roman"/>
                <w:sz w:val="18"/>
                <w:szCs w:val="18"/>
                <w:highlight w:val="none"/>
                <w:lang w:eastAsia="zh-TW"/>
              </w:rPr>
              <w:t>3</w:t>
            </w:r>
            <w:r>
              <w:rPr>
                <w:rFonts w:hint="eastAsia" w:ascii="宋体" w:hAnsi="宋体"/>
                <w:sz w:val="18"/>
                <w:szCs w:val="18"/>
                <w:highlight w:val="none"/>
                <w:lang w:eastAsia="zh-TW"/>
              </w:rPr>
              <w:t>、工作人员工作时间未穿工作服或未佩证上岗的扣</w:t>
            </w:r>
            <w:r>
              <w:rPr>
                <w:rFonts w:hint="eastAsia" w:ascii="Times New Roman" w:hAnsi="Times New Roman"/>
                <w:sz w:val="18"/>
                <w:szCs w:val="18"/>
                <w:highlight w:val="none"/>
                <w:lang w:val="en-US" w:eastAsia="zh-CN"/>
              </w:rPr>
              <w:t>2</w:t>
            </w:r>
            <w:r>
              <w:rPr>
                <w:rFonts w:hint="eastAsia" w:ascii="宋体" w:hAnsi="宋体"/>
                <w:sz w:val="18"/>
                <w:szCs w:val="18"/>
                <w:highlight w:val="none"/>
                <w:lang w:eastAsia="zh-TW"/>
              </w:rPr>
              <w:t>分/人次，</w:t>
            </w:r>
            <w:r>
              <w:rPr>
                <w:rFonts w:hint="eastAsia" w:ascii="宋体" w:hAnsi="宋体"/>
                <w:sz w:val="18"/>
                <w:szCs w:val="18"/>
                <w:highlight w:val="none"/>
                <w:shd w:val="clear" w:color="auto" w:fill="FFFF00"/>
                <w:lang w:eastAsia="zh-TW"/>
              </w:rPr>
              <w:t>由非在岗工作人员操作设备的扣</w:t>
            </w:r>
            <w:r>
              <w:rPr>
                <w:rFonts w:ascii="Times New Roman" w:hAnsi="Times New Roman"/>
                <w:sz w:val="18"/>
                <w:szCs w:val="18"/>
                <w:highlight w:val="none"/>
                <w:shd w:val="clear" w:color="auto" w:fill="FFFF00"/>
                <w:lang w:eastAsia="zh-TW"/>
              </w:rPr>
              <w:t>10</w:t>
            </w:r>
            <w:r>
              <w:rPr>
                <w:rFonts w:hint="eastAsia" w:ascii="宋体" w:hAnsi="宋体"/>
                <w:sz w:val="18"/>
                <w:szCs w:val="18"/>
                <w:highlight w:val="none"/>
                <w:shd w:val="clear" w:color="auto" w:fill="FFFF00"/>
                <w:lang w:eastAsia="zh-TW"/>
              </w:rPr>
              <w:t>分/次，</w:t>
            </w:r>
            <w:r>
              <w:rPr>
                <w:rFonts w:hint="eastAsia" w:ascii="宋体" w:hAnsi="宋体"/>
                <w:sz w:val="18"/>
                <w:szCs w:val="18"/>
                <w:highlight w:val="none"/>
                <w:lang w:eastAsia="zh-TW"/>
              </w:rPr>
              <w:t>发现人员在转运站安全警戒线范围内捡拾物品的扣</w:t>
            </w:r>
            <w:r>
              <w:rPr>
                <w:rFonts w:ascii="Times New Roman" w:hAnsi="Times New Roman"/>
                <w:sz w:val="18"/>
                <w:szCs w:val="18"/>
                <w:highlight w:val="none"/>
                <w:lang w:eastAsia="zh-TW"/>
              </w:rPr>
              <w:t>3</w:t>
            </w:r>
            <w:r>
              <w:rPr>
                <w:rFonts w:hint="eastAsia" w:ascii="宋体" w:hAnsi="宋体"/>
                <w:sz w:val="18"/>
                <w:szCs w:val="18"/>
                <w:highlight w:val="none"/>
                <w:lang w:eastAsia="zh-TW"/>
              </w:rPr>
              <w:t>分/次</w:t>
            </w:r>
            <w:r>
              <w:rPr>
                <w:rFonts w:hint="eastAsia" w:ascii="宋体" w:hAnsi="宋体"/>
                <w:sz w:val="18"/>
                <w:szCs w:val="18"/>
                <w:highlight w:val="none"/>
              </w:rPr>
              <w:t>；</w:t>
            </w:r>
            <w:r>
              <w:rPr>
                <w:rFonts w:hint="eastAsia" w:ascii="宋体" w:hAnsi="宋体"/>
                <w:sz w:val="18"/>
                <w:szCs w:val="18"/>
                <w:highlight w:val="none"/>
                <w:lang w:eastAsia="zh-TW"/>
              </w:rPr>
              <w:t>发现非生活垃圾掺杂进入转运站的扣</w:t>
            </w:r>
            <w:r>
              <w:rPr>
                <w:rFonts w:hint="eastAsia" w:ascii="Times New Roman" w:hAnsi="Times New Roman"/>
                <w:sz w:val="18"/>
                <w:szCs w:val="18"/>
                <w:highlight w:val="none"/>
                <w:lang w:val="en-US" w:eastAsia="zh-CN"/>
              </w:rPr>
              <w:t>5</w:t>
            </w:r>
            <w:r>
              <w:rPr>
                <w:rFonts w:hint="eastAsia" w:ascii="宋体" w:hAnsi="宋体"/>
                <w:sz w:val="18"/>
                <w:szCs w:val="18"/>
                <w:highlight w:val="none"/>
                <w:lang w:eastAsia="zh-TW"/>
              </w:rPr>
              <w:t>分/次；发现危险废物掺杂进入转运站的扣</w:t>
            </w:r>
            <w:r>
              <w:rPr>
                <w:rFonts w:hint="eastAsia" w:ascii="Times New Roman" w:hAnsi="Times New Roman"/>
                <w:sz w:val="18"/>
                <w:szCs w:val="18"/>
                <w:highlight w:val="none"/>
                <w:lang w:val="en-US" w:eastAsia="zh-CN"/>
              </w:rPr>
              <w:t>5</w:t>
            </w:r>
            <w:r>
              <w:rPr>
                <w:rFonts w:hint="eastAsia" w:ascii="宋体" w:hAnsi="宋体"/>
                <w:sz w:val="18"/>
                <w:szCs w:val="18"/>
                <w:highlight w:val="none"/>
                <w:lang w:eastAsia="zh-TW"/>
              </w:rPr>
              <w:t>分/次。</w:t>
            </w:r>
            <w:r>
              <w:rPr>
                <w:rFonts w:hint="eastAsia" w:ascii="宋体" w:hAnsi="宋体"/>
                <w:sz w:val="18"/>
                <w:szCs w:val="18"/>
                <w:highlight w:val="none"/>
                <w:lang w:eastAsia="zh-CN"/>
              </w:rPr>
              <w:t>发现非作业车辆停放转运站</w:t>
            </w:r>
            <w:r>
              <w:rPr>
                <w:rFonts w:hint="eastAsia" w:ascii="宋体" w:hAnsi="宋体"/>
                <w:sz w:val="18"/>
                <w:szCs w:val="18"/>
                <w:highlight w:val="none"/>
                <w:lang w:eastAsia="zh-TW"/>
              </w:rPr>
              <w:t>的扣</w:t>
            </w:r>
            <w:r>
              <w:rPr>
                <w:rFonts w:ascii="Times New Roman" w:hAnsi="Times New Roman"/>
                <w:sz w:val="18"/>
                <w:szCs w:val="18"/>
                <w:highlight w:val="none"/>
                <w:lang w:eastAsia="zh-TW"/>
              </w:rPr>
              <w:t>2</w:t>
            </w:r>
            <w:r>
              <w:rPr>
                <w:rFonts w:hint="eastAsia" w:ascii="宋体" w:hAnsi="宋体"/>
                <w:sz w:val="18"/>
                <w:szCs w:val="18"/>
                <w:highlight w:val="none"/>
                <w:lang w:eastAsia="zh-TW"/>
              </w:rPr>
              <w:t>分/次。</w:t>
            </w:r>
          </w:p>
        </w:tc>
      </w:tr>
      <w:tr w14:paraId="7652F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662" w:type="dxa"/>
            <w:vMerge w:val="continue"/>
            <w:shd w:val="clear" w:color="000000" w:fill="FFFFFF"/>
            <w:noWrap w:val="0"/>
            <w:vAlign w:val="center"/>
          </w:tcPr>
          <w:p w14:paraId="7E7E554F">
            <w:pPr>
              <w:jc w:val="center"/>
              <w:rPr>
                <w:rFonts w:ascii="Times New Roman" w:hAnsi="Times New Roman"/>
                <w:sz w:val="18"/>
                <w:szCs w:val="18"/>
                <w:highlight w:val="none"/>
              </w:rPr>
            </w:pPr>
          </w:p>
        </w:tc>
        <w:tc>
          <w:tcPr>
            <w:tcW w:w="607" w:type="dxa"/>
            <w:vMerge w:val="continue"/>
            <w:shd w:val="clear" w:color="000000" w:fill="FFFFFF"/>
            <w:noWrap w:val="0"/>
            <w:vAlign w:val="center"/>
          </w:tcPr>
          <w:p w14:paraId="7CD58BF6">
            <w:pPr>
              <w:jc w:val="center"/>
              <w:rPr>
                <w:rFonts w:ascii="Times New Roman" w:hAnsi="Times New Roman"/>
                <w:sz w:val="18"/>
                <w:szCs w:val="18"/>
                <w:highlight w:val="none"/>
              </w:rPr>
            </w:pPr>
          </w:p>
        </w:tc>
        <w:tc>
          <w:tcPr>
            <w:tcW w:w="579" w:type="dxa"/>
            <w:vMerge w:val="continue"/>
            <w:shd w:val="clear" w:color="000000" w:fill="FFFFFF"/>
            <w:noWrap w:val="0"/>
            <w:vAlign w:val="center"/>
          </w:tcPr>
          <w:p w14:paraId="2721B42F">
            <w:pPr>
              <w:jc w:val="center"/>
              <w:rPr>
                <w:rFonts w:ascii="Times New Roman" w:hAnsi="Times New Roman"/>
                <w:sz w:val="18"/>
                <w:szCs w:val="18"/>
                <w:highlight w:val="none"/>
              </w:rPr>
            </w:pPr>
          </w:p>
        </w:tc>
        <w:tc>
          <w:tcPr>
            <w:tcW w:w="3969" w:type="dxa"/>
            <w:shd w:val="clear" w:color="000000" w:fill="FFFFFF"/>
            <w:noWrap w:val="0"/>
            <w:vAlign w:val="center"/>
          </w:tcPr>
          <w:p w14:paraId="14B108F3">
            <w:pPr>
              <w:rPr>
                <w:rFonts w:ascii="Times New Roman" w:hAnsi="Times New Roman"/>
                <w:sz w:val="18"/>
                <w:szCs w:val="18"/>
                <w:highlight w:val="none"/>
              </w:rPr>
            </w:pPr>
            <w:r>
              <w:rPr>
                <w:rFonts w:hint="eastAsia" w:ascii="Times New Roman" w:hAnsi="Times New Roman"/>
                <w:sz w:val="18"/>
                <w:szCs w:val="18"/>
                <w:highlight w:val="none"/>
                <w:lang w:eastAsia="zh-TW"/>
              </w:rPr>
              <w:t>4</w:t>
            </w:r>
            <w:r>
              <w:rPr>
                <w:rFonts w:hint="eastAsia" w:ascii="宋体" w:hAnsi="宋体"/>
                <w:sz w:val="18"/>
                <w:szCs w:val="18"/>
                <w:highlight w:val="none"/>
                <w:lang w:eastAsia="zh-TW"/>
              </w:rPr>
              <w:t>、做好生活垃圾分类工作。</w:t>
            </w:r>
          </w:p>
        </w:tc>
        <w:tc>
          <w:tcPr>
            <w:tcW w:w="3981" w:type="dxa"/>
            <w:shd w:val="clear" w:color="000000" w:fill="FFFFFF"/>
            <w:noWrap w:val="0"/>
            <w:vAlign w:val="center"/>
          </w:tcPr>
          <w:p w14:paraId="758576C9">
            <w:pPr>
              <w:jc w:val="both"/>
              <w:rPr>
                <w:rFonts w:ascii="Times New Roman" w:hAnsi="Times New Roman"/>
                <w:sz w:val="18"/>
                <w:szCs w:val="18"/>
                <w:highlight w:val="none"/>
              </w:rPr>
            </w:pPr>
            <w:r>
              <w:rPr>
                <w:rFonts w:hint="eastAsia" w:ascii="Times New Roman" w:hAnsi="Times New Roman"/>
                <w:sz w:val="18"/>
                <w:szCs w:val="18"/>
                <w:highlight w:val="none"/>
                <w:lang w:eastAsia="zh-TW"/>
              </w:rPr>
              <w:t>4</w:t>
            </w:r>
            <w:r>
              <w:rPr>
                <w:rFonts w:hint="eastAsia" w:ascii="宋体" w:hAnsi="宋体"/>
                <w:sz w:val="18"/>
                <w:szCs w:val="18"/>
                <w:highlight w:val="none"/>
                <w:lang w:eastAsia="zh-TW"/>
              </w:rPr>
              <w:t>、“其他垃圾”专用压缩箱体未喷漆或粘贴分类标识的扣</w:t>
            </w:r>
            <w:r>
              <w:rPr>
                <w:rFonts w:ascii="Times New Roman" w:hAnsi="Times New Roman"/>
                <w:sz w:val="18"/>
                <w:szCs w:val="18"/>
                <w:highlight w:val="none"/>
                <w:lang w:eastAsia="zh-TW"/>
              </w:rPr>
              <w:t>2</w:t>
            </w:r>
            <w:r>
              <w:rPr>
                <w:rFonts w:hint="eastAsia" w:ascii="宋体" w:hAnsi="宋体"/>
                <w:sz w:val="18"/>
                <w:szCs w:val="18"/>
                <w:highlight w:val="none"/>
                <w:lang w:eastAsia="zh-TW"/>
              </w:rPr>
              <w:t>分/处</w:t>
            </w:r>
            <w:r>
              <w:rPr>
                <w:rFonts w:hint="eastAsia" w:ascii="宋体" w:hAnsi="宋体"/>
                <w:sz w:val="18"/>
                <w:szCs w:val="18"/>
                <w:highlight w:val="none"/>
              </w:rPr>
              <w:t>；</w:t>
            </w:r>
            <w:r>
              <w:rPr>
                <w:rFonts w:hint="eastAsia" w:ascii="宋体" w:hAnsi="宋体"/>
                <w:sz w:val="18"/>
                <w:szCs w:val="18"/>
                <w:highlight w:val="none"/>
                <w:lang w:val="en-US" w:eastAsia="zh-CN"/>
              </w:rPr>
              <w:t>有设置有害垃圾房的转运站，</w:t>
            </w:r>
            <w:r>
              <w:rPr>
                <w:rFonts w:hint="eastAsia" w:ascii="宋体" w:hAnsi="宋体"/>
                <w:sz w:val="18"/>
                <w:szCs w:val="18"/>
                <w:highlight w:val="none"/>
                <w:lang w:eastAsia="zh-TW"/>
              </w:rPr>
              <w:t>未设置“有害垃圾”专用桶的扣</w:t>
            </w:r>
            <w:r>
              <w:rPr>
                <w:rFonts w:hint="eastAsia" w:ascii="Times New Roman" w:hAnsi="Times New Roman"/>
                <w:sz w:val="18"/>
                <w:szCs w:val="18"/>
                <w:highlight w:val="none"/>
                <w:lang w:val="en-US" w:eastAsia="zh-CN"/>
              </w:rPr>
              <w:t>2</w:t>
            </w:r>
            <w:r>
              <w:rPr>
                <w:rFonts w:hint="eastAsia" w:ascii="宋体" w:hAnsi="宋体"/>
                <w:sz w:val="18"/>
                <w:szCs w:val="18"/>
                <w:highlight w:val="none"/>
                <w:lang w:eastAsia="zh-TW"/>
              </w:rPr>
              <w:t>分；“有害垃圾”容器未做到防扬散、防雨、防流失的扣</w:t>
            </w:r>
            <w:r>
              <w:rPr>
                <w:rFonts w:ascii="Times New Roman" w:hAnsi="Times New Roman"/>
                <w:sz w:val="18"/>
                <w:szCs w:val="18"/>
                <w:highlight w:val="none"/>
                <w:lang w:eastAsia="zh-TW"/>
              </w:rPr>
              <w:t>1</w:t>
            </w:r>
            <w:r>
              <w:rPr>
                <w:rFonts w:hint="eastAsia" w:ascii="宋体" w:hAnsi="宋体"/>
                <w:sz w:val="18"/>
                <w:szCs w:val="18"/>
                <w:highlight w:val="none"/>
                <w:lang w:eastAsia="zh-TW"/>
              </w:rPr>
              <w:t>分/只；未张贴“有害垃圾”临时收集点相关信息展板的扣</w:t>
            </w:r>
            <w:r>
              <w:rPr>
                <w:rFonts w:ascii="Times New Roman" w:hAnsi="Times New Roman"/>
                <w:sz w:val="18"/>
                <w:szCs w:val="18"/>
                <w:highlight w:val="none"/>
                <w:lang w:eastAsia="zh-TW"/>
              </w:rPr>
              <w:t>2</w:t>
            </w:r>
            <w:r>
              <w:rPr>
                <w:rFonts w:hint="eastAsia" w:ascii="宋体" w:hAnsi="宋体"/>
                <w:sz w:val="18"/>
                <w:szCs w:val="18"/>
                <w:highlight w:val="none"/>
                <w:lang w:eastAsia="zh-TW"/>
              </w:rPr>
              <w:t>分。</w:t>
            </w:r>
          </w:p>
        </w:tc>
      </w:tr>
      <w:tr w14:paraId="4C849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662" w:type="dxa"/>
            <w:vMerge w:val="restart"/>
            <w:shd w:val="clear" w:color="000000" w:fill="FFFFFF"/>
            <w:noWrap w:val="0"/>
            <w:vAlign w:val="center"/>
          </w:tcPr>
          <w:p w14:paraId="4F3E8E45">
            <w:pPr>
              <w:jc w:val="center"/>
              <w:rPr>
                <w:rFonts w:ascii="Times New Roman" w:hAnsi="Times New Roman"/>
                <w:sz w:val="18"/>
                <w:szCs w:val="18"/>
                <w:highlight w:val="none"/>
              </w:rPr>
            </w:pPr>
            <w:r>
              <w:rPr>
                <w:rFonts w:hint="eastAsia" w:ascii="Times New Roman" w:hAnsi="Times New Roman"/>
                <w:sz w:val="18"/>
                <w:szCs w:val="18"/>
                <w:highlight w:val="none"/>
              </w:rPr>
              <w:t>二</w:t>
            </w:r>
          </w:p>
        </w:tc>
        <w:tc>
          <w:tcPr>
            <w:tcW w:w="607" w:type="dxa"/>
            <w:vMerge w:val="restart"/>
            <w:shd w:val="clear" w:color="000000" w:fill="FFFFFF"/>
            <w:noWrap w:val="0"/>
            <w:vAlign w:val="center"/>
          </w:tcPr>
          <w:p w14:paraId="63B25505">
            <w:pPr>
              <w:jc w:val="center"/>
              <w:rPr>
                <w:rFonts w:ascii="宋体" w:hAnsi="宋体" w:cs="宋体"/>
                <w:sz w:val="18"/>
                <w:szCs w:val="18"/>
                <w:highlight w:val="none"/>
              </w:rPr>
            </w:pPr>
            <w:r>
              <w:rPr>
                <w:rFonts w:hint="eastAsia" w:ascii="宋体" w:hAnsi="宋体" w:cs="宋体"/>
                <w:sz w:val="18"/>
                <w:szCs w:val="18"/>
                <w:highlight w:val="none"/>
                <w:lang w:eastAsia="zh-CN"/>
              </w:rPr>
              <w:t>站内环境卫生</w:t>
            </w:r>
          </w:p>
        </w:tc>
        <w:tc>
          <w:tcPr>
            <w:tcW w:w="579" w:type="dxa"/>
            <w:vMerge w:val="restart"/>
            <w:shd w:val="clear" w:color="000000" w:fill="FFFFFF"/>
            <w:noWrap w:val="0"/>
            <w:vAlign w:val="center"/>
          </w:tcPr>
          <w:p w14:paraId="4A07E611">
            <w:pPr>
              <w:jc w:val="center"/>
              <w:rPr>
                <w:rFonts w:ascii="宋体" w:hAnsi="宋体" w:cs="宋体"/>
                <w:sz w:val="18"/>
                <w:szCs w:val="18"/>
                <w:highlight w:val="none"/>
              </w:rPr>
            </w:pPr>
            <w:r>
              <w:rPr>
                <w:rFonts w:hint="eastAsia" w:ascii="宋体" w:hAnsi="宋体" w:cs="宋体"/>
                <w:sz w:val="18"/>
                <w:szCs w:val="18"/>
                <w:highlight w:val="none"/>
                <w:lang w:eastAsia="zh-TW"/>
              </w:rPr>
              <w:t>实地考核</w:t>
            </w:r>
          </w:p>
        </w:tc>
        <w:tc>
          <w:tcPr>
            <w:tcW w:w="3969" w:type="dxa"/>
            <w:shd w:val="clear" w:color="000000" w:fill="FFFFFF"/>
            <w:noWrap w:val="0"/>
            <w:vAlign w:val="center"/>
          </w:tcPr>
          <w:p w14:paraId="4B5C8D40">
            <w:pPr>
              <w:jc w:val="both"/>
              <w:rPr>
                <w:rFonts w:ascii="Times New Roman" w:hAnsi="Times New Roman"/>
                <w:sz w:val="18"/>
                <w:szCs w:val="18"/>
                <w:highlight w:val="none"/>
              </w:rPr>
            </w:pPr>
            <w:r>
              <w:rPr>
                <w:rFonts w:hint="eastAsia" w:ascii="Times New Roman" w:hAnsi="Times New Roman"/>
                <w:sz w:val="18"/>
                <w:szCs w:val="18"/>
                <w:highlight w:val="none"/>
                <w:lang w:eastAsia="zh-TW"/>
              </w:rPr>
              <w:t>5</w:t>
            </w:r>
            <w:r>
              <w:rPr>
                <w:rFonts w:hint="eastAsia" w:ascii="宋体" w:hAnsi="宋体"/>
                <w:sz w:val="18"/>
                <w:szCs w:val="18"/>
                <w:highlight w:val="none"/>
                <w:lang w:eastAsia="zh-TW"/>
              </w:rPr>
              <w:t>、保持生活垃圾转运站卫生责任区范围内设备及地面、沟槽、四壁干净整洁、完好</w:t>
            </w:r>
            <w:r>
              <w:rPr>
                <w:rFonts w:hint="eastAsia" w:ascii="宋体" w:hAnsi="宋体"/>
                <w:sz w:val="18"/>
                <w:szCs w:val="18"/>
                <w:highlight w:val="none"/>
              </w:rPr>
              <w:t>。</w:t>
            </w:r>
          </w:p>
        </w:tc>
        <w:tc>
          <w:tcPr>
            <w:tcW w:w="3981" w:type="dxa"/>
            <w:shd w:val="clear" w:color="000000" w:fill="FFFFFF"/>
            <w:noWrap w:val="0"/>
            <w:vAlign w:val="center"/>
          </w:tcPr>
          <w:p w14:paraId="75B7D625">
            <w:pPr>
              <w:jc w:val="both"/>
              <w:rPr>
                <w:rFonts w:hint="eastAsia" w:ascii="Times New Roman" w:hAnsi="Times New Roman" w:eastAsia="宋体"/>
                <w:sz w:val="18"/>
                <w:szCs w:val="18"/>
                <w:highlight w:val="none"/>
                <w:lang w:eastAsia="zh-CN"/>
              </w:rPr>
            </w:pPr>
            <w:r>
              <w:rPr>
                <w:rFonts w:ascii="Times New Roman" w:hAnsi="Times New Roman"/>
                <w:sz w:val="18"/>
                <w:szCs w:val="18"/>
                <w:highlight w:val="none"/>
              </w:rPr>
              <w:t>5.</w:t>
            </w:r>
            <w:r>
              <w:rPr>
                <w:rFonts w:hint="eastAsia" w:ascii="宋体" w:hAnsi="宋体"/>
                <w:sz w:val="18"/>
                <w:szCs w:val="18"/>
                <w:highlight w:val="none"/>
              </w:rPr>
              <w:t>设备及地面、沟槽、四壁等卫生情况不整洁、破损的，或乱堆放杂物的，扣</w:t>
            </w:r>
            <w:r>
              <w:rPr>
                <w:rFonts w:hint="eastAsia" w:ascii="Times New Roman" w:hAnsi="Times New Roman"/>
                <w:sz w:val="18"/>
                <w:szCs w:val="18"/>
                <w:highlight w:val="none"/>
                <w:lang w:val="en-US" w:eastAsia="zh-CN"/>
              </w:rPr>
              <w:t>2</w:t>
            </w:r>
            <w:r>
              <w:rPr>
                <w:rFonts w:hint="eastAsia" w:ascii="宋体" w:hAnsi="宋体"/>
                <w:sz w:val="18"/>
                <w:szCs w:val="18"/>
                <w:highlight w:val="none"/>
              </w:rPr>
              <w:t>分/处</w:t>
            </w:r>
            <w:r>
              <w:rPr>
                <w:rFonts w:hint="eastAsia" w:ascii="宋体" w:hAnsi="宋体"/>
                <w:sz w:val="18"/>
                <w:szCs w:val="18"/>
                <w:highlight w:val="none"/>
                <w:lang w:eastAsia="zh-CN"/>
              </w:rPr>
              <w:t>。</w:t>
            </w:r>
          </w:p>
        </w:tc>
      </w:tr>
      <w:tr w14:paraId="3AF08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662" w:type="dxa"/>
            <w:vMerge w:val="continue"/>
            <w:shd w:val="clear" w:color="auto" w:fill="auto"/>
            <w:noWrap w:val="0"/>
            <w:vAlign w:val="center"/>
          </w:tcPr>
          <w:p w14:paraId="03BB672F">
            <w:pPr>
              <w:jc w:val="center"/>
              <w:rPr>
                <w:rFonts w:ascii="Times New Roman" w:hAnsi="Times New Roman"/>
                <w:sz w:val="18"/>
                <w:szCs w:val="18"/>
                <w:highlight w:val="none"/>
              </w:rPr>
            </w:pPr>
          </w:p>
        </w:tc>
        <w:tc>
          <w:tcPr>
            <w:tcW w:w="607" w:type="dxa"/>
            <w:vMerge w:val="continue"/>
            <w:shd w:val="clear" w:color="000000" w:fill="FFFFFF"/>
            <w:noWrap w:val="0"/>
            <w:vAlign w:val="center"/>
          </w:tcPr>
          <w:p w14:paraId="39E00437">
            <w:pPr>
              <w:jc w:val="center"/>
              <w:rPr>
                <w:rFonts w:ascii="Times New Roman" w:hAnsi="Times New Roman"/>
                <w:sz w:val="18"/>
                <w:szCs w:val="18"/>
                <w:highlight w:val="none"/>
              </w:rPr>
            </w:pPr>
          </w:p>
        </w:tc>
        <w:tc>
          <w:tcPr>
            <w:tcW w:w="579" w:type="dxa"/>
            <w:vMerge w:val="continue"/>
            <w:shd w:val="clear" w:color="auto" w:fill="auto"/>
            <w:noWrap w:val="0"/>
            <w:vAlign w:val="center"/>
          </w:tcPr>
          <w:p w14:paraId="02052F51">
            <w:pPr>
              <w:jc w:val="center"/>
              <w:rPr>
                <w:rFonts w:ascii="宋体" w:hAnsi="宋体" w:cs="宋体"/>
                <w:sz w:val="18"/>
                <w:szCs w:val="18"/>
                <w:highlight w:val="none"/>
              </w:rPr>
            </w:pPr>
          </w:p>
        </w:tc>
        <w:tc>
          <w:tcPr>
            <w:tcW w:w="3969" w:type="dxa"/>
            <w:shd w:val="clear" w:color="000000" w:fill="FFFFFF"/>
            <w:noWrap w:val="0"/>
            <w:vAlign w:val="center"/>
          </w:tcPr>
          <w:p w14:paraId="29458BBA">
            <w:pPr>
              <w:jc w:val="both"/>
              <w:rPr>
                <w:rFonts w:ascii="Times New Roman" w:hAnsi="Times New Roman"/>
                <w:sz w:val="18"/>
                <w:szCs w:val="18"/>
                <w:highlight w:val="none"/>
              </w:rPr>
            </w:pPr>
            <w:r>
              <w:rPr>
                <w:rFonts w:hint="eastAsia" w:ascii="Times New Roman" w:hAnsi="Times New Roman"/>
                <w:sz w:val="18"/>
                <w:szCs w:val="18"/>
                <w:highlight w:val="none"/>
                <w:lang w:eastAsia="zh-TW"/>
              </w:rPr>
              <w:t>6</w:t>
            </w:r>
            <w:r>
              <w:rPr>
                <w:rFonts w:hint="eastAsia" w:ascii="宋体" w:hAnsi="宋体"/>
                <w:sz w:val="18"/>
                <w:szCs w:val="18"/>
                <w:highlight w:val="none"/>
                <w:lang w:eastAsia="zh-TW"/>
              </w:rPr>
              <w:t>、站内应配备除臭设施，在日常工作时定时开启。</w:t>
            </w:r>
          </w:p>
        </w:tc>
        <w:tc>
          <w:tcPr>
            <w:tcW w:w="3981" w:type="dxa"/>
            <w:shd w:val="clear" w:color="000000" w:fill="FFFFFF"/>
            <w:noWrap w:val="0"/>
            <w:vAlign w:val="center"/>
          </w:tcPr>
          <w:p w14:paraId="3EC00019">
            <w:pPr>
              <w:jc w:val="both"/>
              <w:rPr>
                <w:rFonts w:ascii="Times New Roman" w:hAnsi="Times New Roman"/>
                <w:sz w:val="18"/>
                <w:szCs w:val="18"/>
                <w:highlight w:val="none"/>
              </w:rPr>
            </w:pPr>
            <w:r>
              <w:rPr>
                <w:rFonts w:hint="eastAsia" w:ascii="Times New Roman" w:hAnsi="Times New Roman"/>
                <w:sz w:val="18"/>
                <w:szCs w:val="18"/>
                <w:highlight w:val="none"/>
                <w:lang w:eastAsia="zh-TW"/>
              </w:rPr>
              <w:t>6</w:t>
            </w:r>
            <w:r>
              <w:rPr>
                <w:rFonts w:hint="eastAsia" w:ascii="宋体" w:hAnsi="宋体"/>
                <w:sz w:val="18"/>
                <w:szCs w:val="18"/>
                <w:highlight w:val="none"/>
                <w:lang w:eastAsia="zh-TW"/>
              </w:rPr>
              <w:t>、除臭设备未及时开启或因损坏、无药水等原因无法开启的扣</w:t>
            </w:r>
            <w:r>
              <w:rPr>
                <w:rFonts w:ascii="Times New Roman" w:hAnsi="Times New Roman"/>
                <w:sz w:val="18"/>
                <w:szCs w:val="18"/>
                <w:highlight w:val="none"/>
                <w:lang w:eastAsia="zh-TW"/>
              </w:rPr>
              <w:t>2</w:t>
            </w:r>
            <w:r>
              <w:rPr>
                <w:rFonts w:hint="eastAsia" w:ascii="宋体" w:hAnsi="宋体"/>
                <w:sz w:val="18"/>
                <w:szCs w:val="18"/>
                <w:highlight w:val="none"/>
                <w:lang w:eastAsia="zh-TW"/>
              </w:rPr>
              <w:t>分。</w:t>
            </w:r>
          </w:p>
        </w:tc>
      </w:tr>
      <w:tr w14:paraId="1B252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662" w:type="dxa"/>
            <w:vMerge w:val="continue"/>
            <w:shd w:val="clear" w:color="auto" w:fill="auto"/>
            <w:noWrap w:val="0"/>
            <w:vAlign w:val="center"/>
          </w:tcPr>
          <w:p w14:paraId="3F64C01D">
            <w:pPr>
              <w:jc w:val="center"/>
              <w:rPr>
                <w:rFonts w:ascii="Times New Roman" w:hAnsi="Times New Roman"/>
                <w:sz w:val="18"/>
                <w:szCs w:val="18"/>
                <w:highlight w:val="none"/>
              </w:rPr>
            </w:pPr>
          </w:p>
        </w:tc>
        <w:tc>
          <w:tcPr>
            <w:tcW w:w="607" w:type="dxa"/>
            <w:vMerge w:val="continue"/>
            <w:shd w:val="clear" w:color="000000" w:fill="FFFFFF"/>
            <w:noWrap w:val="0"/>
            <w:vAlign w:val="center"/>
          </w:tcPr>
          <w:p w14:paraId="244612E4">
            <w:pPr>
              <w:jc w:val="center"/>
              <w:rPr>
                <w:rFonts w:ascii="宋体" w:hAnsi="宋体" w:cs="宋体"/>
                <w:sz w:val="18"/>
                <w:szCs w:val="18"/>
                <w:highlight w:val="none"/>
              </w:rPr>
            </w:pPr>
          </w:p>
        </w:tc>
        <w:tc>
          <w:tcPr>
            <w:tcW w:w="579" w:type="dxa"/>
            <w:vMerge w:val="continue"/>
            <w:shd w:val="clear" w:color="auto" w:fill="auto"/>
            <w:noWrap w:val="0"/>
            <w:vAlign w:val="center"/>
          </w:tcPr>
          <w:p w14:paraId="46AEAC5A">
            <w:pPr>
              <w:jc w:val="center"/>
              <w:rPr>
                <w:rFonts w:ascii="宋体" w:hAnsi="宋体" w:cs="宋体"/>
                <w:sz w:val="18"/>
                <w:szCs w:val="18"/>
                <w:highlight w:val="none"/>
              </w:rPr>
            </w:pPr>
          </w:p>
        </w:tc>
        <w:tc>
          <w:tcPr>
            <w:tcW w:w="3969" w:type="dxa"/>
            <w:shd w:val="clear" w:color="000000" w:fill="FFFFFF"/>
            <w:noWrap w:val="0"/>
            <w:vAlign w:val="center"/>
          </w:tcPr>
          <w:p w14:paraId="46505DE7">
            <w:pPr>
              <w:jc w:val="both"/>
              <w:rPr>
                <w:rFonts w:ascii="Times New Roman" w:hAnsi="Times New Roman"/>
                <w:sz w:val="18"/>
                <w:szCs w:val="18"/>
                <w:highlight w:val="none"/>
              </w:rPr>
            </w:pPr>
            <w:r>
              <w:rPr>
                <w:rFonts w:hint="eastAsia" w:ascii="Times New Roman" w:hAnsi="Times New Roman"/>
                <w:sz w:val="18"/>
                <w:szCs w:val="18"/>
                <w:highlight w:val="none"/>
                <w:lang w:eastAsia="zh-TW"/>
              </w:rPr>
              <w:t>7</w:t>
            </w:r>
            <w:r>
              <w:rPr>
                <w:rFonts w:hint="eastAsia" w:ascii="宋体" w:hAnsi="宋体"/>
                <w:sz w:val="18"/>
                <w:szCs w:val="18"/>
                <w:highlight w:val="none"/>
                <w:lang w:eastAsia="zh-TW"/>
              </w:rPr>
              <w:t>、生活垃圾转运站应做到日产日清，站内及周边无垃圾乱倾倒现象发生。</w:t>
            </w:r>
          </w:p>
        </w:tc>
        <w:tc>
          <w:tcPr>
            <w:tcW w:w="3981" w:type="dxa"/>
            <w:shd w:val="clear" w:color="000000" w:fill="FFFFFF"/>
            <w:noWrap w:val="0"/>
            <w:vAlign w:val="center"/>
          </w:tcPr>
          <w:p w14:paraId="7F29099E">
            <w:pPr>
              <w:jc w:val="both"/>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eastAsia="zh-TW"/>
              </w:rPr>
              <w:t>7</w:t>
            </w:r>
            <w:r>
              <w:rPr>
                <w:rFonts w:hint="eastAsia" w:ascii="宋体" w:hAnsi="宋体"/>
                <w:sz w:val="18"/>
                <w:szCs w:val="18"/>
                <w:highlight w:val="none"/>
                <w:lang w:eastAsia="zh-TW"/>
              </w:rPr>
              <w:t>、站内垃圾（指已装满一个箱体）滞留过夜的，扣</w:t>
            </w:r>
            <w:r>
              <w:rPr>
                <w:rFonts w:ascii="Times New Roman" w:hAnsi="Times New Roman"/>
                <w:sz w:val="18"/>
                <w:szCs w:val="18"/>
                <w:highlight w:val="none"/>
                <w:lang w:eastAsia="zh-TW"/>
              </w:rPr>
              <w:t>3</w:t>
            </w:r>
            <w:r>
              <w:rPr>
                <w:rFonts w:hint="eastAsia" w:ascii="宋体" w:hAnsi="宋体"/>
                <w:sz w:val="18"/>
                <w:szCs w:val="18"/>
                <w:highlight w:val="none"/>
                <w:lang w:eastAsia="zh-TW"/>
              </w:rPr>
              <w:t>分/次；</w:t>
            </w:r>
            <w:r>
              <w:rPr>
                <w:rFonts w:hint="eastAsia" w:ascii="宋体" w:hAnsi="宋体"/>
                <w:sz w:val="18"/>
                <w:szCs w:val="18"/>
                <w:highlight w:val="none"/>
                <w:shd w:val="clear" w:color="auto" w:fill="FFFF00"/>
                <w:lang w:eastAsia="zh-TW"/>
              </w:rPr>
              <w:t>出现保洁员在生活垃圾转运站内或周边乱倾倒垃圾的，扣</w:t>
            </w:r>
            <w:r>
              <w:rPr>
                <w:rFonts w:hint="eastAsia" w:ascii="Times New Roman" w:hAnsi="Times New Roman"/>
                <w:sz w:val="18"/>
                <w:szCs w:val="18"/>
                <w:highlight w:val="none"/>
                <w:shd w:val="clear" w:color="auto" w:fill="FFFF00"/>
                <w:lang w:val="en-US" w:eastAsia="zh-CN"/>
              </w:rPr>
              <w:t>1</w:t>
            </w:r>
            <w:r>
              <w:rPr>
                <w:rFonts w:ascii="Times New Roman" w:hAnsi="Times New Roman"/>
                <w:sz w:val="18"/>
                <w:szCs w:val="18"/>
                <w:highlight w:val="none"/>
                <w:shd w:val="clear" w:color="auto" w:fill="FFFF00"/>
                <w:lang w:eastAsia="zh-TW"/>
              </w:rPr>
              <w:t>0</w:t>
            </w:r>
            <w:r>
              <w:rPr>
                <w:rFonts w:hint="eastAsia" w:ascii="宋体" w:hAnsi="宋体"/>
                <w:sz w:val="18"/>
                <w:szCs w:val="18"/>
                <w:highlight w:val="none"/>
                <w:shd w:val="clear" w:color="auto" w:fill="FFFF00"/>
                <w:lang w:eastAsia="zh-TW"/>
              </w:rPr>
              <w:t>分/次</w:t>
            </w:r>
            <w:r>
              <w:rPr>
                <w:rFonts w:hint="eastAsia" w:ascii="宋体" w:hAnsi="宋体"/>
                <w:sz w:val="18"/>
                <w:szCs w:val="18"/>
                <w:highlight w:val="none"/>
                <w:lang w:eastAsia="zh-CN"/>
              </w:rPr>
              <w:t>；站内生活垃圾长时间堆放的，扣</w:t>
            </w:r>
            <w:r>
              <w:rPr>
                <w:rFonts w:hint="eastAsia" w:ascii="宋体" w:hAnsi="宋体"/>
                <w:sz w:val="18"/>
                <w:szCs w:val="18"/>
                <w:highlight w:val="none"/>
                <w:lang w:val="en-US" w:eastAsia="zh-CN"/>
              </w:rPr>
              <w:t>2分/次。</w:t>
            </w:r>
          </w:p>
        </w:tc>
      </w:tr>
      <w:tr w14:paraId="5E65E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8" w:hRule="atLeast"/>
          <w:jc w:val="center"/>
        </w:trPr>
        <w:tc>
          <w:tcPr>
            <w:tcW w:w="662" w:type="dxa"/>
            <w:shd w:val="clear" w:color="000000" w:fill="FFFFFF"/>
            <w:noWrap w:val="0"/>
            <w:vAlign w:val="center"/>
          </w:tcPr>
          <w:p w14:paraId="7B876528">
            <w:pPr>
              <w:jc w:val="center"/>
              <w:rPr>
                <w:rFonts w:ascii="宋体" w:hAnsi="宋体" w:cs="宋体"/>
                <w:sz w:val="18"/>
                <w:szCs w:val="18"/>
                <w:highlight w:val="none"/>
              </w:rPr>
            </w:pPr>
            <w:r>
              <w:rPr>
                <w:rFonts w:hint="eastAsia" w:ascii="宋体" w:hAnsi="宋体" w:cs="宋体"/>
                <w:sz w:val="18"/>
                <w:szCs w:val="18"/>
                <w:highlight w:val="none"/>
                <w:lang w:eastAsia="zh-TW"/>
              </w:rPr>
              <w:t>三</w:t>
            </w:r>
          </w:p>
        </w:tc>
        <w:tc>
          <w:tcPr>
            <w:tcW w:w="607" w:type="dxa"/>
            <w:shd w:val="clear" w:color="000000" w:fill="FFFFFF"/>
            <w:noWrap w:val="0"/>
            <w:vAlign w:val="center"/>
          </w:tcPr>
          <w:p w14:paraId="22DC09DF">
            <w:pPr>
              <w:jc w:val="center"/>
              <w:rPr>
                <w:rFonts w:ascii="宋体" w:hAnsi="宋体"/>
                <w:sz w:val="18"/>
                <w:szCs w:val="18"/>
                <w:highlight w:val="none"/>
              </w:rPr>
            </w:pPr>
            <w:r>
              <w:rPr>
                <w:rFonts w:hint="eastAsia" w:ascii="宋体" w:hAnsi="宋体"/>
                <w:sz w:val="18"/>
                <w:szCs w:val="18"/>
                <w:highlight w:val="none"/>
              </w:rPr>
              <w:t>站内设备设施</w:t>
            </w:r>
          </w:p>
        </w:tc>
        <w:tc>
          <w:tcPr>
            <w:tcW w:w="579" w:type="dxa"/>
            <w:shd w:val="clear" w:color="000000" w:fill="FFFFFF"/>
            <w:noWrap w:val="0"/>
            <w:vAlign w:val="center"/>
          </w:tcPr>
          <w:p w14:paraId="5B9D65C8">
            <w:pPr>
              <w:jc w:val="center"/>
              <w:rPr>
                <w:rFonts w:ascii="宋体" w:hAnsi="宋体" w:cs="宋体"/>
                <w:sz w:val="18"/>
                <w:szCs w:val="18"/>
                <w:highlight w:val="none"/>
              </w:rPr>
            </w:pPr>
            <w:r>
              <w:rPr>
                <w:rFonts w:hint="eastAsia" w:ascii="宋体" w:hAnsi="宋体" w:cs="宋体"/>
                <w:sz w:val="18"/>
                <w:szCs w:val="18"/>
                <w:highlight w:val="none"/>
                <w:lang w:eastAsia="zh-TW"/>
              </w:rPr>
              <w:t>实地考核</w:t>
            </w:r>
          </w:p>
        </w:tc>
        <w:tc>
          <w:tcPr>
            <w:tcW w:w="3969" w:type="dxa"/>
            <w:shd w:val="clear" w:color="000000" w:fill="FFFFFF"/>
            <w:noWrap w:val="0"/>
            <w:vAlign w:val="center"/>
          </w:tcPr>
          <w:p w14:paraId="6AAE223C">
            <w:pPr>
              <w:rPr>
                <w:rFonts w:ascii="宋体" w:hAnsi="宋体"/>
                <w:sz w:val="18"/>
                <w:szCs w:val="18"/>
                <w:highlight w:val="none"/>
              </w:rPr>
            </w:pPr>
            <w:r>
              <w:rPr>
                <w:rFonts w:hint="eastAsia" w:ascii="宋体" w:hAnsi="宋体"/>
                <w:sz w:val="18"/>
                <w:szCs w:val="18"/>
                <w:highlight w:val="none"/>
              </w:rPr>
              <w:t>8</w:t>
            </w:r>
            <w:r>
              <w:rPr>
                <w:rFonts w:hint="eastAsia" w:ascii="宋体" w:hAnsi="宋体"/>
                <w:sz w:val="18"/>
                <w:szCs w:val="18"/>
                <w:highlight w:val="none"/>
                <w:lang w:eastAsia="zh-TW"/>
              </w:rPr>
              <w:t>、</w:t>
            </w:r>
            <w:r>
              <w:rPr>
                <w:rFonts w:hint="eastAsia" w:ascii="宋体" w:hAnsi="宋体"/>
                <w:sz w:val="18"/>
                <w:szCs w:val="18"/>
                <w:highlight w:val="none"/>
              </w:rPr>
              <w:t>机台、车厢等设备及积渣池中沉淀物必须每车次冲洗清洁，确保垃圾水畅通。</w:t>
            </w:r>
          </w:p>
          <w:p w14:paraId="1A1AD83C">
            <w:pPr>
              <w:rPr>
                <w:rFonts w:ascii="宋体" w:hAnsi="宋体"/>
                <w:sz w:val="18"/>
                <w:szCs w:val="18"/>
                <w:highlight w:val="none"/>
              </w:rPr>
            </w:pPr>
            <w:r>
              <w:rPr>
                <w:rFonts w:hint="eastAsia" w:ascii="宋体" w:hAnsi="宋体"/>
                <w:sz w:val="18"/>
                <w:szCs w:val="18"/>
                <w:highlight w:val="none"/>
              </w:rPr>
              <w:t>9</w:t>
            </w:r>
            <w:r>
              <w:rPr>
                <w:rFonts w:hint="eastAsia" w:ascii="宋体" w:hAnsi="宋体"/>
                <w:sz w:val="18"/>
                <w:szCs w:val="18"/>
                <w:highlight w:val="none"/>
                <w:lang w:eastAsia="zh-TW"/>
              </w:rPr>
              <w:t>、</w:t>
            </w:r>
            <w:r>
              <w:rPr>
                <w:rFonts w:hint="eastAsia" w:ascii="宋体" w:hAnsi="宋体"/>
                <w:sz w:val="18"/>
                <w:szCs w:val="18"/>
                <w:highlight w:val="none"/>
              </w:rPr>
              <w:t>操作台、主机等设施应定期清洗保持外观清洁。</w:t>
            </w:r>
          </w:p>
          <w:p w14:paraId="10ED40E3">
            <w:pPr>
              <w:rPr>
                <w:rFonts w:ascii="宋体" w:hAnsi="宋体"/>
                <w:sz w:val="18"/>
                <w:szCs w:val="18"/>
                <w:highlight w:val="none"/>
              </w:rPr>
            </w:pPr>
            <w:r>
              <w:rPr>
                <w:rFonts w:hint="eastAsia" w:ascii="宋体" w:hAnsi="宋体"/>
                <w:sz w:val="18"/>
                <w:szCs w:val="18"/>
                <w:highlight w:val="none"/>
              </w:rPr>
              <w:t>10</w:t>
            </w:r>
            <w:r>
              <w:rPr>
                <w:rFonts w:hint="eastAsia" w:ascii="宋体" w:hAnsi="宋体"/>
                <w:sz w:val="18"/>
                <w:szCs w:val="18"/>
                <w:highlight w:val="none"/>
                <w:lang w:eastAsia="zh-TW"/>
              </w:rPr>
              <w:t>、</w:t>
            </w:r>
            <w:r>
              <w:rPr>
                <w:rFonts w:hint="eastAsia" w:ascii="宋体" w:hAnsi="宋体"/>
                <w:sz w:val="18"/>
                <w:szCs w:val="18"/>
                <w:highlight w:val="none"/>
              </w:rPr>
              <w:t>机台周边及进料口内不得有垃圾滞留。</w:t>
            </w:r>
          </w:p>
          <w:p w14:paraId="776BFB25">
            <w:pPr>
              <w:rPr>
                <w:rFonts w:ascii="宋体" w:hAnsi="宋体"/>
                <w:sz w:val="18"/>
                <w:szCs w:val="18"/>
                <w:highlight w:val="none"/>
              </w:rPr>
            </w:pPr>
            <w:r>
              <w:rPr>
                <w:rFonts w:hint="eastAsia" w:ascii="宋体" w:hAnsi="宋体"/>
                <w:sz w:val="18"/>
                <w:szCs w:val="18"/>
                <w:highlight w:val="none"/>
              </w:rPr>
              <w:t>11</w:t>
            </w:r>
            <w:r>
              <w:rPr>
                <w:rFonts w:hint="eastAsia" w:ascii="宋体" w:hAnsi="宋体"/>
                <w:sz w:val="18"/>
                <w:szCs w:val="18"/>
                <w:highlight w:val="none"/>
                <w:lang w:eastAsia="zh-TW"/>
              </w:rPr>
              <w:t>、</w:t>
            </w:r>
            <w:r>
              <w:rPr>
                <w:rFonts w:hint="eastAsia" w:ascii="宋体" w:hAnsi="宋体"/>
                <w:sz w:val="18"/>
                <w:szCs w:val="18"/>
                <w:highlight w:val="none"/>
              </w:rPr>
              <w:t>保持站内标牌、设备、设施完好整洁。</w:t>
            </w:r>
          </w:p>
        </w:tc>
        <w:tc>
          <w:tcPr>
            <w:tcW w:w="3981" w:type="dxa"/>
            <w:shd w:val="clear" w:color="000000" w:fill="FFFFFF"/>
            <w:noWrap w:val="0"/>
            <w:vAlign w:val="center"/>
          </w:tcPr>
          <w:p w14:paraId="78FCBD53">
            <w:pPr>
              <w:rPr>
                <w:rFonts w:hint="eastAsia" w:ascii="宋体" w:hAnsi="宋体"/>
                <w:sz w:val="18"/>
                <w:szCs w:val="18"/>
                <w:highlight w:val="none"/>
              </w:rPr>
            </w:pPr>
            <w:r>
              <w:rPr>
                <w:rFonts w:hint="eastAsia" w:ascii="宋体" w:hAnsi="宋体"/>
                <w:sz w:val="18"/>
                <w:szCs w:val="18"/>
                <w:highlight w:val="none"/>
              </w:rPr>
              <w:t>8</w:t>
            </w:r>
            <w:r>
              <w:rPr>
                <w:rFonts w:hint="eastAsia" w:ascii="宋体" w:hAnsi="宋体"/>
                <w:sz w:val="18"/>
                <w:szCs w:val="18"/>
                <w:highlight w:val="none"/>
                <w:lang w:eastAsia="zh-TW"/>
              </w:rPr>
              <w:t>、</w:t>
            </w:r>
            <w:r>
              <w:rPr>
                <w:rFonts w:hint="eastAsia" w:ascii="宋体" w:hAnsi="宋体"/>
                <w:sz w:val="18"/>
                <w:szCs w:val="18"/>
                <w:highlight w:val="none"/>
              </w:rPr>
              <w:t>机台、车厢等设备没有</w:t>
            </w:r>
            <w:r>
              <w:rPr>
                <w:rFonts w:hint="eastAsia" w:ascii="宋体" w:hAnsi="宋体"/>
                <w:sz w:val="18"/>
                <w:szCs w:val="18"/>
                <w:highlight w:val="none"/>
                <w:lang w:val="en-US" w:eastAsia="zh-CN"/>
              </w:rPr>
              <w:t>及时</w:t>
            </w:r>
            <w:r>
              <w:rPr>
                <w:rFonts w:hint="eastAsia" w:ascii="宋体" w:hAnsi="宋体"/>
                <w:sz w:val="18"/>
                <w:szCs w:val="18"/>
                <w:highlight w:val="none"/>
              </w:rPr>
              <w:t>冲洗清洁的扣2分</w:t>
            </w:r>
            <w:r>
              <w:rPr>
                <w:rFonts w:hint="eastAsia" w:ascii="宋体" w:hAnsi="宋体"/>
                <w:sz w:val="18"/>
                <w:szCs w:val="18"/>
                <w:highlight w:val="none"/>
                <w:lang w:eastAsia="zh-TW"/>
              </w:rPr>
              <w:t>/次</w:t>
            </w:r>
            <w:r>
              <w:rPr>
                <w:rFonts w:hint="eastAsia" w:ascii="宋体" w:hAnsi="宋体"/>
                <w:sz w:val="18"/>
                <w:szCs w:val="18"/>
                <w:highlight w:val="none"/>
              </w:rPr>
              <w:t>。积渣池中沉淀物未及时清理的扣2分</w:t>
            </w:r>
            <w:r>
              <w:rPr>
                <w:rFonts w:hint="eastAsia" w:ascii="宋体" w:hAnsi="宋体"/>
                <w:sz w:val="18"/>
                <w:szCs w:val="18"/>
                <w:highlight w:val="none"/>
                <w:lang w:eastAsia="zh-TW"/>
              </w:rPr>
              <w:t>/次</w:t>
            </w:r>
            <w:r>
              <w:rPr>
                <w:rFonts w:hint="eastAsia" w:ascii="宋体" w:hAnsi="宋体"/>
                <w:sz w:val="18"/>
                <w:szCs w:val="18"/>
                <w:highlight w:val="none"/>
              </w:rPr>
              <w:t>。</w:t>
            </w:r>
          </w:p>
          <w:p w14:paraId="2C5EDF1E">
            <w:pPr>
              <w:pStyle w:val="11"/>
              <w:ind w:left="0" w:leftChars="0" w:firstLine="0" w:firstLineChars="0"/>
              <w:rPr>
                <w:rFonts w:hint="default" w:eastAsia="宋体"/>
                <w:highlight w:val="none"/>
                <w:lang w:val="en-US" w:eastAsia="zh-CN"/>
              </w:rPr>
            </w:pPr>
            <w:r>
              <w:rPr>
                <w:rFonts w:hint="eastAsia" w:ascii="宋体" w:hAnsi="宋体"/>
                <w:sz w:val="18"/>
                <w:szCs w:val="18"/>
                <w:highlight w:val="none"/>
                <w:lang w:val="en-US" w:eastAsia="zh-CN"/>
              </w:rPr>
              <w:t>9、</w:t>
            </w:r>
            <w:r>
              <w:rPr>
                <w:rFonts w:hint="eastAsia" w:ascii="宋体" w:hAnsi="宋体"/>
                <w:sz w:val="18"/>
                <w:szCs w:val="18"/>
                <w:highlight w:val="none"/>
              </w:rPr>
              <w:t>机台周边及进料口内有垃圾滞留的扣2分</w:t>
            </w:r>
            <w:r>
              <w:rPr>
                <w:rFonts w:hint="eastAsia" w:ascii="宋体" w:hAnsi="宋体"/>
                <w:sz w:val="18"/>
                <w:szCs w:val="18"/>
                <w:highlight w:val="none"/>
                <w:lang w:eastAsia="zh-TW"/>
              </w:rPr>
              <w:t>/次</w:t>
            </w:r>
            <w:r>
              <w:rPr>
                <w:rFonts w:hint="eastAsia" w:ascii="宋体" w:hAnsi="宋体"/>
                <w:sz w:val="18"/>
                <w:szCs w:val="18"/>
                <w:highlight w:val="none"/>
              </w:rPr>
              <w:t>。</w:t>
            </w:r>
          </w:p>
          <w:p w14:paraId="25D25414">
            <w:pP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10</w:t>
            </w:r>
            <w:r>
              <w:rPr>
                <w:rFonts w:hint="eastAsia" w:ascii="宋体" w:hAnsi="宋体"/>
                <w:sz w:val="18"/>
                <w:szCs w:val="18"/>
                <w:highlight w:val="none"/>
                <w:lang w:eastAsia="zh-TW"/>
              </w:rPr>
              <w:t>、</w:t>
            </w:r>
            <w:r>
              <w:rPr>
                <w:rFonts w:hint="eastAsia" w:ascii="宋体" w:hAnsi="宋体"/>
                <w:sz w:val="18"/>
                <w:szCs w:val="18"/>
                <w:highlight w:val="none"/>
              </w:rPr>
              <w:t>发现站内标牌、设备、设施有缺失</w:t>
            </w:r>
            <w:r>
              <w:rPr>
                <w:rFonts w:hint="eastAsia" w:ascii="宋体" w:hAnsi="宋体"/>
                <w:sz w:val="18"/>
                <w:szCs w:val="18"/>
                <w:highlight w:val="none"/>
                <w:lang w:eastAsia="zh-CN"/>
              </w:rPr>
              <w:t>、污损</w:t>
            </w:r>
            <w:r>
              <w:rPr>
                <w:rFonts w:hint="eastAsia" w:ascii="宋体" w:hAnsi="宋体"/>
                <w:sz w:val="18"/>
                <w:szCs w:val="18"/>
                <w:highlight w:val="none"/>
              </w:rPr>
              <w:t>或损坏未及时上报维修的扣</w:t>
            </w:r>
            <w:r>
              <w:rPr>
                <w:rFonts w:hint="eastAsia" w:ascii="宋体" w:hAnsi="宋体"/>
                <w:sz w:val="18"/>
                <w:szCs w:val="18"/>
                <w:highlight w:val="none"/>
                <w:lang w:val="en-US" w:eastAsia="zh-CN"/>
              </w:rPr>
              <w:t>5</w:t>
            </w:r>
            <w:r>
              <w:rPr>
                <w:rFonts w:hint="eastAsia" w:ascii="宋体" w:hAnsi="宋体"/>
                <w:sz w:val="18"/>
                <w:szCs w:val="18"/>
                <w:highlight w:val="none"/>
              </w:rPr>
              <w:t>分</w:t>
            </w:r>
            <w:r>
              <w:rPr>
                <w:rFonts w:hint="eastAsia" w:ascii="宋体" w:hAnsi="宋体"/>
                <w:sz w:val="18"/>
                <w:szCs w:val="18"/>
                <w:highlight w:val="none"/>
                <w:lang w:eastAsia="zh-TW"/>
              </w:rPr>
              <w:t>/次</w:t>
            </w:r>
            <w:r>
              <w:rPr>
                <w:rFonts w:hint="eastAsia" w:ascii="宋体" w:hAnsi="宋体"/>
                <w:sz w:val="18"/>
                <w:szCs w:val="18"/>
                <w:highlight w:val="none"/>
                <w:lang w:eastAsia="zh-CN"/>
              </w:rPr>
              <w:t>。</w:t>
            </w:r>
          </w:p>
        </w:tc>
      </w:tr>
      <w:tr w14:paraId="37937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662" w:type="dxa"/>
            <w:shd w:val="clear" w:color="000000" w:fill="FFFFFF"/>
            <w:noWrap w:val="0"/>
            <w:vAlign w:val="center"/>
          </w:tcPr>
          <w:p w14:paraId="7680932B">
            <w:pPr>
              <w:jc w:val="center"/>
              <w:rPr>
                <w:rFonts w:ascii="宋体" w:hAnsi="宋体" w:cs="宋体"/>
                <w:sz w:val="18"/>
                <w:szCs w:val="18"/>
                <w:highlight w:val="none"/>
                <w:lang w:eastAsia="zh-TW"/>
              </w:rPr>
            </w:pPr>
            <w:r>
              <w:rPr>
                <w:rFonts w:hint="eastAsia" w:ascii="宋体" w:hAnsi="宋体" w:cs="宋体"/>
                <w:sz w:val="18"/>
                <w:szCs w:val="18"/>
                <w:highlight w:val="none"/>
                <w:lang w:eastAsia="zh-TW"/>
              </w:rPr>
              <w:t>四</w:t>
            </w:r>
          </w:p>
        </w:tc>
        <w:tc>
          <w:tcPr>
            <w:tcW w:w="607" w:type="dxa"/>
            <w:shd w:val="clear" w:color="000000" w:fill="FFFFFF"/>
            <w:noWrap w:val="0"/>
            <w:vAlign w:val="center"/>
          </w:tcPr>
          <w:p w14:paraId="7D4C4F9A">
            <w:pPr>
              <w:jc w:val="center"/>
              <w:rPr>
                <w:rFonts w:ascii="宋体" w:hAnsi="宋体"/>
                <w:sz w:val="18"/>
                <w:szCs w:val="18"/>
                <w:highlight w:val="none"/>
                <w:lang w:eastAsia="zh-TW"/>
              </w:rPr>
            </w:pPr>
            <w:r>
              <w:rPr>
                <w:rFonts w:hint="eastAsia" w:ascii="宋体" w:hAnsi="宋体" w:cs="宋体"/>
                <w:sz w:val="18"/>
                <w:szCs w:val="18"/>
                <w:highlight w:val="none"/>
              </w:rPr>
              <w:t>消杀除臭</w:t>
            </w:r>
          </w:p>
        </w:tc>
        <w:tc>
          <w:tcPr>
            <w:tcW w:w="579" w:type="dxa"/>
            <w:shd w:val="clear" w:color="000000" w:fill="FFFFFF"/>
            <w:noWrap w:val="0"/>
            <w:vAlign w:val="center"/>
          </w:tcPr>
          <w:p w14:paraId="1E631D0D">
            <w:pPr>
              <w:jc w:val="center"/>
              <w:rPr>
                <w:rFonts w:ascii="宋体" w:hAnsi="宋体" w:cs="宋体"/>
                <w:sz w:val="18"/>
                <w:szCs w:val="18"/>
                <w:highlight w:val="none"/>
                <w:lang w:eastAsia="zh-TW"/>
              </w:rPr>
            </w:pPr>
            <w:r>
              <w:rPr>
                <w:rFonts w:hint="eastAsia" w:ascii="宋体" w:hAnsi="宋体" w:cs="宋体"/>
                <w:sz w:val="18"/>
                <w:szCs w:val="18"/>
                <w:highlight w:val="none"/>
                <w:lang w:eastAsia="zh-TW"/>
              </w:rPr>
              <w:t>实地考核</w:t>
            </w:r>
          </w:p>
        </w:tc>
        <w:tc>
          <w:tcPr>
            <w:tcW w:w="3969" w:type="dxa"/>
            <w:shd w:val="clear" w:color="000000" w:fill="FFFFFF"/>
            <w:noWrap w:val="0"/>
            <w:vAlign w:val="center"/>
          </w:tcPr>
          <w:p w14:paraId="78148030">
            <w:pPr>
              <w:rPr>
                <w:rFonts w:ascii="宋体" w:hAnsi="宋体"/>
                <w:sz w:val="18"/>
                <w:szCs w:val="18"/>
                <w:highlight w:val="none"/>
              </w:rPr>
            </w:pPr>
            <w:r>
              <w:rPr>
                <w:rFonts w:hint="eastAsia" w:ascii="宋体" w:hAnsi="宋体"/>
                <w:sz w:val="18"/>
                <w:szCs w:val="18"/>
                <w:highlight w:val="none"/>
              </w:rPr>
              <w:t>12</w:t>
            </w:r>
            <w:r>
              <w:rPr>
                <w:rFonts w:hint="eastAsia" w:ascii="宋体" w:hAnsi="宋体"/>
                <w:sz w:val="18"/>
                <w:szCs w:val="18"/>
                <w:highlight w:val="none"/>
                <w:lang w:eastAsia="zh-TW"/>
              </w:rPr>
              <w:t>、</w:t>
            </w:r>
            <w:r>
              <w:rPr>
                <w:rFonts w:hint="eastAsia" w:ascii="宋体" w:hAnsi="宋体"/>
                <w:sz w:val="18"/>
                <w:szCs w:val="18"/>
                <w:highlight w:val="none"/>
              </w:rPr>
              <w:t>安排专人按时对地面、排水沟、机台周边进行消杀除臭工作，并实时做好记录；垃圾中转站工作人员应按规定切实做好消毒、灭鼠、灭蝇工作，消毒剂应妥善保管。谨防失窃，对有用余下的药液不能乱倒，清洗药具药水应选择安全地点妥善处理；消杀人员作业时须配戴必要的安全防护用具，并定期进行安全生产培训；加强个人和周围环境卫生工作，严格保护好消毒器材，按照使用方法注意操作。</w:t>
            </w:r>
          </w:p>
          <w:p w14:paraId="5C60AF64">
            <w:pPr>
              <w:rPr>
                <w:rFonts w:ascii="宋体" w:hAnsi="宋体"/>
                <w:sz w:val="18"/>
                <w:szCs w:val="18"/>
                <w:highlight w:val="none"/>
                <w:lang w:eastAsia="zh-TW"/>
              </w:rPr>
            </w:pPr>
            <w:r>
              <w:rPr>
                <w:rFonts w:hint="eastAsia" w:ascii="宋体" w:hAnsi="宋体"/>
                <w:sz w:val="18"/>
                <w:szCs w:val="18"/>
                <w:highlight w:val="none"/>
              </w:rPr>
              <w:t>13</w:t>
            </w:r>
            <w:r>
              <w:rPr>
                <w:rFonts w:hint="eastAsia" w:ascii="宋体" w:hAnsi="宋体"/>
                <w:sz w:val="18"/>
                <w:szCs w:val="18"/>
                <w:highlight w:val="none"/>
                <w:lang w:eastAsia="zh-TW"/>
              </w:rPr>
              <w:t>、</w:t>
            </w:r>
            <w:r>
              <w:rPr>
                <w:rFonts w:hint="eastAsia" w:ascii="宋体" w:hAnsi="宋体"/>
                <w:sz w:val="18"/>
                <w:szCs w:val="18"/>
                <w:highlight w:val="none"/>
              </w:rPr>
              <w:t>每个季度对中转站内大气、污水处理排水口处进行监测，并提供</w:t>
            </w:r>
            <w:r>
              <w:rPr>
                <w:rFonts w:hint="eastAsia" w:ascii="宋体" w:hAnsi="宋体"/>
                <w:sz w:val="18"/>
                <w:szCs w:val="18"/>
                <w:highlight w:val="none"/>
                <w:lang w:val="en-US" w:eastAsia="zh-CN"/>
              </w:rPr>
              <w:t>由甲方指定的</w:t>
            </w:r>
            <w:r>
              <w:rPr>
                <w:rFonts w:hint="eastAsia" w:ascii="宋体" w:hAnsi="宋体"/>
                <w:sz w:val="18"/>
                <w:szCs w:val="18"/>
                <w:highlight w:val="none"/>
              </w:rPr>
              <w:t>具备相应资质的第三方检测机构出具检测合格报告。</w:t>
            </w:r>
          </w:p>
        </w:tc>
        <w:tc>
          <w:tcPr>
            <w:tcW w:w="3981" w:type="dxa"/>
            <w:shd w:val="clear" w:color="000000" w:fill="FFFFFF"/>
            <w:noWrap w:val="0"/>
            <w:vAlign w:val="center"/>
          </w:tcPr>
          <w:p w14:paraId="7FE1B07A">
            <w:pPr>
              <w:widowControl w:val="0"/>
              <w:tabs>
                <w:tab w:val="left" w:pos="360"/>
              </w:tabs>
              <w:jc w:val="both"/>
              <w:rPr>
                <w:rFonts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val="en-US" w:eastAsia="zh-CN"/>
              </w:rPr>
              <w:t>1</w:t>
            </w:r>
            <w:r>
              <w:rPr>
                <w:rFonts w:hint="eastAsia" w:ascii="宋体" w:hAnsi="宋体"/>
                <w:sz w:val="18"/>
                <w:szCs w:val="18"/>
                <w:highlight w:val="none"/>
                <w:lang w:eastAsia="zh-TW"/>
              </w:rPr>
              <w:t>、</w:t>
            </w:r>
            <w:r>
              <w:rPr>
                <w:rFonts w:hint="eastAsia" w:ascii="宋体" w:hAnsi="宋体"/>
                <w:sz w:val="18"/>
                <w:szCs w:val="18"/>
                <w:highlight w:val="none"/>
                <w:lang w:eastAsia="zh-CN"/>
              </w:rPr>
              <w:t>消毒、除臭记录未放置明显区域的扣</w:t>
            </w:r>
            <w:r>
              <w:rPr>
                <w:rFonts w:hint="eastAsia" w:ascii="宋体" w:hAnsi="宋体"/>
                <w:sz w:val="18"/>
                <w:szCs w:val="18"/>
                <w:highlight w:val="none"/>
                <w:lang w:val="en-US" w:eastAsia="zh-CN"/>
              </w:rPr>
              <w:t>1分/次；</w:t>
            </w:r>
            <w:r>
              <w:rPr>
                <w:rFonts w:hint="eastAsia" w:ascii="宋体" w:hAnsi="宋体"/>
                <w:sz w:val="18"/>
                <w:szCs w:val="18"/>
                <w:highlight w:val="none"/>
              </w:rPr>
              <w:t>未按规定做好消毒、除臭工作的扣</w:t>
            </w:r>
            <w:r>
              <w:rPr>
                <w:rFonts w:hint="eastAsia" w:ascii="宋体" w:hAnsi="宋体"/>
                <w:sz w:val="18"/>
                <w:szCs w:val="18"/>
                <w:highlight w:val="none"/>
                <w:lang w:val="en-US" w:eastAsia="zh-CN"/>
              </w:rPr>
              <w:t>2</w:t>
            </w:r>
            <w:r>
              <w:rPr>
                <w:rFonts w:hint="eastAsia" w:ascii="宋体" w:hAnsi="宋体"/>
                <w:sz w:val="18"/>
                <w:szCs w:val="18"/>
                <w:highlight w:val="none"/>
              </w:rPr>
              <w:t>分</w:t>
            </w:r>
            <w:r>
              <w:rPr>
                <w:rFonts w:hint="eastAsia" w:ascii="宋体" w:hAnsi="宋体"/>
                <w:sz w:val="18"/>
                <w:szCs w:val="18"/>
                <w:highlight w:val="none"/>
                <w:lang w:eastAsia="zh-TW"/>
              </w:rPr>
              <w:t>/次</w:t>
            </w:r>
            <w:r>
              <w:rPr>
                <w:rFonts w:hint="eastAsia" w:ascii="宋体" w:hAnsi="宋体"/>
                <w:sz w:val="18"/>
                <w:szCs w:val="18"/>
                <w:highlight w:val="none"/>
              </w:rPr>
              <w:t>；</w:t>
            </w:r>
          </w:p>
          <w:p w14:paraId="04303D84">
            <w:pPr>
              <w:widowControl w:val="0"/>
              <w:tabs>
                <w:tab w:val="left" w:pos="360"/>
              </w:tabs>
              <w:jc w:val="both"/>
              <w:rPr>
                <w:rFonts w:ascii="宋体" w:hAnsi="宋体"/>
                <w:sz w:val="18"/>
                <w:szCs w:val="18"/>
                <w:highlight w:val="none"/>
                <w:lang w:eastAsia="zh-TW"/>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每个季度对中转站内大气、污水处理排水口处进行监测，并提供</w:t>
            </w:r>
            <w:r>
              <w:rPr>
                <w:rFonts w:hint="eastAsia" w:ascii="宋体" w:hAnsi="宋体"/>
                <w:sz w:val="18"/>
                <w:szCs w:val="18"/>
                <w:highlight w:val="none"/>
                <w:lang w:val="en-US" w:eastAsia="zh-CN"/>
              </w:rPr>
              <w:t>由甲方指定的</w:t>
            </w:r>
            <w:r>
              <w:rPr>
                <w:rFonts w:hint="eastAsia" w:ascii="宋体" w:hAnsi="宋体"/>
                <w:sz w:val="18"/>
                <w:szCs w:val="18"/>
                <w:highlight w:val="none"/>
              </w:rPr>
              <w:t>具备相应资质的</w:t>
            </w:r>
            <w:r>
              <w:rPr>
                <w:rFonts w:hint="eastAsia" w:ascii="宋体" w:hAnsi="宋体" w:cs="宋体"/>
                <w:sz w:val="18"/>
                <w:szCs w:val="18"/>
                <w:highlight w:val="none"/>
              </w:rPr>
              <w:t>第三方检测机构出具检测合格报告，未提供检测</w:t>
            </w:r>
            <w:r>
              <w:rPr>
                <w:rFonts w:hint="eastAsia" w:ascii="宋体" w:hAnsi="宋体" w:cs="宋体"/>
                <w:sz w:val="18"/>
                <w:szCs w:val="18"/>
                <w:highlight w:val="none"/>
                <w:lang w:val="en-US" w:eastAsia="zh-CN"/>
              </w:rPr>
              <w:t>或检测</w:t>
            </w:r>
            <w:r>
              <w:rPr>
                <w:rFonts w:hint="eastAsia" w:ascii="宋体" w:hAnsi="宋体" w:cs="宋体"/>
                <w:sz w:val="18"/>
                <w:szCs w:val="18"/>
                <w:highlight w:val="none"/>
              </w:rPr>
              <w:t>报告</w:t>
            </w:r>
            <w:r>
              <w:rPr>
                <w:rFonts w:hint="eastAsia" w:ascii="宋体" w:hAnsi="宋体" w:cs="宋体"/>
                <w:sz w:val="18"/>
                <w:szCs w:val="18"/>
                <w:highlight w:val="none"/>
                <w:lang w:val="en-US" w:eastAsia="zh-CN"/>
              </w:rPr>
              <w:t>不</w:t>
            </w:r>
            <w:r>
              <w:rPr>
                <w:rFonts w:hint="eastAsia" w:ascii="宋体" w:hAnsi="宋体" w:cs="宋体"/>
                <w:sz w:val="18"/>
                <w:szCs w:val="18"/>
                <w:highlight w:val="none"/>
              </w:rPr>
              <w:t>合格的</w:t>
            </w:r>
            <w:r>
              <w:rPr>
                <w:rFonts w:hint="eastAsia" w:ascii="宋体" w:hAnsi="宋体"/>
                <w:sz w:val="18"/>
                <w:szCs w:val="18"/>
                <w:highlight w:val="none"/>
              </w:rPr>
              <w:t>，每次每少一份扣 2分。</w:t>
            </w:r>
          </w:p>
        </w:tc>
      </w:tr>
      <w:tr w14:paraId="63015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662" w:type="dxa"/>
            <w:shd w:val="clear" w:color="000000" w:fill="FFFFFF"/>
            <w:noWrap w:val="0"/>
            <w:vAlign w:val="center"/>
          </w:tcPr>
          <w:p w14:paraId="765D7D22">
            <w:pPr>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五</w:t>
            </w:r>
          </w:p>
        </w:tc>
        <w:tc>
          <w:tcPr>
            <w:tcW w:w="607" w:type="dxa"/>
            <w:shd w:val="clear" w:color="000000" w:fill="FFFFFF"/>
            <w:noWrap w:val="0"/>
            <w:vAlign w:val="center"/>
          </w:tcPr>
          <w:p w14:paraId="58F6D908">
            <w:pPr>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安全生产</w:t>
            </w:r>
          </w:p>
        </w:tc>
        <w:tc>
          <w:tcPr>
            <w:tcW w:w="579" w:type="dxa"/>
            <w:shd w:val="clear" w:color="000000" w:fill="FFFFFF"/>
            <w:noWrap w:val="0"/>
            <w:vAlign w:val="center"/>
          </w:tcPr>
          <w:p w14:paraId="76F41F43">
            <w:pPr>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综合考评</w:t>
            </w:r>
          </w:p>
        </w:tc>
        <w:tc>
          <w:tcPr>
            <w:tcW w:w="3969" w:type="dxa"/>
            <w:shd w:val="clear" w:color="000000" w:fill="FFFFFF"/>
            <w:noWrap w:val="0"/>
            <w:vAlign w:val="center"/>
          </w:tcPr>
          <w:p w14:paraId="173AA7BF">
            <w:pP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14、落实安全生产管理各项制度。</w:t>
            </w:r>
          </w:p>
        </w:tc>
        <w:tc>
          <w:tcPr>
            <w:tcW w:w="3981" w:type="dxa"/>
            <w:shd w:val="clear" w:color="000000" w:fill="FFFFFF"/>
            <w:noWrap w:val="0"/>
            <w:vAlign w:val="center"/>
          </w:tcPr>
          <w:p w14:paraId="1E2A132D">
            <w:pPr>
              <w:widowControl w:val="0"/>
              <w:tabs>
                <w:tab w:val="left" w:pos="360"/>
              </w:tabs>
              <w:jc w:val="both"/>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13、未定期开展消防安全培训的，每发现1次扣1分；发现站内存在私拉电线等消防安全隐患的，扣2分；未按照要求定期检查灭火器压强情况并做好记录的（至少半月一次），每发现一次扣1分；未落实安全生产责任，站内发生安全生产责任事故，每发生一起扣5分。</w:t>
            </w:r>
          </w:p>
        </w:tc>
      </w:tr>
      <w:tr w14:paraId="5E20E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6" w:hRule="atLeast"/>
          <w:jc w:val="center"/>
        </w:trPr>
        <w:tc>
          <w:tcPr>
            <w:tcW w:w="662" w:type="dxa"/>
            <w:shd w:val="clear" w:color="000000" w:fill="FFFFFF"/>
            <w:noWrap w:val="0"/>
            <w:vAlign w:val="center"/>
          </w:tcPr>
          <w:p w14:paraId="45A1304B">
            <w:pPr>
              <w:jc w:val="center"/>
              <w:rPr>
                <w:rFonts w:ascii="宋体" w:hAnsi="宋体" w:cs="宋体"/>
                <w:sz w:val="18"/>
                <w:szCs w:val="18"/>
                <w:highlight w:val="none"/>
              </w:rPr>
            </w:pPr>
            <w:r>
              <w:rPr>
                <w:rFonts w:hint="eastAsia" w:ascii="宋体" w:hAnsi="宋体" w:cs="宋体"/>
                <w:sz w:val="18"/>
                <w:szCs w:val="18"/>
                <w:highlight w:val="none"/>
              </w:rPr>
              <w:t>六</w:t>
            </w:r>
          </w:p>
        </w:tc>
        <w:tc>
          <w:tcPr>
            <w:tcW w:w="607" w:type="dxa"/>
            <w:shd w:val="clear" w:color="000000" w:fill="FFFFFF"/>
            <w:noWrap w:val="0"/>
            <w:vAlign w:val="center"/>
          </w:tcPr>
          <w:p w14:paraId="6008C514">
            <w:pPr>
              <w:jc w:val="center"/>
              <w:rPr>
                <w:rFonts w:ascii="宋体" w:hAnsi="宋体" w:cs="宋体"/>
                <w:sz w:val="18"/>
                <w:szCs w:val="18"/>
                <w:highlight w:val="none"/>
              </w:rPr>
            </w:pPr>
            <w:r>
              <w:rPr>
                <w:rFonts w:hint="eastAsia" w:ascii="宋体" w:hAnsi="宋体" w:cs="宋体"/>
                <w:sz w:val="18"/>
                <w:szCs w:val="18"/>
                <w:highlight w:val="none"/>
                <w:lang w:eastAsia="zh-TW"/>
              </w:rPr>
              <w:t>问题督办交办处置</w:t>
            </w:r>
          </w:p>
        </w:tc>
        <w:tc>
          <w:tcPr>
            <w:tcW w:w="579" w:type="dxa"/>
            <w:shd w:val="clear" w:color="000000" w:fill="FFFFFF"/>
            <w:noWrap w:val="0"/>
            <w:vAlign w:val="center"/>
          </w:tcPr>
          <w:p w14:paraId="08D35BC0">
            <w:pPr>
              <w:jc w:val="center"/>
              <w:rPr>
                <w:rFonts w:ascii="宋体" w:hAnsi="宋体" w:cs="宋体"/>
                <w:sz w:val="18"/>
                <w:szCs w:val="18"/>
                <w:highlight w:val="none"/>
              </w:rPr>
            </w:pPr>
            <w:r>
              <w:rPr>
                <w:rFonts w:hint="eastAsia" w:ascii="宋体" w:hAnsi="宋体" w:cs="宋体"/>
                <w:sz w:val="18"/>
                <w:szCs w:val="18"/>
                <w:highlight w:val="none"/>
                <w:lang w:eastAsia="zh-TW"/>
              </w:rPr>
              <w:t>综合考评</w:t>
            </w:r>
          </w:p>
        </w:tc>
        <w:tc>
          <w:tcPr>
            <w:tcW w:w="3969" w:type="dxa"/>
            <w:shd w:val="clear" w:color="000000" w:fill="FFFFFF"/>
            <w:noWrap w:val="0"/>
            <w:vAlign w:val="center"/>
          </w:tcPr>
          <w:p w14:paraId="40FDDF03">
            <w:pPr>
              <w:numPr>
                <w:ilvl w:val="0"/>
                <w:numId w:val="11"/>
              </w:numPr>
              <w:jc w:val="both"/>
              <w:rPr>
                <w:rFonts w:hint="eastAsia" w:ascii="宋体" w:hAnsi="宋体"/>
                <w:sz w:val="18"/>
                <w:szCs w:val="18"/>
                <w:highlight w:val="none"/>
                <w:lang w:eastAsia="zh-TW"/>
              </w:rPr>
            </w:pPr>
            <w:r>
              <w:rPr>
                <w:rFonts w:hint="eastAsia" w:ascii="宋体" w:hAnsi="宋体"/>
                <w:sz w:val="18"/>
                <w:szCs w:val="18"/>
                <w:highlight w:val="none"/>
                <w:lang w:eastAsia="zh-TW"/>
              </w:rPr>
              <w:t>从事生活垃圾转运的工作人员应文明服务，无有责投诉，对交办问题及时整改并回复，市级以上检查不失责任分。</w:t>
            </w:r>
          </w:p>
          <w:p w14:paraId="11942767">
            <w:pPr>
              <w:pStyle w:val="2"/>
              <w:numPr>
                <w:ilvl w:val="0"/>
                <w:numId w:val="0"/>
              </w:numPr>
            </w:pPr>
            <w:r>
              <w:rPr>
                <w:rFonts w:hint="eastAsia" w:ascii="宋体" w:hAnsi="宋体"/>
                <w:sz w:val="18"/>
                <w:szCs w:val="18"/>
                <w:highlight w:val="none"/>
                <w:lang w:val="en-US" w:eastAsia="zh-CN"/>
              </w:rPr>
              <w:t>16、</w:t>
            </w:r>
            <w:r>
              <w:rPr>
                <w:rFonts w:hint="eastAsia" w:ascii="宋体" w:hAnsi="宋体"/>
                <w:sz w:val="18"/>
                <w:szCs w:val="18"/>
                <w:highlight w:val="none"/>
              </w:rPr>
              <w:t>应严格按照市环卫处的指令向各垃圾焚烧厂调运生活垃圾。</w:t>
            </w:r>
          </w:p>
        </w:tc>
        <w:tc>
          <w:tcPr>
            <w:tcW w:w="3981" w:type="dxa"/>
            <w:shd w:val="clear" w:color="000000" w:fill="FFFFFF"/>
            <w:noWrap w:val="0"/>
            <w:vAlign w:val="center"/>
          </w:tcPr>
          <w:p w14:paraId="31DCAC2D">
            <w:pPr>
              <w:jc w:val="both"/>
              <w:rPr>
                <w:rFonts w:hint="eastAsia" w:ascii="宋体" w:hAnsi="宋体"/>
                <w:sz w:val="18"/>
                <w:szCs w:val="18"/>
                <w:highlight w:val="none"/>
                <w:lang w:eastAsia="zh-TW"/>
              </w:rPr>
            </w:pPr>
            <w:r>
              <w:rPr>
                <w:rFonts w:hint="eastAsia" w:ascii="宋体" w:hAnsi="宋体" w:cs="宋体"/>
                <w:sz w:val="18"/>
                <w:szCs w:val="18"/>
                <w:highlight w:val="none"/>
                <w:lang w:val="en-US" w:eastAsia="zh-CN"/>
              </w:rPr>
              <w:t>14</w:t>
            </w:r>
            <w:r>
              <w:rPr>
                <w:rFonts w:hint="eastAsia" w:ascii="宋体" w:hAnsi="宋体" w:cs="宋体"/>
                <w:sz w:val="18"/>
                <w:szCs w:val="18"/>
                <w:highlight w:val="none"/>
                <w:lang w:val="en-US" w:eastAsia="zh-TW"/>
              </w:rPr>
              <w:t>、</w:t>
            </w:r>
            <w:r>
              <w:rPr>
                <w:rFonts w:hint="eastAsia" w:ascii="宋体" w:hAnsi="宋体"/>
                <w:sz w:val="18"/>
                <w:szCs w:val="18"/>
                <w:highlight w:val="none"/>
                <w:lang w:eastAsia="zh-TW"/>
              </w:rPr>
              <w:t>指挥中心、智慧城管等交办问题未处置（办理）的发</w:t>
            </w:r>
            <w:r>
              <w:rPr>
                <w:rFonts w:hint="eastAsia" w:ascii="宋体" w:hAnsi="宋体"/>
                <w:sz w:val="18"/>
                <w:szCs w:val="18"/>
                <w:highlight w:val="yellow"/>
                <w:lang w:eastAsia="zh-TW"/>
              </w:rPr>
              <w:t>生一次扣</w:t>
            </w:r>
            <w:r>
              <w:rPr>
                <w:rFonts w:hint="eastAsia" w:ascii="Times New Roman" w:hAnsi="Times New Roman"/>
                <w:sz w:val="18"/>
                <w:szCs w:val="18"/>
                <w:highlight w:val="yellow"/>
                <w:lang w:val="en-US" w:eastAsia="zh-CN"/>
              </w:rPr>
              <w:t>0.5</w:t>
            </w:r>
            <w:r>
              <w:rPr>
                <w:rFonts w:hint="eastAsia" w:ascii="宋体" w:hAnsi="宋体"/>
                <w:sz w:val="18"/>
                <w:szCs w:val="18"/>
                <w:highlight w:val="yellow"/>
                <w:lang w:eastAsia="zh-TW"/>
              </w:rPr>
              <w:t>分，</w:t>
            </w:r>
            <w:r>
              <w:rPr>
                <w:rFonts w:hint="eastAsia" w:ascii="宋体" w:hAnsi="宋体"/>
                <w:sz w:val="18"/>
                <w:szCs w:val="18"/>
                <w:highlight w:val="none"/>
                <w:lang w:eastAsia="zh-TW"/>
              </w:rPr>
              <w:t>未按期处置（办理）或处置（办理）不到位的，发生一次</w:t>
            </w:r>
            <w:r>
              <w:rPr>
                <w:rFonts w:hint="eastAsia" w:ascii="宋体" w:hAnsi="宋体"/>
                <w:sz w:val="18"/>
                <w:szCs w:val="18"/>
                <w:highlight w:val="none"/>
                <w:lang w:eastAsia="zh-CN"/>
              </w:rPr>
              <w:t>扣</w:t>
            </w:r>
            <w:r>
              <w:rPr>
                <w:rFonts w:hint="eastAsia" w:ascii="宋体" w:hAnsi="宋体"/>
                <w:sz w:val="18"/>
                <w:szCs w:val="18"/>
                <w:highlight w:val="none"/>
                <w:lang w:val="en-US" w:eastAsia="zh-CN"/>
              </w:rPr>
              <w:t>0.3</w:t>
            </w:r>
            <w:r>
              <w:rPr>
                <w:rFonts w:hint="eastAsia" w:ascii="宋体" w:hAnsi="宋体"/>
                <w:sz w:val="18"/>
                <w:szCs w:val="18"/>
                <w:highlight w:val="none"/>
                <w:lang w:eastAsia="zh-TW"/>
              </w:rPr>
              <w:t>分。社会反映的热点、焦点问题和市政府阶段重点工作保障任务、领导重要批示要求、市局巡查督办等重点督办件办理、回复不及时、不到位的，发现一次扣</w:t>
            </w:r>
            <w:r>
              <w:rPr>
                <w:rFonts w:ascii="Times New Roman" w:hAnsi="Times New Roman"/>
                <w:sz w:val="18"/>
                <w:szCs w:val="18"/>
                <w:highlight w:val="none"/>
                <w:lang w:eastAsia="zh-TW"/>
              </w:rPr>
              <w:t>1</w:t>
            </w:r>
            <w:r>
              <w:rPr>
                <w:rFonts w:hint="eastAsia" w:ascii="宋体" w:hAnsi="宋体"/>
                <w:sz w:val="18"/>
                <w:szCs w:val="18"/>
                <w:highlight w:val="none"/>
                <w:lang w:eastAsia="zh-TW"/>
              </w:rPr>
              <w:t>分。</w:t>
            </w:r>
          </w:p>
          <w:p w14:paraId="403A533C">
            <w:pPr>
              <w:jc w:val="both"/>
              <w:rPr>
                <w:rFonts w:ascii="Times New Roman" w:hAnsi="Times New Roman"/>
                <w:sz w:val="18"/>
                <w:szCs w:val="18"/>
                <w:highlight w:val="none"/>
              </w:rPr>
            </w:pPr>
            <w:r>
              <w:rPr>
                <w:rFonts w:hint="eastAsia" w:ascii="宋体" w:hAnsi="宋体" w:cs="宋体"/>
                <w:sz w:val="18"/>
                <w:szCs w:val="18"/>
                <w:highlight w:val="none"/>
                <w:lang w:val="en-US" w:eastAsia="zh-CN"/>
              </w:rPr>
              <w:t>15</w:t>
            </w:r>
            <w:r>
              <w:rPr>
                <w:rFonts w:hint="eastAsia" w:ascii="宋体" w:hAnsi="宋体" w:cs="宋体"/>
                <w:sz w:val="18"/>
                <w:szCs w:val="18"/>
                <w:highlight w:val="none"/>
                <w:lang w:val="en-US" w:eastAsia="zh-TW"/>
              </w:rPr>
              <w:t>、</w:t>
            </w:r>
            <w:r>
              <w:rPr>
                <w:rFonts w:hint="eastAsia" w:ascii="宋体" w:hAnsi="宋体"/>
                <w:sz w:val="18"/>
                <w:szCs w:val="18"/>
                <w:highlight w:val="none"/>
                <w:lang w:eastAsia="zh-TW"/>
              </w:rPr>
              <w:t>未按市环卫处指令调度生活垃圾的，扣</w:t>
            </w:r>
            <w:r>
              <w:rPr>
                <w:rFonts w:ascii="Times New Roman" w:hAnsi="Times New Roman"/>
                <w:sz w:val="18"/>
                <w:szCs w:val="18"/>
                <w:highlight w:val="none"/>
                <w:lang w:eastAsia="zh-TW"/>
              </w:rPr>
              <w:t>2</w:t>
            </w:r>
            <w:r>
              <w:rPr>
                <w:rFonts w:hint="eastAsia" w:ascii="宋体" w:hAnsi="宋体"/>
                <w:sz w:val="18"/>
                <w:szCs w:val="18"/>
                <w:highlight w:val="none"/>
                <w:lang w:eastAsia="zh-TW"/>
              </w:rPr>
              <w:t>分/次</w:t>
            </w:r>
          </w:p>
        </w:tc>
      </w:tr>
      <w:tr w14:paraId="0E2CD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662" w:type="dxa"/>
            <w:vMerge w:val="restart"/>
            <w:shd w:val="clear" w:color="000000" w:fill="FFFFFF"/>
            <w:noWrap w:val="0"/>
            <w:vAlign w:val="center"/>
          </w:tcPr>
          <w:p w14:paraId="637A15D4">
            <w:pPr>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七</w:t>
            </w:r>
          </w:p>
        </w:tc>
        <w:tc>
          <w:tcPr>
            <w:tcW w:w="607" w:type="dxa"/>
            <w:vMerge w:val="restart"/>
            <w:shd w:val="clear" w:color="000000" w:fill="FFFFFF"/>
            <w:noWrap w:val="0"/>
            <w:vAlign w:val="center"/>
          </w:tcPr>
          <w:p w14:paraId="4CEB9432">
            <w:pPr>
              <w:jc w:val="center"/>
              <w:rPr>
                <w:rFonts w:hint="eastAsia" w:ascii="宋体" w:hAnsi="宋体" w:cs="宋体"/>
                <w:sz w:val="18"/>
                <w:szCs w:val="18"/>
                <w:highlight w:val="none"/>
                <w:lang w:eastAsia="zh-TW"/>
              </w:rPr>
            </w:pPr>
            <w:r>
              <w:rPr>
                <w:rFonts w:hint="eastAsia" w:ascii="宋体" w:hAnsi="宋体" w:cs="宋体"/>
                <w:b/>
                <w:sz w:val="18"/>
                <w:szCs w:val="21"/>
                <w:highlight w:val="none"/>
              </w:rPr>
              <w:t>车辆管理</w:t>
            </w:r>
          </w:p>
        </w:tc>
        <w:tc>
          <w:tcPr>
            <w:tcW w:w="579" w:type="dxa"/>
            <w:vMerge w:val="restart"/>
            <w:shd w:val="clear" w:color="000000" w:fill="FFFFFF"/>
            <w:noWrap w:val="0"/>
            <w:vAlign w:val="center"/>
          </w:tcPr>
          <w:p w14:paraId="08AC9121">
            <w:pPr>
              <w:jc w:val="center"/>
              <w:rPr>
                <w:rFonts w:hint="eastAsia" w:ascii="宋体" w:hAnsi="宋体" w:cs="宋体"/>
                <w:sz w:val="18"/>
                <w:szCs w:val="18"/>
                <w:highlight w:val="none"/>
                <w:lang w:eastAsia="zh-TW"/>
              </w:rPr>
            </w:pPr>
            <w:r>
              <w:rPr>
                <w:rFonts w:hint="eastAsia" w:ascii="宋体" w:hAnsi="宋体" w:cs="宋体"/>
                <w:sz w:val="18"/>
                <w:szCs w:val="18"/>
                <w:highlight w:val="none"/>
                <w:lang w:eastAsia="zh-TW"/>
              </w:rPr>
              <w:t>实地考核</w:t>
            </w:r>
          </w:p>
        </w:tc>
        <w:tc>
          <w:tcPr>
            <w:tcW w:w="3969" w:type="dxa"/>
            <w:tcBorders>
              <w:top w:val="single" w:color="auto" w:sz="4" w:space="0"/>
              <w:bottom w:val="single" w:color="auto" w:sz="4" w:space="0"/>
            </w:tcBorders>
            <w:shd w:val="clear" w:color="000000" w:fill="FFFFFF"/>
            <w:noWrap w:val="0"/>
            <w:vAlign w:val="center"/>
          </w:tcPr>
          <w:p w14:paraId="0A862F66">
            <w:pPr>
              <w:tabs>
                <w:tab w:val="left" w:pos="312"/>
              </w:tabs>
              <w:rPr>
                <w:rFonts w:hint="eastAsia" w:ascii="Times New Roman" w:hAnsi="Times New Roman"/>
                <w:sz w:val="18"/>
                <w:szCs w:val="18"/>
                <w:highlight w:val="none"/>
                <w:lang w:eastAsia="zh-TW"/>
              </w:rPr>
            </w:pPr>
            <w:r>
              <w:rPr>
                <w:rFonts w:hint="eastAsia" w:ascii="宋体" w:hAnsi="宋体"/>
                <w:sz w:val="18"/>
                <w:szCs w:val="18"/>
                <w:highlight w:val="none"/>
                <w:lang w:val="en-US" w:eastAsia="zh-CN"/>
              </w:rPr>
              <w:t>17、</w:t>
            </w:r>
            <w:r>
              <w:rPr>
                <w:rFonts w:hint="eastAsia" w:ascii="宋体" w:hAnsi="宋体"/>
                <w:sz w:val="18"/>
                <w:szCs w:val="18"/>
                <w:highlight w:val="none"/>
              </w:rPr>
              <w:t>备用车辆须按甲方要求统一设置标志标识、驾驶员统一着装。</w:t>
            </w:r>
          </w:p>
        </w:tc>
        <w:tc>
          <w:tcPr>
            <w:tcW w:w="3981" w:type="dxa"/>
            <w:tcBorders>
              <w:top w:val="single" w:color="auto" w:sz="4" w:space="0"/>
              <w:bottom w:val="single" w:color="auto" w:sz="4" w:space="0"/>
            </w:tcBorders>
            <w:shd w:val="clear" w:color="000000" w:fill="FFFFFF"/>
            <w:noWrap w:val="0"/>
            <w:vAlign w:val="center"/>
          </w:tcPr>
          <w:p w14:paraId="7915AF01">
            <w:pPr>
              <w:rPr>
                <w:rFonts w:hint="eastAsia" w:ascii="Times New Roman" w:hAnsi="Times New Roman"/>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车辆未按要求统一设置标志标识或驾驶员统一着装的，</w:t>
            </w:r>
            <w:r>
              <w:rPr>
                <w:rFonts w:hint="eastAsia" w:ascii="宋体" w:hAnsi="宋体"/>
                <w:sz w:val="18"/>
                <w:szCs w:val="18"/>
                <w:highlight w:val="yellow"/>
              </w:rPr>
              <w:t>一次扣</w:t>
            </w:r>
            <w:r>
              <w:rPr>
                <w:rFonts w:hint="eastAsia" w:ascii="宋体" w:hAnsi="宋体"/>
                <w:sz w:val="18"/>
                <w:szCs w:val="18"/>
                <w:highlight w:val="yellow"/>
                <w:lang w:val="en-US" w:eastAsia="zh-CN"/>
              </w:rPr>
              <w:t>1</w:t>
            </w:r>
            <w:r>
              <w:rPr>
                <w:rFonts w:hint="eastAsia" w:ascii="宋体" w:hAnsi="宋体"/>
                <w:sz w:val="18"/>
                <w:szCs w:val="18"/>
                <w:highlight w:val="yellow"/>
              </w:rPr>
              <w:t>分。</w:t>
            </w:r>
          </w:p>
        </w:tc>
      </w:tr>
      <w:tr w14:paraId="4F1BF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662" w:type="dxa"/>
            <w:vMerge w:val="continue"/>
            <w:shd w:val="clear" w:color="000000" w:fill="FFFFFF"/>
            <w:noWrap w:val="0"/>
            <w:vAlign w:val="center"/>
          </w:tcPr>
          <w:p w14:paraId="62B4E375">
            <w:pPr>
              <w:jc w:val="center"/>
              <w:rPr>
                <w:rFonts w:hint="eastAsia" w:ascii="宋体" w:hAnsi="宋体" w:cs="宋体"/>
                <w:sz w:val="18"/>
                <w:szCs w:val="18"/>
                <w:highlight w:val="none"/>
                <w:lang w:val="en-US" w:eastAsia="zh-CN"/>
              </w:rPr>
            </w:pPr>
          </w:p>
        </w:tc>
        <w:tc>
          <w:tcPr>
            <w:tcW w:w="607" w:type="dxa"/>
            <w:vMerge w:val="continue"/>
            <w:shd w:val="clear" w:color="000000" w:fill="FFFFFF"/>
            <w:noWrap w:val="0"/>
            <w:vAlign w:val="center"/>
          </w:tcPr>
          <w:p w14:paraId="18507ABB">
            <w:pPr>
              <w:jc w:val="center"/>
              <w:rPr>
                <w:rFonts w:hint="eastAsia" w:ascii="宋体" w:hAnsi="宋体" w:cs="宋体"/>
                <w:b/>
                <w:sz w:val="18"/>
                <w:szCs w:val="21"/>
                <w:highlight w:val="none"/>
              </w:rPr>
            </w:pPr>
          </w:p>
        </w:tc>
        <w:tc>
          <w:tcPr>
            <w:tcW w:w="579" w:type="dxa"/>
            <w:vMerge w:val="continue"/>
            <w:shd w:val="clear" w:color="000000" w:fill="FFFFFF"/>
            <w:noWrap w:val="0"/>
            <w:vAlign w:val="center"/>
          </w:tcPr>
          <w:p w14:paraId="56017AE9">
            <w:pPr>
              <w:jc w:val="center"/>
              <w:rPr>
                <w:rFonts w:hint="eastAsia" w:ascii="宋体" w:hAnsi="宋体" w:cs="宋体"/>
                <w:sz w:val="18"/>
                <w:szCs w:val="18"/>
                <w:highlight w:val="none"/>
                <w:lang w:eastAsia="zh-TW"/>
              </w:rPr>
            </w:pPr>
          </w:p>
        </w:tc>
        <w:tc>
          <w:tcPr>
            <w:tcW w:w="3969" w:type="dxa"/>
            <w:tcBorders>
              <w:top w:val="single" w:color="auto" w:sz="4" w:space="0"/>
              <w:bottom w:val="single" w:color="auto" w:sz="4" w:space="0"/>
            </w:tcBorders>
            <w:shd w:val="clear" w:color="000000" w:fill="FFFFFF"/>
            <w:noWrap w:val="0"/>
            <w:vAlign w:val="center"/>
          </w:tcPr>
          <w:p w14:paraId="16E766C6">
            <w:pPr>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保持密闭运输，严禁运输途中发生“滴、洒、漏”等二次污染现象。</w:t>
            </w:r>
          </w:p>
        </w:tc>
        <w:tc>
          <w:tcPr>
            <w:tcW w:w="3981" w:type="dxa"/>
            <w:tcBorders>
              <w:top w:val="single" w:color="auto" w:sz="4" w:space="0"/>
              <w:bottom w:val="single" w:color="auto" w:sz="4" w:space="0"/>
            </w:tcBorders>
            <w:shd w:val="clear" w:color="000000" w:fill="FFFFFF"/>
            <w:noWrap w:val="0"/>
            <w:vAlign w:val="center"/>
          </w:tcPr>
          <w:p w14:paraId="22AAE335">
            <w:pP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17、</w:t>
            </w:r>
            <w:r>
              <w:rPr>
                <w:rFonts w:hint="eastAsia" w:ascii="宋体" w:hAnsi="宋体"/>
                <w:sz w:val="18"/>
                <w:szCs w:val="18"/>
                <w:highlight w:val="none"/>
              </w:rPr>
              <w:t>发现</w:t>
            </w:r>
            <w:r>
              <w:rPr>
                <w:rFonts w:hint="eastAsia" w:ascii="宋体" w:hAnsi="宋体"/>
                <w:sz w:val="18"/>
                <w:szCs w:val="18"/>
                <w:highlight w:val="none"/>
                <w:lang w:eastAsia="zh-CN"/>
              </w:rPr>
              <w:t>后拦板未处置到位、垃圾裸露拖挂、后拦板牌照不洁及存在</w:t>
            </w:r>
            <w:r>
              <w:rPr>
                <w:rFonts w:hint="eastAsia" w:ascii="宋体" w:hAnsi="宋体"/>
                <w:sz w:val="18"/>
                <w:szCs w:val="18"/>
                <w:highlight w:val="none"/>
              </w:rPr>
              <w:t>“滴洒漏”现象</w:t>
            </w:r>
            <w:r>
              <w:rPr>
                <w:rFonts w:hint="eastAsia" w:ascii="宋体" w:hAnsi="宋体"/>
                <w:sz w:val="18"/>
                <w:szCs w:val="18"/>
                <w:highlight w:val="yellow"/>
              </w:rPr>
              <w:t>，每辆车一次扣</w:t>
            </w:r>
            <w:r>
              <w:rPr>
                <w:rFonts w:hint="eastAsia" w:ascii="宋体" w:hAnsi="宋体"/>
                <w:sz w:val="18"/>
                <w:szCs w:val="18"/>
                <w:highlight w:val="yellow"/>
                <w:lang w:val="en-US" w:eastAsia="zh-CN"/>
              </w:rPr>
              <w:t>2</w:t>
            </w:r>
            <w:r>
              <w:rPr>
                <w:rFonts w:hint="eastAsia" w:ascii="宋体" w:hAnsi="宋体"/>
                <w:sz w:val="18"/>
                <w:szCs w:val="18"/>
                <w:highlight w:val="yellow"/>
              </w:rPr>
              <w:t>分</w:t>
            </w:r>
            <w:r>
              <w:rPr>
                <w:rFonts w:hint="eastAsia" w:ascii="宋体" w:hAnsi="宋体"/>
                <w:sz w:val="18"/>
                <w:szCs w:val="18"/>
                <w:highlight w:val="none"/>
              </w:rPr>
              <w:t>；</w:t>
            </w:r>
          </w:p>
        </w:tc>
      </w:tr>
      <w:tr w14:paraId="7537A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662" w:type="dxa"/>
            <w:vMerge w:val="continue"/>
            <w:shd w:val="clear" w:color="000000" w:fill="FFFFFF"/>
            <w:noWrap w:val="0"/>
            <w:vAlign w:val="center"/>
          </w:tcPr>
          <w:p w14:paraId="1D22CA6D">
            <w:pPr>
              <w:jc w:val="center"/>
              <w:rPr>
                <w:rFonts w:hint="eastAsia" w:ascii="宋体" w:hAnsi="宋体" w:cs="宋体"/>
                <w:sz w:val="18"/>
                <w:szCs w:val="18"/>
                <w:highlight w:val="none"/>
                <w:lang w:val="en-US" w:eastAsia="zh-CN"/>
              </w:rPr>
            </w:pPr>
          </w:p>
        </w:tc>
        <w:tc>
          <w:tcPr>
            <w:tcW w:w="607" w:type="dxa"/>
            <w:vMerge w:val="continue"/>
            <w:shd w:val="clear" w:color="000000" w:fill="FFFFFF"/>
            <w:noWrap w:val="0"/>
            <w:vAlign w:val="center"/>
          </w:tcPr>
          <w:p w14:paraId="581FB51E">
            <w:pPr>
              <w:jc w:val="center"/>
              <w:rPr>
                <w:rFonts w:hint="eastAsia" w:ascii="宋体" w:hAnsi="宋体" w:cs="宋体"/>
                <w:b/>
                <w:sz w:val="18"/>
                <w:szCs w:val="21"/>
                <w:highlight w:val="none"/>
              </w:rPr>
            </w:pPr>
          </w:p>
        </w:tc>
        <w:tc>
          <w:tcPr>
            <w:tcW w:w="579" w:type="dxa"/>
            <w:vMerge w:val="continue"/>
            <w:shd w:val="clear" w:color="000000" w:fill="FFFFFF"/>
            <w:noWrap w:val="0"/>
            <w:vAlign w:val="center"/>
          </w:tcPr>
          <w:p w14:paraId="38B2FD07">
            <w:pPr>
              <w:jc w:val="center"/>
              <w:rPr>
                <w:rFonts w:hint="eastAsia" w:ascii="宋体" w:hAnsi="宋体" w:cs="宋体"/>
                <w:sz w:val="18"/>
                <w:szCs w:val="18"/>
                <w:highlight w:val="none"/>
                <w:lang w:eastAsia="zh-TW"/>
              </w:rPr>
            </w:pPr>
          </w:p>
        </w:tc>
        <w:tc>
          <w:tcPr>
            <w:tcW w:w="3969" w:type="dxa"/>
            <w:tcBorders>
              <w:top w:val="single" w:color="auto" w:sz="4" w:space="0"/>
              <w:bottom w:val="single" w:color="auto" w:sz="4" w:space="0"/>
            </w:tcBorders>
            <w:shd w:val="clear" w:color="000000" w:fill="FFFFFF"/>
            <w:noWrap w:val="0"/>
            <w:vAlign w:val="center"/>
          </w:tcPr>
          <w:p w14:paraId="50ED373C">
            <w:pPr>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焚烧厂平台上，驾驶员须按焚烧厂的管理规范操作，规范倾倒垃圾，并遵守场内管理制度。</w:t>
            </w:r>
          </w:p>
        </w:tc>
        <w:tc>
          <w:tcPr>
            <w:tcW w:w="3981" w:type="dxa"/>
            <w:tcBorders>
              <w:top w:val="single" w:color="auto" w:sz="4" w:space="0"/>
              <w:bottom w:val="single" w:color="auto" w:sz="4" w:space="0"/>
            </w:tcBorders>
            <w:shd w:val="clear" w:color="000000" w:fill="FFFFFF"/>
            <w:noWrap w:val="0"/>
            <w:vAlign w:val="center"/>
          </w:tcPr>
          <w:p w14:paraId="49E17BE0">
            <w:pPr>
              <w:rPr>
                <w:rFonts w:hint="eastAsia"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驾驶员未规范倾倒垃圾，违反焚烧厂相关管理制度的，一次扣</w:t>
            </w:r>
            <w:r>
              <w:rPr>
                <w:rFonts w:hint="eastAsia" w:ascii="宋体" w:hAnsi="宋体"/>
                <w:sz w:val="18"/>
                <w:szCs w:val="18"/>
                <w:highlight w:val="none"/>
                <w:lang w:val="en-US" w:eastAsia="zh-CN"/>
              </w:rPr>
              <w:t>1</w:t>
            </w:r>
            <w:r>
              <w:rPr>
                <w:rFonts w:hint="eastAsia" w:ascii="宋体" w:hAnsi="宋体"/>
                <w:sz w:val="18"/>
                <w:szCs w:val="18"/>
                <w:highlight w:val="none"/>
              </w:rPr>
              <w:t>分；</w:t>
            </w:r>
          </w:p>
        </w:tc>
      </w:tr>
      <w:tr w14:paraId="55D61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62" w:type="dxa"/>
            <w:vMerge w:val="continue"/>
            <w:shd w:val="clear" w:color="000000" w:fill="FFFFFF"/>
            <w:noWrap w:val="0"/>
            <w:vAlign w:val="center"/>
          </w:tcPr>
          <w:p w14:paraId="7A1FE809">
            <w:pPr>
              <w:jc w:val="center"/>
              <w:rPr>
                <w:rFonts w:hint="eastAsia" w:ascii="宋体" w:hAnsi="宋体" w:cs="宋体"/>
                <w:sz w:val="18"/>
                <w:szCs w:val="18"/>
                <w:highlight w:val="none"/>
                <w:lang w:val="en-US" w:eastAsia="zh-CN"/>
              </w:rPr>
            </w:pPr>
          </w:p>
        </w:tc>
        <w:tc>
          <w:tcPr>
            <w:tcW w:w="607" w:type="dxa"/>
            <w:vMerge w:val="continue"/>
            <w:shd w:val="clear" w:color="000000" w:fill="FFFFFF"/>
            <w:noWrap w:val="0"/>
            <w:vAlign w:val="center"/>
          </w:tcPr>
          <w:p w14:paraId="7D0D02FD">
            <w:pPr>
              <w:jc w:val="center"/>
              <w:rPr>
                <w:rFonts w:hint="eastAsia" w:ascii="宋体" w:hAnsi="宋体" w:cs="宋体"/>
                <w:b/>
                <w:sz w:val="18"/>
                <w:szCs w:val="21"/>
                <w:highlight w:val="none"/>
              </w:rPr>
            </w:pPr>
          </w:p>
        </w:tc>
        <w:tc>
          <w:tcPr>
            <w:tcW w:w="579" w:type="dxa"/>
            <w:vMerge w:val="continue"/>
            <w:shd w:val="clear" w:color="000000" w:fill="FFFFFF"/>
            <w:noWrap w:val="0"/>
            <w:vAlign w:val="center"/>
          </w:tcPr>
          <w:p w14:paraId="7FC7CF7D">
            <w:pPr>
              <w:jc w:val="center"/>
              <w:rPr>
                <w:rFonts w:hint="eastAsia" w:ascii="宋体" w:hAnsi="宋体" w:cs="宋体"/>
                <w:sz w:val="18"/>
                <w:szCs w:val="18"/>
                <w:highlight w:val="none"/>
                <w:lang w:eastAsia="zh-TW"/>
              </w:rPr>
            </w:pPr>
          </w:p>
        </w:tc>
        <w:tc>
          <w:tcPr>
            <w:tcW w:w="3969" w:type="dxa"/>
            <w:tcBorders>
              <w:top w:val="single" w:color="auto" w:sz="4" w:space="0"/>
              <w:bottom w:val="single" w:color="auto" w:sz="4" w:space="0"/>
            </w:tcBorders>
            <w:shd w:val="clear" w:color="000000" w:fill="FFFFFF"/>
            <w:noWrap w:val="0"/>
            <w:vAlign w:val="center"/>
          </w:tcPr>
          <w:p w14:paraId="533B11ED">
            <w:pPr>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垃圾中转运输车辆应在按规定的地点、路线收运垃圾，不得跨区域作业。</w:t>
            </w:r>
          </w:p>
        </w:tc>
        <w:tc>
          <w:tcPr>
            <w:tcW w:w="3981" w:type="dxa"/>
            <w:tcBorders>
              <w:top w:val="single" w:color="auto" w:sz="4" w:space="0"/>
              <w:bottom w:val="single" w:color="auto" w:sz="4" w:space="0"/>
            </w:tcBorders>
            <w:shd w:val="clear" w:color="000000" w:fill="FFFFFF"/>
            <w:noWrap w:val="0"/>
            <w:vAlign w:val="center"/>
          </w:tcPr>
          <w:p w14:paraId="43D563B9">
            <w:pP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19、</w:t>
            </w:r>
            <w:r>
              <w:rPr>
                <w:rFonts w:hint="eastAsia" w:ascii="宋体" w:hAnsi="宋体"/>
                <w:sz w:val="18"/>
                <w:szCs w:val="18"/>
                <w:highlight w:val="none"/>
              </w:rPr>
              <w:t>未按规定的地点、路线收运垃圾，或跨区域作业的，发现一次扣</w:t>
            </w:r>
            <w:r>
              <w:rPr>
                <w:rFonts w:hint="eastAsia" w:ascii="宋体" w:hAnsi="宋体"/>
                <w:sz w:val="18"/>
                <w:szCs w:val="18"/>
                <w:highlight w:val="none"/>
                <w:lang w:val="en-US" w:eastAsia="zh-CN"/>
              </w:rPr>
              <w:t>2</w:t>
            </w:r>
            <w:r>
              <w:rPr>
                <w:rFonts w:hint="eastAsia" w:ascii="宋体" w:hAnsi="宋体"/>
                <w:sz w:val="18"/>
                <w:szCs w:val="18"/>
                <w:highlight w:val="none"/>
              </w:rPr>
              <w:t>分；</w:t>
            </w:r>
            <w:r>
              <w:rPr>
                <w:rFonts w:hint="eastAsia" w:ascii="宋体" w:hAnsi="宋体"/>
                <w:sz w:val="18"/>
                <w:szCs w:val="18"/>
                <w:highlight w:val="none"/>
                <w:lang w:eastAsia="zh-CN"/>
              </w:rPr>
              <w:t>作业结束后未停放在按规定区域的，</w:t>
            </w:r>
            <w:r>
              <w:rPr>
                <w:rFonts w:hint="eastAsia" w:ascii="宋体" w:hAnsi="宋体"/>
                <w:sz w:val="18"/>
                <w:szCs w:val="18"/>
                <w:highlight w:val="none"/>
              </w:rPr>
              <w:t>发现一次扣</w:t>
            </w:r>
            <w:r>
              <w:rPr>
                <w:rFonts w:hint="eastAsia" w:ascii="宋体" w:hAnsi="宋体"/>
                <w:sz w:val="18"/>
                <w:szCs w:val="18"/>
                <w:highlight w:val="none"/>
                <w:lang w:val="en-US" w:eastAsia="zh-CN"/>
              </w:rPr>
              <w:t>1</w:t>
            </w:r>
            <w:r>
              <w:rPr>
                <w:rFonts w:hint="eastAsia" w:ascii="宋体" w:hAnsi="宋体"/>
                <w:sz w:val="18"/>
                <w:szCs w:val="18"/>
                <w:highlight w:val="none"/>
              </w:rPr>
              <w:t>分</w:t>
            </w:r>
            <w:r>
              <w:rPr>
                <w:rFonts w:hint="eastAsia" w:ascii="宋体" w:hAnsi="宋体"/>
                <w:sz w:val="18"/>
                <w:szCs w:val="18"/>
                <w:highlight w:val="yellow"/>
              </w:rPr>
              <w:t>。</w:t>
            </w:r>
          </w:p>
        </w:tc>
      </w:tr>
      <w:tr w14:paraId="0CBD7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62" w:type="dxa"/>
            <w:vMerge w:val="continue"/>
            <w:shd w:val="clear" w:color="000000" w:fill="FFFFFF"/>
            <w:noWrap w:val="0"/>
            <w:vAlign w:val="center"/>
          </w:tcPr>
          <w:p w14:paraId="368F9FAC">
            <w:pPr>
              <w:jc w:val="center"/>
              <w:rPr>
                <w:rFonts w:hint="eastAsia" w:ascii="宋体" w:hAnsi="宋体" w:cs="宋体"/>
                <w:sz w:val="18"/>
                <w:szCs w:val="18"/>
                <w:highlight w:val="none"/>
                <w:lang w:val="en-US" w:eastAsia="zh-CN"/>
              </w:rPr>
            </w:pPr>
          </w:p>
        </w:tc>
        <w:tc>
          <w:tcPr>
            <w:tcW w:w="607" w:type="dxa"/>
            <w:vMerge w:val="continue"/>
            <w:shd w:val="clear" w:color="000000" w:fill="FFFFFF"/>
            <w:noWrap w:val="0"/>
            <w:vAlign w:val="center"/>
          </w:tcPr>
          <w:p w14:paraId="57C9434F">
            <w:pPr>
              <w:jc w:val="center"/>
              <w:rPr>
                <w:rFonts w:hint="eastAsia" w:ascii="宋体" w:hAnsi="宋体" w:cs="宋体"/>
                <w:b/>
                <w:sz w:val="18"/>
                <w:szCs w:val="21"/>
                <w:highlight w:val="none"/>
              </w:rPr>
            </w:pPr>
          </w:p>
        </w:tc>
        <w:tc>
          <w:tcPr>
            <w:tcW w:w="579" w:type="dxa"/>
            <w:vMerge w:val="continue"/>
            <w:shd w:val="clear" w:color="000000" w:fill="FFFFFF"/>
            <w:noWrap w:val="0"/>
            <w:vAlign w:val="center"/>
          </w:tcPr>
          <w:p w14:paraId="374E3E76">
            <w:pPr>
              <w:jc w:val="center"/>
              <w:rPr>
                <w:rFonts w:hint="eastAsia" w:ascii="宋体" w:hAnsi="宋体" w:cs="宋体"/>
                <w:sz w:val="18"/>
                <w:szCs w:val="18"/>
                <w:highlight w:val="none"/>
                <w:lang w:eastAsia="zh-TW"/>
              </w:rPr>
            </w:pPr>
          </w:p>
        </w:tc>
        <w:tc>
          <w:tcPr>
            <w:tcW w:w="3969" w:type="dxa"/>
            <w:tcBorders>
              <w:top w:val="single" w:color="auto" w:sz="4" w:space="0"/>
              <w:bottom w:val="single" w:color="auto" w:sz="4" w:space="0"/>
            </w:tcBorders>
            <w:shd w:val="clear" w:color="000000" w:fill="FFFFFF"/>
            <w:noWrap w:val="0"/>
            <w:vAlign w:val="center"/>
          </w:tcPr>
          <w:p w14:paraId="2C9BE544">
            <w:pP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21、</w:t>
            </w:r>
            <w:r>
              <w:rPr>
                <w:rFonts w:hint="eastAsia" w:ascii="宋体" w:hAnsi="宋体"/>
                <w:sz w:val="18"/>
                <w:szCs w:val="18"/>
                <w:highlight w:val="none"/>
              </w:rPr>
              <w:t>所有垃圾须转运至指定焚烧厂，不得乱倒。</w:t>
            </w:r>
          </w:p>
        </w:tc>
        <w:tc>
          <w:tcPr>
            <w:tcW w:w="3981" w:type="dxa"/>
            <w:tcBorders>
              <w:top w:val="single" w:color="auto" w:sz="4" w:space="0"/>
              <w:bottom w:val="single" w:color="auto" w:sz="4" w:space="0"/>
            </w:tcBorders>
            <w:shd w:val="clear" w:color="000000" w:fill="FFFFFF"/>
            <w:noWrap w:val="0"/>
            <w:vAlign w:val="center"/>
          </w:tcPr>
          <w:p w14:paraId="0DDBBA62">
            <w:pP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20、</w:t>
            </w:r>
            <w:r>
              <w:rPr>
                <w:rFonts w:hint="eastAsia" w:ascii="宋体" w:hAnsi="宋体"/>
                <w:sz w:val="18"/>
                <w:szCs w:val="18"/>
                <w:highlight w:val="none"/>
              </w:rPr>
              <w:t>乱倒垃圾的，发现一次扣</w:t>
            </w:r>
            <w:r>
              <w:rPr>
                <w:rFonts w:hint="eastAsia" w:ascii="宋体" w:hAnsi="宋体"/>
                <w:sz w:val="18"/>
                <w:szCs w:val="18"/>
                <w:highlight w:val="none"/>
                <w:lang w:val="en-US" w:eastAsia="zh-CN"/>
              </w:rPr>
              <w:t>1</w:t>
            </w:r>
            <w:r>
              <w:rPr>
                <w:rFonts w:hint="eastAsia" w:ascii="宋体" w:hAnsi="宋体"/>
                <w:sz w:val="18"/>
                <w:szCs w:val="18"/>
                <w:highlight w:val="none"/>
              </w:rPr>
              <w:t>分</w:t>
            </w:r>
            <w:r>
              <w:rPr>
                <w:rFonts w:hint="eastAsia" w:ascii="宋体" w:hAnsi="宋体"/>
                <w:sz w:val="18"/>
                <w:szCs w:val="18"/>
                <w:highlight w:val="yellow"/>
              </w:rPr>
              <w:t>。</w:t>
            </w:r>
          </w:p>
        </w:tc>
      </w:tr>
      <w:tr w14:paraId="25ACF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62" w:type="dxa"/>
            <w:vMerge w:val="continue"/>
            <w:shd w:val="clear" w:color="000000" w:fill="FFFFFF"/>
            <w:noWrap w:val="0"/>
            <w:vAlign w:val="center"/>
          </w:tcPr>
          <w:p w14:paraId="110D5932">
            <w:pPr>
              <w:jc w:val="center"/>
              <w:rPr>
                <w:rFonts w:hint="eastAsia" w:ascii="宋体" w:hAnsi="宋体" w:cs="宋体"/>
                <w:sz w:val="18"/>
                <w:szCs w:val="18"/>
                <w:highlight w:val="none"/>
                <w:lang w:val="en-US" w:eastAsia="zh-CN"/>
              </w:rPr>
            </w:pPr>
          </w:p>
        </w:tc>
        <w:tc>
          <w:tcPr>
            <w:tcW w:w="607" w:type="dxa"/>
            <w:vMerge w:val="continue"/>
            <w:shd w:val="clear" w:color="000000" w:fill="FFFFFF"/>
            <w:noWrap w:val="0"/>
            <w:vAlign w:val="center"/>
          </w:tcPr>
          <w:p w14:paraId="7CE4328E">
            <w:pPr>
              <w:jc w:val="center"/>
              <w:rPr>
                <w:rFonts w:hint="eastAsia" w:ascii="宋体" w:hAnsi="宋体" w:cs="宋体"/>
                <w:b/>
                <w:sz w:val="18"/>
                <w:szCs w:val="21"/>
                <w:highlight w:val="none"/>
              </w:rPr>
            </w:pPr>
          </w:p>
        </w:tc>
        <w:tc>
          <w:tcPr>
            <w:tcW w:w="579" w:type="dxa"/>
            <w:vMerge w:val="continue"/>
            <w:shd w:val="clear" w:color="000000" w:fill="FFFFFF"/>
            <w:noWrap w:val="0"/>
            <w:vAlign w:val="center"/>
          </w:tcPr>
          <w:p w14:paraId="11C3D6F2">
            <w:pPr>
              <w:jc w:val="center"/>
              <w:rPr>
                <w:rFonts w:hint="eastAsia" w:ascii="宋体" w:hAnsi="宋体" w:cs="宋体"/>
                <w:sz w:val="18"/>
                <w:szCs w:val="18"/>
                <w:highlight w:val="none"/>
                <w:lang w:eastAsia="zh-TW"/>
              </w:rPr>
            </w:pPr>
          </w:p>
        </w:tc>
        <w:tc>
          <w:tcPr>
            <w:tcW w:w="3969" w:type="dxa"/>
            <w:tcBorders>
              <w:top w:val="single" w:color="auto" w:sz="4" w:space="0"/>
              <w:bottom w:val="single" w:color="auto" w:sz="4" w:space="0"/>
            </w:tcBorders>
            <w:shd w:val="clear" w:color="000000" w:fill="FFFFFF"/>
            <w:noWrap w:val="0"/>
            <w:vAlign w:val="center"/>
          </w:tcPr>
          <w:p w14:paraId="5A8FB209">
            <w:pPr>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车辆发生故障应及时提供备用车辆，并及时上报维修。</w:t>
            </w:r>
          </w:p>
        </w:tc>
        <w:tc>
          <w:tcPr>
            <w:tcW w:w="3981" w:type="dxa"/>
            <w:tcBorders>
              <w:top w:val="single" w:color="auto" w:sz="4" w:space="0"/>
              <w:bottom w:val="single" w:color="auto" w:sz="4" w:space="0"/>
            </w:tcBorders>
            <w:shd w:val="clear" w:color="000000" w:fill="FFFFFF"/>
            <w:noWrap w:val="0"/>
            <w:vAlign w:val="center"/>
          </w:tcPr>
          <w:p w14:paraId="10CA4438">
            <w:pPr>
              <w:rPr>
                <w:rFonts w:hint="eastAsia"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未按承诺的时间内修理完好的每辆车一次扣</w:t>
            </w:r>
            <w:r>
              <w:rPr>
                <w:rFonts w:hint="eastAsia" w:ascii="宋体" w:hAnsi="宋体"/>
                <w:sz w:val="18"/>
                <w:szCs w:val="18"/>
                <w:highlight w:val="none"/>
                <w:lang w:val="en-US" w:eastAsia="zh-CN"/>
              </w:rPr>
              <w:t>2</w:t>
            </w:r>
            <w:r>
              <w:rPr>
                <w:rFonts w:hint="eastAsia" w:ascii="宋体" w:hAnsi="宋体"/>
                <w:sz w:val="18"/>
                <w:szCs w:val="18"/>
                <w:highlight w:val="none"/>
              </w:rPr>
              <w:t>分。</w:t>
            </w:r>
          </w:p>
        </w:tc>
      </w:tr>
      <w:tr w14:paraId="419D1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662" w:type="dxa"/>
            <w:vMerge w:val="continue"/>
            <w:shd w:val="clear" w:color="000000" w:fill="FFFFFF"/>
            <w:noWrap w:val="0"/>
            <w:vAlign w:val="center"/>
          </w:tcPr>
          <w:p w14:paraId="44DF521C">
            <w:pPr>
              <w:jc w:val="center"/>
              <w:rPr>
                <w:rFonts w:hint="eastAsia" w:ascii="宋体" w:hAnsi="宋体" w:cs="宋体"/>
                <w:sz w:val="18"/>
                <w:szCs w:val="18"/>
                <w:highlight w:val="none"/>
                <w:lang w:val="en-US" w:eastAsia="zh-CN"/>
              </w:rPr>
            </w:pPr>
          </w:p>
        </w:tc>
        <w:tc>
          <w:tcPr>
            <w:tcW w:w="607" w:type="dxa"/>
            <w:vMerge w:val="continue"/>
            <w:shd w:val="clear" w:color="000000" w:fill="FFFFFF"/>
            <w:noWrap w:val="0"/>
            <w:vAlign w:val="center"/>
          </w:tcPr>
          <w:p w14:paraId="61F84D14">
            <w:pPr>
              <w:jc w:val="center"/>
              <w:rPr>
                <w:rFonts w:hint="eastAsia" w:ascii="宋体" w:hAnsi="宋体" w:cs="宋体"/>
                <w:b/>
                <w:sz w:val="18"/>
                <w:szCs w:val="21"/>
                <w:highlight w:val="none"/>
              </w:rPr>
            </w:pPr>
          </w:p>
        </w:tc>
        <w:tc>
          <w:tcPr>
            <w:tcW w:w="579" w:type="dxa"/>
            <w:vMerge w:val="continue"/>
            <w:shd w:val="clear" w:color="000000" w:fill="FFFFFF"/>
            <w:noWrap w:val="0"/>
            <w:vAlign w:val="center"/>
          </w:tcPr>
          <w:p w14:paraId="5CEEBF5B">
            <w:pPr>
              <w:jc w:val="center"/>
              <w:rPr>
                <w:rFonts w:hint="eastAsia" w:ascii="宋体" w:hAnsi="宋体" w:cs="宋体"/>
                <w:sz w:val="18"/>
                <w:szCs w:val="18"/>
                <w:highlight w:val="none"/>
                <w:lang w:eastAsia="zh-TW"/>
              </w:rPr>
            </w:pPr>
          </w:p>
        </w:tc>
        <w:tc>
          <w:tcPr>
            <w:tcW w:w="3969" w:type="dxa"/>
            <w:tcBorders>
              <w:top w:val="single" w:color="auto" w:sz="4" w:space="0"/>
              <w:bottom w:val="single" w:color="auto" w:sz="4" w:space="0"/>
            </w:tcBorders>
            <w:shd w:val="clear" w:color="000000" w:fill="FFFFFF"/>
            <w:noWrap w:val="0"/>
            <w:vAlign w:val="center"/>
          </w:tcPr>
          <w:p w14:paraId="65A2D8E1">
            <w:pPr>
              <w:rPr>
                <w:rFonts w:ascii="宋体" w:hAnsi="宋体"/>
                <w:sz w:val="18"/>
                <w:szCs w:val="18"/>
                <w:highlight w:val="none"/>
              </w:rPr>
            </w:pPr>
            <w:r>
              <w:rPr>
                <w:rFonts w:hint="eastAsia" w:ascii="宋体" w:hAnsi="宋体"/>
                <w:sz w:val="18"/>
                <w:szCs w:val="18"/>
                <w:highlight w:val="none"/>
                <w:lang w:val="en-US" w:eastAsia="zh-CN"/>
              </w:rPr>
              <w:t>23、</w:t>
            </w:r>
            <w:r>
              <w:rPr>
                <w:rFonts w:hint="eastAsia" w:ascii="宋体" w:hAnsi="宋体"/>
                <w:sz w:val="18"/>
                <w:szCs w:val="18"/>
                <w:highlight w:val="none"/>
              </w:rPr>
              <w:t>车辆</w:t>
            </w:r>
            <w:r>
              <w:rPr>
                <w:rFonts w:hint="eastAsia" w:ascii="宋体" w:hAnsi="宋体"/>
                <w:sz w:val="18"/>
                <w:szCs w:val="18"/>
                <w:highlight w:val="none"/>
                <w:lang w:val="en-US" w:eastAsia="zh-CN"/>
              </w:rPr>
              <w:t>发生重大交通事故或亡人事故时，在发生事故后8小时内上报所属街道及业主方备案。</w:t>
            </w:r>
          </w:p>
        </w:tc>
        <w:tc>
          <w:tcPr>
            <w:tcW w:w="3981" w:type="dxa"/>
            <w:tcBorders>
              <w:top w:val="single" w:color="auto" w:sz="4" w:space="0"/>
              <w:bottom w:val="single" w:color="auto" w:sz="4" w:space="0"/>
            </w:tcBorders>
            <w:shd w:val="clear" w:color="000000" w:fill="FFFFFF"/>
            <w:noWrap w:val="0"/>
            <w:vAlign w:val="center"/>
          </w:tcPr>
          <w:p w14:paraId="625D629C">
            <w:pPr>
              <w:rPr>
                <w:rFonts w:hint="eastAsia"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车辆</w:t>
            </w:r>
            <w:r>
              <w:rPr>
                <w:rFonts w:hint="eastAsia" w:ascii="宋体" w:hAnsi="宋体"/>
                <w:sz w:val="18"/>
                <w:szCs w:val="18"/>
                <w:highlight w:val="none"/>
                <w:lang w:val="en-US" w:eastAsia="zh-CN"/>
              </w:rPr>
              <w:t>发生重大交通事故或亡人事故后，在发生事故后8小时内未上报相关事故的，</w:t>
            </w:r>
            <w:r>
              <w:rPr>
                <w:rFonts w:hint="eastAsia" w:ascii="宋体" w:hAnsi="宋体"/>
                <w:sz w:val="18"/>
                <w:szCs w:val="18"/>
                <w:highlight w:val="none"/>
              </w:rPr>
              <w:t>一次扣</w:t>
            </w:r>
            <w:r>
              <w:rPr>
                <w:rFonts w:hint="eastAsia" w:ascii="宋体" w:hAnsi="宋体"/>
                <w:sz w:val="18"/>
                <w:szCs w:val="18"/>
                <w:highlight w:val="none"/>
                <w:lang w:val="en-US" w:eastAsia="zh-CN"/>
              </w:rPr>
              <w:t>5</w:t>
            </w:r>
            <w:r>
              <w:rPr>
                <w:rFonts w:hint="eastAsia" w:ascii="宋体" w:hAnsi="宋体"/>
                <w:sz w:val="18"/>
                <w:szCs w:val="18"/>
                <w:highlight w:val="none"/>
              </w:rPr>
              <w:t>分</w:t>
            </w:r>
            <w:r>
              <w:rPr>
                <w:rFonts w:hint="eastAsia" w:ascii="宋体" w:hAnsi="宋体"/>
                <w:sz w:val="18"/>
                <w:szCs w:val="18"/>
                <w:highlight w:val="none"/>
                <w:lang w:eastAsia="zh-CN"/>
              </w:rPr>
              <w:t>。</w:t>
            </w:r>
          </w:p>
        </w:tc>
      </w:tr>
      <w:tr w14:paraId="5EB3F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62" w:type="dxa"/>
            <w:shd w:val="clear" w:color="000000" w:fill="FFFFFF"/>
            <w:noWrap w:val="0"/>
            <w:vAlign w:val="center"/>
          </w:tcPr>
          <w:p w14:paraId="29266751">
            <w:pPr>
              <w:jc w:val="center"/>
              <w:rPr>
                <w:rFonts w:hint="eastAsia" w:ascii="宋体" w:hAnsi="宋体" w:cs="宋体"/>
                <w:sz w:val="18"/>
                <w:szCs w:val="18"/>
                <w:highlight w:val="none"/>
                <w:lang w:val="en-US" w:eastAsia="zh-CN"/>
              </w:rPr>
            </w:pPr>
            <w:r>
              <w:rPr>
                <w:rFonts w:hint="eastAsia" w:ascii="宋体" w:hAnsi="宋体" w:cs="宋体"/>
                <w:sz w:val="18"/>
                <w:szCs w:val="18"/>
                <w:highlight w:val="none"/>
                <w:lang w:eastAsia="zh-CN"/>
              </w:rPr>
              <w:t>八</w:t>
            </w:r>
          </w:p>
        </w:tc>
        <w:tc>
          <w:tcPr>
            <w:tcW w:w="607" w:type="dxa"/>
            <w:shd w:val="clear" w:color="000000" w:fill="FFFFFF"/>
            <w:noWrap w:val="0"/>
            <w:vAlign w:val="center"/>
          </w:tcPr>
          <w:p w14:paraId="2039A9F9">
            <w:pPr>
              <w:jc w:val="center"/>
              <w:rPr>
                <w:rFonts w:hint="eastAsia" w:ascii="宋体" w:hAnsi="宋体" w:cs="宋体"/>
                <w:b/>
                <w:sz w:val="18"/>
                <w:szCs w:val="21"/>
                <w:highlight w:val="none"/>
              </w:rPr>
            </w:pPr>
            <w:r>
              <w:rPr>
                <w:rFonts w:hint="eastAsia" w:ascii="宋体" w:hAnsi="宋体" w:cs="宋体"/>
                <w:sz w:val="18"/>
                <w:szCs w:val="18"/>
                <w:highlight w:val="none"/>
                <w:lang w:eastAsia="zh-CN"/>
              </w:rPr>
              <w:t>媒体曝光</w:t>
            </w:r>
          </w:p>
        </w:tc>
        <w:tc>
          <w:tcPr>
            <w:tcW w:w="579" w:type="dxa"/>
            <w:shd w:val="clear" w:color="000000" w:fill="FFFFFF"/>
            <w:noWrap w:val="0"/>
            <w:vAlign w:val="center"/>
          </w:tcPr>
          <w:p w14:paraId="25A6E1D9">
            <w:pPr>
              <w:jc w:val="center"/>
              <w:rPr>
                <w:rFonts w:hint="eastAsia" w:ascii="宋体" w:hAnsi="宋体" w:cs="宋体"/>
                <w:sz w:val="18"/>
                <w:szCs w:val="18"/>
                <w:highlight w:val="none"/>
                <w:lang w:eastAsia="zh-TW"/>
              </w:rPr>
            </w:pPr>
            <w:r>
              <w:rPr>
                <w:rFonts w:hint="eastAsia" w:ascii="宋体" w:hAnsi="宋体" w:cs="宋体"/>
                <w:sz w:val="18"/>
                <w:szCs w:val="18"/>
                <w:highlight w:val="none"/>
                <w:lang w:eastAsia="zh-CN"/>
              </w:rPr>
              <w:t>综合考评</w:t>
            </w:r>
          </w:p>
        </w:tc>
        <w:tc>
          <w:tcPr>
            <w:tcW w:w="3969" w:type="dxa"/>
            <w:tcBorders>
              <w:top w:val="single" w:color="auto" w:sz="4" w:space="0"/>
            </w:tcBorders>
            <w:shd w:val="clear" w:color="000000" w:fill="FFFFFF"/>
            <w:noWrap w:val="0"/>
            <w:vAlign w:val="center"/>
          </w:tcPr>
          <w:p w14:paraId="0B73D81B">
            <w:pPr>
              <w:jc w:val="both"/>
              <w:rPr>
                <w:rFonts w:hint="eastAsia" w:ascii="宋体" w:hAnsi="宋体"/>
                <w:sz w:val="18"/>
                <w:szCs w:val="18"/>
                <w:highlight w:val="none"/>
                <w:lang w:val="en-US" w:eastAsia="zh-CN"/>
              </w:rPr>
            </w:pPr>
            <w:r>
              <w:rPr>
                <w:rFonts w:hint="eastAsia" w:ascii="Times New Roman" w:hAnsi="Times New Roman"/>
                <w:sz w:val="18"/>
                <w:szCs w:val="18"/>
                <w:highlight w:val="none"/>
                <w:lang w:val="en-US" w:eastAsia="zh-CN"/>
              </w:rPr>
              <w:t>24.中转站、转运车辆应严格按照垃圾分类要求和管理制度运作，杜绝出现因管理不当被媒体曝光并造成社会恶劣影响。</w:t>
            </w:r>
          </w:p>
        </w:tc>
        <w:tc>
          <w:tcPr>
            <w:tcW w:w="3981" w:type="dxa"/>
            <w:tcBorders>
              <w:top w:val="single" w:color="auto" w:sz="4" w:space="0"/>
            </w:tcBorders>
            <w:shd w:val="clear" w:color="000000" w:fill="FFFFFF"/>
            <w:noWrap w:val="0"/>
            <w:vAlign w:val="center"/>
          </w:tcPr>
          <w:p w14:paraId="60D4D5BC">
            <w:pPr>
              <w:jc w:val="both"/>
              <w:rPr>
                <w:rFonts w:hint="eastAsia" w:ascii="宋体" w:hAnsi="宋体"/>
                <w:sz w:val="18"/>
                <w:szCs w:val="18"/>
                <w:highlight w:val="none"/>
                <w:lang w:val="en-US" w:eastAsia="zh-CN"/>
              </w:rPr>
            </w:pPr>
            <w:r>
              <w:rPr>
                <w:rFonts w:hint="eastAsia" w:ascii="Times New Roman" w:hAnsi="Times New Roman"/>
                <w:sz w:val="18"/>
                <w:szCs w:val="18"/>
                <w:highlight w:val="none"/>
                <w:lang w:val="en-US" w:eastAsia="zh-CN"/>
              </w:rPr>
              <w:t>23.</w:t>
            </w:r>
            <w:r>
              <w:rPr>
                <w:rFonts w:hint="eastAsia" w:ascii="Times New Roman" w:hAnsi="Times New Roman"/>
                <w:sz w:val="18"/>
                <w:szCs w:val="18"/>
                <w:highlight w:val="none"/>
                <w:shd w:val="clear" w:color="auto" w:fill="FFFF00"/>
                <w:lang w:val="en-US" w:eastAsia="zh-CN"/>
              </w:rPr>
              <w:t>出现垃圾乱倾倒、混合压缩等被媒体曝光的，每发现1次扣5分。</w:t>
            </w:r>
          </w:p>
        </w:tc>
      </w:tr>
    </w:tbl>
    <w:p w14:paraId="4B7680C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23BB3D5">
      <w:pPr>
        <w:pStyle w:val="11"/>
        <w:rPr>
          <w:rFonts w:hint="eastAsia"/>
          <w:highlight w:val="none"/>
        </w:rPr>
      </w:pPr>
    </w:p>
    <w:p w14:paraId="019AD236">
      <w:pPr>
        <w:pStyle w:val="15"/>
        <w:ind w:left="0" w:leftChars="0" w:firstLine="0" w:firstLineChars="0"/>
        <w:rPr>
          <w:color w:val="auto"/>
          <w:highlight w:val="none"/>
        </w:rPr>
      </w:pPr>
    </w:p>
    <w:p w14:paraId="4059E3FF">
      <w:pPr>
        <w:pStyle w:val="15"/>
        <w:ind w:firstLine="542"/>
        <w:rPr>
          <w:color w:val="auto"/>
          <w:highlight w:val="none"/>
        </w:rPr>
      </w:pPr>
    </w:p>
    <w:p w14:paraId="525CB44F">
      <w:pPr>
        <w:pStyle w:val="5"/>
        <w:numPr>
          <w:ilvl w:val="0"/>
          <w:numId w:val="0"/>
        </w:numPr>
        <w:spacing w:line="360" w:lineRule="auto"/>
        <w:jc w:val="center"/>
        <w:rPr>
          <w:rFonts w:hint="eastAsia" w:ascii="宋体" w:hAnsi="宋体" w:eastAsia="宋体" w:cs="宋体"/>
          <w:bCs w:val="0"/>
          <w:sz w:val="36"/>
          <w:szCs w:val="36"/>
          <w:highlight w:val="none"/>
        </w:rPr>
      </w:pPr>
      <w:bookmarkStart w:id="109" w:name="_Toc30975"/>
      <w:bookmarkStart w:id="110" w:name="_Toc2423"/>
      <w:bookmarkStart w:id="111" w:name="_Toc448731808"/>
      <w:r>
        <w:rPr>
          <w:rFonts w:hint="eastAsia" w:ascii="宋体" w:hAnsi="宋体" w:eastAsia="宋体" w:cs="宋体"/>
          <w:bCs w:val="0"/>
          <w:sz w:val="36"/>
          <w:szCs w:val="36"/>
          <w:highlight w:val="none"/>
          <w:lang w:val="en-US" w:eastAsia="zh-CN"/>
        </w:rPr>
        <w:t xml:space="preserve">第三部分 </w:t>
      </w:r>
      <w:r>
        <w:rPr>
          <w:rFonts w:hint="eastAsia" w:ascii="宋体" w:hAnsi="宋体" w:eastAsia="宋体" w:cs="宋体"/>
          <w:bCs w:val="0"/>
          <w:sz w:val="36"/>
          <w:szCs w:val="36"/>
          <w:highlight w:val="none"/>
        </w:rPr>
        <w:t>投标文件格式</w:t>
      </w:r>
      <w:bookmarkEnd w:id="109"/>
    </w:p>
    <w:p w14:paraId="3EA55461">
      <w:pPr>
        <w:spacing w:before="120" w:beforeLines="50" w:after="120" w:afterLines="50"/>
        <w:jc w:val="center"/>
        <w:rPr>
          <w:rFonts w:ascii="宋体" w:hAnsi="宋体" w:cs="宋体"/>
          <w:sz w:val="22"/>
          <w:szCs w:val="22"/>
          <w:highlight w:val="none"/>
        </w:rPr>
      </w:pPr>
      <w:r>
        <w:rPr>
          <w:rFonts w:hint="eastAsia" w:ascii="宋体" w:hAnsi="宋体" w:cs="宋体"/>
          <w:sz w:val="22"/>
          <w:szCs w:val="22"/>
          <w:highlight w:val="none"/>
        </w:rPr>
        <w:t>（资格审查资料封面，供参考）</w:t>
      </w:r>
    </w:p>
    <w:p w14:paraId="3DCB22E2">
      <w:pPr>
        <w:rPr>
          <w:rFonts w:ascii="宋体" w:hAnsi="宋体" w:cs="宋体"/>
          <w:highlight w:val="none"/>
        </w:rPr>
      </w:pPr>
    </w:p>
    <w:p w14:paraId="001B06F0">
      <w:pPr>
        <w:rPr>
          <w:rFonts w:ascii="宋体" w:hAnsi="宋体" w:cs="宋体"/>
          <w:highlight w:val="none"/>
        </w:rPr>
      </w:pPr>
    </w:p>
    <w:p w14:paraId="285FE787">
      <w:pPr>
        <w:rPr>
          <w:rFonts w:ascii="宋体" w:hAnsi="宋体" w:cs="宋体"/>
          <w:highlight w:val="none"/>
        </w:rPr>
      </w:pPr>
    </w:p>
    <w:p w14:paraId="7E071352">
      <w:pPr>
        <w:jc w:val="center"/>
        <w:rPr>
          <w:rFonts w:ascii="宋体" w:hAnsi="宋体" w:cs="宋体"/>
          <w:sz w:val="28"/>
          <w:szCs w:val="28"/>
          <w:highlight w:val="none"/>
        </w:rPr>
      </w:pPr>
      <w:r>
        <w:rPr>
          <w:rFonts w:hint="eastAsia" w:ascii="宋体" w:hAnsi="宋体" w:cs="宋体"/>
          <w:sz w:val="28"/>
          <w:szCs w:val="28"/>
          <w:highlight w:val="none"/>
          <w:u w:val="single"/>
        </w:rPr>
        <w:t xml:space="preserve">                 （项目名称）              </w:t>
      </w:r>
      <w:r>
        <w:rPr>
          <w:rFonts w:hint="eastAsia" w:ascii="宋体" w:hAnsi="宋体" w:cs="宋体"/>
          <w:sz w:val="28"/>
          <w:szCs w:val="28"/>
          <w:highlight w:val="none"/>
        </w:rPr>
        <w:t>投标文件</w:t>
      </w:r>
    </w:p>
    <w:p w14:paraId="30B9D3A6">
      <w:pPr>
        <w:rPr>
          <w:rFonts w:ascii="宋体" w:hAnsi="宋体" w:cs="宋体"/>
          <w:sz w:val="28"/>
          <w:szCs w:val="28"/>
          <w:highlight w:val="none"/>
        </w:rPr>
      </w:pPr>
    </w:p>
    <w:p w14:paraId="62E5AC09">
      <w:pPr>
        <w:rPr>
          <w:rFonts w:ascii="宋体" w:hAnsi="宋体" w:cs="宋体"/>
          <w:sz w:val="28"/>
          <w:szCs w:val="28"/>
          <w:highlight w:val="none"/>
        </w:rPr>
      </w:pPr>
    </w:p>
    <w:p w14:paraId="75CE199D">
      <w:pPr>
        <w:pStyle w:val="2"/>
        <w:ind w:firstLine="281"/>
        <w:rPr>
          <w:rFonts w:ascii="宋体" w:hAnsi="宋体" w:cs="宋体"/>
          <w:sz w:val="28"/>
          <w:szCs w:val="28"/>
          <w:highlight w:val="none"/>
        </w:rPr>
      </w:pPr>
    </w:p>
    <w:p w14:paraId="08802D8F">
      <w:pPr>
        <w:pStyle w:val="2"/>
        <w:ind w:firstLine="281"/>
        <w:rPr>
          <w:rFonts w:ascii="宋体" w:hAnsi="宋体" w:cs="宋体"/>
          <w:sz w:val="28"/>
          <w:szCs w:val="28"/>
          <w:highlight w:val="none"/>
        </w:rPr>
      </w:pPr>
    </w:p>
    <w:p w14:paraId="5EE26D5D">
      <w:pPr>
        <w:rPr>
          <w:rFonts w:ascii="宋体" w:hAnsi="宋体" w:cs="宋体"/>
          <w:sz w:val="28"/>
          <w:szCs w:val="28"/>
          <w:highlight w:val="none"/>
        </w:rPr>
      </w:pPr>
    </w:p>
    <w:p w14:paraId="2B19108A">
      <w:pPr>
        <w:rPr>
          <w:rFonts w:ascii="宋体" w:hAnsi="宋体" w:cs="宋体"/>
          <w:sz w:val="28"/>
          <w:szCs w:val="28"/>
          <w:highlight w:val="none"/>
        </w:rPr>
      </w:pPr>
    </w:p>
    <w:p w14:paraId="21E1CD87">
      <w:pPr>
        <w:jc w:val="center"/>
        <w:rPr>
          <w:rFonts w:ascii="宋体" w:hAnsi="宋体" w:cs="宋体"/>
          <w:sz w:val="52"/>
          <w:szCs w:val="52"/>
          <w:highlight w:val="none"/>
        </w:rPr>
      </w:pPr>
      <w:r>
        <w:rPr>
          <w:rFonts w:hint="eastAsia" w:ascii="宋体" w:hAnsi="宋体" w:cs="宋体"/>
          <w:sz w:val="52"/>
          <w:szCs w:val="52"/>
          <w:highlight w:val="none"/>
        </w:rPr>
        <w:t>资格审查资料</w:t>
      </w:r>
    </w:p>
    <w:p w14:paraId="450D6282">
      <w:pPr>
        <w:spacing w:line="360" w:lineRule="auto"/>
        <w:rPr>
          <w:rFonts w:ascii="宋体" w:hAnsi="宋体" w:cs="宋体"/>
          <w:szCs w:val="21"/>
          <w:highlight w:val="none"/>
        </w:rPr>
      </w:pPr>
    </w:p>
    <w:p w14:paraId="35D563A0">
      <w:pPr>
        <w:spacing w:line="360" w:lineRule="auto"/>
        <w:rPr>
          <w:rFonts w:ascii="宋体" w:hAnsi="宋体" w:cs="宋体"/>
          <w:szCs w:val="21"/>
          <w:highlight w:val="none"/>
        </w:rPr>
      </w:pPr>
    </w:p>
    <w:p w14:paraId="1CF5205C">
      <w:pPr>
        <w:spacing w:line="360" w:lineRule="auto"/>
        <w:rPr>
          <w:rFonts w:ascii="宋体" w:hAnsi="宋体" w:cs="宋体"/>
          <w:szCs w:val="21"/>
          <w:highlight w:val="none"/>
        </w:rPr>
      </w:pPr>
    </w:p>
    <w:p w14:paraId="45FCE619">
      <w:pPr>
        <w:spacing w:line="360" w:lineRule="auto"/>
        <w:rPr>
          <w:rFonts w:ascii="宋体" w:hAnsi="宋体" w:cs="宋体"/>
          <w:szCs w:val="21"/>
          <w:highlight w:val="none"/>
        </w:rPr>
      </w:pPr>
    </w:p>
    <w:p w14:paraId="6E8E89FB">
      <w:pPr>
        <w:spacing w:line="360" w:lineRule="auto"/>
        <w:rPr>
          <w:rFonts w:ascii="宋体" w:hAnsi="宋体" w:cs="宋体"/>
          <w:szCs w:val="21"/>
          <w:highlight w:val="none"/>
        </w:rPr>
      </w:pPr>
    </w:p>
    <w:p w14:paraId="12042D3B">
      <w:pPr>
        <w:jc w:val="center"/>
        <w:rPr>
          <w:rFonts w:ascii="宋体" w:hAnsi="宋体" w:cs="宋体"/>
          <w:sz w:val="28"/>
          <w:szCs w:val="28"/>
          <w:highlight w:val="non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14:paraId="33738C0D">
      <w:pPr>
        <w:rPr>
          <w:rFonts w:ascii="宋体" w:hAnsi="宋体" w:cs="宋体"/>
          <w:sz w:val="28"/>
          <w:szCs w:val="28"/>
          <w:highlight w:val="none"/>
          <w:u w:val="single"/>
        </w:rPr>
      </w:pPr>
    </w:p>
    <w:p w14:paraId="2677B3A0">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14:paraId="6699CC2B">
      <w:pPr>
        <w:rPr>
          <w:rFonts w:ascii="宋体" w:hAnsi="宋体" w:cs="宋体"/>
          <w:sz w:val="28"/>
          <w:szCs w:val="28"/>
          <w:highlight w:val="none"/>
        </w:rPr>
      </w:pPr>
    </w:p>
    <w:p w14:paraId="71C254A5">
      <w:pPr>
        <w:overflowPunct w:val="0"/>
        <w:spacing w:line="380" w:lineRule="exact"/>
        <w:ind w:firstLine="2738" w:firstLineChars="978"/>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03A92D37">
      <w:pPr>
        <w:spacing w:line="460" w:lineRule="exact"/>
        <w:jc w:val="both"/>
        <w:rPr>
          <w:rFonts w:ascii="宋体" w:hAnsi="宋体" w:eastAsia="宋体" w:cs="宋体"/>
          <w:b w:val="0"/>
          <w:sz w:val="22"/>
          <w:szCs w:val="22"/>
          <w:highlight w:val="none"/>
        </w:rPr>
      </w:pPr>
      <w:r>
        <w:rPr>
          <w:rFonts w:hint="eastAsia" w:ascii="宋体" w:hAnsi="宋体" w:eastAsia="宋体" w:cs="宋体"/>
          <w:b w:val="0"/>
          <w:sz w:val="22"/>
          <w:szCs w:val="22"/>
          <w:highlight w:val="none"/>
        </w:rPr>
        <w:br w:type="page"/>
      </w:r>
    </w:p>
    <w:p w14:paraId="0477AC9D">
      <w:pPr>
        <w:numPr>
          <w:ilvl w:val="0"/>
          <w:numId w:val="0"/>
        </w:numPr>
        <w:rPr>
          <w:highlight w:val="none"/>
        </w:rPr>
      </w:pPr>
    </w:p>
    <w:p w14:paraId="3810735F">
      <w:pPr>
        <w:pStyle w:val="38"/>
        <w:spacing w:line="360" w:lineRule="auto"/>
        <w:rPr>
          <w:rFonts w:ascii="宋体" w:hAnsi="宋体" w:cs="宋体"/>
          <w:highlight w:val="none"/>
        </w:rPr>
      </w:pPr>
    </w:p>
    <w:p w14:paraId="2AA09158">
      <w:pPr>
        <w:pStyle w:val="6"/>
        <w:spacing w:line="360" w:lineRule="auto"/>
        <w:ind w:firstLine="482"/>
        <w:jc w:val="center"/>
        <w:rPr>
          <w:rFonts w:ascii="宋体" w:hAnsi="宋体" w:eastAsia="宋体" w:cs="宋体"/>
          <w:highlight w:val="none"/>
        </w:rPr>
      </w:pPr>
      <w:bookmarkStart w:id="112" w:name="_Toc16540"/>
      <w:bookmarkStart w:id="113" w:name="_Toc6480"/>
      <w:r>
        <w:rPr>
          <w:rFonts w:hint="eastAsia" w:cs="楷体"/>
          <w:b/>
          <w:bCs/>
          <w:color w:val="auto"/>
          <w:sz w:val="28"/>
          <w:szCs w:val="28"/>
          <w:highlight w:val="none"/>
        </w:rPr>
        <w:t>法定代表人（负责人）资格声明书</w:t>
      </w:r>
      <w:bookmarkEnd w:id="112"/>
      <w:bookmarkEnd w:id="113"/>
    </w:p>
    <w:p w14:paraId="6CE0E7EC">
      <w:pPr>
        <w:spacing w:line="420" w:lineRule="exact"/>
        <w:rPr>
          <w:rFonts w:ascii="宋体" w:hAnsi="宋体" w:cs="宋体"/>
          <w:sz w:val="22"/>
          <w:szCs w:val="22"/>
          <w:highlight w:val="none"/>
        </w:rPr>
      </w:pPr>
      <w:bookmarkStart w:id="114" w:name="_Toc18044"/>
      <w:bookmarkStart w:id="115" w:name="_Toc22691"/>
      <w:r>
        <w:rPr>
          <w:rFonts w:hint="eastAsia" w:ascii="宋体" w:hAnsi="宋体" w:cs="宋体"/>
          <w:sz w:val="22"/>
          <w:szCs w:val="22"/>
          <w:highlight w:val="none"/>
          <w:lang w:eastAsia="zh-CN"/>
        </w:rPr>
        <w:t>温州市瓯海区综合行政执法局</w:t>
      </w:r>
      <w:r>
        <w:rPr>
          <w:rFonts w:hint="eastAsia" w:ascii="宋体" w:hAnsi="宋体" w:cs="宋体"/>
          <w:sz w:val="22"/>
          <w:szCs w:val="22"/>
          <w:highlight w:val="none"/>
        </w:rPr>
        <w:t>：</w:t>
      </w:r>
    </w:p>
    <w:p w14:paraId="3FB49F04">
      <w:pPr>
        <w:pStyle w:val="10"/>
        <w:spacing w:line="400" w:lineRule="exact"/>
        <w:ind w:firstLine="630" w:firstLineChars="300"/>
        <w:rPr>
          <w:rFonts w:cs="楷体"/>
          <w:snapToGrid w:val="0"/>
          <w:color w:val="auto"/>
          <w:kern w:val="0"/>
          <w:sz w:val="21"/>
          <w:szCs w:val="21"/>
          <w:highlight w:val="none"/>
        </w:rPr>
      </w:pPr>
      <w:r>
        <w:rPr>
          <w:rFonts w:hint="eastAsia" w:cs="楷体"/>
          <w:snapToGrid w:val="0"/>
          <w:color w:val="auto"/>
          <w:kern w:val="0"/>
          <w:sz w:val="21"/>
          <w:szCs w:val="21"/>
          <w:highlight w:val="none"/>
        </w:rPr>
        <w:t xml:space="preserve">我 </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（姓名）系</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（投标人名称）的法定代表人（负责人），身份证号：</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 xml:space="preserve"> ，联系电话： </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，电子邮箱</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 xml:space="preserve"> 。</w:t>
      </w:r>
    </w:p>
    <w:p w14:paraId="4EFE0034">
      <w:pPr>
        <w:pStyle w:val="10"/>
        <w:spacing w:line="400" w:lineRule="exact"/>
        <w:ind w:firstLine="420"/>
        <w:rPr>
          <w:rFonts w:cs="楷体"/>
          <w:snapToGrid w:val="0"/>
          <w:color w:val="auto"/>
          <w:kern w:val="0"/>
          <w:sz w:val="21"/>
          <w:szCs w:val="21"/>
          <w:highlight w:val="none"/>
        </w:rPr>
      </w:pPr>
      <w:r>
        <w:rPr>
          <w:rFonts w:hint="eastAsia" w:cs="楷体"/>
          <w:snapToGrid w:val="0"/>
          <w:color w:val="auto"/>
          <w:kern w:val="0"/>
          <w:sz w:val="21"/>
          <w:szCs w:val="21"/>
          <w:highlight w:val="none"/>
        </w:rPr>
        <w:t>特此证明！</w:t>
      </w:r>
    </w:p>
    <w:p w14:paraId="2FB6BBD5">
      <w:pPr>
        <w:pStyle w:val="10"/>
        <w:spacing w:line="400" w:lineRule="exact"/>
        <w:ind w:firstLine="420"/>
        <w:rPr>
          <w:rFonts w:cs="楷体"/>
          <w:snapToGrid w:val="0"/>
          <w:color w:val="auto"/>
          <w:kern w:val="0"/>
          <w:sz w:val="21"/>
          <w:szCs w:val="21"/>
          <w:highlight w:val="none"/>
        </w:rPr>
      </w:pPr>
    </w:p>
    <w:p w14:paraId="7182C4AA">
      <w:pPr>
        <w:pStyle w:val="10"/>
        <w:spacing w:line="400" w:lineRule="exact"/>
        <w:ind w:firstLine="0"/>
        <w:rPr>
          <w:rFonts w:cs="楷体"/>
          <w:snapToGrid w:val="0"/>
          <w:color w:val="auto"/>
          <w:kern w:val="0"/>
          <w:sz w:val="21"/>
          <w:szCs w:val="21"/>
          <w:highlight w:val="none"/>
        </w:rPr>
      </w:pPr>
      <w:r>
        <w:rPr>
          <w:rFonts w:hint="eastAsia" w:cs="楷体"/>
          <w:snapToGrid w:val="0"/>
          <w:color w:val="auto"/>
          <w:kern w:val="0"/>
          <w:sz w:val="21"/>
          <w:szCs w:val="21"/>
          <w:highlight w:val="none"/>
        </w:rPr>
        <w:t>投标人全称：(盖章)</w:t>
      </w:r>
    </w:p>
    <w:p w14:paraId="47A278C1">
      <w:pPr>
        <w:pStyle w:val="10"/>
        <w:spacing w:line="400" w:lineRule="exact"/>
        <w:ind w:firstLine="0"/>
        <w:rPr>
          <w:rFonts w:cs="楷体"/>
          <w:snapToGrid w:val="0"/>
          <w:color w:val="auto"/>
          <w:kern w:val="0"/>
          <w:sz w:val="21"/>
          <w:szCs w:val="21"/>
          <w:highlight w:val="none"/>
        </w:rPr>
      </w:pPr>
      <w:r>
        <w:rPr>
          <w:rFonts w:hint="eastAsia" w:cs="楷体"/>
          <w:snapToGrid w:val="0"/>
          <w:color w:val="auto"/>
          <w:kern w:val="0"/>
          <w:sz w:val="21"/>
          <w:szCs w:val="21"/>
          <w:highlight w:val="none"/>
        </w:rPr>
        <w:t>日期：</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年</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月</w:t>
      </w:r>
      <w:r>
        <w:rPr>
          <w:rFonts w:hint="eastAsia" w:cs="楷体"/>
          <w:snapToGrid w:val="0"/>
          <w:color w:val="auto"/>
          <w:kern w:val="0"/>
          <w:sz w:val="21"/>
          <w:szCs w:val="21"/>
          <w:highlight w:val="none"/>
          <w:u w:val="single"/>
        </w:rPr>
        <w:t xml:space="preserve">     </w:t>
      </w:r>
      <w:r>
        <w:rPr>
          <w:rFonts w:hint="eastAsia" w:cs="楷体"/>
          <w:snapToGrid w:val="0"/>
          <w:color w:val="auto"/>
          <w:kern w:val="0"/>
          <w:sz w:val="21"/>
          <w:szCs w:val="21"/>
          <w:highlight w:val="none"/>
        </w:rPr>
        <w:t>日</w:t>
      </w:r>
    </w:p>
    <w:p w14:paraId="3378A843">
      <w:pPr>
        <w:adjustRightInd w:val="0"/>
        <w:spacing w:line="400" w:lineRule="exact"/>
        <w:rPr>
          <w:rFonts w:ascii="宋体" w:hAnsi="宋体" w:cs="楷体"/>
          <w:snapToGrid w:val="0"/>
          <w:color w:val="auto"/>
          <w:kern w:val="0"/>
          <w:szCs w:val="21"/>
          <w:highlight w:val="none"/>
        </w:rPr>
      </w:pPr>
    </w:p>
    <w:p w14:paraId="6775E108">
      <w:pPr>
        <w:adjustRightInd w:val="0"/>
        <w:spacing w:line="400" w:lineRule="exact"/>
        <w:rPr>
          <w:rFonts w:ascii="宋体" w:hAnsi="宋体" w:cs="楷体"/>
          <w:snapToGrid w:val="0"/>
          <w:color w:val="auto"/>
          <w:kern w:val="0"/>
          <w:szCs w:val="21"/>
          <w:highlight w:val="none"/>
        </w:rPr>
      </w:pPr>
      <w:r>
        <w:rPr>
          <w:rFonts w:hint="eastAsia" w:ascii="宋体" w:hAnsi="宋体" w:cs="楷体"/>
          <w:b/>
          <w:bCs/>
          <w:color w:val="auto"/>
          <w:szCs w:val="21"/>
          <w:highlight w:val="none"/>
        </w:rPr>
        <w:t>特别提醒：投标人应保证法定代表人（负责人）的联系方式（如手机号码、电子邮箱等）正确并保持畅通</w:t>
      </w:r>
    </w:p>
    <w:p w14:paraId="2D83826D">
      <w:pPr>
        <w:adjustRightInd w:val="0"/>
        <w:spacing w:line="400" w:lineRule="exact"/>
        <w:rPr>
          <w:rFonts w:ascii="宋体" w:hAnsi="宋体" w:cs="宋体"/>
          <w:b/>
          <w:color w:val="auto"/>
          <w:szCs w:val="21"/>
          <w:highlight w:val="none"/>
        </w:rPr>
      </w:pPr>
      <w:r>
        <w:rPr>
          <w:rFonts w:hint="eastAsia" w:ascii="宋体" w:hAnsi="宋体" w:cs="楷体"/>
          <w:b/>
          <w:color w:val="auto"/>
          <w:szCs w:val="21"/>
          <w:highlight w:val="none"/>
        </w:rPr>
        <w:t>附：</w:t>
      </w:r>
    </w:p>
    <w:tbl>
      <w:tblPr>
        <w:tblStyle w:val="24"/>
        <w:tblpPr w:leftFromText="180" w:rightFromText="180" w:vertAnchor="text" w:horzAnchor="page" w:tblpX="2749" w:tblpY="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16A0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7780" w:type="dxa"/>
            <w:noWrap w:val="0"/>
            <w:vAlign w:val="center"/>
          </w:tcPr>
          <w:p w14:paraId="2D86FB12">
            <w:pPr>
              <w:spacing w:line="380" w:lineRule="exact"/>
              <w:ind w:firstLine="422"/>
              <w:jc w:val="center"/>
              <w:rPr>
                <w:rFonts w:ascii="宋体" w:hAnsi="宋体"/>
                <w:b/>
                <w:color w:val="auto"/>
                <w:szCs w:val="21"/>
                <w:highlight w:val="none"/>
              </w:rPr>
            </w:pPr>
            <w:r>
              <w:rPr>
                <w:rFonts w:hint="eastAsia" w:ascii="宋体" w:hAnsi="宋体"/>
                <w:b/>
                <w:color w:val="auto"/>
                <w:szCs w:val="21"/>
                <w:highlight w:val="none"/>
              </w:rPr>
              <w:t>法定代表人（负责人）身份证复印件</w:t>
            </w:r>
          </w:p>
          <w:p w14:paraId="0C91544D">
            <w:pPr>
              <w:spacing w:line="380" w:lineRule="exact"/>
              <w:ind w:firstLine="422"/>
              <w:jc w:val="center"/>
              <w:rPr>
                <w:rFonts w:ascii="宋体" w:hAnsi="宋体"/>
                <w:b/>
                <w:bCs/>
                <w:color w:val="auto"/>
                <w:szCs w:val="21"/>
                <w:highlight w:val="none"/>
              </w:rPr>
            </w:pPr>
          </w:p>
        </w:tc>
      </w:tr>
    </w:tbl>
    <w:p w14:paraId="6E528847">
      <w:pPr>
        <w:pStyle w:val="2"/>
        <w:ind w:firstLine="321"/>
        <w:rPr>
          <w:rFonts w:ascii="宋体" w:hAnsi="宋体"/>
          <w:color w:val="auto"/>
          <w:highlight w:val="none"/>
        </w:rPr>
      </w:pPr>
    </w:p>
    <w:p w14:paraId="42C8CBF2">
      <w:pPr>
        <w:pStyle w:val="2"/>
        <w:ind w:firstLine="321"/>
        <w:rPr>
          <w:rFonts w:ascii="宋体" w:hAnsi="宋体"/>
          <w:color w:val="auto"/>
          <w:highlight w:val="none"/>
        </w:rPr>
      </w:pPr>
    </w:p>
    <w:p w14:paraId="789BEFB2">
      <w:pPr>
        <w:pStyle w:val="2"/>
        <w:ind w:firstLine="321"/>
        <w:rPr>
          <w:rFonts w:ascii="宋体" w:hAnsi="宋体"/>
          <w:color w:val="auto"/>
          <w:highlight w:val="none"/>
        </w:rPr>
      </w:pPr>
    </w:p>
    <w:p w14:paraId="4620AB0A">
      <w:pPr>
        <w:pStyle w:val="2"/>
        <w:ind w:firstLine="321"/>
        <w:rPr>
          <w:rFonts w:ascii="宋体" w:hAnsi="宋体"/>
          <w:color w:val="auto"/>
          <w:highlight w:val="none"/>
        </w:rPr>
      </w:pPr>
    </w:p>
    <w:p w14:paraId="6717E67B">
      <w:pPr>
        <w:pStyle w:val="2"/>
        <w:ind w:firstLine="321"/>
        <w:rPr>
          <w:rFonts w:ascii="宋体" w:hAnsi="宋体"/>
          <w:color w:val="auto"/>
          <w:highlight w:val="none"/>
        </w:rPr>
      </w:pPr>
    </w:p>
    <w:p w14:paraId="4ED2D90F">
      <w:pPr>
        <w:pStyle w:val="2"/>
        <w:ind w:firstLine="321"/>
        <w:rPr>
          <w:rFonts w:ascii="宋体" w:hAnsi="宋体"/>
          <w:color w:val="auto"/>
          <w:highlight w:val="none"/>
        </w:rPr>
      </w:pPr>
    </w:p>
    <w:p w14:paraId="19E4B4E1">
      <w:pPr>
        <w:pStyle w:val="2"/>
        <w:ind w:firstLine="211"/>
        <w:rPr>
          <w:rFonts w:ascii="宋体" w:hAnsi="宋体" w:cs="楷体"/>
          <w:color w:val="auto"/>
          <w:sz w:val="21"/>
          <w:szCs w:val="21"/>
          <w:highlight w:val="none"/>
        </w:rPr>
      </w:pPr>
    </w:p>
    <w:p w14:paraId="2D2F80F2">
      <w:pPr>
        <w:pStyle w:val="2"/>
        <w:ind w:firstLine="211"/>
        <w:rPr>
          <w:rFonts w:ascii="宋体" w:hAnsi="宋体" w:cs="楷体"/>
          <w:color w:val="auto"/>
          <w:sz w:val="21"/>
          <w:szCs w:val="21"/>
          <w:highlight w:val="none"/>
        </w:rPr>
      </w:pPr>
    </w:p>
    <w:p w14:paraId="6E33C14F">
      <w:pPr>
        <w:pStyle w:val="6"/>
        <w:spacing w:line="360" w:lineRule="auto"/>
        <w:jc w:val="left"/>
        <w:rPr>
          <w:rFonts w:hint="eastAsia" w:ascii="宋体" w:hAnsi="宋体" w:eastAsia="宋体" w:cs="宋体"/>
          <w:sz w:val="22"/>
          <w:szCs w:val="22"/>
          <w:highlight w:val="none"/>
        </w:rPr>
      </w:pPr>
    </w:p>
    <w:p w14:paraId="10FAD02E">
      <w:pPr>
        <w:pStyle w:val="36"/>
        <w:rPr>
          <w:rFonts w:hint="eastAsia" w:ascii="宋体" w:hAnsi="宋体" w:eastAsia="宋体" w:cs="宋体"/>
          <w:sz w:val="22"/>
          <w:szCs w:val="22"/>
          <w:highlight w:val="none"/>
        </w:rPr>
      </w:pPr>
    </w:p>
    <w:p w14:paraId="720CAB8E">
      <w:pPr>
        <w:pStyle w:val="36"/>
        <w:rPr>
          <w:rFonts w:hint="eastAsia" w:ascii="宋体" w:hAnsi="宋体" w:eastAsia="宋体" w:cs="宋体"/>
          <w:sz w:val="22"/>
          <w:szCs w:val="22"/>
          <w:highlight w:val="none"/>
        </w:rPr>
      </w:pPr>
    </w:p>
    <w:p w14:paraId="345BE4D7">
      <w:pPr>
        <w:pStyle w:val="36"/>
        <w:rPr>
          <w:rFonts w:hint="eastAsia" w:ascii="宋体" w:hAnsi="宋体" w:eastAsia="宋体" w:cs="宋体"/>
          <w:sz w:val="22"/>
          <w:szCs w:val="22"/>
          <w:highlight w:val="none"/>
        </w:rPr>
      </w:pPr>
    </w:p>
    <w:p w14:paraId="084E1D99">
      <w:pPr>
        <w:pStyle w:val="36"/>
        <w:rPr>
          <w:rFonts w:hint="eastAsia" w:ascii="宋体" w:hAnsi="宋体" w:eastAsia="宋体" w:cs="宋体"/>
          <w:sz w:val="22"/>
          <w:szCs w:val="22"/>
          <w:highlight w:val="none"/>
        </w:rPr>
      </w:pPr>
    </w:p>
    <w:p w14:paraId="47371871">
      <w:pPr>
        <w:pStyle w:val="36"/>
        <w:rPr>
          <w:rFonts w:hint="eastAsia" w:ascii="宋体" w:hAnsi="宋体" w:eastAsia="宋体" w:cs="宋体"/>
          <w:sz w:val="22"/>
          <w:szCs w:val="22"/>
          <w:highlight w:val="none"/>
        </w:rPr>
      </w:pPr>
    </w:p>
    <w:p w14:paraId="4D5FA7C4">
      <w:pPr>
        <w:pStyle w:val="36"/>
        <w:rPr>
          <w:rFonts w:hint="eastAsia" w:ascii="宋体" w:hAnsi="宋体" w:eastAsia="宋体" w:cs="宋体"/>
          <w:sz w:val="22"/>
          <w:szCs w:val="22"/>
          <w:highlight w:val="none"/>
        </w:rPr>
      </w:pPr>
    </w:p>
    <w:p w14:paraId="1836808C">
      <w:pPr>
        <w:pStyle w:val="36"/>
        <w:rPr>
          <w:rFonts w:hint="eastAsia" w:ascii="宋体" w:hAnsi="宋体" w:eastAsia="宋体" w:cs="宋体"/>
          <w:sz w:val="22"/>
          <w:szCs w:val="22"/>
          <w:highlight w:val="none"/>
        </w:rPr>
      </w:pPr>
    </w:p>
    <w:p w14:paraId="71C86750">
      <w:pPr>
        <w:pStyle w:val="36"/>
        <w:rPr>
          <w:rFonts w:hint="eastAsia" w:ascii="宋体" w:hAnsi="宋体" w:eastAsia="宋体" w:cs="宋体"/>
          <w:sz w:val="22"/>
          <w:szCs w:val="22"/>
          <w:highlight w:val="none"/>
        </w:rPr>
      </w:pPr>
    </w:p>
    <w:p w14:paraId="743BDF9A">
      <w:pPr>
        <w:pStyle w:val="36"/>
        <w:rPr>
          <w:rFonts w:hint="eastAsia" w:ascii="宋体" w:hAnsi="宋体" w:eastAsia="宋体" w:cs="宋体"/>
          <w:sz w:val="22"/>
          <w:szCs w:val="22"/>
          <w:highlight w:val="none"/>
        </w:rPr>
      </w:pPr>
    </w:p>
    <w:p w14:paraId="0FFDD8EE">
      <w:pPr>
        <w:pStyle w:val="36"/>
        <w:rPr>
          <w:rFonts w:hint="eastAsia" w:ascii="宋体" w:hAnsi="宋体" w:eastAsia="宋体" w:cs="宋体"/>
          <w:sz w:val="22"/>
          <w:szCs w:val="22"/>
          <w:highlight w:val="none"/>
        </w:rPr>
      </w:pPr>
    </w:p>
    <w:p w14:paraId="37A089B3">
      <w:pPr>
        <w:pStyle w:val="36"/>
        <w:rPr>
          <w:rFonts w:hint="eastAsia" w:ascii="宋体" w:hAnsi="宋体" w:eastAsia="宋体" w:cs="宋体"/>
          <w:sz w:val="22"/>
          <w:szCs w:val="22"/>
          <w:highlight w:val="none"/>
        </w:rPr>
      </w:pPr>
    </w:p>
    <w:p w14:paraId="0DAD4E23">
      <w:pPr>
        <w:pStyle w:val="36"/>
        <w:rPr>
          <w:rFonts w:hint="eastAsia" w:ascii="宋体" w:hAnsi="宋体" w:eastAsia="宋体" w:cs="宋体"/>
          <w:sz w:val="22"/>
          <w:szCs w:val="22"/>
          <w:highlight w:val="none"/>
        </w:rPr>
      </w:pPr>
    </w:p>
    <w:p w14:paraId="64E586AD">
      <w:pPr>
        <w:pStyle w:val="6"/>
        <w:spacing w:line="360" w:lineRule="auto"/>
        <w:jc w:val="left"/>
        <w:rPr>
          <w:rFonts w:hint="eastAsia" w:ascii="宋体" w:hAnsi="宋体" w:eastAsia="宋体" w:cs="宋体"/>
          <w:sz w:val="22"/>
          <w:szCs w:val="22"/>
          <w:highlight w:val="none"/>
        </w:rPr>
      </w:pPr>
    </w:p>
    <w:p w14:paraId="7214EACC">
      <w:pPr>
        <w:pStyle w:val="6"/>
        <w:spacing w:line="360" w:lineRule="auto"/>
        <w:jc w:val="left"/>
        <w:rPr>
          <w:rFonts w:ascii="宋体" w:hAnsi="宋体" w:eastAsia="宋体" w:cs="宋体"/>
          <w:b w:val="0"/>
          <w:bCs w:val="0"/>
          <w:sz w:val="21"/>
          <w:szCs w:val="21"/>
          <w:highlight w:val="none"/>
        </w:rPr>
      </w:pPr>
    </w:p>
    <w:p w14:paraId="342A6C20">
      <w:pPr>
        <w:pStyle w:val="6"/>
        <w:spacing w:line="360" w:lineRule="auto"/>
        <w:jc w:val="left"/>
        <w:rPr>
          <w:rFonts w:ascii="宋体" w:hAnsi="宋体" w:eastAsia="宋体" w:cs="宋体"/>
          <w:b w:val="0"/>
          <w:bCs w:val="0"/>
          <w:sz w:val="21"/>
          <w:szCs w:val="21"/>
          <w:highlight w:val="none"/>
        </w:rPr>
      </w:pPr>
    </w:p>
    <w:bookmarkEnd w:id="114"/>
    <w:bookmarkEnd w:id="115"/>
    <w:p w14:paraId="222DF033">
      <w:pPr>
        <w:pStyle w:val="6"/>
        <w:spacing w:line="360" w:lineRule="auto"/>
        <w:ind w:firstLine="482"/>
        <w:jc w:val="center"/>
        <w:rPr>
          <w:rFonts w:hint="eastAsia" w:cs="楷体"/>
          <w:b/>
          <w:bCs/>
          <w:color w:val="auto"/>
          <w:sz w:val="28"/>
          <w:szCs w:val="28"/>
          <w:highlight w:val="none"/>
        </w:rPr>
      </w:pPr>
      <w:r>
        <w:rPr>
          <w:rFonts w:hint="eastAsia" w:cs="楷体"/>
          <w:b/>
          <w:bCs/>
          <w:color w:val="auto"/>
          <w:sz w:val="28"/>
          <w:szCs w:val="28"/>
          <w:highlight w:val="none"/>
        </w:rPr>
        <w:t>法定代表人（负责人）授权委托书</w:t>
      </w:r>
    </w:p>
    <w:p w14:paraId="56C5DE3C">
      <w:pPr>
        <w:pStyle w:val="2"/>
        <w:ind w:firstLine="0" w:firstLineChars="0"/>
        <w:jc w:val="center"/>
        <w:rPr>
          <w:rFonts w:ascii="宋体" w:hAnsi="宋体"/>
          <w:color w:val="auto"/>
          <w:highlight w:val="none"/>
        </w:rPr>
      </w:pPr>
    </w:p>
    <w:p w14:paraId="040541A0">
      <w:pPr>
        <w:spacing w:line="420" w:lineRule="exact"/>
        <w:rPr>
          <w:rFonts w:ascii="宋体" w:hAnsi="宋体" w:cs="宋体"/>
          <w:sz w:val="22"/>
          <w:szCs w:val="22"/>
          <w:highlight w:val="none"/>
        </w:rPr>
      </w:pPr>
      <w:r>
        <w:rPr>
          <w:rFonts w:hint="eastAsia" w:ascii="宋体" w:hAnsi="宋体" w:cs="宋体"/>
          <w:sz w:val="22"/>
          <w:szCs w:val="22"/>
          <w:highlight w:val="none"/>
          <w:lang w:eastAsia="zh-CN"/>
        </w:rPr>
        <w:t>温州市瓯海区综合行政执法局</w:t>
      </w:r>
      <w:r>
        <w:rPr>
          <w:rFonts w:hint="eastAsia" w:ascii="宋体" w:hAnsi="宋体" w:cs="宋体"/>
          <w:sz w:val="22"/>
          <w:szCs w:val="22"/>
          <w:highlight w:val="none"/>
        </w:rPr>
        <w:t>：</w:t>
      </w:r>
    </w:p>
    <w:p w14:paraId="57EA5D73">
      <w:pPr>
        <w:spacing w:line="400" w:lineRule="exact"/>
        <w:ind w:firstLine="525" w:firstLineChars="250"/>
        <w:rPr>
          <w:rFonts w:ascii="宋体" w:hAnsi="宋体" w:cs="楷体"/>
          <w:color w:val="auto"/>
          <w:szCs w:val="21"/>
          <w:highlight w:val="none"/>
        </w:rPr>
      </w:pPr>
      <w:r>
        <w:rPr>
          <w:rFonts w:hint="eastAsia" w:ascii="宋体" w:hAnsi="宋体" w:cs="楷体"/>
          <w:color w:val="auto"/>
          <w:szCs w:val="21"/>
          <w:highlight w:val="none"/>
          <w:u w:val="single"/>
        </w:rPr>
        <w:t xml:space="preserve">                   </w:t>
      </w:r>
      <w:r>
        <w:rPr>
          <w:rFonts w:hint="eastAsia" w:ascii="宋体" w:hAnsi="宋体" w:cs="楷体"/>
          <w:color w:val="auto"/>
          <w:szCs w:val="21"/>
          <w:highlight w:val="none"/>
        </w:rPr>
        <w:t>（投标人全称）法定代表人（负责人）</w:t>
      </w:r>
      <w:r>
        <w:rPr>
          <w:rFonts w:hint="eastAsia" w:ascii="宋体" w:hAnsi="宋体" w:cs="楷体"/>
          <w:color w:val="auto"/>
          <w:szCs w:val="21"/>
          <w:highlight w:val="none"/>
          <w:u w:val="single"/>
        </w:rPr>
        <w:t xml:space="preserve">            </w:t>
      </w:r>
      <w:r>
        <w:rPr>
          <w:rFonts w:hint="eastAsia" w:ascii="宋体" w:hAnsi="宋体" w:cs="楷体"/>
          <w:color w:val="auto"/>
          <w:szCs w:val="21"/>
          <w:highlight w:val="none"/>
        </w:rPr>
        <w:t>授权</w:t>
      </w:r>
      <w:r>
        <w:rPr>
          <w:rFonts w:hint="eastAsia" w:ascii="宋体" w:hAnsi="宋体" w:cs="楷体"/>
          <w:color w:val="auto"/>
          <w:szCs w:val="21"/>
          <w:highlight w:val="none"/>
          <w:u w:val="single"/>
        </w:rPr>
        <w:t xml:space="preserve">           </w:t>
      </w:r>
      <w:r>
        <w:rPr>
          <w:rFonts w:hint="eastAsia" w:ascii="宋体" w:hAnsi="宋体" w:cs="楷体"/>
          <w:color w:val="auto"/>
          <w:szCs w:val="21"/>
          <w:highlight w:val="none"/>
        </w:rPr>
        <w:t>（全权代表姓名）为全权代表，参加贵处组织的</w:t>
      </w:r>
      <w:r>
        <w:rPr>
          <w:rFonts w:hint="eastAsia" w:ascii="宋体" w:hAnsi="宋体" w:cs="楷体"/>
          <w:color w:val="auto"/>
          <w:szCs w:val="21"/>
          <w:highlight w:val="none"/>
          <w:u w:val="single"/>
        </w:rPr>
        <w:t xml:space="preserve">             </w:t>
      </w:r>
      <w:r>
        <w:rPr>
          <w:rFonts w:hint="eastAsia" w:ascii="宋体" w:hAnsi="宋体" w:cs="楷体"/>
          <w:color w:val="auto"/>
          <w:szCs w:val="21"/>
          <w:highlight w:val="none"/>
        </w:rPr>
        <w:t>（项目名称、项目编号）的采购活动，全权代表我方处理采购活动中的一切事宜。</w:t>
      </w:r>
    </w:p>
    <w:p w14:paraId="54A51232">
      <w:pPr>
        <w:spacing w:line="400" w:lineRule="exact"/>
        <w:ind w:firstLine="420"/>
        <w:rPr>
          <w:rFonts w:ascii="宋体" w:hAnsi="宋体" w:cs="楷体"/>
          <w:color w:val="auto"/>
          <w:szCs w:val="21"/>
          <w:highlight w:val="none"/>
        </w:rPr>
      </w:pPr>
    </w:p>
    <w:p w14:paraId="444E819A">
      <w:pPr>
        <w:spacing w:line="400" w:lineRule="exact"/>
        <w:ind w:firstLine="420"/>
        <w:rPr>
          <w:rFonts w:ascii="宋体" w:hAnsi="宋体" w:cs="楷体"/>
          <w:color w:val="auto"/>
          <w:szCs w:val="21"/>
          <w:highlight w:val="none"/>
        </w:rPr>
      </w:pPr>
      <w:r>
        <w:rPr>
          <w:rFonts w:hint="eastAsia" w:ascii="宋体" w:hAnsi="宋体" w:cs="楷体"/>
          <w:color w:val="auto"/>
          <w:szCs w:val="21"/>
          <w:highlight w:val="none"/>
        </w:rPr>
        <w:t xml:space="preserve">          </w:t>
      </w:r>
    </w:p>
    <w:p w14:paraId="50B03343">
      <w:pPr>
        <w:spacing w:line="400" w:lineRule="exact"/>
        <w:ind w:firstLine="420"/>
        <w:jc w:val="center"/>
        <w:rPr>
          <w:rFonts w:ascii="宋体" w:hAnsi="宋体" w:cs="楷体"/>
          <w:color w:val="auto"/>
          <w:szCs w:val="21"/>
          <w:highlight w:val="none"/>
        </w:rPr>
      </w:pPr>
      <w:r>
        <w:rPr>
          <w:rFonts w:hint="eastAsia" w:ascii="宋体" w:hAnsi="宋体" w:cs="楷体"/>
          <w:color w:val="auto"/>
          <w:szCs w:val="21"/>
          <w:highlight w:val="none"/>
        </w:rPr>
        <w:t xml:space="preserve">              法定代表人（负责人）(签字或盖章)：</w:t>
      </w:r>
    </w:p>
    <w:p w14:paraId="039F7707">
      <w:pPr>
        <w:spacing w:line="400" w:lineRule="exact"/>
        <w:ind w:firstLine="420"/>
        <w:jc w:val="center"/>
        <w:rPr>
          <w:rFonts w:ascii="宋体" w:hAnsi="宋体" w:cs="楷体"/>
          <w:color w:val="auto"/>
          <w:szCs w:val="21"/>
          <w:highlight w:val="none"/>
        </w:rPr>
      </w:pPr>
      <w:r>
        <w:rPr>
          <w:rFonts w:hint="eastAsia" w:ascii="宋体" w:hAnsi="宋体" w:cs="楷体"/>
          <w:color w:val="auto"/>
          <w:szCs w:val="21"/>
          <w:highlight w:val="none"/>
        </w:rPr>
        <w:t>投标人全称（公章）：</w:t>
      </w:r>
    </w:p>
    <w:p w14:paraId="4E181CE6">
      <w:pPr>
        <w:spacing w:line="400" w:lineRule="exact"/>
        <w:ind w:firstLine="420"/>
        <w:jc w:val="center"/>
        <w:rPr>
          <w:rFonts w:ascii="宋体" w:hAnsi="宋体" w:cs="楷体"/>
          <w:color w:val="auto"/>
          <w:szCs w:val="21"/>
          <w:highlight w:val="none"/>
        </w:rPr>
      </w:pPr>
      <w:r>
        <w:rPr>
          <w:rFonts w:hint="eastAsia" w:ascii="宋体" w:hAnsi="宋体" w:cs="楷体"/>
          <w:color w:val="auto"/>
          <w:szCs w:val="21"/>
          <w:highlight w:val="none"/>
        </w:rPr>
        <w:t xml:space="preserve">  日期：   年    月   日</w:t>
      </w:r>
    </w:p>
    <w:p w14:paraId="583BEB0B">
      <w:pPr>
        <w:pStyle w:val="2"/>
        <w:ind w:firstLine="321"/>
        <w:rPr>
          <w:rFonts w:ascii="宋体" w:hAnsi="宋体"/>
          <w:color w:val="auto"/>
          <w:highlight w:val="none"/>
        </w:rPr>
      </w:pPr>
    </w:p>
    <w:p w14:paraId="390A3F60">
      <w:pPr>
        <w:spacing w:line="400" w:lineRule="exact"/>
        <w:ind w:firstLine="420"/>
        <w:rPr>
          <w:rFonts w:ascii="宋体" w:hAnsi="宋体" w:cs="楷体"/>
          <w:color w:val="auto"/>
          <w:szCs w:val="21"/>
          <w:highlight w:val="none"/>
        </w:rPr>
      </w:pPr>
      <w:r>
        <w:rPr>
          <w:rFonts w:hint="eastAsia" w:ascii="宋体" w:hAnsi="宋体" w:cs="楷体"/>
          <w:color w:val="auto"/>
          <w:szCs w:val="21"/>
          <w:highlight w:val="none"/>
        </w:rPr>
        <w:t>附：</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2459"/>
        <w:gridCol w:w="2459"/>
        <w:gridCol w:w="2469"/>
      </w:tblGrid>
      <w:tr w14:paraId="5846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249FEFC3">
            <w:pPr>
              <w:spacing w:line="400" w:lineRule="exact"/>
              <w:jc w:val="center"/>
              <w:rPr>
                <w:rFonts w:ascii="宋体" w:hAnsi="宋体" w:cs="楷体"/>
                <w:color w:val="auto"/>
                <w:szCs w:val="21"/>
                <w:highlight w:val="none"/>
              </w:rPr>
            </w:pPr>
            <w:r>
              <w:rPr>
                <w:rFonts w:hint="eastAsia" w:ascii="宋体" w:hAnsi="宋体" w:cs="楷体"/>
                <w:color w:val="auto"/>
                <w:szCs w:val="21"/>
                <w:highlight w:val="none"/>
              </w:rPr>
              <w:t>授权代表姓名</w:t>
            </w:r>
          </w:p>
        </w:tc>
        <w:tc>
          <w:tcPr>
            <w:tcW w:w="1248" w:type="pct"/>
            <w:noWrap w:val="0"/>
            <w:vAlign w:val="center"/>
          </w:tcPr>
          <w:p w14:paraId="26EA3017">
            <w:pPr>
              <w:spacing w:line="400" w:lineRule="exact"/>
              <w:jc w:val="center"/>
              <w:rPr>
                <w:rFonts w:ascii="宋体" w:hAnsi="宋体" w:cs="楷体"/>
                <w:color w:val="auto"/>
                <w:szCs w:val="21"/>
                <w:highlight w:val="none"/>
              </w:rPr>
            </w:pPr>
          </w:p>
        </w:tc>
        <w:tc>
          <w:tcPr>
            <w:tcW w:w="1248" w:type="pct"/>
            <w:noWrap w:val="0"/>
            <w:vAlign w:val="center"/>
          </w:tcPr>
          <w:p w14:paraId="552F7C27">
            <w:pPr>
              <w:spacing w:line="400" w:lineRule="exact"/>
              <w:jc w:val="center"/>
              <w:rPr>
                <w:rFonts w:ascii="宋体" w:hAnsi="宋体" w:cs="楷体"/>
                <w:color w:val="auto"/>
                <w:szCs w:val="21"/>
                <w:highlight w:val="none"/>
              </w:rPr>
            </w:pPr>
            <w:r>
              <w:rPr>
                <w:rFonts w:hint="eastAsia" w:ascii="宋体" w:hAnsi="宋体" w:cs="楷体"/>
                <w:color w:val="auto"/>
                <w:szCs w:val="21"/>
                <w:highlight w:val="none"/>
              </w:rPr>
              <w:t>手机号码</w:t>
            </w:r>
          </w:p>
        </w:tc>
        <w:tc>
          <w:tcPr>
            <w:tcW w:w="1253" w:type="pct"/>
            <w:noWrap w:val="0"/>
            <w:vAlign w:val="center"/>
          </w:tcPr>
          <w:p w14:paraId="361A60E5">
            <w:pPr>
              <w:spacing w:line="400" w:lineRule="exact"/>
              <w:jc w:val="center"/>
              <w:rPr>
                <w:rFonts w:ascii="宋体" w:hAnsi="宋体" w:cs="楷体"/>
                <w:color w:val="auto"/>
                <w:szCs w:val="21"/>
                <w:highlight w:val="none"/>
              </w:rPr>
            </w:pPr>
          </w:p>
        </w:tc>
      </w:tr>
      <w:tr w14:paraId="231D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1D3E7B1E">
            <w:pPr>
              <w:spacing w:line="400" w:lineRule="exact"/>
              <w:jc w:val="center"/>
              <w:rPr>
                <w:rFonts w:ascii="宋体" w:hAnsi="宋体" w:cs="楷体"/>
                <w:color w:val="auto"/>
                <w:szCs w:val="21"/>
                <w:highlight w:val="none"/>
              </w:rPr>
            </w:pPr>
            <w:r>
              <w:rPr>
                <w:rFonts w:hint="eastAsia" w:ascii="宋体" w:hAnsi="宋体" w:cs="楷体"/>
                <w:color w:val="auto"/>
                <w:szCs w:val="21"/>
                <w:highlight w:val="none"/>
              </w:rPr>
              <w:t>电子邮箱</w:t>
            </w:r>
          </w:p>
        </w:tc>
        <w:tc>
          <w:tcPr>
            <w:tcW w:w="1248" w:type="pct"/>
            <w:noWrap w:val="0"/>
            <w:vAlign w:val="center"/>
          </w:tcPr>
          <w:p w14:paraId="6FDE89CB">
            <w:pPr>
              <w:spacing w:line="400" w:lineRule="exact"/>
              <w:jc w:val="center"/>
              <w:rPr>
                <w:rFonts w:ascii="宋体" w:hAnsi="宋体" w:cs="楷体"/>
                <w:color w:val="auto"/>
                <w:szCs w:val="21"/>
                <w:highlight w:val="none"/>
              </w:rPr>
            </w:pPr>
          </w:p>
        </w:tc>
        <w:tc>
          <w:tcPr>
            <w:tcW w:w="1248" w:type="pct"/>
            <w:noWrap w:val="0"/>
            <w:vAlign w:val="center"/>
          </w:tcPr>
          <w:p w14:paraId="640340CE">
            <w:pPr>
              <w:spacing w:line="400" w:lineRule="exact"/>
              <w:jc w:val="center"/>
              <w:rPr>
                <w:rFonts w:ascii="宋体" w:hAnsi="宋体" w:cs="楷体"/>
                <w:color w:val="auto"/>
                <w:szCs w:val="21"/>
                <w:highlight w:val="none"/>
              </w:rPr>
            </w:pPr>
            <w:r>
              <w:rPr>
                <w:rFonts w:hint="eastAsia" w:ascii="宋体" w:hAnsi="宋体" w:cs="楷体"/>
                <w:color w:val="auto"/>
                <w:szCs w:val="21"/>
                <w:highlight w:val="none"/>
              </w:rPr>
              <w:t>详细通讯地址</w:t>
            </w:r>
          </w:p>
        </w:tc>
        <w:tc>
          <w:tcPr>
            <w:tcW w:w="1253" w:type="pct"/>
            <w:noWrap w:val="0"/>
            <w:vAlign w:val="center"/>
          </w:tcPr>
          <w:p w14:paraId="12F3D00C">
            <w:pPr>
              <w:spacing w:line="400" w:lineRule="exact"/>
              <w:jc w:val="center"/>
              <w:rPr>
                <w:rFonts w:ascii="宋体" w:hAnsi="宋体" w:cs="楷体"/>
                <w:color w:val="auto"/>
                <w:szCs w:val="21"/>
                <w:highlight w:val="none"/>
              </w:rPr>
            </w:pPr>
          </w:p>
        </w:tc>
      </w:tr>
      <w:tr w14:paraId="7FEC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2FAC55EB">
            <w:pPr>
              <w:spacing w:line="400" w:lineRule="exact"/>
              <w:jc w:val="center"/>
              <w:rPr>
                <w:rFonts w:ascii="宋体" w:hAnsi="宋体" w:cs="楷体"/>
                <w:color w:val="auto"/>
                <w:szCs w:val="21"/>
                <w:highlight w:val="none"/>
              </w:rPr>
            </w:pPr>
            <w:r>
              <w:rPr>
                <w:rFonts w:hint="eastAsia" w:ascii="宋体" w:hAnsi="宋体" w:cs="楷体"/>
                <w:color w:val="auto"/>
                <w:szCs w:val="21"/>
                <w:highlight w:val="none"/>
              </w:rPr>
              <w:t>职务</w:t>
            </w:r>
          </w:p>
        </w:tc>
        <w:tc>
          <w:tcPr>
            <w:tcW w:w="1248" w:type="pct"/>
            <w:noWrap w:val="0"/>
            <w:vAlign w:val="center"/>
          </w:tcPr>
          <w:p w14:paraId="7E4632A1">
            <w:pPr>
              <w:spacing w:line="400" w:lineRule="exact"/>
              <w:jc w:val="center"/>
              <w:rPr>
                <w:rFonts w:ascii="宋体" w:hAnsi="宋体" w:cs="楷体"/>
                <w:color w:val="auto"/>
                <w:szCs w:val="21"/>
                <w:highlight w:val="none"/>
              </w:rPr>
            </w:pPr>
          </w:p>
        </w:tc>
        <w:tc>
          <w:tcPr>
            <w:tcW w:w="1248" w:type="pct"/>
            <w:noWrap w:val="0"/>
            <w:vAlign w:val="center"/>
          </w:tcPr>
          <w:p w14:paraId="1178DD36">
            <w:pPr>
              <w:spacing w:line="400" w:lineRule="exact"/>
              <w:ind w:firstLine="420"/>
              <w:jc w:val="center"/>
              <w:rPr>
                <w:rFonts w:ascii="宋体" w:hAnsi="宋体" w:cs="楷体"/>
                <w:color w:val="auto"/>
                <w:szCs w:val="21"/>
                <w:highlight w:val="none"/>
              </w:rPr>
            </w:pPr>
            <w:r>
              <w:rPr>
                <w:rFonts w:hint="eastAsia" w:ascii="宋体" w:hAnsi="宋体" w:cs="楷体"/>
                <w:color w:val="auto"/>
                <w:szCs w:val="21"/>
                <w:highlight w:val="none"/>
              </w:rPr>
              <w:t>邮政编码</w:t>
            </w:r>
          </w:p>
        </w:tc>
        <w:tc>
          <w:tcPr>
            <w:tcW w:w="1253" w:type="pct"/>
            <w:noWrap w:val="0"/>
            <w:vAlign w:val="center"/>
          </w:tcPr>
          <w:p w14:paraId="023FD435">
            <w:pPr>
              <w:spacing w:line="400" w:lineRule="exact"/>
              <w:jc w:val="center"/>
              <w:rPr>
                <w:rFonts w:ascii="宋体" w:hAnsi="宋体" w:cs="楷体"/>
                <w:color w:val="auto"/>
                <w:szCs w:val="21"/>
                <w:highlight w:val="none"/>
              </w:rPr>
            </w:pPr>
          </w:p>
        </w:tc>
      </w:tr>
    </w:tbl>
    <w:p w14:paraId="7BBC6B14">
      <w:pPr>
        <w:spacing w:line="400" w:lineRule="exact"/>
        <w:ind w:firstLine="211" w:firstLineChars="100"/>
        <w:rPr>
          <w:rFonts w:ascii="宋体" w:hAnsi="宋体" w:cs="楷体"/>
          <w:color w:val="auto"/>
          <w:szCs w:val="21"/>
          <w:highlight w:val="none"/>
        </w:rPr>
      </w:pPr>
      <w:r>
        <w:rPr>
          <w:rFonts w:hint="eastAsia" w:ascii="宋体" w:hAnsi="宋体" w:cs="楷体"/>
          <w:b/>
          <w:bCs/>
          <w:color w:val="auto"/>
          <w:szCs w:val="21"/>
          <w:highlight w:val="none"/>
        </w:rPr>
        <w:t>特别提醒：投标人应保证授权代表的联系方式（如手机号码、电子邮箱等）正确并保持畅通；</w:t>
      </w:r>
    </w:p>
    <w:tbl>
      <w:tblPr>
        <w:tblStyle w:val="24"/>
        <w:tblpPr w:leftFromText="180" w:rightFromText="180" w:vertAnchor="text" w:horzAnchor="page" w:tblpX="1780" w:tblpY="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14:paraId="1C09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7" w:hRule="atLeast"/>
        </w:trPr>
        <w:tc>
          <w:tcPr>
            <w:tcW w:w="8775" w:type="dxa"/>
            <w:noWrap w:val="0"/>
            <w:vAlign w:val="center"/>
          </w:tcPr>
          <w:p w14:paraId="7B958165">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授权代表身份证复印件</w:t>
            </w:r>
          </w:p>
          <w:p w14:paraId="6A0683C5">
            <w:pPr>
              <w:spacing w:line="400" w:lineRule="exact"/>
              <w:ind w:firstLine="422"/>
              <w:jc w:val="center"/>
              <w:rPr>
                <w:rFonts w:ascii="宋体" w:hAnsi="宋体"/>
                <w:b/>
                <w:bCs/>
                <w:color w:val="auto"/>
                <w:szCs w:val="21"/>
                <w:highlight w:val="none"/>
              </w:rPr>
            </w:pPr>
          </w:p>
        </w:tc>
      </w:tr>
    </w:tbl>
    <w:p w14:paraId="7286A20C">
      <w:pPr>
        <w:pStyle w:val="2"/>
        <w:ind w:firstLine="0" w:firstLineChars="0"/>
        <w:jc w:val="both"/>
        <w:rPr>
          <w:rFonts w:hint="eastAsia" w:ascii="宋体" w:hAnsi="宋体"/>
          <w:bCs/>
          <w:color w:val="auto"/>
          <w:sz w:val="28"/>
          <w:szCs w:val="28"/>
          <w:highlight w:val="none"/>
        </w:rPr>
      </w:pPr>
    </w:p>
    <w:p w14:paraId="135303C2">
      <w:pPr>
        <w:pStyle w:val="2"/>
        <w:ind w:firstLine="281"/>
        <w:jc w:val="center"/>
        <w:rPr>
          <w:rFonts w:hint="eastAsia" w:ascii="宋体" w:hAnsi="宋体"/>
          <w:bCs/>
          <w:color w:val="auto"/>
          <w:sz w:val="28"/>
          <w:szCs w:val="28"/>
          <w:highlight w:val="none"/>
        </w:rPr>
      </w:pPr>
    </w:p>
    <w:p w14:paraId="2946BC2E">
      <w:pPr>
        <w:pStyle w:val="2"/>
        <w:ind w:firstLine="281"/>
        <w:jc w:val="center"/>
        <w:rPr>
          <w:rFonts w:hint="eastAsia" w:ascii="宋体" w:hAnsi="宋体"/>
          <w:bCs/>
          <w:color w:val="auto"/>
          <w:sz w:val="28"/>
          <w:szCs w:val="28"/>
          <w:highlight w:val="none"/>
        </w:rPr>
      </w:pPr>
    </w:p>
    <w:p w14:paraId="0120CF17">
      <w:pPr>
        <w:pStyle w:val="2"/>
        <w:spacing w:line="400" w:lineRule="exact"/>
        <w:ind w:firstLine="0" w:firstLineChars="0"/>
        <w:rPr>
          <w:rFonts w:ascii="宋体" w:hAnsi="宋体" w:eastAsia="宋体" w:cs="宋体"/>
          <w:highlight w:val="none"/>
        </w:rPr>
      </w:pPr>
      <w:r>
        <w:rPr>
          <w:rFonts w:hint="eastAsia" w:ascii="宋体" w:hAnsi="宋体" w:cs="楷体"/>
          <w:color w:val="auto"/>
          <w:sz w:val="21"/>
          <w:szCs w:val="21"/>
          <w:highlight w:val="none"/>
        </w:rPr>
        <w:t>注：法定代表人（负责人）为投标人代表时，无须提供。</w:t>
      </w:r>
    </w:p>
    <w:p w14:paraId="262BCA8C">
      <w:pPr>
        <w:pStyle w:val="15"/>
        <w:ind w:firstLine="542"/>
        <w:rPr>
          <w:highlight w:val="none"/>
        </w:rPr>
      </w:pPr>
    </w:p>
    <w:p w14:paraId="3C658AC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关于符合《中华人民共和国政府采购法》第二十二条规定的承诺函</w:t>
      </w:r>
    </w:p>
    <w:p w14:paraId="186FA6D2">
      <w:pPr>
        <w:widowControl/>
        <w:adjustRightInd w:val="0"/>
        <w:snapToGrid w:val="0"/>
        <w:spacing w:line="360" w:lineRule="auto"/>
        <w:jc w:val="left"/>
        <w:rPr>
          <w:rFonts w:ascii="宋体" w:hAnsi="宋体" w:eastAsia="宋体" w:cs="宋体"/>
          <w:kern w:val="0"/>
          <w:sz w:val="22"/>
          <w:szCs w:val="22"/>
          <w:highlight w:val="none"/>
        </w:rPr>
      </w:pPr>
      <w:r>
        <w:rPr>
          <w:rFonts w:hint="eastAsia" w:ascii="宋体" w:hAnsi="宋体" w:cs="宋体"/>
          <w:sz w:val="24"/>
          <w:highlight w:val="none"/>
        </w:rPr>
        <w:t>温州市瓯海区综合行政执法局</w:t>
      </w:r>
      <w:r>
        <w:rPr>
          <w:rFonts w:hint="eastAsia" w:ascii="宋体" w:hAnsi="宋体" w:eastAsia="宋体" w:cs="宋体"/>
          <w:kern w:val="0"/>
          <w:sz w:val="22"/>
          <w:szCs w:val="22"/>
          <w:highlight w:val="none"/>
        </w:rPr>
        <w:t xml:space="preserve">： </w:t>
      </w:r>
    </w:p>
    <w:p w14:paraId="10D3083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我单位就</w:t>
      </w:r>
      <w:r>
        <w:rPr>
          <w:rFonts w:hint="eastAsia" w:ascii="宋体" w:hAnsi="宋体" w:cs="宋体"/>
          <w:color w:val="auto"/>
          <w:sz w:val="22"/>
          <w:szCs w:val="22"/>
          <w:highlight w:val="none"/>
          <w:u w:val="single"/>
        </w:rPr>
        <w:t xml:space="preserve">            （项目名称）           （项目编号）</w:t>
      </w:r>
      <w:r>
        <w:rPr>
          <w:rFonts w:hint="eastAsia" w:ascii="宋体" w:hAnsi="宋体" w:cs="宋体"/>
          <w:color w:val="auto"/>
          <w:sz w:val="22"/>
          <w:szCs w:val="22"/>
          <w:highlight w:val="none"/>
        </w:rPr>
        <w:t>项目承诺具备下列条件：</w:t>
      </w:r>
    </w:p>
    <w:p w14:paraId="0FA65318">
      <w:pPr>
        <w:pStyle w:val="22"/>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（一）具有独立承担民事责任的能力；</w:t>
      </w:r>
    </w:p>
    <w:p w14:paraId="5E142951">
      <w:pPr>
        <w:pStyle w:val="22"/>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（二）具有良好的商业信誉和健全的财务会计制度；</w:t>
      </w:r>
    </w:p>
    <w:p w14:paraId="2AC03E33">
      <w:pPr>
        <w:pStyle w:val="22"/>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（三）具有履行合同所必需的设备和专业技术能力；</w:t>
      </w:r>
    </w:p>
    <w:p w14:paraId="2C2C5642">
      <w:pPr>
        <w:pStyle w:val="22"/>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（四）有依法缴纳税收和社会保障资金的良好记录；</w:t>
      </w:r>
    </w:p>
    <w:p w14:paraId="1BC6A071">
      <w:pPr>
        <w:pStyle w:val="22"/>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45E6CE17">
      <w:pPr>
        <w:pStyle w:val="22"/>
        <w:spacing w:before="0" w:beforeAutospacing="0" w:after="0" w:afterAutospacing="0" w:line="360" w:lineRule="auto"/>
        <w:ind w:firstLine="440" w:firstLineChars="200"/>
        <w:rPr>
          <w:rFonts w:hint="eastAsia" w:eastAsia="宋体"/>
          <w:bCs/>
          <w:color w:val="auto"/>
          <w:kern w:val="2"/>
          <w:sz w:val="22"/>
          <w:szCs w:val="22"/>
          <w:highlight w:val="none"/>
          <w:lang w:eastAsia="zh-CN"/>
        </w:rPr>
      </w:pPr>
      <w:r>
        <w:rPr>
          <w:bCs/>
          <w:color w:val="auto"/>
          <w:kern w:val="2"/>
          <w:sz w:val="22"/>
          <w:szCs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76AC6230">
      <w:pPr>
        <w:pStyle w:val="22"/>
        <w:spacing w:before="0" w:beforeAutospacing="0" w:after="0" w:afterAutospacing="0" w:line="360" w:lineRule="auto"/>
        <w:ind w:firstLine="442" w:firstLineChars="200"/>
        <w:rPr>
          <w:b/>
          <w:color w:val="auto"/>
          <w:sz w:val="22"/>
          <w:szCs w:val="22"/>
          <w:highlight w:val="none"/>
        </w:rPr>
      </w:pPr>
      <w:r>
        <w:rPr>
          <w:b/>
          <w:color w:val="auto"/>
          <w:kern w:val="2"/>
          <w:sz w:val="22"/>
          <w:szCs w:val="22"/>
          <w:highlight w:val="none"/>
        </w:rPr>
        <w:t>如有虚假，采购人可取消我单位任何资格（投标/中标/签订合同</w:t>
      </w:r>
      <w:r>
        <w:rPr>
          <w:b/>
          <w:color w:val="auto"/>
          <w:sz w:val="22"/>
          <w:szCs w:val="22"/>
          <w:highlight w:val="none"/>
        </w:rPr>
        <w:t>），我单位对此无任何异议。</w:t>
      </w:r>
    </w:p>
    <w:p w14:paraId="1CFED3F3">
      <w:pPr>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特此承诺！</w:t>
      </w:r>
    </w:p>
    <w:p w14:paraId="6A863610">
      <w:pPr>
        <w:pStyle w:val="22"/>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注：（1）参加政府采购活动的时间是指供应商参加本项目的政府采购活动时间为准（具体以响应文件提交截止时间为准）。</w:t>
      </w:r>
    </w:p>
    <w:p w14:paraId="31549939">
      <w:pPr>
        <w:pStyle w:val="22"/>
        <w:numPr>
          <w:ilvl w:val="0"/>
          <w:numId w:val="12"/>
        </w:numPr>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本承诺函必须提供。</w:t>
      </w:r>
    </w:p>
    <w:p w14:paraId="3399514E">
      <w:pPr>
        <w:pStyle w:val="22"/>
        <w:numPr>
          <w:ilvl w:val="0"/>
          <w:numId w:val="12"/>
        </w:numPr>
        <w:spacing w:before="0" w:beforeAutospacing="0" w:after="0" w:afterAutospacing="0" w:line="360" w:lineRule="auto"/>
        <w:ind w:firstLine="422" w:firstLineChars="200"/>
        <w:rPr>
          <w:bCs/>
          <w:color w:val="auto"/>
          <w:kern w:val="2"/>
          <w:sz w:val="22"/>
          <w:szCs w:val="22"/>
          <w:highlight w:val="none"/>
        </w:rPr>
      </w:pPr>
      <w:r>
        <w:rPr>
          <w:rFonts w:hint="eastAsia" w:ascii="Times New Roman" w:hAnsi="Times New Roman" w:eastAsia="宋体" w:cs="Times New Roman"/>
          <w:b/>
          <w:bCs/>
          <w:snapToGrid w:val="0"/>
          <w:color w:val="auto"/>
          <w:kern w:val="0"/>
          <w:sz w:val="21"/>
          <w:szCs w:val="21"/>
          <w:highlight w:val="none"/>
          <w:lang w:val="en-US" w:eastAsia="zh-CN" w:bidi="ar-SA"/>
        </w:rPr>
        <w:t>附：信用中国、中国政府采购网查询结果页面</w:t>
      </w:r>
    </w:p>
    <w:p w14:paraId="077DCF70">
      <w:pPr>
        <w:spacing w:line="360" w:lineRule="auto"/>
        <w:ind w:left="4620" w:leftChars="2200"/>
        <w:rPr>
          <w:rFonts w:hint="eastAsia" w:ascii="宋体" w:hAnsi="宋体" w:cs="宋体"/>
          <w:color w:val="auto"/>
          <w:sz w:val="22"/>
          <w:szCs w:val="22"/>
          <w:highlight w:val="none"/>
        </w:rPr>
      </w:pPr>
    </w:p>
    <w:p w14:paraId="45AF7B91">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lang w:val="zh-CN"/>
        </w:rPr>
        <w:t>全称（盖章）：</w:t>
      </w:r>
    </w:p>
    <w:p w14:paraId="70A217D3">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法定代表人或授权代表（签字或盖章）：</w:t>
      </w:r>
    </w:p>
    <w:p w14:paraId="5B8256F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日 期：  年  月  日</w:t>
      </w:r>
    </w:p>
    <w:p w14:paraId="7038BD9E">
      <w:pPr>
        <w:snapToGrid w:val="0"/>
        <w:spacing w:line="360" w:lineRule="auto"/>
        <w:ind w:right="480"/>
        <w:jc w:val="center"/>
        <w:rPr>
          <w:rFonts w:ascii="宋体" w:hAnsi="宋体" w:cs="宋体"/>
          <w:b/>
          <w:kern w:val="0"/>
          <w:sz w:val="32"/>
          <w:szCs w:val="32"/>
          <w:highlight w:val="none"/>
        </w:rPr>
      </w:pPr>
    </w:p>
    <w:p w14:paraId="141EBB40">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4A23FCF">
      <w:pPr>
        <w:spacing w:before="120" w:beforeLines="50" w:after="120" w:afterLines="50"/>
        <w:jc w:val="center"/>
        <w:rPr>
          <w:rFonts w:ascii="宋体" w:hAnsi="宋体" w:cs="宋体"/>
          <w:sz w:val="22"/>
          <w:szCs w:val="22"/>
          <w:highlight w:val="none"/>
        </w:rPr>
      </w:pPr>
      <w:r>
        <w:rPr>
          <w:rFonts w:hint="eastAsia" w:ascii="宋体" w:hAnsi="宋体" w:cs="宋体"/>
          <w:sz w:val="22"/>
          <w:szCs w:val="22"/>
          <w:highlight w:val="none"/>
        </w:rPr>
        <w:t>（商务技术文件封面，供参考）</w:t>
      </w:r>
    </w:p>
    <w:p w14:paraId="73BBEDD1">
      <w:pPr>
        <w:rPr>
          <w:rFonts w:ascii="宋体" w:hAnsi="宋体" w:cs="宋体"/>
          <w:highlight w:val="none"/>
        </w:rPr>
      </w:pPr>
    </w:p>
    <w:p w14:paraId="3F7B9055">
      <w:pPr>
        <w:rPr>
          <w:rFonts w:ascii="宋体" w:hAnsi="宋体" w:cs="宋体"/>
          <w:highlight w:val="none"/>
        </w:rPr>
      </w:pPr>
    </w:p>
    <w:p w14:paraId="40B54A0E">
      <w:pPr>
        <w:rPr>
          <w:rFonts w:ascii="宋体" w:hAnsi="宋体" w:cs="宋体"/>
          <w:highlight w:val="none"/>
        </w:rPr>
      </w:pPr>
    </w:p>
    <w:p w14:paraId="5FA2116E">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投标文件</w:t>
      </w:r>
    </w:p>
    <w:p w14:paraId="0D7A5367">
      <w:pPr>
        <w:rPr>
          <w:rFonts w:ascii="宋体" w:hAnsi="宋体" w:cs="宋体"/>
          <w:sz w:val="28"/>
          <w:szCs w:val="28"/>
          <w:highlight w:val="none"/>
        </w:rPr>
      </w:pPr>
    </w:p>
    <w:p w14:paraId="752C925F">
      <w:pPr>
        <w:rPr>
          <w:rFonts w:ascii="宋体" w:hAnsi="宋体" w:cs="宋体"/>
          <w:sz w:val="28"/>
          <w:szCs w:val="28"/>
          <w:highlight w:val="none"/>
        </w:rPr>
      </w:pPr>
    </w:p>
    <w:p w14:paraId="3AAB7B46">
      <w:pPr>
        <w:pStyle w:val="2"/>
        <w:ind w:firstLine="281"/>
        <w:rPr>
          <w:rFonts w:ascii="宋体" w:hAnsi="宋体" w:cs="宋体"/>
          <w:sz w:val="28"/>
          <w:szCs w:val="28"/>
          <w:highlight w:val="none"/>
        </w:rPr>
      </w:pPr>
    </w:p>
    <w:p w14:paraId="00A4EA32">
      <w:pPr>
        <w:pStyle w:val="2"/>
        <w:ind w:firstLine="281"/>
        <w:rPr>
          <w:rFonts w:ascii="宋体" w:hAnsi="宋体" w:cs="宋体"/>
          <w:sz w:val="28"/>
          <w:szCs w:val="28"/>
          <w:highlight w:val="none"/>
        </w:rPr>
      </w:pPr>
    </w:p>
    <w:p w14:paraId="207E1610">
      <w:pPr>
        <w:rPr>
          <w:rFonts w:ascii="宋体" w:hAnsi="宋体" w:cs="宋体"/>
          <w:sz w:val="28"/>
          <w:szCs w:val="28"/>
          <w:highlight w:val="none"/>
        </w:rPr>
      </w:pPr>
    </w:p>
    <w:p w14:paraId="4C312E27">
      <w:pPr>
        <w:rPr>
          <w:rFonts w:ascii="宋体" w:hAnsi="宋体" w:cs="宋体"/>
          <w:sz w:val="28"/>
          <w:szCs w:val="28"/>
          <w:highlight w:val="none"/>
        </w:rPr>
      </w:pPr>
    </w:p>
    <w:p w14:paraId="35A5C4AA">
      <w:pPr>
        <w:jc w:val="center"/>
        <w:rPr>
          <w:rFonts w:ascii="宋体" w:hAnsi="宋体" w:cs="宋体"/>
          <w:sz w:val="52"/>
          <w:szCs w:val="52"/>
          <w:highlight w:val="none"/>
        </w:rPr>
      </w:pPr>
      <w:r>
        <w:rPr>
          <w:rFonts w:hint="eastAsia" w:ascii="宋体" w:hAnsi="宋体" w:cs="宋体"/>
          <w:sz w:val="52"/>
          <w:szCs w:val="52"/>
          <w:highlight w:val="none"/>
        </w:rPr>
        <w:t>商 务 技 术 文 件</w:t>
      </w:r>
    </w:p>
    <w:p w14:paraId="7170927A">
      <w:pPr>
        <w:spacing w:line="360" w:lineRule="auto"/>
        <w:rPr>
          <w:rFonts w:ascii="宋体" w:hAnsi="宋体" w:cs="宋体"/>
          <w:szCs w:val="21"/>
          <w:highlight w:val="none"/>
        </w:rPr>
      </w:pPr>
    </w:p>
    <w:p w14:paraId="641A166E">
      <w:pPr>
        <w:spacing w:line="360" w:lineRule="auto"/>
        <w:rPr>
          <w:rFonts w:ascii="宋体" w:hAnsi="宋体" w:cs="宋体"/>
          <w:szCs w:val="21"/>
          <w:highlight w:val="none"/>
        </w:rPr>
      </w:pPr>
    </w:p>
    <w:p w14:paraId="12EC2480">
      <w:pPr>
        <w:spacing w:line="360" w:lineRule="auto"/>
        <w:rPr>
          <w:rFonts w:ascii="宋体" w:hAnsi="宋体" w:cs="宋体"/>
          <w:szCs w:val="21"/>
          <w:highlight w:val="none"/>
        </w:rPr>
      </w:pPr>
    </w:p>
    <w:p w14:paraId="22CE6F48">
      <w:pPr>
        <w:spacing w:line="360" w:lineRule="auto"/>
        <w:rPr>
          <w:rFonts w:ascii="宋体" w:hAnsi="宋体" w:cs="宋体"/>
          <w:szCs w:val="21"/>
          <w:highlight w:val="none"/>
        </w:rPr>
      </w:pPr>
    </w:p>
    <w:p w14:paraId="47B0B6BD">
      <w:pPr>
        <w:pStyle w:val="2"/>
        <w:ind w:firstLine="321"/>
        <w:rPr>
          <w:rFonts w:ascii="宋体" w:hAnsi="宋体" w:cs="宋体"/>
          <w:highlight w:val="none"/>
        </w:rPr>
      </w:pPr>
    </w:p>
    <w:p w14:paraId="7FFFC7B1">
      <w:pPr>
        <w:spacing w:line="360" w:lineRule="auto"/>
        <w:rPr>
          <w:rFonts w:ascii="宋体" w:hAnsi="宋体" w:cs="宋体"/>
          <w:szCs w:val="21"/>
          <w:highlight w:val="none"/>
        </w:rPr>
      </w:pPr>
    </w:p>
    <w:p w14:paraId="7D232779">
      <w:pPr>
        <w:jc w:val="center"/>
        <w:rPr>
          <w:rFonts w:ascii="宋体" w:hAnsi="宋体" w:cs="宋体"/>
          <w:sz w:val="28"/>
          <w:szCs w:val="28"/>
          <w:highlight w:val="non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14:paraId="19787379">
      <w:pPr>
        <w:rPr>
          <w:rFonts w:ascii="宋体" w:hAnsi="宋体" w:cs="宋体"/>
          <w:sz w:val="28"/>
          <w:szCs w:val="28"/>
          <w:highlight w:val="none"/>
          <w:u w:val="single"/>
        </w:rPr>
      </w:pPr>
    </w:p>
    <w:p w14:paraId="2DE9DF71">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14:paraId="19329337">
      <w:pPr>
        <w:rPr>
          <w:rFonts w:ascii="宋体" w:hAnsi="宋体" w:cs="宋体"/>
          <w:sz w:val="28"/>
          <w:szCs w:val="28"/>
          <w:highlight w:val="none"/>
        </w:rPr>
      </w:pPr>
    </w:p>
    <w:p w14:paraId="6E37DCC2">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60ED22FB">
      <w:pPr>
        <w:spacing w:line="360" w:lineRule="auto"/>
        <w:rPr>
          <w:rFonts w:hint="eastAsia" w:ascii="宋体" w:hAnsi="宋体" w:eastAsia="宋体" w:cs="宋体"/>
          <w:b/>
          <w:bCs/>
          <w:sz w:val="22"/>
          <w:szCs w:val="22"/>
          <w:highlight w:val="none"/>
        </w:rPr>
      </w:pPr>
      <w:r>
        <w:rPr>
          <w:rFonts w:hint="eastAsia" w:ascii="宋体" w:hAnsi="宋体" w:cs="宋体"/>
          <w:highlight w:val="none"/>
        </w:rPr>
        <w:br w:type="page"/>
      </w:r>
    </w:p>
    <w:p w14:paraId="51B066E3">
      <w:pPr>
        <w:spacing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14:paraId="3F85EC74">
      <w:pPr>
        <w:spacing w:line="360" w:lineRule="auto"/>
        <w:rPr>
          <w:rFonts w:ascii="宋体" w:hAnsi="宋体" w:eastAsia="宋体" w:cs="宋体"/>
          <w:szCs w:val="21"/>
          <w:highlight w:val="none"/>
        </w:rPr>
      </w:pPr>
      <w:r>
        <w:rPr>
          <w:rFonts w:hint="eastAsia" w:ascii="宋体" w:hAnsi="宋体" w:eastAsia="宋体" w:cs="宋体"/>
          <w:szCs w:val="21"/>
          <w:highlight w:val="none"/>
        </w:rPr>
        <w:t>温州市瓯海区综合行政执法局：</w:t>
      </w:r>
    </w:p>
    <w:p w14:paraId="5DEA9813">
      <w:pPr>
        <w:overflowPunct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我方自愿参加贵方组织的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szCs w:val="21"/>
          <w:highlight w:val="none"/>
        </w:rPr>
        <w:t>的投标，并按采购文件的要求在投标截止时间前将生成的“电子加密投标文件”上传递交至“政府采购云平台”。我方己完全明白采购文件的所有条款要求，并重申以下几点：</w:t>
      </w:r>
    </w:p>
    <w:p w14:paraId="0DF9ED88">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（一）本电子投标文件的有效期自投标截止日起</w:t>
      </w:r>
      <w:r>
        <w:rPr>
          <w:rFonts w:hint="eastAsia" w:ascii="宋体" w:hAnsi="宋体" w:eastAsia="宋体" w:cs="宋体"/>
          <w:b/>
          <w:szCs w:val="21"/>
          <w:highlight w:val="none"/>
          <w:u w:val="single"/>
        </w:rPr>
        <w:t xml:space="preserve"> 90 </w:t>
      </w:r>
      <w:r>
        <w:rPr>
          <w:rFonts w:hint="eastAsia" w:ascii="宋体" w:hAnsi="宋体" w:eastAsia="宋体" w:cs="宋体"/>
          <w:b/>
          <w:szCs w:val="21"/>
          <w:highlight w:val="none"/>
        </w:rPr>
        <w:t>天内</w:t>
      </w:r>
      <w:r>
        <w:rPr>
          <w:rFonts w:hint="eastAsia" w:ascii="宋体" w:hAnsi="宋体" w:eastAsia="宋体" w:cs="宋体"/>
          <w:szCs w:val="21"/>
          <w:highlight w:val="none"/>
        </w:rPr>
        <w:t>有效，如中标，有效期将延至合同终止日为止；</w:t>
      </w:r>
    </w:p>
    <w:p w14:paraId="702B83E5">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（二）我方已详细研究了采购文件的所有内容包括修改书（如有）和所有已提供的参考资料以及有关附件，我方完全理解并同意放弃在此方面提出含糊意见或误解的一切权力；</w:t>
      </w:r>
    </w:p>
    <w:p w14:paraId="42889684">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（三）我方明白并愿意在规定的开标时间之后，不得在投标有效期内撤回投标</w:t>
      </w:r>
    </w:p>
    <w:p w14:paraId="64898997">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（四）我方同意提供按照贵方可能要求的与投标有关的一切数据或资料，并保证我方向贵方提交的所有投标文件、资料都是准确的和真实的；</w:t>
      </w:r>
    </w:p>
    <w:p w14:paraId="7D998424">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（五）我方理解贵方不一定接受最低报价。</w:t>
      </w:r>
    </w:p>
    <w:p w14:paraId="5435E2CF">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（六）我方如果中标，将保证履行采购文件以及采购文件修改书（如有）中的全部责任和义务，按质、按量、按期完成《合同书》中的全部任务。</w:t>
      </w:r>
    </w:p>
    <w:p w14:paraId="348ADC49">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（七）以上事项如有虚假或隐瞒，我方愿意承担一切后果，并不再寻求任何旨在减轻或免除法律责任的辩解，对采购人因此引起的损失予以赔偿。</w:t>
      </w:r>
    </w:p>
    <w:p w14:paraId="0DF3927E">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（八）如有列情形之一的，我方愿意被取消中标资格（如中标），同时继续承担其他一切法律后果，并不再寻求任何旨在减轻或免除法律责任的解释：</w:t>
      </w:r>
    </w:p>
    <w:p w14:paraId="0A3DA17B">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(1)提供虚假材料（承诺）谋取中标、成交的；</w:t>
      </w:r>
    </w:p>
    <w:p w14:paraId="5D9CCF2E">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(2)采取不正当手段诋毁、排挤其他供应商的；</w:t>
      </w:r>
    </w:p>
    <w:p w14:paraId="5D25888C">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(3)与采购人、其它供应商或者采购代理机构恶意串通的；</w:t>
      </w:r>
    </w:p>
    <w:p w14:paraId="2725B45D">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(4)向采购人、采购代理机构行贿或者提供其他不正当利益的；</w:t>
      </w:r>
    </w:p>
    <w:p w14:paraId="71E1A3E8">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(5)在采购过程中与采购人进行协商谈判的；</w:t>
      </w:r>
    </w:p>
    <w:p w14:paraId="1750688C">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(6)拒绝有关部门监督检查或提供虚假情况的。</w:t>
      </w:r>
    </w:p>
    <w:p w14:paraId="160EDC4D">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（九）所有与本投标有关的函件请发往下列地址：</w:t>
      </w:r>
    </w:p>
    <w:p w14:paraId="4DA8525D">
      <w:pPr>
        <w:pageBreakBefore w:val="0"/>
        <w:wordWrap/>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3CECAF0C">
      <w:pPr>
        <w:pageBreakBefore w:val="0"/>
        <w:wordWrap/>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44B8AD03">
      <w:pPr>
        <w:pageBreakBefore w:val="0"/>
        <w:wordWrap/>
        <w:topLinePunct w:val="0"/>
        <w:bidi w:val="0"/>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C216F46">
      <w:pPr>
        <w:adjustRightInd w:val="0"/>
        <w:snapToGrid w:val="0"/>
        <w:spacing w:line="360" w:lineRule="auto"/>
        <w:ind w:firstLine="420" w:firstLineChars="200"/>
        <w:rPr>
          <w:rFonts w:ascii="宋体" w:hAnsi="宋体" w:eastAsia="宋体" w:cs="宋体"/>
          <w:szCs w:val="21"/>
          <w:highlight w:val="none"/>
          <w:u w:val="single"/>
        </w:rPr>
      </w:pPr>
    </w:p>
    <w:p w14:paraId="63A84A70">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投标供应商全称（盖章）：</w:t>
      </w:r>
    </w:p>
    <w:p w14:paraId="04645A45">
      <w:pPr>
        <w:spacing w:line="360" w:lineRule="auto"/>
        <w:jc w:val="left"/>
        <w:rPr>
          <w:rFonts w:ascii="宋体" w:hAnsi="宋体" w:eastAsia="宋体" w:cs="宋体"/>
          <w:szCs w:val="21"/>
          <w:highlight w:val="none"/>
          <w:u w:val="single"/>
        </w:rPr>
      </w:pPr>
      <w:r>
        <w:rPr>
          <w:rFonts w:hint="eastAsia" w:ascii="宋体" w:hAnsi="宋体" w:eastAsia="宋体" w:cs="宋体"/>
          <w:szCs w:val="21"/>
          <w:highlight w:val="none"/>
        </w:rPr>
        <w:t>法定代表人或授权代表（签字或盖章）：</w:t>
      </w:r>
    </w:p>
    <w:p w14:paraId="27E3DC66">
      <w:pPr>
        <w:spacing w:line="360" w:lineRule="auto"/>
        <w:jc w:val="left"/>
        <w:rPr>
          <w:rFonts w:ascii="宋体" w:hAnsi="宋体" w:eastAsia="宋体" w:cs="宋体"/>
          <w:szCs w:val="21"/>
          <w:highlight w:val="none"/>
          <w:u w:val="single"/>
        </w:rPr>
        <w:sectPr>
          <w:pgSz w:w="11906" w:h="16838"/>
          <w:pgMar w:top="1134" w:right="1134" w:bottom="1134" w:left="1134" w:header="567" w:footer="567" w:gutter="0"/>
          <w:cols w:space="720" w:num="1"/>
          <w:docGrid w:linePitch="312" w:charSpace="0"/>
        </w:sectPr>
      </w:pPr>
      <w:r>
        <w:rPr>
          <w:rFonts w:hint="eastAsia" w:ascii="宋体" w:hAnsi="宋体" w:eastAsia="宋体" w:cs="宋体"/>
          <w:szCs w:val="21"/>
          <w:highlight w:val="none"/>
        </w:rPr>
        <w:t>日    期 ：</w:t>
      </w:r>
      <w:bookmarkStart w:id="116" w:name="_Toc8519"/>
    </w:p>
    <w:p w14:paraId="68349567">
      <w:pPr>
        <w:spacing w:line="360" w:lineRule="auto"/>
        <w:jc w:val="center"/>
        <w:rPr>
          <w:rFonts w:ascii="宋体" w:hAnsi="宋体" w:eastAsia="宋体" w:cs="宋体"/>
          <w:b/>
          <w:bCs/>
          <w:sz w:val="36"/>
          <w:szCs w:val="36"/>
          <w:highlight w:val="none"/>
        </w:rPr>
      </w:pPr>
    </w:p>
    <w:p w14:paraId="176438DC">
      <w:pPr>
        <w:spacing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14:paraId="475AD4EC">
      <w:pPr>
        <w:spacing w:line="360" w:lineRule="auto"/>
        <w:ind w:firstLine="420" w:firstLineChars="200"/>
        <w:rPr>
          <w:rFonts w:ascii="宋体" w:hAnsi="宋体" w:eastAsia="宋体" w:cs="宋体"/>
          <w:bCs/>
          <w:szCs w:val="21"/>
          <w:highlight w:val="none"/>
        </w:rPr>
      </w:pPr>
      <w:r>
        <w:rPr>
          <w:rFonts w:hint="eastAsia" w:ascii="宋体" w:hAnsi="宋体" w:eastAsia="宋体" w:cs="宋体"/>
          <w:szCs w:val="21"/>
          <w:highlight w:val="none"/>
        </w:rPr>
        <w:t>项目名称</w:t>
      </w:r>
      <w:r>
        <w:rPr>
          <w:rFonts w:hint="eastAsia" w:ascii="宋体" w:hAnsi="宋体" w:eastAsia="宋体" w:cs="宋体"/>
          <w:bCs/>
          <w:szCs w:val="21"/>
          <w:highlight w:val="none"/>
        </w:rPr>
        <w:t xml:space="preserve">：                                                 </w:t>
      </w:r>
      <w:r>
        <w:rPr>
          <w:rFonts w:hint="eastAsia" w:ascii="宋体" w:hAnsi="宋体" w:eastAsia="宋体" w:cs="宋体"/>
          <w:szCs w:val="21"/>
          <w:highlight w:val="none"/>
        </w:rPr>
        <w:t>项目编号</w:t>
      </w:r>
      <w:r>
        <w:rPr>
          <w:rFonts w:hint="eastAsia" w:ascii="宋体" w:hAnsi="宋体" w:eastAsia="宋体" w:cs="宋体"/>
          <w:sz w:val="22"/>
          <w:szCs w:val="22"/>
          <w:highlight w:val="none"/>
        </w:rPr>
        <w:t>：</w:t>
      </w:r>
    </w:p>
    <w:tbl>
      <w:tblPr>
        <w:tblStyle w:val="24"/>
        <w:tblW w:w="90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37"/>
        <w:gridCol w:w="1063"/>
        <w:gridCol w:w="1737"/>
        <w:gridCol w:w="1463"/>
        <w:gridCol w:w="1869"/>
        <w:gridCol w:w="1596"/>
      </w:tblGrid>
      <w:tr w14:paraId="01D2F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337" w:type="dxa"/>
          </w:tcPr>
          <w:p w14:paraId="6ACA2FAB">
            <w:pPr>
              <w:spacing w:line="360" w:lineRule="auto"/>
              <w:jc w:val="center"/>
              <w:rPr>
                <w:rFonts w:ascii="宋体" w:hAnsi="宋体" w:eastAsia="宋体" w:cs="宋体"/>
                <w:szCs w:val="21"/>
                <w:highlight w:val="none"/>
              </w:rPr>
            </w:pPr>
          </w:p>
        </w:tc>
        <w:tc>
          <w:tcPr>
            <w:tcW w:w="1063" w:type="dxa"/>
            <w:vAlign w:val="center"/>
          </w:tcPr>
          <w:p w14:paraId="43F2773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737" w:type="dxa"/>
            <w:vAlign w:val="center"/>
          </w:tcPr>
          <w:p w14:paraId="1D8EC643">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采购文件</w:t>
            </w:r>
          </w:p>
          <w:p w14:paraId="26C1A02A">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条目号</w:t>
            </w:r>
          </w:p>
        </w:tc>
        <w:tc>
          <w:tcPr>
            <w:tcW w:w="1463" w:type="dxa"/>
            <w:vAlign w:val="center"/>
          </w:tcPr>
          <w:p w14:paraId="293897A8">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采购文件</w:t>
            </w:r>
          </w:p>
          <w:p w14:paraId="6E79FD5D">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规范要求</w:t>
            </w:r>
          </w:p>
        </w:tc>
        <w:tc>
          <w:tcPr>
            <w:tcW w:w="1869" w:type="dxa"/>
            <w:vAlign w:val="center"/>
          </w:tcPr>
          <w:p w14:paraId="66676B1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投标文件</w:t>
            </w:r>
          </w:p>
          <w:p w14:paraId="5C405814">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对应规范</w:t>
            </w:r>
          </w:p>
        </w:tc>
        <w:tc>
          <w:tcPr>
            <w:tcW w:w="1596" w:type="dxa"/>
            <w:vAlign w:val="center"/>
          </w:tcPr>
          <w:p w14:paraId="721B0592">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说明</w:t>
            </w:r>
          </w:p>
        </w:tc>
      </w:tr>
      <w:tr w14:paraId="1EF65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1337" w:type="dxa"/>
            <w:vMerge w:val="restart"/>
            <w:vAlign w:val="center"/>
          </w:tcPr>
          <w:p w14:paraId="697D4F3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技</w:t>
            </w:r>
          </w:p>
          <w:p w14:paraId="2E02599A">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术</w:t>
            </w:r>
          </w:p>
          <w:p w14:paraId="2CF26A1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规</w:t>
            </w:r>
          </w:p>
          <w:p w14:paraId="4E5EE5F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格</w:t>
            </w:r>
          </w:p>
        </w:tc>
        <w:tc>
          <w:tcPr>
            <w:tcW w:w="1063" w:type="dxa"/>
            <w:vAlign w:val="center"/>
          </w:tcPr>
          <w:p w14:paraId="33337EA7">
            <w:pPr>
              <w:spacing w:line="360" w:lineRule="auto"/>
              <w:ind w:firstLine="420" w:firstLineChars="200"/>
              <w:jc w:val="center"/>
              <w:rPr>
                <w:rFonts w:ascii="宋体" w:hAnsi="宋体" w:eastAsia="宋体" w:cs="宋体"/>
                <w:szCs w:val="21"/>
                <w:highlight w:val="none"/>
              </w:rPr>
            </w:pPr>
          </w:p>
          <w:p w14:paraId="648D9367">
            <w:pPr>
              <w:spacing w:line="360" w:lineRule="auto"/>
              <w:ind w:firstLine="210" w:firstLineChars="100"/>
              <w:rPr>
                <w:rFonts w:ascii="宋体" w:hAnsi="宋体" w:eastAsia="宋体" w:cs="宋体"/>
                <w:szCs w:val="21"/>
                <w:highlight w:val="none"/>
              </w:rPr>
            </w:pPr>
          </w:p>
        </w:tc>
        <w:tc>
          <w:tcPr>
            <w:tcW w:w="1737" w:type="dxa"/>
            <w:vAlign w:val="center"/>
          </w:tcPr>
          <w:p w14:paraId="33B41645">
            <w:pPr>
              <w:spacing w:line="360" w:lineRule="auto"/>
              <w:jc w:val="center"/>
              <w:rPr>
                <w:rFonts w:ascii="宋体" w:hAnsi="宋体" w:eastAsia="宋体" w:cs="宋体"/>
                <w:szCs w:val="21"/>
                <w:highlight w:val="none"/>
              </w:rPr>
            </w:pPr>
          </w:p>
        </w:tc>
        <w:tc>
          <w:tcPr>
            <w:tcW w:w="1463" w:type="dxa"/>
            <w:vAlign w:val="center"/>
          </w:tcPr>
          <w:p w14:paraId="60833229">
            <w:pPr>
              <w:spacing w:line="360" w:lineRule="auto"/>
              <w:jc w:val="center"/>
              <w:rPr>
                <w:rFonts w:ascii="宋体" w:hAnsi="宋体" w:eastAsia="宋体" w:cs="宋体"/>
                <w:szCs w:val="21"/>
                <w:highlight w:val="none"/>
              </w:rPr>
            </w:pPr>
          </w:p>
        </w:tc>
        <w:tc>
          <w:tcPr>
            <w:tcW w:w="1869" w:type="dxa"/>
            <w:vAlign w:val="center"/>
          </w:tcPr>
          <w:p w14:paraId="224A97D7">
            <w:pPr>
              <w:spacing w:line="360" w:lineRule="auto"/>
              <w:jc w:val="center"/>
              <w:rPr>
                <w:rFonts w:ascii="宋体" w:hAnsi="宋体" w:eastAsia="宋体" w:cs="宋体"/>
                <w:szCs w:val="21"/>
                <w:highlight w:val="none"/>
              </w:rPr>
            </w:pPr>
          </w:p>
        </w:tc>
        <w:tc>
          <w:tcPr>
            <w:tcW w:w="1596" w:type="dxa"/>
            <w:vAlign w:val="center"/>
          </w:tcPr>
          <w:p w14:paraId="37CE0EFB">
            <w:pPr>
              <w:spacing w:line="360" w:lineRule="auto"/>
              <w:jc w:val="center"/>
              <w:rPr>
                <w:rFonts w:ascii="宋体" w:hAnsi="宋体" w:eastAsia="宋体" w:cs="宋体"/>
                <w:szCs w:val="21"/>
                <w:highlight w:val="none"/>
              </w:rPr>
            </w:pPr>
          </w:p>
        </w:tc>
      </w:tr>
      <w:tr w14:paraId="52A34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56A91A64">
            <w:pPr>
              <w:spacing w:line="360" w:lineRule="auto"/>
              <w:ind w:firstLine="210" w:firstLineChars="100"/>
              <w:rPr>
                <w:rFonts w:ascii="宋体" w:hAnsi="宋体" w:eastAsia="宋体" w:cs="宋体"/>
                <w:szCs w:val="21"/>
                <w:highlight w:val="none"/>
              </w:rPr>
            </w:pPr>
          </w:p>
        </w:tc>
        <w:tc>
          <w:tcPr>
            <w:tcW w:w="1063" w:type="dxa"/>
            <w:vAlign w:val="center"/>
          </w:tcPr>
          <w:p w14:paraId="0986DF7E">
            <w:pPr>
              <w:spacing w:line="360" w:lineRule="auto"/>
              <w:ind w:firstLine="210" w:firstLineChars="100"/>
              <w:rPr>
                <w:rFonts w:ascii="宋体" w:hAnsi="宋体" w:eastAsia="宋体" w:cs="宋体"/>
                <w:szCs w:val="21"/>
                <w:highlight w:val="none"/>
              </w:rPr>
            </w:pPr>
          </w:p>
        </w:tc>
        <w:tc>
          <w:tcPr>
            <w:tcW w:w="1737" w:type="dxa"/>
            <w:vAlign w:val="center"/>
          </w:tcPr>
          <w:p w14:paraId="13E09396">
            <w:pPr>
              <w:spacing w:line="360" w:lineRule="auto"/>
              <w:jc w:val="center"/>
              <w:rPr>
                <w:rFonts w:ascii="宋体" w:hAnsi="宋体" w:eastAsia="宋体" w:cs="宋体"/>
                <w:szCs w:val="21"/>
                <w:highlight w:val="none"/>
              </w:rPr>
            </w:pPr>
          </w:p>
        </w:tc>
        <w:tc>
          <w:tcPr>
            <w:tcW w:w="1463" w:type="dxa"/>
            <w:vAlign w:val="center"/>
          </w:tcPr>
          <w:p w14:paraId="495783BF">
            <w:pPr>
              <w:spacing w:line="360" w:lineRule="auto"/>
              <w:jc w:val="center"/>
              <w:rPr>
                <w:rFonts w:ascii="宋体" w:hAnsi="宋体" w:eastAsia="宋体" w:cs="宋体"/>
                <w:szCs w:val="21"/>
                <w:highlight w:val="none"/>
              </w:rPr>
            </w:pPr>
          </w:p>
        </w:tc>
        <w:tc>
          <w:tcPr>
            <w:tcW w:w="1869" w:type="dxa"/>
            <w:vAlign w:val="center"/>
          </w:tcPr>
          <w:p w14:paraId="1CC0E652">
            <w:pPr>
              <w:spacing w:line="360" w:lineRule="auto"/>
              <w:jc w:val="center"/>
              <w:rPr>
                <w:rFonts w:ascii="宋体" w:hAnsi="宋体" w:eastAsia="宋体" w:cs="宋体"/>
                <w:szCs w:val="21"/>
                <w:highlight w:val="none"/>
              </w:rPr>
            </w:pPr>
          </w:p>
        </w:tc>
        <w:tc>
          <w:tcPr>
            <w:tcW w:w="1596" w:type="dxa"/>
            <w:vAlign w:val="center"/>
          </w:tcPr>
          <w:p w14:paraId="48BE1189">
            <w:pPr>
              <w:spacing w:line="360" w:lineRule="auto"/>
              <w:jc w:val="center"/>
              <w:rPr>
                <w:rFonts w:ascii="宋体" w:hAnsi="宋体" w:eastAsia="宋体" w:cs="宋体"/>
                <w:szCs w:val="21"/>
                <w:highlight w:val="none"/>
              </w:rPr>
            </w:pPr>
          </w:p>
        </w:tc>
      </w:tr>
      <w:tr w14:paraId="6156C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722DA552">
            <w:pPr>
              <w:spacing w:line="360" w:lineRule="auto"/>
              <w:jc w:val="center"/>
              <w:rPr>
                <w:rFonts w:ascii="宋体" w:hAnsi="宋体" w:eastAsia="宋体" w:cs="宋体"/>
                <w:szCs w:val="21"/>
                <w:highlight w:val="none"/>
              </w:rPr>
            </w:pPr>
          </w:p>
        </w:tc>
        <w:tc>
          <w:tcPr>
            <w:tcW w:w="1063" w:type="dxa"/>
            <w:vAlign w:val="center"/>
          </w:tcPr>
          <w:p w14:paraId="632DDD76">
            <w:pPr>
              <w:spacing w:line="360" w:lineRule="auto"/>
              <w:jc w:val="center"/>
              <w:rPr>
                <w:rFonts w:ascii="宋体" w:hAnsi="宋体" w:eastAsia="宋体" w:cs="宋体"/>
                <w:szCs w:val="21"/>
                <w:highlight w:val="none"/>
              </w:rPr>
            </w:pPr>
          </w:p>
        </w:tc>
        <w:tc>
          <w:tcPr>
            <w:tcW w:w="1737" w:type="dxa"/>
            <w:vAlign w:val="center"/>
          </w:tcPr>
          <w:p w14:paraId="486DB295">
            <w:pPr>
              <w:spacing w:line="360" w:lineRule="auto"/>
              <w:jc w:val="center"/>
              <w:rPr>
                <w:rFonts w:ascii="宋体" w:hAnsi="宋体" w:eastAsia="宋体" w:cs="宋体"/>
                <w:szCs w:val="21"/>
                <w:highlight w:val="none"/>
              </w:rPr>
            </w:pPr>
          </w:p>
        </w:tc>
        <w:tc>
          <w:tcPr>
            <w:tcW w:w="1463" w:type="dxa"/>
            <w:vAlign w:val="center"/>
          </w:tcPr>
          <w:p w14:paraId="52B70487">
            <w:pPr>
              <w:spacing w:line="360" w:lineRule="auto"/>
              <w:jc w:val="center"/>
              <w:rPr>
                <w:rFonts w:ascii="宋体" w:hAnsi="宋体" w:eastAsia="宋体" w:cs="宋体"/>
                <w:szCs w:val="21"/>
                <w:highlight w:val="none"/>
              </w:rPr>
            </w:pPr>
          </w:p>
        </w:tc>
        <w:tc>
          <w:tcPr>
            <w:tcW w:w="1869" w:type="dxa"/>
            <w:vAlign w:val="center"/>
          </w:tcPr>
          <w:p w14:paraId="1B16E8E3">
            <w:pPr>
              <w:spacing w:line="360" w:lineRule="auto"/>
              <w:jc w:val="center"/>
              <w:rPr>
                <w:rFonts w:ascii="宋体" w:hAnsi="宋体" w:eastAsia="宋体" w:cs="宋体"/>
                <w:szCs w:val="21"/>
                <w:highlight w:val="none"/>
              </w:rPr>
            </w:pPr>
          </w:p>
        </w:tc>
        <w:tc>
          <w:tcPr>
            <w:tcW w:w="1596" w:type="dxa"/>
            <w:vAlign w:val="center"/>
          </w:tcPr>
          <w:p w14:paraId="03C6EDE4">
            <w:pPr>
              <w:spacing w:line="360" w:lineRule="auto"/>
              <w:jc w:val="center"/>
              <w:rPr>
                <w:rFonts w:ascii="宋体" w:hAnsi="宋体" w:eastAsia="宋体" w:cs="宋体"/>
                <w:szCs w:val="21"/>
                <w:highlight w:val="none"/>
              </w:rPr>
            </w:pPr>
          </w:p>
        </w:tc>
      </w:tr>
      <w:tr w14:paraId="79213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63A54C6F">
            <w:pPr>
              <w:spacing w:line="360" w:lineRule="auto"/>
              <w:jc w:val="center"/>
              <w:rPr>
                <w:rFonts w:ascii="宋体" w:hAnsi="宋体" w:eastAsia="宋体" w:cs="宋体"/>
                <w:szCs w:val="21"/>
                <w:highlight w:val="none"/>
              </w:rPr>
            </w:pPr>
          </w:p>
        </w:tc>
        <w:tc>
          <w:tcPr>
            <w:tcW w:w="1063" w:type="dxa"/>
            <w:vAlign w:val="center"/>
          </w:tcPr>
          <w:p w14:paraId="7AE000B0">
            <w:pPr>
              <w:spacing w:line="360" w:lineRule="auto"/>
              <w:jc w:val="center"/>
              <w:rPr>
                <w:rFonts w:ascii="宋体" w:hAnsi="宋体" w:eastAsia="宋体" w:cs="宋体"/>
                <w:szCs w:val="21"/>
                <w:highlight w:val="none"/>
              </w:rPr>
            </w:pPr>
          </w:p>
        </w:tc>
        <w:tc>
          <w:tcPr>
            <w:tcW w:w="1737" w:type="dxa"/>
            <w:vAlign w:val="center"/>
          </w:tcPr>
          <w:p w14:paraId="6F940590">
            <w:pPr>
              <w:spacing w:line="360" w:lineRule="auto"/>
              <w:jc w:val="center"/>
              <w:rPr>
                <w:rFonts w:ascii="宋体" w:hAnsi="宋体" w:eastAsia="宋体" w:cs="宋体"/>
                <w:szCs w:val="21"/>
                <w:highlight w:val="none"/>
              </w:rPr>
            </w:pPr>
          </w:p>
        </w:tc>
        <w:tc>
          <w:tcPr>
            <w:tcW w:w="1463" w:type="dxa"/>
            <w:vAlign w:val="center"/>
          </w:tcPr>
          <w:p w14:paraId="161612ED">
            <w:pPr>
              <w:spacing w:line="360" w:lineRule="auto"/>
              <w:jc w:val="center"/>
              <w:rPr>
                <w:rFonts w:ascii="宋体" w:hAnsi="宋体" w:eastAsia="宋体" w:cs="宋体"/>
                <w:szCs w:val="21"/>
                <w:highlight w:val="none"/>
              </w:rPr>
            </w:pPr>
          </w:p>
        </w:tc>
        <w:tc>
          <w:tcPr>
            <w:tcW w:w="1869" w:type="dxa"/>
            <w:vAlign w:val="center"/>
          </w:tcPr>
          <w:p w14:paraId="2534C886">
            <w:pPr>
              <w:spacing w:line="360" w:lineRule="auto"/>
              <w:jc w:val="center"/>
              <w:rPr>
                <w:rFonts w:ascii="宋体" w:hAnsi="宋体" w:eastAsia="宋体" w:cs="宋体"/>
                <w:szCs w:val="21"/>
                <w:highlight w:val="none"/>
              </w:rPr>
            </w:pPr>
          </w:p>
        </w:tc>
        <w:tc>
          <w:tcPr>
            <w:tcW w:w="1596" w:type="dxa"/>
            <w:vAlign w:val="center"/>
          </w:tcPr>
          <w:p w14:paraId="52EE2EB0">
            <w:pPr>
              <w:spacing w:line="360" w:lineRule="auto"/>
              <w:jc w:val="center"/>
              <w:rPr>
                <w:rFonts w:ascii="宋体" w:hAnsi="宋体" w:eastAsia="宋体" w:cs="宋体"/>
                <w:szCs w:val="21"/>
                <w:highlight w:val="none"/>
              </w:rPr>
            </w:pPr>
          </w:p>
        </w:tc>
      </w:tr>
      <w:tr w14:paraId="2A20F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69631AD8">
            <w:pPr>
              <w:spacing w:line="360" w:lineRule="auto"/>
              <w:jc w:val="center"/>
              <w:rPr>
                <w:rFonts w:ascii="宋体" w:hAnsi="宋体" w:eastAsia="宋体" w:cs="宋体"/>
                <w:szCs w:val="21"/>
                <w:highlight w:val="none"/>
              </w:rPr>
            </w:pPr>
          </w:p>
        </w:tc>
        <w:tc>
          <w:tcPr>
            <w:tcW w:w="1063" w:type="dxa"/>
            <w:vAlign w:val="center"/>
          </w:tcPr>
          <w:p w14:paraId="576E1B01">
            <w:pPr>
              <w:spacing w:line="360" w:lineRule="auto"/>
              <w:jc w:val="center"/>
              <w:rPr>
                <w:rFonts w:ascii="宋体" w:hAnsi="宋体" w:eastAsia="宋体" w:cs="宋体"/>
                <w:szCs w:val="21"/>
                <w:highlight w:val="none"/>
              </w:rPr>
            </w:pPr>
          </w:p>
        </w:tc>
        <w:tc>
          <w:tcPr>
            <w:tcW w:w="1737" w:type="dxa"/>
            <w:vAlign w:val="center"/>
          </w:tcPr>
          <w:p w14:paraId="2E36D019">
            <w:pPr>
              <w:spacing w:line="360" w:lineRule="auto"/>
              <w:jc w:val="center"/>
              <w:rPr>
                <w:rFonts w:ascii="宋体" w:hAnsi="宋体" w:eastAsia="宋体" w:cs="宋体"/>
                <w:szCs w:val="21"/>
                <w:highlight w:val="none"/>
              </w:rPr>
            </w:pPr>
          </w:p>
        </w:tc>
        <w:tc>
          <w:tcPr>
            <w:tcW w:w="1463" w:type="dxa"/>
            <w:vAlign w:val="center"/>
          </w:tcPr>
          <w:p w14:paraId="76F001AC">
            <w:pPr>
              <w:spacing w:line="360" w:lineRule="auto"/>
              <w:jc w:val="center"/>
              <w:rPr>
                <w:rFonts w:ascii="宋体" w:hAnsi="宋体" w:eastAsia="宋体" w:cs="宋体"/>
                <w:szCs w:val="21"/>
                <w:highlight w:val="none"/>
              </w:rPr>
            </w:pPr>
          </w:p>
        </w:tc>
        <w:tc>
          <w:tcPr>
            <w:tcW w:w="1869" w:type="dxa"/>
            <w:vAlign w:val="center"/>
          </w:tcPr>
          <w:p w14:paraId="28D97C25">
            <w:pPr>
              <w:spacing w:line="360" w:lineRule="auto"/>
              <w:jc w:val="center"/>
              <w:rPr>
                <w:rFonts w:ascii="宋体" w:hAnsi="宋体" w:eastAsia="宋体" w:cs="宋体"/>
                <w:szCs w:val="21"/>
                <w:highlight w:val="none"/>
              </w:rPr>
            </w:pPr>
          </w:p>
        </w:tc>
        <w:tc>
          <w:tcPr>
            <w:tcW w:w="1596" w:type="dxa"/>
            <w:vAlign w:val="center"/>
          </w:tcPr>
          <w:p w14:paraId="05E66E87">
            <w:pPr>
              <w:spacing w:line="360" w:lineRule="auto"/>
              <w:jc w:val="center"/>
              <w:rPr>
                <w:rFonts w:ascii="宋体" w:hAnsi="宋体" w:eastAsia="宋体" w:cs="宋体"/>
                <w:szCs w:val="21"/>
                <w:highlight w:val="none"/>
              </w:rPr>
            </w:pPr>
          </w:p>
        </w:tc>
      </w:tr>
      <w:tr w14:paraId="0A58A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7" w:hRule="atLeast"/>
          <w:jc w:val="center"/>
        </w:trPr>
        <w:tc>
          <w:tcPr>
            <w:tcW w:w="1337" w:type="dxa"/>
            <w:vMerge w:val="restart"/>
            <w:vAlign w:val="center"/>
          </w:tcPr>
          <w:p w14:paraId="0F848C56">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商</w:t>
            </w:r>
          </w:p>
          <w:p w14:paraId="0AFD3DC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务</w:t>
            </w:r>
          </w:p>
          <w:p w14:paraId="2AFEA348">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条</w:t>
            </w:r>
          </w:p>
          <w:p w14:paraId="437EFFFB">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款</w:t>
            </w:r>
          </w:p>
        </w:tc>
        <w:tc>
          <w:tcPr>
            <w:tcW w:w="1063" w:type="dxa"/>
            <w:vAlign w:val="center"/>
          </w:tcPr>
          <w:p w14:paraId="596643AC">
            <w:pPr>
              <w:spacing w:line="360" w:lineRule="auto"/>
              <w:jc w:val="center"/>
              <w:rPr>
                <w:rFonts w:ascii="宋体" w:hAnsi="宋体" w:eastAsia="宋体" w:cs="宋体"/>
                <w:szCs w:val="21"/>
                <w:highlight w:val="none"/>
              </w:rPr>
            </w:pPr>
          </w:p>
          <w:p w14:paraId="017082F0">
            <w:pPr>
              <w:spacing w:line="360" w:lineRule="auto"/>
              <w:jc w:val="center"/>
              <w:rPr>
                <w:rFonts w:ascii="宋体" w:hAnsi="宋体" w:eastAsia="宋体" w:cs="宋体"/>
                <w:szCs w:val="21"/>
                <w:highlight w:val="none"/>
              </w:rPr>
            </w:pPr>
          </w:p>
        </w:tc>
        <w:tc>
          <w:tcPr>
            <w:tcW w:w="1737" w:type="dxa"/>
            <w:vAlign w:val="center"/>
          </w:tcPr>
          <w:p w14:paraId="690EC985">
            <w:pPr>
              <w:spacing w:line="360" w:lineRule="auto"/>
              <w:jc w:val="center"/>
              <w:rPr>
                <w:rFonts w:ascii="宋体" w:hAnsi="宋体" w:eastAsia="宋体" w:cs="宋体"/>
                <w:szCs w:val="21"/>
                <w:highlight w:val="none"/>
              </w:rPr>
            </w:pPr>
          </w:p>
        </w:tc>
        <w:tc>
          <w:tcPr>
            <w:tcW w:w="1463" w:type="dxa"/>
            <w:vAlign w:val="center"/>
          </w:tcPr>
          <w:p w14:paraId="222778BE">
            <w:pPr>
              <w:spacing w:line="360" w:lineRule="auto"/>
              <w:jc w:val="center"/>
              <w:rPr>
                <w:rFonts w:ascii="宋体" w:hAnsi="宋体" w:eastAsia="宋体" w:cs="宋体"/>
                <w:szCs w:val="21"/>
                <w:highlight w:val="none"/>
              </w:rPr>
            </w:pPr>
          </w:p>
        </w:tc>
        <w:tc>
          <w:tcPr>
            <w:tcW w:w="1869" w:type="dxa"/>
            <w:vAlign w:val="center"/>
          </w:tcPr>
          <w:p w14:paraId="0A8D886F">
            <w:pPr>
              <w:spacing w:line="360" w:lineRule="auto"/>
              <w:jc w:val="center"/>
              <w:rPr>
                <w:rFonts w:ascii="宋体" w:hAnsi="宋体" w:eastAsia="宋体" w:cs="宋体"/>
                <w:szCs w:val="21"/>
                <w:highlight w:val="none"/>
              </w:rPr>
            </w:pPr>
          </w:p>
        </w:tc>
        <w:tc>
          <w:tcPr>
            <w:tcW w:w="1596" w:type="dxa"/>
            <w:vAlign w:val="center"/>
          </w:tcPr>
          <w:p w14:paraId="2108A79A">
            <w:pPr>
              <w:spacing w:line="360" w:lineRule="auto"/>
              <w:jc w:val="center"/>
              <w:rPr>
                <w:rFonts w:ascii="宋体" w:hAnsi="宋体" w:eastAsia="宋体" w:cs="宋体"/>
                <w:szCs w:val="21"/>
                <w:highlight w:val="none"/>
              </w:rPr>
            </w:pPr>
          </w:p>
        </w:tc>
      </w:tr>
      <w:tr w14:paraId="6E93A8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621B09DD">
            <w:pPr>
              <w:spacing w:line="360" w:lineRule="auto"/>
              <w:jc w:val="center"/>
              <w:rPr>
                <w:rFonts w:ascii="宋体" w:hAnsi="宋体" w:eastAsia="宋体" w:cs="宋体"/>
                <w:szCs w:val="21"/>
                <w:highlight w:val="none"/>
              </w:rPr>
            </w:pPr>
          </w:p>
        </w:tc>
        <w:tc>
          <w:tcPr>
            <w:tcW w:w="1063" w:type="dxa"/>
            <w:vAlign w:val="center"/>
          </w:tcPr>
          <w:p w14:paraId="0253B449">
            <w:pPr>
              <w:spacing w:line="360" w:lineRule="auto"/>
              <w:jc w:val="center"/>
              <w:rPr>
                <w:rFonts w:ascii="宋体" w:hAnsi="宋体" w:eastAsia="宋体" w:cs="宋体"/>
                <w:szCs w:val="21"/>
                <w:highlight w:val="none"/>
              </w:rPr>
            </w:pPr>
          </w:p>
        </w:tc>
        <w:tc>
          <w:tcPr>
            <w:tcW w:w="1737" w:type="dxa"/>
            <w:vAlign w:val="center"/>
          </w:tcPr>
          <w:p w14:paraId="712A9413">
            <w:pPr>
              <w:spacing w:line="360" w:lineRule="auto"/>
              <w:jc w:val="center"/>
              <w:rPr>
                <w:rFonts w:ascii="宋体" w:hAnsi="宋体" w:eastAsia="宋体" w:cs="宋体"/>
                <w:szCs w:val="21"/>
                <w:highlight w:val="none"/>
              </w:rPr>
            </w:pPr>
          </w:p>
        </w:tc>
        <w:tc>
          <w:tcPr>
            <w:tcW w:w="1463" w:type="dxa"/>
            <w:vAlign w:val="center"/>
          </w:tcPr>
          <w:p w14:paraId="7213DAEF">
            <w:pPr>
              <w:spacing w:line="360" w:lineRule="auto"/>
              <w:jc w:val="center"/>
              <w:rPr>
                <w:rFonts w:ascii="宋体" w:hAnsi="宋体" w:eastAsia="宋体" w:cs="宋体"/>
                <w:szCs w:val="21"/>
                <w:highlight w:val="none"/>
              </w:rPr>
            </w:pPr>
          </w:p>
        </w:tc>
        <w:tc>
          <w:tcPr>
            <w:tcW w:w="1869" w:type="dxa"/>
            <w:vAlign w:val="center"/>
          </w:tcPr>
          <w:p w14:paraId="747DD989">
            <w:pPr>
              <w:spacing w:line="360" w:lineRule="auto"/>
              <w:jc w:val="center"/>
              <w:rPr>
                <w:rFonts w:ascii="宋体" w:hAnsi="宋体" w:eastAsia="宋体" w:cs="宋体"/>
                <w:szCs w:val="21"/>
                <w:highlight w:val="none"/>
              </w:rPr>
            </w:pPr>
          </w:p>
        </w:tc>
        <w:tc>
          <w:tcPr>
            <w:tcW w:w="1596" w:type="dxa"/>
            <w:vAlign w:val="center"/>
          </w:tcPr>
          <w:p w14:paraId="4536CEFA">
            <w:pPr>
              <w:spacing w:line="360" w:lineRule="auto"/>
              <w:jc w:val="center"/>
              <w:rPr>
                <w:rFonts w:ascii="宋体" w:hAnsi="宋体" w:eastAsia="宋体" w:cs="宋体"/>
                <w:szCs w:val="21"/>
                <w:highlight w:val="none"/>
              </w:rPr>
            </w:pPr>
          </w:p>
        </w:tc>
      </w:tr>
      <w:tr w14:paraId="64A14E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6F78834D">
            <w:pPr>
              <w:spacing w:line="360" w:lineRule="auto"/>
              <w:jc w:val="center"/>
              <w:rPr>
                <w:rFonts w:ascii="宋体" w:hAnsi="宋体" w:eastAsia="宋体" w:cs="宋体"/>
                <w:szCs w:val="21"/>
                <w:highlight w:val="none"/>
              </w:rPr>
            </w:pPr>
          </w:p>
        </w:tc>
        <w:tc>
          <w:tcPr>
            <w:tcW w:w="1063" w:type="dxa"/>
            <w:vAlign w:val="center"/>
          </w:tcPr>
          <w:p w14:paraId="03D335A0">
            <w:pPr>
              <w:spacing w:line="360" w:lineRule="auto"/>
              <w:jc w:val="center"/>
              <w:rPr>
                <w:rFonts w:ascii="宋体" w:hAnsi="宋体" w:eastAsia="宋体" w:cs="宋体"/>
                <w:szCs w:val="21"/>
                <w:highlight w:val="none"/>
              </w:rPr>
            </w:pPr>
          </w:p>
        </w:tc>
        <w:tc>
          <w:tcPr>
            <w:tcW w:w="1737" w:type="dxa"/>
            <w:vAlign w:val="center"/>
          </w:tcPr>
          <w:p w14:paraId="15B65784">
            <w:pPr>
              <w:spacing w:line="360" w:lineRule="auto"/>
              <w:jc w:val="center"/>
              <w:rPr>
                <w:rFonts w:ascii="宋体" w:hAnsi="宋体" w:eastAsia="宋体" w:cs="宋体"/>
                <w:szCs w:val="21"/>
                <w:highlight w:val="none"/>
              </w:rPr>
            </w:pPr>
          </w:p>
        </w:tc>
        <w:tc>
          <w:tcPr>
            <w:tcW w:w="1463" w:type="dxa"/>
            <w:vAlign w:val="center"/>
          </w:tcPr>
          <w:p w14:paraId="59A2D75C">
            <w:pPr>
              <w:spacing w:line="360" w:lineRule="auto"/>
              <w:jc w:val="center"/>
              <w:rPr>
                <w:rFonts w:ascii="宋体" w:hAnsi="宋体" w:eastAsia="宋体" w:cs="宋体"/>
                <w:szCs w:val="21"/>
                <w:highlight w:val="none"/>
              </w:rPr>
            </w:pPr>
          </w:p>
        </w:tc>
        <w:tc>
          <w:tcPr>
            <w:tcW w:w="1869" w:type="dxa"/>
            <w:vAlign w:val="center"/>
          </w:tcPr>
          <w:p w14:paraId="6500B4F7">
            <w:pPr>
              <w:spacing w:line="360" w:lineRule="auto"/>
              <w:jc w:val="center"/>
              <w:rPr>
                <w:rFonts w:ascii="宋体" w:hAnsi="宋体" w:eastAsia="宋体" w:cs="宋体"/>
                <w:szCs w:val="21"/>
                <w:highlight w:val="none"/>
              </w:rPr>
            </w:pPr>
          </w:p>
        </w:tc>
        <w:tc>
          <w:tcPr>
            <w:tcW w:w="1596" w:type="dxa"/>
            <w:vAlign w:val="center"/>
          </w:tcPr>
          <w:p w14:paraId="36BDCDA8">
            <w:pPr>
              <w:spacing w:line="360" w:lineRule="auto"/>
              <w:jc w:val="center"/>
              <w:rPr>
                <w:rFonts w:ascii="宋体" w:hAnsi="宋体" w:eastAsia="宋体" w:cs="宋体"/>
                <w:szCs w:val="21"/>
                <w:highlight w:val="none"/>
              </w:rPr>
            </w:pPr>
          </w:p>
        </w:tc>
      </w:tr>
      <w:tr w14:paraId="642B3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1337" w:type="dxa"/>
            <w:vMerge w:val="continue"/>
          </w:tcPr>
          <w:p w14:paraId="390E57EC">
            <w:pPr>
              <w:spacing w:line="360" w:lineRule="auto"/>
              <w:jc w:val="center"/>
              <w:rPr>
                <w:rFonts w:ascii="宋体" w:hAnsi="宋体" w:eastAsia="宋体" w:cs="宋体"/>
                <w:szCs w:val="21"/>
                <w:highlight w:val="none"/>
              </w:rPr>
            </w:pPr>
          </w:p>
        </w:tc>
        <w:tc>
          <w:tcPr>
            <w:tcW w:w="1063" w:type="dxa"/>
            <w:vAlign w:val="center"/>
          </w:tcPr>
          <w:p w14:paraId="1E9A7946">
            <w:pPr>
              <w:spacing w:line="360" w:lineRule="auto"/>
              <w:jc w:val="center"/>
              <w:rPr>
                <w:rFonts w:ascii="宋体" w:hAnsi="宋体" w:eastAsia="宋体" w:cs="宋体"/>
                <w:szCs w:val="21"/>
                <w:highlight w:val="none"/>
              </w:rPr>
            </w:pPr>
          </w:p>
        </w:tc>
        <w:tc>
          <w:tcPr>
            <w:tcW w:w="1737" w:type="dxa"/>
            <w:vAlign w:val="center"/>
          </w:tcPr>
          <w:p w14:paraId="145C2D17">
            <w:pPr>
              <w:spacing w:line="360" w:lineRule="auto"/>
              <w:jc w:val="center"/>
              <w:rPr>
                <w:rFonts w:ascii="宋体" w:hAnsi="宋体" w:eastAsia="宋体" w:cs="宋体"/>
                <w:szCs w:val="21"/>
                <w:highlight w:val="none"/>
              </w:rPr>
            </w:pPr>
          </w:p>
        </w:tc>
        <w:tc>
          <w:tcPr>
            <w:tcW w:w="1463" w:type="dxa"/>
            <w:vAlign w:val="center"/>
          </w:tcPr>
          <w:p w14:paraId="026F1F52">
            <w:pPr>
              <w:spacing w:line="360" w:lineRule="auto"/>
              <w:jc w:val="center"/>
              <w:rPr>
                <w:rFonts w:ascii="宋体" w:hAnsi="宋体" w:eastAsia="宋体" w:cs="宋体"/>
                <w:szCs w:val="21"/>
                <w:highlight w:val="none"/>
              </w:rPr>
            </w:pPr>
          </w:p>
        </w:tc>
        <w:tc>
          <w:tcPr>
            <w:tcW w:w="1869" w:type="dxa"/>
            <w:vAlign w:val="center"/>
          </w:tcPr>
          <w:p w14:paraId="3F55DF9E">
            <w:pPr>
              <w:spacing w:line="360" w:lineRule="auto"/>
              <w:jc w:val="center"/>
              <w:rPr>
                <w:rFonts w:ascii="宋体" w:hAnsi="宋体" w:eastAsia="宋体" w:cs="宋体"/>
                <w:szCs w:val="21"/>
                <w:highlight w:val="none"/>
              </w:rPr>
            </w:pPr>
          </w:p>
        </w:tc>
        <w:tc>
          <w:tcPr>
            <w:tcW w:w="1596" w:type="dxa"/>
            <w:vAlign w:val="center"/>
          </w:tcPr>
          <w:p w14:paraId="6EE18A97">
            <w:pPr>
              <w:spacing w:line="360" w:lineRule="auto"/>
              <w:jc w:val="center"/>
              <w:rPr>
                <w:rFonts w:ascii="宋体" w:hAnsi="宋体" w:eastAsia="宋体" w:cs="宋体"/>
                <w:szCs w:val="21"/>
                <w:highlight w:val="none"/>
              </w:rPr>
            </w:pPr>
          </w:p>
        </w:tc>
      </w:tr>
    </w:tbl>
    <w:p w14:paraId="6855532F">
      <w:pPr>
        <w:spacing w:line="360" w:lineRule="auto"/>
        <w:ind w:firstLine="210" w:firstLineChars="100"/>
        <w:rPr>
          <w:rFonts w:ascii="宋体" w:hAnsi="宋体" w:eastAsia="宋体" w:cs="宋体"/>
          <w:szCs w:val="21"/>
          <w:highlight w:val="none"/>
          <w:u w:val="single"/>
        </w:rPr>
      </w:pPr>
      <w:r>
        <w:rPr>
          <w:rFonts w:hint="eastAsia" w:ascii="宋体" w:hAnsi="宋体" w:eastAsia="宋体" w:cs="宋体"/>
          <w:szCs w:val="21"/>
          <w:highlight w:val="none"/>
        </w:rPr>
        <w:t>说明：没有填写此表视为完全响应采购文件要求；</w:t>
      </w:r>
    </w:p>
    <w:p w14:paraId="56758C40">
      <w:pPr>
        <w:spacing w:line="360" w:lineRule="auto"/>
        <w:rPr>
          <w:rFonts w:ascii="宋体" w:hAnsi="宋体" w:eastAsia="宋体" w:cs="宋体"/>
          <w:sz w:val="22"/>
          <w:szCs w:val="22"/>
          <w:highlight w:val="none"/>
        </w:rPr>
      </w:pPr>
    </w:p>
    <w:p w14:paraId="7F3E06BD">
      <w:pPr>
        <w:pStyle w:val="2"/>
        <w:spacing w:line="360" w:lineRule="auto"/>
        <w:ind w:firstLine="200"/>
        <w:rPr>
          <w:rFonts w:ascii="宋体" w:hAnsi="宋体" w:eastAsia="宋体" w:cs="宋体"/>
          <w:highlight w:val="none"/>
        </w:rPr>
      </w:pPr>
    </w:p>
    <w:p w14:paraId="4CE1F662">
      <w:pPr>
        <w:spacing w:line="360" w:lineRule="auto"/>
        <w:ind w:right="-11" w:firstLine="210" w:firstLineChars="100"/>
        <w:rPr>
          <w:rFonts w:ascii="宋体" w:hAnsi="宋体" w:eastAsia="宋体" w:cs="宋体"/>
          <w:szCs w:val="21"/>
          <w:highlight w:val="none"/>
        </w:rPr>
      </w:pPr>
      <w:r>
        <w:rPr>
          <w:rFonts w:hint="eastAsia" w:ascii="宋体" w:hAnsi="宋体" w:eastAsia="宋体" w:cs="宋体"/>
          <w:szCs w:val="21"/>
          <w:highlight w:val="none"/>
        </w:rPr>
        <w:t>投标供应商全称（公章）：</w:t>
      </w:r>
    </w:p>
    <w:p w14:paraId="0F8A2A55">
      <w:pPr>
        <w:spacing w:line="360" w:lineRule="auto"/>
        <w:ind w:right="-11" w:firstLine="210" w:firstLineChars="1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0281C245">
      <w:pPr>
        <w:spacing w:line="360" w:lineRule="auto"/>
        <w:ind w:right="-11" w:firstLine="210" w:firstLineChars="100"/>
        <w:rPr>
          <w:rFonts w:ascii="宋体" w:hAnsi="宋体" w:eastAsia="宋体" w:cs="宋体"/>
          <w:b/>
          <w:bCs/>
          <w:szCs w:val="21"/>
          <w:highlight w:val="none"/>
        </w:rPr>
        <w:sectPr>
          <w:pgSz w:w="11906" w:h="16838"/>
          <w:pgMar w:top="1440" w:right="1134" w:bottom="1440" w:left="1134" w:header="851" w:footer="720" w:gutter="0"/>
          <w:cols w:space="720" w:num="1"/>
          <w:docGrid w:linePitch="312" w:charSpace="0"/>
        </w:sectPr>
      </w:pPr>
      <w:r>
        <w:rPr>
          <w:rFonts w:hint="eastAsia" w:ascii="宋体" w:hAnsi="宋体" w:eastAsia="宋体" w:cs="宋体"/>
          <w:szCs w:val="21"/>
          <w:highlight w:val="none"/>
        </w:rPr>
        <w:t xml:space="preserve">日           期： </w:t>
      </w:r>
    </w:p>
    <w:p w14:paraId="2623079D">
      <w:pPr>
        <w:spacing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诚信投标承诺书</w:t>
      </w:r>
    </w:p>
    <w:p w14:paraId="74164D89">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本企业郑重承诺：</w:t>
      </w:r>
    </w:p>
    <w:p w14:paraId="1BBA3A1E">
      <w:pPr>
        <w:spacing w:line="360" w:lineRule="auto"/>
        <w:ind w:firstLine="440" w:firstLineChars="200"/>
        <w:jc w:val="left"/>
        <w:rPr>
          <w:rFonts w:ascii="宋体" w:hAnsi="宋体" w:eastAsia="宋体" w:cs="宋体"/>
          <w:sz w:val="22"/>
          <w:szCs w:val="22"/>
          <w:highlight w:val="none"/>
        </w:rPr>
      </w:pPr>
      <w:r>
        <w:rPr>
          <w:rFonts w:hint="eastAsia" w:ascii="宋体" w:hAnsi="宋体" w:eastAsia="宋体" w:cs="宋体"/>
          <w:sz w:val="22"/>
          <w:szCs w:val="22"/>
          <w:highlight w:val="none"/>
        </w:rPr>
        <w:t>为了积极配合贵公司组织的</w:t>
      </w:r>
      <w:r>
        <w:rPr>
          <w:rFonts w:hint="eastAsia" w:ascii="宋体" w:hAnsi="宋体" w:eastAsia="宋体" w:cs="宋体"/>
          <w:sz w:val="22"/>
          <w:szCs w:val="22"/>
          <w:highlight w:val="none"/>
          <w:u w:val="single"/>
        </w:rPr>
        <w:t xml:space="preserve">           （项目名称） </w:t>
      </w:r>
      <w:r>
        <w:rPr>
          <w:rFonts w:hint="eastAsia" w:ascii="宋体" w:hAnsi="宋体" w:eastAsia="宋体" w:cs="宋体"/>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4864923F">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1、自觉遵守国家法律法规及有关廉政建设制度。</w:t>
      </w:r>
    </w:p>
    <w:p w14:paraId="6911C7F4">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2、主动了解采购人招投标纪律，积极配合采购人执行招投标廉政建设的有关规定。</w:t>
      </w:r>
    </w:p>
    <w:p w14:paraId="20B836B0">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3、不使用不正当手段妨碍、诋毁、排挤其它投标供应商或串通投标。</w:t>
      </w:r>
    </w:p>
    <w:p w14:paraId="2DD3FF88">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4、 按照本采购文件规定的方式进行投标， 不隐瞒本单位投标资质的真实情况， 投标资质符合规定，投标文件中所提供的资料全部真实、合法。</w:t>
      </w:r>
    </w:p>
    <w:p w14:paraId="3F0AE83F">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503A256">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6、不向采购人及个人购置或提供通讯工具、交通工具和高档办公用品等。</w:t>
      </w:r>
    </w:p>
    <w:p w14:paraId="4482AD11">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7、不向采购人涉及招标的人员的配偶、子女分包此次招标项目。</w:t>
      </w:r>
    </w:p>
    <w:p w14:paraId="0D9FC8A4">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8、不向采购人及个人支付好处费、介绍费。</w:t>
      </w:r>
    </w:p>
    <w:p w14:paraId="26A50CB2">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9、一旦发现相关人员在招标过程中的索要财物等不廉洁行为，坚决予以抵制，并及时向有关纪检监察部门举报。</w:t>
      </w:r>
    </w:p>
    <w:p w14:paraId="5928046C">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10、我单位保证在投标过程中无弄虚作假，提供资料均真实有效；</w:t>
      </w:r>
    </w:p>
    <w:p w14:paraId="5E5F7A10">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11、我单位在参加政府采购活动前3年内在经营活动中没有重大违法记录；</w:t>
      </w:r>
    </w:p>
    <w:p w14:paraId="55320C3D">
      <w:pPr>
        <w:spacing w:line="360" w:lineRule="auto"/>
        <w:ind w:firstLine="420"/>
        <w:jc w:val="left"/>
        <w:rPr>
          <w:rFonts w:ascii="宋体" w:hAnsi="宋体" w:eastAsia="宋体" w:cs="宋体"/>
          <w:sz w:val="22"/>
          <w:szCs w:val="22"/>
          <w:highlight w:val="none"/>
        </w:rPr>
      </w:pPr>
      <w:r>
        <w:rPr>
          <w:rFonts w:hint="eastAsia" w:ascii="宋体" w:hAnsi="宋体" w:eastAsia="宋体" w:cs="宋体"/>
          <w:sz w:val="22"/>
          <w:szCs w:val="22"/>
          <w:highlight w:val="none"/>
        </w:rPr>
        <w:t>12、若违反上述承诺或被发现不符合以上情况，将被取消投标资格（或中标资格），已经签订合同的，终止合同，承担违约赔偿责任；无条件接受有关监管单位的任何处罚。</w:t>
      </w:r>
    </w:p>
    <w:p w14:paraId="7B72545F">
      <w:pPr>
        <w:spacing w:line="360" w:lineRule="auto"/>
        <w:jc w:val="left"/>
        <w:rPr>
          <w:rFonts w:ascii="宋体" w:hAnsi="宋体" w:eastAsia="宋体" w:cs="宋体"/>
          <w:sz w:val="22"/>
          <w:szCs w:val="22"/>
          <w:highlight w:val="none"/>
        </w:rPr>
      </w:pPr>
    </w:p>
    <w:p w14:paraId="53FD27B9">
      <w:pPr>
        <w:spacing w:line="360" w:lineRule="auto"/>
        <w:jc w:val="left"/>
        <w:rPr>
          <w:rFonts w:ascii="宋体" w:hAnsi="宋体" w:eastAsia="宋体" w:cs="宋体"/>
          <w:sz w:val="22"/>
          <w:szCs w:val="22"/>
          <w:highlight w:val="none"/>
        </w:rPr>
      </w:pPr>
    </w:p>
    <w:p w14:paraId="545B319A">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投标供应商全称（盖章）：</w:t>
      </w:r>
    </w:p>
    <w:p w14:paraId="2E243943">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382D3E7A">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日 期：</w:t>
      </w:r>
    </w:p>
    <w:p w14:paraId="407FBD1F">
      <w:pPr>
        <w:pStyle w:val="38"/>
        <w:spacing w:line="360" w:lineRule="auto"/>
        <w:rPr>
          <w:rFonts w:ascii="宋体" w:hAnsi="宋体" w:cs="宋体"/>
          <w:highlight w:val="none"/>
        </w:rPr>
      </w:pPr>
    </w:p>
    <w:p w14:paraId="2445D32E">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注：</w:t>
      </w:r>
      <w:r>
        <w:rPr>
          <w:rFonts w:hint="eastAsia" w:ascii="宋体" w:hAnsi="宋体" w:eastAsia="宋体" w:cs="宋体"/>
          <w:sz w:val="22"/>
          <w:szCs w:val="22"/>
          <w:highlight w:val="none"/>
          <w:u w:val="single"/>
        </w:rPr>
        <w:t>▲本承诺书格式不得修改，不提交本承诺书将按无效标处理。</w:t>
      </w:r>
    </w:p>
    <w:p w14:paraId="780D70B7">
      <w:pPr>
        <w:spacing w:line="360" w:lineRule="auto"/>
        <w:ind w:firstLine="435"/>
        <w:rPr>
          <w:rFonts w:ascii="宋体" w:hAnsi="宋体" w:eastAsia="宋体" w:cs="宋体"/>
          <w:b/>
          <w:sz w:val="22"/>
          <w:szCs w:val="22"/>
          <w:highlight w:val="none"/>
        </w:rPr>
      </w:pPr>
    </w:p>
    <w:p w14:paraId="28EB900D">
      <w:pPr>
        <w:pStyle w:val="2"/>
        <w:spacing w:line="360" w:lineRule="auto"/>
        <w:ind w:firstLine="200"/>
        <w:rPr>
          <w:rFonts w:ascii="宋体" w:hAnsi="宋体" w:eastAsia="宋体" w:cs="宋体"/>
          <w:highlight w:val="none"/>
        </w:rPr>
      </w:pPr>
    </w:p>
    <w:p w14:paraId="1AF2240C">
      <w:pPr>
        <w:spacing w:line="360" w:lineRule="auto"/>
        <w:rPr>
          <w:rFonts w:ascii="宋体" w:hAnsi="宋体" w:eastAsia="宋体" w:cs="宋体"/>
          <w:highlight w:val="none"/>
        </w:rPr>
      </w:pPr>
    </w:p>
    <w:bookmarkEnd w:id="116"/>
    <w:p w14:paraId="1C6DF311">
      <w:pPr>
        <w:spacing w:line="360" w:lineRule="auto"/>
        <w:jc w:val="center"/>
        <w:outlineLvl w:val="1"/>
        <w:rPr>
          <w:rFonts w:hint="eastAsia" w:ascii="宋体" w:hAnsi="宋体" w:eastAsia="宋体" w:cs="宋体"/>
          <w:b/>
          <w:bCs/>
          <w:sz w:val="28"/>
          <w:szCs w:val="28"/>
          <w:highlight w:val="none"/>
        </w:rPr>
      </w:pPr>
      <w:bookmarkStart w:id="117" w:name="_Toc30269"/>
      <w:bookmarkStart w:id="118" w:name="_Toc4346"/>
    </w:p>
    <w:p w14:paraId="2CA77FE0">
      <w:pPr>
        <w:spacing w:line="360" w:lineRule="auto"/>
        <w:jc w:val="center"/>
        <w:outlineLvl w:val="1"/>
        <w:rPr>
          <w:rFonts w:hint="eastAsia" w:ascii="宋体" w:hAnsi="宋体" w:eastAsia="宋体" w:cs="宋体"/>
          <w:b/>
          <w:bCs/>
          <w:sz w:val="28"/>
          <w:szCs w:val="28"/>
          <w:highlight w:val="none"/>
        </w:rPr>
      </w:pPr>
    </w:p>
    <w:p w14:paraId="3DDEA674">
      <w:pPr>
        <w:spacing w:line="360" w:lineRule="auto"/>
        <w:jc w:val="center"/>
        <w:outlineLvl w:val="1"/>
        <w:rPr>
          <w:rFonts w:ascii="宋体" w:hAnsi="宋体" w:eastAsia="宋体" w:cs="宋体"/>
          <w:b/>
          <w:bCs/>
          <w:sz w:val="26"/>
          <w:szCs w:val="26"/>
          <w:highlight w:val="none"/>
        </w:rPr>
      </w:pPr>
      <w:r>
        <w:rPr>
          <w:rFonts w:hint="eastAsia" w:ascii="宋体" w:hAnsi="宋体" w:eastAsia="宋体" w:cs="宋体"/>
          <w:b/>
          <w:bCs/>
          <w:sz w:val="28"/>
          <w:szCs w:val="28"/>
          <w:highlight w:val="none"/>
          <w:lang w:eastAsia="zh-CN"/>
        </w:rPr>
        <w:t>类似</w:t>
      </w:r>
      <w:r>
        <w:rPr>
          <w:rFonts w:hint="eastAsia" w:ascii="宋体" w:hAnsi="宋体" w:eastAsia="宋体" w:cs="宋体"/>
          <w:b/>
          <w:bCs/>
          <w:sz w:val="28"/>
          <w:szCs w:val="28"/>
          <w:highlight w:val="none"/>
        </w:rPr>
        <w:t>项目业绩</w:t>
      </w:r>
      <w:bookmarkEnd w:id="117"/>
      <w:bookmarkEnd w:id="118"/>
    </w:p>
    <w:p w14:paraId="11DCD75D">
      <w:pPr>
        <w:pStyle w:val="38"/>
        <w:spacing w:line="360" w:lineRule="auto"/>
        <w:rPr>
          <w:rFonts w:ascii="宋体" w:hAnsi="宋体" w:cs="宋体"/>
          <w:highlight w:val="none"/>
        </w:rPr>
      </w:pPr>
    </w:p>
    <w:p w14:paraId="2C1E2C66">
      <w:pPr>
        <w:spacing w:line="360" w:lineRule="auto"/>
        <w:ind w:firstLine="220" w:firstLineChars="100"/>
        <w:rPr>
          <w:rFonts w:ascii="宋体" w:hAnsi="宋体" w:eastAsia="宋体" w:cs="宋体"/>
          <w:kern w:val="0"/>
          <w:sz w:val="22"/>
          <w:szCs w:val="22"/>
          <w:highlight w:val="none"/>
        </w:rPr>
      </w:pPr>
      <w:r>
        <w:rPr>
          <w:rFonts w:hint="eastAsia" w:ascii="宋体" w:hAnsi="宋体" w:eastAsia="宋体" w:cs="宋体"/>
          <w:kern w:val="0"/>
          <w:sz w:val="22"/>
          <w:szCs w:val="22"/>
          <w:highlight w:val="none"/>
        </w:rPr>
        <w:t>项目名称：                                              项目编号：</w:t>
      </w:r>
    </w:p>
    <w:p w14:paraId="36C04C1B">
      <w:pPr>
        <w:pStyle w:val="3"/>
        <w:rPr>
          <w:rFonts w:hint="eastAsia" w:ascii="宋体" w:hAnsi="宋体" w:cs="宋体"/>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072"/>
        <w:gridCol w:w="1900"/>
        <w:gridCol w:w="1900"/>
        <w:gridCol w:w="992"/>
        <w:gridCol w:w="2119"/>
      </w:tblGrid>
      <w:tr w14:paraId="6942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7F273A08">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15" w:type="dxa"/>
            <w:noWrap w:val="0"/>
            <w:vAlign w:val="center"/>
          </w:tcPr>
          <w:p w14:paraId="6F68E7A3">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938" w:type="dxa"/>
            <w:noWrap w:val="0"/>
            <w:vAlign w:val="center"/>
          </w:tcPr>
          <w:p w14:paraId="17D0B146">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938" w:type="dxa"/>
            <w:noWrap w:val="0"/>
            <w:vAlign w:val="center"/>
          </w:tcPr>
          <w:p w14:paraId="52F99667">
            <w:pPr>
              <w:spacing w:line="380" w:lineRule="exact"/>
              <w:jc w:val="center"/>
              <w:rPr>
                <w:rFonts w:hint="eastAsia" w:ascii="宋体" w:hAnsi="宋体" w:cs="宋体"/>
                <w:b/>
                <w:color w:val="auto"/>
                <w:highlight w:val="none"/>
                <w:u w:val="thick"/>
              </w:rPr>
            </w:pPr>
            <w:r>
              <w:rPr>
                <w:rFonts w:hint="eastAsia" w:ascii="宋体" w:hAnsi="宋体" w:cs="宋体"/>
                <w:b/>
                <w:bCs/>
                <w:color w:val="auto"/>
                <w:sz w:val="22"/>
                <w:szCs w:val="22"/>
                <w:highlight w:val="none"/>
              </w:rPr>
              <w:t>合同签订时间</w:t>
            </w:r>
          </w:p>
        </w:tc>
        <w:tc>
          <w:tcPr>
            <w:tcW w:w="1006" w:type="dxa"/>
            <w:noWrap w:val="0"/>
            <w:vAlign w:val="center"/>
          </w:tcPr>
          <w:p w14:paraId="5F5845C5">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金额</w:t>
            </w:r>
          </w:p>
        </w:tc>
        <w:tc>
          <w:tcPr>
            <w:tcW w:w="2163" w:type="dxa"/>
            <w:noWrap w:val="0"/>
            <w:vAlign w:val="center"/>
          </w:tcPr>
          <w:p w14:paraId="2915BB73">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用户单位联系人及联系方式</w:t>
            </w:r>
          </w:p>
        </w:tc>
      </w:tr>
      <w:tr w14:paraId="7C7F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0E5A36C8">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0ECBCC3D">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36B1D422">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5B0BA398">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79B00FC6">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395AEBD0">
            <w:pPr>
              <w:spacing w:line="380" w:lineRule="exact"/>
              <w:jc w:val="center"/>
              <w:rPr>
                <w:rFonts w:hint="eastAsia" w:ascii="宋体" w:hAnsi="宋体" w:cs="宋体"/>
                <w:b/>
                <w:bCs/>
                <w:color w:val="auto"/>
                <w:sz w:val="22"/>
                <w:szCs w:val="22"/>
                <w:highlight w:val="none"/>
              </w:rPr>
            </w:pPr>
          </w:p>
        </w:tc>
      </w:tr>
      <w:tr w14:paraId="6C6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43B07D01">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698FF07D">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1EE1FD70">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00E92C22">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3F792480">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3C63E4AD">
            <w:pPr>
              <w:spacing w:line="380" w:lineRule="exact"/>
              <w:jc w:val="center"/>
              <w:rPr>
                <w:rFonts w:hint="eastAsia" w:ascii="宋体" w:hAnsi="宋体" w:cs="宋体"/>
                <w:b/>
                <w:bCs/>
                <w:color w:val="auto"/>
                <w:sz w:val="22"/>
                <w:szCs w:val="22"/>
                <w:highlight w:val="none"/>
              </w:rPr>
            </w:pPr>
          </w:p>
        </w:tc>
      </w:tr>
      <w:tr w14:paraId="06CA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30B9666C">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40F8A5B9">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7259F7AA">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3100B0C5">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28038843">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77249982">
            <w:pPr>
              <w:spacing w:line="380" w:lineRule="exact"/>
              <w:jc w:val="center"/>
              <w:rPr>
                <w:rFonts w:hint="eastAsia" w:ascii="宋体" w:hAnsi="宋体" w:cs="宋体"/>
                <w:b/>
                <w:bCs/>
                <w:color w:val="auto"/>
                <w:sz w:val="22"/>
                <w:szCs w:val="22"/>
                <w:highlight w:val="none"/>
              </w:rPr>
            </w:pPr>
          </w:p>
        </w:tc>
      </w:tr>
      <w:tr w14:paraId="01CF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157708AF">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7F7CFA08">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199551EC">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2EBE672B">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5D9A6D5F">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107AE8E8">
            <w:pPr>
              <w:spacing w:line="380" w:lineRule="exact"/>
              <w:jc w:val="center"/>
              <w:rPr>
                <w:rFonts w:hint="eastAsia" w:ascii="宋体" w:hAnsi="宋体" w:cs="宋体"/>
                <w:b/>
                <w:bCs/>
                <w:color w:val="auto"/>
                <w:sz w:val="22"/>
                <w:szCs w:val="22"/>
                <w:highlight w:val="none"/>
              </w:rPr>
            </w:pPr>
          </w:p>
        </w:tc>
      </w:tr>
      <w:tr w14:paraId="12D1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7B814378">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5664BE65">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754ADD0A">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01C2ABC0">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3DC9ED6A">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1B4BA06D">
            <w:pPr>
              <w:spacing w:line="380" w:lineRule="exact"/>
              <w:jc w:val="center"/>
              <w:rPr>
                <w:rFonts w:hint="eastAsia" w:ascii="宋体" w:hAnsi="宋体" w:cs="宋体"/>
                <w:b/>
                <w:bCs/>
                <w:color w:val="auto"/>
                <w:sz w:val="22"/>
                <w:szCs w:val="22"/>
                <w:highlight w:val="none"/>
              </w:rPr>
            </w:pPr>
          </w:p>
        </w:tc>
      </w:tr>
      <w:tr w14:paraId="3B95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3ABB0498">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76F9E702">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374EC428">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012317E9">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1D78AB35">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3ADDF5CD">
            <w:pPr>
              <w:spacing w:line="380" w:lineRule="exact"/>
              <w:jc w:val="center"/>
              <w:rPr>
                <w:rFonts w:hint="eastAsia" w:ascii="宋体" w:hAnsi="宋体" w:cs="宋体"/>
                <w:b/>
                <w:bCs/>
                <w:color w:val="auto"/>
                <w:sz w:val="22"/>
                <w:szCs w:val="22"/>
                <w:highlight w:val="none"/>
              </w:rPr>
            </w:pPr>
          </w:p>
        </w:tc>
      </w:tr>
      <w:tr w14:paraId="4C25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37A3DCF5">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36F5BE23">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3B322AE1">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2347550D">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16849EFF">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73BAD968">
            <w:pPr>
              <w:spacing w:line="380" w:lineRule="exact"/>
              <w:jc w:val="center"/>
              <w:rPr>
                <w:rFonts w:hint="eastAsia" w:ascii="宋体" w:hAnsi="宋体" w:cs="宋体"/>
                <w:b/>
                <w:bCs/>
                <w:color w:val="auto"/>
                <w:sz w:val="22"/>
                <w:szCs w:val="22"/>
                <w:highlight w:val="none"/>
              </w:rPr>
            </w:pPr>
          </w:p>
        </w:tc>
      </w:tr>
      <w:tr w14:paraId="6DCD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 w:type="dxa"/>
            <w:noWrap w:val="0"/>
            <w:vAlign w:val="center"/>
          </w:tcPr>
          <w:p w14:paraId="708D64E3">
            <w:pPr>
              <w:spacing w:line="380" w:lineRule="exact"/>
              <w:jc w:val="center"/>
              <w:rPr>
                <w:rFonts w:hint="eastAsia" w:ascii="宋体" w:hAnsi="宋体" w:cs="宋体"/>
                <w:b/>
                <w:bCs/>
                <w:color w:val="auto"/>
                <w:sz w:val="22"/>
                <w:szCs w:val="22"/>
                <w:highlight w:val="none"/>
              </w:rPr>
            </w:pPr>
          </w:p>
        </w:tc>
        <w:tc>
          <w:tcPr>
            <w:tcW w:w="2115" w:type="dxa"/>
            <w:noWrap w:val="0"/>
            <w:vAlign w:val="center"/>
          </w:tcPr>
          <w:p w14:paraId="38706BD1">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0253064F">
            <w:pPr>
              <w:spacing w:line="380" w:lineRule="exact"/>
              <w:jc w:val="center"/>
              <w:rPr>
                <w:rFonts w:hint="eastAsia" w:ascii="宋体" w:hAnsi="宋体" w:cs="宋体"/>
                <w:b/>
                <w:bCs/>
                <w:color w:val="auto"/>
                <w:sz w:val="22"/>
                <w:szCs w:val="22"/>
                <w:highlight w:val="none"/>
              </w:rPr>
            </w:pPr>
          </w:p>
        </w:tc>
        <w:tc>
          <w:tcPr>
            <w:tcW w:w="1938" w:type="dxa"/>
            <w:noWrap w:val="0"/>
            <w:vAlign w:val="center"/>
          </w:tcPr>
          <w:p w14:paraId="17DEE848">
            <w:pPr>
              <w:spacing w:line="380" w:lineRule="exact"/>
              <w:jc w:val="center"/>
              <w:rPr>
                <w:rFonts w:hint="eastAsia" w:ascii="宋体" w:hAnsi="宋体" w:cs="宋体"/>
                <w:b/>
                <w:bCs/>
                <w:color w:val="auto"/>
                <w:sz w:val="22"/>
                <w:szCs w:val="22"/>
                <w:highlight w:val="none"/>
              </w:rPr>
            </w:pPr>
          </w:p>
        </w:tc>
        <w:tc>
          <w:tcPr>
            <w:tcW w:w="1006" w:type="dxa"/>
            <w:noWrap w:val="0"/>
            <w:vAlign w:val="center"/>
          </w:tcPr>
          <w:p w14:paraId="2866C6FD">
            <w:pPr>
              <w:spacing w:line="380" w:lineRule="exact"/>
              <w:jc w:val="center"/>
              <w:rPr>
                <w:rFonts w:hint="eastAsia" w:ascii="宋体" w:hAnsi="宋体" w:cs="宋体"/>
                <w:b/>
                <w:bCs/>
                <w:color w:val="auto"/>
                <w:sz w:val="22"/>
                <w:szCs w:val="22"/>
                <w:highlight w:val="none"/>
              </w:rPr>
            </w:pPr>
          </w:p>
        </w:tc>
        <w:tc>
          <w:tcPr>
            <w:tcW w:w="2163" w:type="dxa"/>
            <w:noWrap w:val="0"/>
            <w:vAlign w:val="center"/>
          </w:tcPr>
          <w:p w14:paraId="67BF0AD7">
            <w:pPr>
              <w:spacing w:line="380" w:lineRule="exact"/>
              <w:jc w:val="center"/>
              <w:rPr>
                <w:rFonts w:hint="eastAsia" w:ascii="宋体" w:hAnsi="宋体" w:cs="宋体"/>
                <w:b/>
                <w:bCs/>
                <w:color w:val="auto"/>
                <w:sz w:val="22"/>
                <w:szCs w:val="22"/>
                <w:highlight w:val="none"/>
              </w:rPr>
            </w:pPr>
          </w:p>
        </w:tc>
      </w:tr>
    </w:tbl>
    <w:p w14:paraId="39B399A9">
      <w:pPr>
        <w:spacing w:line="360" w:lineRule="auto"/>
        <w:rPr>
          <w:rFonts w:ascii="宋体" w:hAnsi="宋体" w:eastAsia="宋体" w:cs="宋体"/>
          <w:b/>
          <w:bCs/>
          <w:szCs w:val="21"/>
          <w:highlight w:val="none"/>
        </w:rPr>
      </w:pPr>
      <w:r>
        <w:rPr>
          <w:rFonts w:hint="eastAsia" w:ascii="宋体" w:hAnsi="宋体" w:eastAsia="宋体" w:cs="宋体"/>
          <w:b/>
          <w:bCs/>
          <w:szCs w:val="21"/>
          <w:highlight w:val="none"/>
        </w:rPr>
        <w:t>注：</w:t>
      </w:r>
    </w:p>
    <w:p w14:paraId="6DF6A14B">
      <w:pPr>
        <w:numPr>
          <w:ilvl w:val="0"/>
          <w:numId w:val="13"/>
        </w:numPr>
        <w:tabs>
          <w:tab w:val="left" w:pos="780"/>
          <w:tab w:val="left" w:pos="5355"/>
        </w:tabs>
        <w:spacing w:line="360" w:lineRule="auto"/>
        <w:jc w:val="left"/>
        <w:rPr>
          <w:rFonts w:ascii="宋体" w:hAnsi="宋体" w:eastAsia="宋体" w:cs="宋体"/>
          <w:bCs/>
          <w:szCs w:val="21"/>
          <w:highlight w:val="none"/>
        </w:rPr>
      </w:pPr>
      <w:r>
        <w:rPr>
          <w:rFonts w:hint="eastAsia" w:ascii="宋体" w:hAnsi="宋体" w:eastAsia="宋体" w:cs="宋体"/>
          <w:bCs/>
          <w:szCs w:val="21"/>
          <w:highlight w:val="none"/>
        </w:rPr>
        <w:t>本表附加盖有效公章的合同和中标通知书（原件扫描件并加盖公章，业绩时间以合同签订时间为准）；</w:t>
      </w:r>
    </w:p>
    <w:p w14:paraId="2F03133A">
      <w:pPr>
        <w:tabs>
          <w:tab w:val="left" w:pos="780"/>
          <w:tab w:val="left" w:pos="5355"/>
        </w:tabs>
        <w:spacing w:line="360" w:lineRule="auto"/>
        <w:jc w:val="left"/>
        <w:rPr>
          <w:rFonts w:ascii="宋体" w:hAnsi="宋体" w:eastAsia="宋体" w:cs="宋体"/>
          <w:bCs/>
          <w:szCs w:val="21"/>
          <w:highlight w:val="none"/>
        </w:rPr>
      </w:pPr>
      <w:r>
        <w:rPr>
          <w:rFonts w:hint="eastAsia" w:ascii="宋体" w:hAnsi="宋体" w:eastAsia="宋体" w:cs="宋体"/>
          <w:bCs/>
          <w:szCs w:val="21"/>
          <w:highlight w:val="none"/>
        </w:rPr>
        <w:t>2、具有履约良好评价的，提供履约评价表。</w:t>
      </w:r>
    </w:p>
    <w:p w14:paraId="3A681EBE">
      <w:pPr>
        <w:tabs>
          <w:tab w:val="left" w:pos="780"/>
          <w:tab w:val="left" w:pos="5355"/>
        </w:tabs>
        <w:spacing w:line="360" w:lineRule="auto"/>
        <w:jc w:val="left"/>
        <w:rPr>
          <w:rFonts w:ascii="宋体" w:hAnsi="宋体" w:eastAsia="宋体" w:cs="宋体"/>
          <w:bCs/>
          <w:szCs w:val="21"/>
          <w:highlight w:val="none"/>
        </w:rPr>
      </w:pPr>
      <w:r>
        <w:rPr>
          <w:rFonts w:hint="eastAsia" w:ascii="宋体" w:hAnsi="宋体" w:eastAsia="宋体" w:cs="宋体"/>
          <w:bCs/>
          <w:szCs w:val="21"/>
          <w:highlight w:val="none"/>
        </w:rPr>
        <w:t>3、投标供应商不按此要求填写此项内容或未提供业绩证明将视为无业绩。</w:t>
      </w:r>
    </w:p>
    <w:p w14:paraId="7413B322">
      <w:pPr>
        <w:tabs>
          <w:tab w:val="left" w:pos="780"/>
          <w:tab w:val="left" w:pos="5355"/>
        </w:tabs>
        <w:spacing w:line="360" w:lineRule="auto"/>
        <w:jc w:val="left"/>
        <w:rPr>
          <w:rFonts w:ascii="宋体" w:hAnsi="宋体" w:eastAsia="宋体" w:cs="宋体"/>
          <w:bCs/>
          <w:szCs w:val="21"/>
          <w:highlight w:val="none"/>
        </w:rPr>
      </w:pPr>
      <w:r>
        <w:rPr>
          <w:rFonts w:hint="eastAsia" w:ascii="宋体" w:hAnsi="宋体" w:eastAsia="宋体" w:cs="宋体"/>
          <w:bCs/>
          <w:szCs w:val="21"/>
          <w:highlight w:val="none"/>
        </w:rPr>
        <w:t xml:space="preserve">4、投标供应商可按此表格式复制。      </w:t>
      </w:r>
    </w:p>
    <w:p w14:paraId="3B935752">
      <w:pPr>
        <w:spacing w:line="360" w:lineRule="auto"/>
        <w:rPr>
          <w:rFonts w:ascii="宋体" w:hAnsi="宋体" w:eastAsia="宋体" w:cs="宋体"/>
          <w:szCs w:val="21"/>
          <w:highlight w:val="none"/>
        </w:rPr>
      </w:pPr>
    </w:p>
    <w:p w14:paraId="68B2475E">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投标供应商全称（盖章）：</w:t>
      </w:r>
    </w:p>
    <w:p w14:paraId="42B01C64">
      <w:pPr>
        <w:spacing w:line="360" w:lineRule="auto"/>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2723FFEC">
      <w:pPr>
        <w:spacing w:line="360" w:lineRule="auto"/>
        <w:rPr>
          <w:rFonts w:ascii="宋体" w:hAnsi="宋体" w:eastAsia="宋体" w:cs="宋体"/>
          <w:highlight w:val="none"/>
        </w:rPr>
      </w:pPr>
      <w:r>
        <w:rPr>
          <w:rFonts w:hint="eastAsia" w:ascii="宋体" w:hAnsi="宋体" w:eastAsia="宋体" w:cs="宋体"/>
          <w:szCs w:val="21"/>
          <w:highlight w:val="none"/>
        </w:rPr>
        <w:t xml:space="preserve">日  期：  </w:t>
      </w:r>
    </w:p>
    <w:p w14:paraId="5FBD9A48">
      <w:pPr>
        <w:pStyle w:val="3"/>
        <w:rPr>
          <w:rFonts w:ascii="宋体" w:hAnsi="宋体" w:eastAsia="宋体" w:cs="宋体"/>
          <w:b/>
          <w:sz w:val="22"/>
          <w:szCs w:val="22"/>
          <w:highlight w:val="none"/>
        </w:rPr>
      </w:pPr>
    </w:p>
    <w:p w14:paraId="1B776BD5">
      <w:pPr>
        <w:pStyle w:val="2"/>
        <w:rPr>
          <w:rFonts w:ascii="宋体" w:hAnsi="宋体" w:eastAsia="宋体" w:cs="宋体"/>
          <w:b/>
          <w:sz w:val="22"/>
          <w:szCs w:val="22"/>
          <w:highlight w:val="none"/>
        </w:rPr>
      </w:pPr>
    </w:p>
    <w:p w14:paraId="13992A3A">
      <w:pPr>
        <w:rPr>
          <w:rFonts w:ascii="宋体" w:hAnsi="宋体" w:eastAsia="宋体" w:cs="宋体"/>
          <w:b/>
          <w:sz w:val="22"/>
          <w:szCs w:val="22"/>
          <w:highlight w:val="none"/>
        </w:rPr>
      </w:pPr>
    </w:p>
    <w:p w14:paraId="6AAB316E">
      <w:pPr>
        <w:pStyle w:val="44"/>
        <w:rPr>
          <w:rFonts w:ascii="宋体" w:hAnsi="宋体" w:eastAsia="宋体" w:cs="宋体"/>
          <w:b/>
          <w:sz w:val="22"/>
          <w:szCs w:val="22"/>
          <w:highlight w:val="none"/>
        </w:rPr>
      </w:pPr>
    </w:p>
    <w:p w14:paraId="5499BDFB">
      <w:pPr>
        <w:pStyle w:val="44"/>
        <w:rPr>
          <w:rFonts w:ascii="宋体" w:hAnsi="宋体" w:eastAsia="宋体" w:cs="宋体"/>
          <w:b/>
          <w:sz w:val="22"/>
          <w:szCs w:val="22"/>
          <w:highlight w:val="none"/>
        </w:rPr>
      </w:pPr>
    </w:p>
    <w:p w14:paraId="44C115C7">
      <w:pPr>
        <w:pStyle w:val="44"/>
        <w:rPr>
          <w:rFonts w:ascii="宋体" w:hAnsi="宋体" w:eastAsia="宋体" w:cs="宋体"/>
          <w:b/>
          <w:sz w:val="22"/>
          <w:szCs w:val="22"/>
          <w:highlight w:val="none"/>
        </w:rPr>
      </w:pPr>
    </w:p>
    <w:p w14:paraId="26CBAB6E">
      <w:pPr>
        <w:pStyle w:val="44"/>
        <w:rPr>
          <w:rFonts w:ascii="宋体" w:hAnsi="宋体" w:eastAsia="宋体" w:cs="宋体"/>
          <w:b/>
          <w:sz w:val="22"/>
          <w:szCs w:val="22"/>
          <w:highlight w:val="none"/>
        </w:rPr>
      </w:pPr>
    </w:p>
    <w:p w14:paraId="7CF44DB1">
      <w:pPr>
        <w:pStyle w:val="3"/>
        <w:rPr>
          <w:rFonts w:ascii="宋体" w:hAnsi="宋体" w:eastAsia="宋体" w:cs="宋体"/>
          <w:b/>
          <w:sz w:val="22"/>
          <w:szCs w:val="22"/>
          <w:highlight w:val="none"/>
        </w:rPr>
      </w:pPr>
    </w:p>
    <w:p w14:paraId="164C0D87">
      <w:pPr>
        <w:spacing w:line="42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项目负责人情况表</w:t>
      </w:r>
    </w:p>
    <w:p w14:paraId="1A975480">
      <w:pPr>
        <w:pStyle w:val="13"/>
        <w:spacing w:line="400" w:lineRule="atLeast"/>
        <w:rPr>
          <w:rFonts w:hAnsi="宋体" w:eastAsia="宋体" w:cs="宋体"/>
          <w:sz w:val="22"/>
          <w:szCs w:val="22"/>
          <w:highlight w:val="none"/>
        </w:rPr>
      </w:pPr>
      <w:r>
        <w:rPr>
          <w:rFonts w:hint="eastAsia" w:hAnsi="宋体" w:eastAsia="宋体" w:cs="宋体"/>
          <w:sz w:val="22"/>
          <w:szCs w:val="22"/>
          <w:highlight w:val="none"/>
        </w:rPr>
        <w:t xml:space="preserve">项目名称：                                                  项目编号：                              </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358"/>
        <w:gridCol w:w="692"/>
        <w:gridCol w:w="958"/>
        <w:gridCol w:w="1066"/>
        <w:gridCol w:w="706"/>
        <w:gridCol w:w="1260"/>
        <w:gridCol w:w="401"/>
        <w:gridCol w:w="2399"/>
      </w:tblGrid>
      <w:tr w14:paraId="6BFD3E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665" w:type="dxa"/>
            <w:noWrap w:val="0"/>
            <w:tcMar>
              <w:left w:w="0" w:type="dxa"/>
              <w:right w:w="0" w:type="dxa"/>
            </w:tcMar>
            <w:vAlign w:val="center"/>
          </w:tcPr>
          <w:p w14:paraId="01F7D004">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姓    名</w:t>
            </w:r>
          </w:p>
        </w:tc>
        <w:tc>
          <w:tcPr>
            <w:tcW w:w="1050" w:type="dxa"/>
            <w:gridSpan w:val="2"/>
            <w:noWrap w:val="0"/>
            <w:tcMar>
              <w:left w:w="0" w:type="dxa"/>
              <w:right w:w="0" w:type="dxa"/>
            </w:tcMar>
            <w:vAlign w:val="center"/>
          </w:tcPr>
          <w:p w14:paraId="6A3005FB">
            <w:pPr>
              <w:kinsoku w:val="0"/>
              <w:overflowPunct w:val="0"/>
              <w:autoSpaceDE w:val="0"/>
              <w:autoSpaceDN w:val="0"/>
              <w:adjustRightInd w:val="0"/>
              <w:spacing w:line="360" w:lineRule="auto"/>
              <w:jc w:val="center"/>
              <w:rPr>
                <w:rFonts w:ascii="Arial" w:hAnsi="Arial" w:cs="Arial"/>
                <w:kern w:val="0"/>
                <w:szCs w:val="21"/>
                <w:highlight w:val="none"/>
              </w:rPr>
            </w:pPr>
          </w:p>
        </w:tc>
        <w:tc>
          <w:tcPr>
            <w:tcW w:w="958" w:type="dxa"/>
            <w:noWrap w:val="0"/>
            <w:tcMar>
              <w:left w:w="0" w:type="dxa"/>
              <w:right w:w="0" w:type="dxa"/>
            </w:tcMar>
            <w:vAlign w:val="center"/>
          </w:tcPr>
          <w:p w14:paraId="7570F3E3">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年龄</w:t>
            </w:r>
          </w:p>
        </w:tc>
        <w:tc>
          <w:tcPr>
            <w:tcW w:w="1066" w:type="dxa"/>
            <w:noWrap w:val="0"/>
            <w:tcMar>
              <w:left w:w="0" w:type="dxa"/>
              <w:right w:w="0" w:type="dxa"/>
            </w:tcMar>
            <w:vAlign w:val="center"/>
          </w:tcPr>
          <w:p w14:paraId="6E7D1621">
            <w:pPr>
              <w:kinsoku w:val="0"/>
              <w:overflowPunct w:val="0"/>
              <w:autoSpaceDE w:val="0"/>
              <w:autoSpaceDN w:val="0"/>
              <w:adjustRightInd w:val="0"/>
              <w:spacing w:line="360" w:lineRule="auto"/>
              <w:jc w:val="center"/>
              <w:rPr>
                <w:rFonts w:ascii="Arial" w:hAnsi="Arial" w:cs="Arial"/>
                <w:kern w:val="0"/>
                <w:szCs w:val="21"/>
                <w:highlight w:val="none"/>
              </w:rPr>
            </w:pPr>
          </w:p>
        </w:tc>
        <w:tc>
          <w:tcPr>
            <w:tcW w:w="2367" w:type="dxa"/>
            <w:gridSpan w:val="3"/>
            <w:noWrap w:val="0"/>
            <w:tcMar>
              <w:left w:w="0" w:type="dxa"/>
              <w:right w:w="0" w:type="dxa"/>
            </w:tcMar>
            <w:vAlign w:val="center"/>
          </w:tcPr>
          <w:p w14:paraId="4D8C3AA0">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执业资格证书（或上岗</w:t>
            </w:r>
          </w:p>
          <w:p w14:paraId="3F08C5F5">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证书）名称</w:t>
            </w:r>
          </w:p>
        </w:tc>
        <w:tc>
          <w:tcPr>
            <w:tcW w:w="2399" w:type="dxa"/>
            <w:noWrap w:val="0"/>
            <w:tcMar>
              <w:left w:w="0" w:type="dxa"/>
              <w:right w:w="0" w:type="dxa"/>
            </w:tcMar>
            <w:vAlign w:val="center"/>
          </w:tcPr>
          <w:p w14:paraId="7F6C2409">
            <w:pPr>
              <w:kinsoku w:val="0"/>
              <w:overflowPunct w:val="0"/>
              <w:autoSpaceDE w:val="0"/>
              <w:autoSpaceDN w:val="0"/>
              <w:adjustRightInd w:val="0"/>
              <w:spacing w:line="360" w:lineRule="auto"/>
              <w:jc w:val="center"/>
              <w:rPr>
                <w:rFonts w:ascii="Arial" w:hAnsi="Arial" w:cs="Arial"/>
                <w:kern w:val="0"/>
                <w:szCs w:val="21"/>
                <w:highlight w:val="none"/>
              </w:rPr>
            </w:pPr>
          </w:p>
        </w:tc>
      </w:tr>
      <w:tr w14:paraId="250C3E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665" w:type="dxa"/>
            <w:noWrap w:val="0"/>
            <w:tcMar>
              <w:left w:w="0" w:type="dxa"/>
              <w:right w:w="0" w:type="dxa"/>
            </w:tcMar>
            <w:vAlign w:val="center"/>
          </w:tcPr>
          <w:p w14:paraId="2C9A843C">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职    称</w:t>
            </w:r>
          </w:p>
        </w:tc>
        <w:tc>
          <w:tcPr>
            <w:tcW w:w="1050" w:type="dxa"/>
            <w:gridSpan w:val="2"/>
            <w:noWrap w:val="0"/>
            <w:tcMar>
              <w:left w:w="0" w:type="dxa"/>
              <w:right w:w="0" w:type="dxa"/>
            </w:tcMar>
            <w:vAlign w:val="center"/>
          </w:tcPr>
          <w:p w14:paraId="0EFAA0ED">
            <w:pPr>
              <w:kinsoku w:val="0"/>
              <w:overflowPunct w:val="0"/>
              <w:autoSpaceDE w:val="0"/>
              <w:autoSpaceDN w:val="0"/>
              <w:adjustRightInd w:val="0"/>
              <w:spacing w:line="360" w:lineRule="auto"/>
              <w:jc w:val="center"/>
              <w:rPr>
                <w:rFonts w:ascii="Arial" w:hAnsi="Arial" w:cs="Arial"/>
                <w:kern w:val="0"/>
                <w:szCs w:val="21"/>
                <w:highlight w:val="none"/>
              </w:rPr>
            </w:pPr>
          </w:p>
        </w:tc>
        <w:tc>
          <w:tcPr>
            <w:tcW w:w="958" w:type="dxa"/>
            <w:noWrap w:val="0"/>
            <w:tcMar>
              <w:left w:w="0" w:type="dxa"/>
              <w:right w:w="0" w:type="dxa"/>
            </w:tcMar>
            <w:vAlign w:val="center"/>
          </w:tcPr>
          <w:p w14:paraId="15ED68E7">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学历</w:t>
            </w:r>
          </w:p>
        </w:tc>
        <w:tc>
          <w:tcPr>
            <w:tcW w:w="1066" w:type="dxa"/>
            <w:noWrap w:val="0"/>
            <w:tcMar>
              <w:left w:w="0" w:type="dxa"/>
              <w:right w:w="0" w:type="dxa"/>
            </w:tcMar>
            <w:vAlign w:val="center"/>
          </w:tcPr>
          <w:p w14:paraId="4F1618B6">
            <w:pPr>
              <w:kinsoku w:val="0"/>
              <w:overflowPunct w:val="0"/>
              <w:autoSpaceDE w:val="0"/>
              <w:autoSpaceDN w:val="0"/>
              <w:adjustRightInd w:val="0"/>
              <w:spacing w:line="360" w:lineRule="auto"/>
              <w:jc w:val="center"/>
              <w:rPr>
                <w:rFonts w:ascii="Arial" w:hAnsi="Arial" w:cs="Arial"/>
                <w:kern w:val="0"/>
                <w:szCs w:val="21"/>
                <w:highlight w:val="none"/>
              </w:rPr>
            </w:pPr>
          </w:p>
        </w:tc>
        <w:tc>
          <w:tcPr>
            <w:tcW w:w="2367" w:type="dxa"/>
            <w:gridSpan w:val="3"/>
            <w:noWrap w:val="0"/>
            <w:tcMar>
              <w:left w:w="0" w:type="dxa"/>
              <w:right w:w="0" w:type="dxa"/>
            </w:tcMar>
            <w:vAlign w:val="center"/>
          </w:tcPr>
          <w:p w14:paraId="65FD308A">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拟在本项目任职</w:t>
            </w:r>
          </w:p>
        </w:tc>
        <w:tc>
          <w:tcPr>
            <w:tcW w:w="2399" w:type="dxa"/>
            <w:noWrap w:val="0"/>
            <w:tcMar>
              <w:left w:w="0" w:type="dxa"/>
              <w:right w:w="0" w:type="dxa"/>
            </w:tcMar>
            <w:vAlign w:val="center"/>
          </w:tcPr>
          <w:p w14:paraId="149E04A2">
            <w:pPr>
              <w:kinsoku w:val="0"/>
              <w:overflowPunct w:val="0"/>
              <w:autoSpaceDE w:val="0"/>
              <w:autoSpaceDN w:val="0"/>
              <w:adjustRightInd w:val="0"/>
              <w:spacing w:line="360" w:lineRule="auto"/>
              <w:jc w:val="center"/>
              <w:rPr>
                <w:rFonts w:ascii="Arial" w:hAnsi="Arial" w:cs="Arial"/>
                <w:kern w:val="0"/>
                <w:szCs w:val="21"/>
                <w:highlight w:val="none"/>
              </w:rPr>
            </w:pPr>
          </w:p>
        </w:tc>
      </w:tr>
      <w:tr w14:paraId="44818E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665" w:type="dxa"/>
            <w:noWrap w:val="0"/>
            <w:tcMar>
              <w:left w:w="0" w:type="dxa"/>
              <w:right w:w="0" w:type="dxa"/>
            </w:tcMar>
            <w:vAlign w:val="center"/>
          </w:tcPr>
          <w:p w14:paraId="22BFF4C0">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工作年限</w:t>
            </w:r>
          </w:p>
        </w:tc>
        <w:tc>
          <w:tcPr>
            <w:tcW w:w="3074" w:type="dxa"/>
            <w:gridSpan w:val="4"/>
            <w:noWrap w:val="0"/>
            <w:tcMar>
              <w:left w:w="0" w:type="dxa"/>
              <w:right w:w="0" w:type="dxa"/>
            </w:tcMar>
            <w:vAlign w:val="center"/>
          </w:tcPr>
          <w:p w14:paraId="4502860D">
            <w:pPr>
              <w:kinsoku w:val="0"/>
              <w:overflowPunct w:val="0"/>
              <w:autoSpaceDE w:val="0"/>
              <w:autoSpaceDN w:val="0"/>
              <w:adjustRightInd w:val="0"/>
              <w:spacing w:line="360" w:lineRule="auto"/>
              <w:jc w:val="center"/>
              <w:rPr>
                <w:rFonts w:ascii="Arial" w:hAnsi="Arial" w:cs="Arial"/>
                <w:kern w:val="0"/>
                <w:szCs w:val="21"/>
                <w:highlight w:val="none"/>
              </w:rPr>
            </w:pPr>
          </w:p>
        </w:tc>
        <w:tc>
          <w:tcPr>
            <w:tcW w:w="2367" w:type="dxa"/>
            <w:gridSpan w:val="3"/>
            <w:noWrap w:val="0"/>
            <w:tcMar>
              <w:left w:w="0" w:type="dxa"/>
              <w:right w:w="0" w:type="dxa"/>
            </w:tcMar>
            <w:vAlign w:val="center"/>
          </w:tcPr>
          <w:p w14:paraId="00BD99C6">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从事工作年限</w:t>
            </w:r>
          </w:p>
        </w:tc>
        <w:tc>
          <w:tcPr>
            <w:tcW w:w="2399" w:type="dxa"/>
            <w:noWrap w:val="0"/>
            <w:tcMar>
              <w:left w:w="0" w:type="dxa"/>
              <w:right w:w="0" w:type="dxa"/>
            </w:tcMar>
            <w:vAlign w:val="center"/>
          </w:tcPr>
          <w:p w14:paraId="3FA4C881">
            <w:pPr>
              <w:kinsoku w:val="0"/>
              <w:overflowPunct w:val="0"/>
              <w:autoSpaceDE w:val="0"/>
              <w:autoSpaceDN w:val="0"/>
              <w:adjustRightInd w:val="0"/>
              <w:spacing w:line="360" w:lineRule="auto"/>
              <w:jc w:val="center"/>
              <w:rPr>
                <w:rFonts w:ascii="Arial" w:hAnsi="Arial" w:cs="Arial"/>
                <w:kern w:val="0"/>
                <w:szCs w:val="21"/>
                <w:highlight w:val="none"/>
              </w:rPr>
            </w:pPr>
          </w:p>
        </w:tc>
      </w:tr>
      <w:tr w14:paraId="29BD4C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0" w:hRule="exact"/>
          <w:jc w:val="center"/>
        </w:trPr>
        <w:tc>
          <w:tcPr>
            <w:tcW w:w="1665" w:type="dxa"/>
            <w:noWrap w:val="0"/>
            <w:tcMar>
              <w:left w:w="0" w:type="dxa"/>
              <w:right w:w="0" w:type="dxa"/>
            </w:tcMar>
            <w:vAlign w:val="center"/>
          </w:tcPr>
          <w:p w14:paraId="7FFF3221">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毕业学校</w:t>
            </w:r>
          </w:p>
        </w:tc>
        <w:tc>
          <w:tcPr>
            <w:tcW w:w="7840" w:type="dxa"/>
            <w:gridSpan w:val="8"/>
            <w:noWrap w:val="0"/>
            <w:tcMar>
              <w:left w:w="0" w:type="dxa"/>
              <w:right w:w="0" w:type="dxa"/>
            </w:tcMar>
            <w:vAlign w:val="center"/>
          </w:tcPr>
          <w:p w14:paraId="2FF97507">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年毕业于                         学校                 专业</w:t>
            </w:r>
          </w:p>
        </w:tc>
      </w:tr>
      <w:tr w14:paraId="1E3BC4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9505" w:type="dxa"/>
            <w:gridSpan w:val="9"/>
            <w:noWrap w:val="0"/>
            <w:tcMar>
              <w:left w:w="0" w:type="dxa"/>
              <w:right w:w="0" w:type="dxa"/>
            </w:tcMar>
            <w:vAlign w:val="center"/>
          </w:tcPr>
          <w:p w14:paraId="4F9908A9">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主要工作经历</w:t>
            </w:r>
          </w:p>
        </w:tc>
      </w:tr>
      <w:tr w14:paraId="4227F6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2023" w:type="dxa"/>
            <w:gridSpan w:val="2"/>
            <w:noWrap w:val="0"/>
            <w:tcMar>
              <w:left w:w="0" w:type="dxa"/>
              <w:right w:w="0" w:type="dxa"/>
            </w:tcMar>
            <w:vAlign w:val="center"/>
          </w:tcPr>
          <w:p w14:paraId="768C499C">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时    间</w:t>
            </w:r>
          </w:p>
        </w:tc>
        <w:tc>
          <w:tcPr>
            <w:tcW w:w="3422" w:type="dxa"/>
            <w:gridSpan w:val="4"/>
            <w:noWrap w:val="0"/>
            <w:tcMar>
              <w:left w:w="0" w:type="dxa"/>
              <w:right w:w="0" w:type="dxa"/>
            </w:tcMar>
            <w:vAlign w:val="center"/>
          </w:tcPr>
          <w:p w14:paraId="07B5D0D7">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参加过的类似项目</w:t>
            </w:r>
          </w:p>
        </w:tc>
        <w:tc>
          <w:tcPr>
            <w:tcW w:w="1260" w:type="dxa"/>
            <w:noWrap w:val="0"/>
            <w:tcMar>
              <w:left w:w="0" w:type="dxa"/>
              <w:right w:w="0" w:type="dxa"/>
            </w:tcMar>
            <w:vAlign w:val="center"/>
          </w:tcPr>
          <w:p w14:paraId="75650E0A">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担任职务</w:t>
            </w:r>
          </w:p>
        </w:tc>
        <w:tc>
          <w:tcPr>
            <w:tcW w:w="2800" w:type="dxa"/>
            <w:gridSpan w:val="2"/>
            <w:noWrap w:val="0"/>
            <w:tcMar>
              <w:left w:w="0" w:type="dxa"/>
              <w:right w:w="0" w:type="dxa"/>
            </w:tcMar>
            <w:vAlign w:val="center"/>
          </w:tcPr>
          <w:p w14:paraId="09E53670">
            <w:pPr>
              <w:kinsoku w:val="0"/>
              <w:overflowPunct w:val="0"/>
              <w:autoSpaceDE w:val="0"/>
              <w:autoSpaceDN w:val="0"/>
              <w:adjustRightInd w:val="0"/>
              <w:spacing w:line="360" w:lineRule="auto"/>
              <w:jc w:val="center"/>
              <w:rPr>
                <w:rFonts w:ascii="Arial" w:hAnsi="Arial" w:cs="Arial"/>
                <w:kern w:val="0"/>
                <w:szCs w:val="21"/>
                <w:highlight w:val="none"/>
              </w:rPr>
            </w:pPr>
            <w:r>
              <w:rPr>
                <w:rFonts w:ascii="Arial" w:hAnsi="Arial" w:cs="Arial"/>
                <w:kern w:val="0"/>
                <w:szCs w:val="21"/>
                <w:highlight w:val="none"/>
              </w:rPr>
              <w:t>委托人及联系电话</w:t>
            </w:r>
          </w:p>
        </w:tc>
      </w:tr>
      <w:tr w14:paraId="0C14C4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2023" w:type="dxa"/>
            <w:gridSpan w:val="2"/>
            <w:noWrap w:val="0"/>
            <w:tcMar>
              <w:left w:w="0" w:type="dxa"/>
              <w:right w:w="0" w:type="dxa"/>
            </w:tcMar>
            <w:vAlign w:val="center"/>
          </w:tcPr>
          <w:p w14:paraId="5BB64631">
            <w:pPr>
              <w:kinsoku w:val="0"/>
              <w:overflowPunct w:val="0"/>
              <w:autoSpaceDE w:val="0"/>
              <w:autoSpaceDN w:val="0"/>
              <w:adjustRightInd w:val="0"/>
              <w:spacing w:line="360" w:lineRule="auto"/>
              <w:jc w:val="center"/>
              <w:rPr>
                <w:rFonts w:ascii="Arial" w:hAnsi="Arial" w:cs="Arial"/>
                <w:kern w:val="0"/>
                <w:szCs w:val="21"/>
                <w:highlight w:val="none"/>
              </w:rPr>
            </w:pPr>
          </w:p>
        </w:tc>
        <w:tc>
          <w:tcPr>
            <w:tcW w:w="3422" w:type="dxa"/>
            <w:gridSpan w:val="4"/>
            <w:noWrap w:val="0"/>
            <w:tcMar>
              <w:left w:w="0" w:type="dxa"/>
              <w:right w:w="0" w:type="dxa"/>
            </w:tcMar>
            <w:vAlign w:val="center"/>
          </w:tcPr>
          <w:p w14:paraId="59D07664">
            <w:pPr>
              <w:kinsoku w:val="0"/>
              <w:overflowPunct w:val="0"/>
              <w:autoSpaceDE w:val="0"/>
              <w:autoSpaceDN w:val="0"/>
              <w:adjustRightInd w:val="0"/>
              <w:spacing w:line="360" w:lineRule="auto"/>
              <w:jc w:val="center"/>
              <w:rPr>
                <w:rFonts w:ascii="Arial" w:hAnsi="Arial" w:cs="Arial"/>
                <w:kern w:val="0"/>
                <w:szCs w:val="21"/>
                <w:highlight w:val="none"/>
              </w:rPr>
            </w:pPr>
          </w:p>
        </w:tc>
        <w:tc>
          <w:tcPr>
            <w:tcW w:w="1260" w:type="dxa"/>
            <w:noWrap w:val="0"/>
            <w:tcMar>
              <w:left w:w="0" w:type="dxa"/>
              <w:right w:w="0" w:type="dxa"/>
            </w:tcMar>
            <w:vAlign w:val="center"/>
          </w:tcPr>
          <w:p w14:paraId="47C2961E">
            <w:pPr>
              <w:kinsoku w:val="0"/>
              <w:overflowPunct w:val="0"/>
              <w:autoSpaceDE w:val="0"/>
              <w:autoSpaceDN w:val="0"/>
              <w:adjustRightInd w:val="0"/>
              <w:spacing w:line="360" w:lineRule="auto"/>
              <w:jc w:val="center"/>
              <w:rPr>
                <w:rFonts w:ascii="Arial" w:hAnsi="Arial" w:cs="Arial"/>
                <w:kern w:val="0"/>
                <w:szCs w:val="21"/>
                <w:highlight w:val="none"/>
              </w:rPr>
            </w:pPr>
          </w:p>
        </w:tc>
        <w:tc>
          <w:tcPr>
            <w:tcW w:w="2800" w:type="dxa"/>
            <w:gridSpan w:val="2"/>
            <w:noWrap w:val="0"/>
            <w:tcMar>
              <w:left w:w="0" w:type="dxa"/>
              <w:right w:w="0" w:type="dxa"/>
            </w:tcMar>
            <w:vAlign w:val="center"/>
          </w:tcPr>
          <w:p w14:paraId="0E0F56C5">
            <w:pPr>
              <w:kinsoku w:val="0"/>
              <w:overflowPunct w:val="0"/>
              <w:autoSpaceDE w:val="0"/>
              <w:autoSpaceDN w:val="0"/>
              <w:adjustRightInd w:val="0"/>
              <w:spacing w:line="360" w:lineRule="auto"/>
              <w:jc w:val="center"/>
              <w:rPr>
                <w:rFonts w:ascii="Arial" w:hAnsi="Arial" w:cs="Arial"/>
                <w:kern w:val="0"/>
                <w:szCs w:val="21"/>
                <w:highlight w:val="none"/>
              </w:rPr>
            </w:pPr>
          </w:p>
        </w:tc>
      </w:tr>
      <w:tr w14:paraId="64A976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2023" w:type="dxa"/>
            <w:gridSpan w:val="2"/>
            <w:noWrap w:val="0"/>
            <w:tcMar>
              <w:left w:w="0" w:type="dxa"/>
              <w:right w:w="0" w:type="dxa"/>
            </w:tcMar>
            <w:vAlign w:val="center"/>
          </w:tcPr>
          <w:p w14:paraId="1F449EE2">
            <w:pPr>
              <w:kinsoku w:val="0"/>
              <w:overflowPunct w:val="0"/>
              <w:autoSpaceDE w:val="0"/>
              <w:autoSpaceDN w:val="0"/>
              <w:adjustRightInd w:val="0"/>
              <w:spacing w:line="360" w:lineRule="auto"/>
              <w:jc w:val="center"/>
              <w:rPr>
                <w:rFonts w:ascii="Arial" w:hAnsi="Arial" w:cs="Arial"/>
                <w:kern w:val="0"/>
                <w:szCs w:val="21"/>
                <w:highlight w:val="none"/>
              </w:rPr>
            </w:pPr>
          </w:p>
        </w:tc>
        <w:tc>
          <w:tcPr>
            <w:tcW w:w="3422" w:type="dxa"/>
            <w:gridSpan w:val="4"/>
            <w:noWrap w:val="0"/>
            <w:tcMar>
              <w:left w:w="0" w:type="dxa"/>
              <w:right w:w="0" w:type="dxa"/>
            </w:tcMar>
            <w:vAlign w:val="center"/>
          </w:tcPr>
          <w:p w14:paraId="105F6433">
            <w:pPr>
              <w:kinsoku w:val="0"/>
              <w:overflowPunct w:val="0"/>
              <w:autoSpaceDE w:val="0"/>
              <w:autoSpaceDN w:val="0"/>
              <w:adjustRightInd w:val="0"/>
              <w:spacing w:line="360" w:lineRule="auto"/>
              <w:jc w:val="center"/>
              <w:rPr>
                <w:rFonts w:ascii="Arial" w:hAnsi="Arial" w:cs="Arial"/>
                <w:kern w:val="0"/>
                <w:szCs w:val="21"/>
                <w:highlight w:val="none"/>
              </w:rPr>
            </w:pPr>
          </w:p>
        </w:tc>
        <w:tc>
          <w:tcPr>
            <w:tcW w:w="1260" w:type="dxa"/>
            <w:noWrap w:val="0"/>
            <w:tcMar>
              <w:left w:w="0" w:type="dxa"/>
              <w:right w:w="0" w:type="dxa"/>
            </w:tcMar>
            <w:vAlign w:val="center"/>
          </w:tcPr>
          <w:p w14:paraId="3CD53660">
            <w:pPr>
              <w:kinsoku w:val="0"/>
              <w:overflowPunct w:val="0"/>
              <w:autoSpaceDE w:val="0"/>
              <w:autoSpaceDN w:val="0"/>
              <w:adjustRightInd w:val="0"/>
              <w:spacing w:line="360" w:lineRule="auto"/>
              <w:jc w:val="center"/>
              <w:rPr>
                <w:rFonts w:ascii="Arial" w:hAnsi="Arial" w:cs="Arial"/>
                <w:kern w:val="0"/>
                <w:szCs w:val="21"/>
                <w:highlight w:val="none"/>
              </w:rPr>
            </w:pPr>
          </w:p>
        </w:tc>
        <w:tc>
          <w:tcPr>
            <w:tcW w:w="2800" w:type="dxa"/>
            <w:gridSpan w:val="2"/>
            <w:noWrap w:val="0"/>
            <w:tcMar>
              <w:left w:w="0" w:type="dxa"/>
              <w:right w:w="0" w:type="dxa"/>
            </w:tcMar>
            <w:vAlign w:val="center"/>
          </w:tcPr>
          <w:p w14:paraId="6833DB04">
            <w:pPr>
              <w:kinsoku w:val="0"/>
              <w:overflowPunct w:val="0"/>
              <w:autoSpaceDE w:val="0"/>
              <w:autoSpaceDN w:val="0"/>
              <w:adjustRightInd w:val="0"/>
              <w:spacing w:line="360" w:lineRule="auto"/>
              <w:jc w:val="center"/>
              <w:rPr>
                <w:rFonts w:ascii="Arial" w:hAnsi="Arial" w:cs="Arial"/>
                <w:kern w:val="0"/>
                <w:szCs w:val="21"/>
                <w:highlight w:val="none"/>
              </w:rPr>
            </w:pPr>
          </w:p>
        </w:tc>
      </w:tr>
      <w:tr w14:paraId="69DCEE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2023" w:type="dxa"/>
            <w:gridSpan w:val="2"/>
            <w:noWrap w:val="0"/>
            <w:tcMar>
              <w:left w:w="0" w:type="dxa"/>
              <w:right w:w="0" w:type="dxa"/>
            </w:tcMar>
            <w:vAlign w:val="center"/>
          </w:tcPr>
          <w:p w14:paraId="2F3AE1FB">
            <w:pPr>
              <w:kinsoku w:val="0"/>
              <w:overflowPunct w:val="0"/>
              <w:autoSpaceDE w:val="0"/>
              <w:autoSpaceDN w:val="0"/>
              <w:adjustRightInd w:val="0"/>
              <w:spacing w:line="360" w:lineRule="auto"/>
              <w:jc w:val="center"/>
              <w:rPr>
                <w:rFonts w:ascii="Arial" w:hAnsi="Arial" w:cs="Arial"/>
                <w:kern w:val="0"/>
                <w:szCs w:val="21"/>
                <w:highlight w:val="none"/>
              </w:rPr>
            </w:pPr>
          </w:p>
        </w:tc>
        <w:tc>
          <w:tcPr>
            <w:tcW w:w="3422" w:type="dxa"/>
            <w:gridSpan w:val="4"/>
            <w:noWrap w:val="0"/>
            <w:tcMar>
              <w:left w:w="0" w:type="dxa"/>
              <w:right w:w="0" w:type="dxa"/>
            </w:tcMar>
            <w:vAlign w:val="center"/>
          </w:tcPr>
          <w:p w14:paraId="1C926191">
            <w:pPr>
              <w:kinsoku w:val="0"/>
              <w:overflowPunct w:val="0"/>
              <w:autoSpaceDE w:val="0"/>
              <w:autoSpaceDN w:val="0"/>
              <w:adjustRightInd w:val="0"/>
              <w:spacing w:line="360" w:lineRule="auto"/>
              <w:jc w:val="center"/>
              <w:rPr>
                <w:rFonts w:ascii="Arial" w:hAnsi="Arial" w:cs="Arial"/>
                <w:kern w:val="0"/>
                <w:szCs w:val="21"/>
                <w:highlight w:val="none"/>
              </w:rPr>
            </w:pPr>
          </w:p>
        </w:tc>
        <w:tc>
          <w:tcPr>
            <w:tcW w:w="1260" w:type="dxa"/>
            <w:noWrap w:val="0"/>
            <w:tcMar>
              <w:left w:w="0" w:type="dxa"/>
              <w:right w:w="0" w:type="dxa"/>
            </w:tcMar>
            <w:vAlign w:val="center"/>
          </w:tcPr>
          <w:p w14:paraId="25C0F060">
            <w:pPr>
              <w:kinsoku w:val="0"/>
              <w:overflowPunct w:val="0"/>
              <w:autoSpaceDE w:val="0"/>
              <w:autoSpaceDN w:val="0"/>
              <w:adjustRightInd w:val="0"/>
              <w:spacing w:line="360" w:lineRule="auto"/>
              <w:jc w:val="center"/>
              <w:rPr>
                <w:rFonts w:ascii="Arial" w:hAnsi="Arial" w:cs="Arial"/>
                <w:kern w:val="0"/>
                <w:szCs w:val="21"/>
                <w:highlight w:val="none"/>
              </w:rPr>
            </w:pPr>
          </w:p>
        </w:tc>
        <w:tc>
          <w:tcPr>
            <w:tcW w:w="2800" w:type="dxa"/>
            <w:gridSpan w:val="2"/>
            <w:noWrap w:val="0"/>
            <w:tcMar>
              <w:left w:w="0" w:type="dxa"/>
              <w:right w:w="0" w:type="dxa"/>
            </w:tcMar>
            <w:vAlign w:val="center"/>
          </w:tcPr>
          <w:p w14:paraId="0DC5465C">
            <w:pPr>
              <w:kinsoku w:val="0"/>
              <w:overflowPunct w:val="0"/>
              <w:autoSpaceDE w:val="0"/>
              <w:autoSpaceDN w:val="0"/>
              <w:adjustRightInd w:val="0"/>
              <w:spacing w:line="360" w:lineRule="auto"/>
              <w:jc w:val="center"/>
              <w:rPr>
                <w:rFonts w:ascii="Arial" w:hAnsi="Arial" w:cs="Arial"/>
                <w:kern w:val="0"/>
                <w:szCs w:val="21"/>
                <w:highlight w:val="none"/>
              </w:rPr>
            </w:pPr>
          </w:p>
        </w:tc>
      </w:tr>
      <w:tr w14:paraId="038C80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2023" w:type="dxa"/>
            <w:gridSpan w:val="2"/>
            <w:noWrap w:val="0"/>
            <w:tcMar>
              <w:left w:w="0" w:type="dxa"/>
              <w:right w:w="0" w:type="dxa"/>
            </w:tcMar>
            <w:vAlign w:val="center"/>
          </w:tcPr>
          <w:p w14:paraId="104FABA7">
            <w:pPr>
              <w:spacing w:line="360" w:lineRule="auto"/>
              <w:rPr>
                <w:rFonts w:ascii="Arial" w:hAnsi="Arial" w:cs="Arial"/>
                <w:szCs w:val="21"/>
                <w:highlight w:val="none"/>
              </w:rPr>
            </w:pPr>
          </w:p>
        </w:tc>
        <w:tc>
          <w:tcPr>
            <w:tcW w:w="3422" w:type="dxa"/>
            <w:gridSpan w:val="4"/>
            <w:noWrap w:val="0"/>
            <w:tcMar>
              <w:left w:w="0" w:type="dxa"/>
              <w:right w:w="0" w:type="dxa"/>
            </w:tcMar>
            <w:vAlign w:val="center"/>
          </w:tcPr>
          <w:p w14:paraId="4F9B8D16">
            <w:pPr>
              <w:spacing w:line="360" w:lineRule="auto"/>
              <w:rPr>
                <w:rFonts w:ascii="Arial" w:hAnsi="Arial" w:cs="Arial"/>
                <w:szCs w:val="21"/>
                <w:highlight w:val="none"/>
              </w:rPr>
            </w:pPr>
          </w:p>
        </w:tc>
        <w:tc>
          <w:tcPr>
            <w:tcW w:w="1260" w:type="dxa"/>
            <w:noWrap w:val="0"/>
            <w:tcMar>
              <w:left w:w="0" w:type="dxa"/>
              <w:right w:w="0" w:type="dxa"/>
            </w:tcMar>
            <w:vAlign w:val="center"/>
          </w:tcPr>
          <w:p w14:paraId="436A0929">
            <w:pPr>
              <w:spacing w:line="360" w:lineRule="auto"/>
              <w:rPr>
                <w:rFonts w:ascii="Arial" w:hAnsi="Arial" w:cs="Arial"/>
                <w:szCs w:val="21"/>
                <w:highlight w:val="none"/>
              </w:rPr>
            </w:pPr>
          </w:p>
        </w:tc>
        <w:tc>
          <w:tcPr>
            <w:tcW w:w="2800" w:type="dxa"/>
            <w:gridSpan w:val="2"/>
            <w:noWrap w:val="0"/>
            <w:tcMar>
              <w:left w:w="0" w:type="dxa"/>
              <w:right w:w="0" w:type="dxa"/>
            </w:tcMar>
            <w:vAlign w:val="center"/>
          </w:tcPr>
          <w:p w14:paraId="73243427">
            <w:pPr>
              <w:spacing w:line="360" w:lineRule="auto"/>
              <w:rPr>
                <w:rFonts w:ascii="Arial" w:hAnsi="Arial" w:cs="Arial"/>
                <w:szCs w:val="21"/>
                <w:highlight w:val="none"/>
              </w:rPr>
            </w:pPr>
          </w:p>
        </w:tc>
      </w:tr>
      <w:tr w14:paraId="567B36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2023" w:type="dxa"/>
            <w:gridSpan w:val="2"/>
            <w:noWrap w:val="0"/>
            <w:tcMar>
              <w:left w:w="0" w:type="dxa"/>
              <w:right w:w="0" w:type="dxa"/>
            </w:tcMar>
            <w:vAlign w:val="center"/>
          </w:tcPr>
          <w:p w14:paraId="7DD17212">
            <w:pPr>
              <w:spacing w:line="360" w:lineRule="auto"/>
              <w:rPr>
                <w:rFonts w:ascii="Arial" w:hAnsi="Arial" w:cs="Arial"/>
                <w:szCs w:val="21"/>
                <w:highlight w:val="none"/>
              </w:rPr>
            </w:pPr>
          </w:p>
        </w:tc>
        <w:tc>
          <w:tcPr>
            <w:tcW w:w="3422" w:type="dxa"/>
            <w:gridSpan w:val="4"/>
            <w:noWrap w:val="0"/>
            <w:tcMar>
              <w:left w:w="0" w:type="dxa"/>
              <w:right w:w="0" w:type="dxa"/>
            </w:tcMar>
            <w:vAlign w:val="center"/>
          </w:tcPr>
          <w:p w14:paraId="795A174E">
            <w:pPr>
              <w:spacing w:line="360" w:lineRule="auto"/>
              <w:rPr>
                <w:rFonts w:ascii="Arial" w:hAnsi="Arial" w:cs="Arial"/>
                <w:szCs w:val="21"/>
                <w:highlight w:val="none"/>
              </w:rPr>
            </w:pPr>
          </w:p>
        </w:tc>
        <w:tc>
          <w:tcPr>
            <w:tcW w:w="1260" w:type="dxa"/>
            <w:noWrap w:val="0"/>
            <w:tcMar>
              <w:left w:w="0" w:type="dxa"/>
              <w:right w:w="0" w:type="dxa"/>
            </w:tcMar>
            <w:vAlign w:val="center"/>
          </w:tcPr>
          <w:p w14:paraId="41F41826">
            <w:pPr>
              <w:spacing w:line="360" w:lineRule="auto"/>
              <w:rPr>
                <w:rFonts w:ascii="Arial" w:hAnsi="Arial" w:cs="Arial"/>
                <w:szCs w:val="21"/>
                <w:highlight w:val="none"/>
              </w:rPr>
            </w:pPr>
          </w:p>
        </w:tc>
        <w:tc>
          <w:tcPr>
            <w:tcW w:w="2800" w:type="dxa"/>
            <w:gridSpan w:val="2"/>
            <w:noWrap w:val="0"/>
            <w:tcMar>
              <w:left w:w="0" w:type="dxa"/>
              <w:right w:w="0" w:type="dxa"/>
            </w:tcMar>
            <w:vAlign w:val="center"/>
          </w:tcPr>
          <w:p w14:paraId="60516686">
            <w:pPr>
              <w:spacing w:line="360" w:lineRule="auto"/>
              <w:rPr>
                <w:rFonts w:ascii="Arial" w:hAnsi="Arial" w:cs="Arial"/>
                <w:szCs w:val="21"/>
                <w:highlight w:val="none"/>
              </w:rPr>
            </w:pPr>
          </w:p>
        </w:tc>
      </w:tr>
      <w:tr w14:paraId="693653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2023" w:type="dxa"/>
            <w:gridSpan w:val="2"/>
            <w:noWrap w:val="0"/>
            <w:tcMar>
              <w:left w:w="0" w:type="dxa"/>
              <w:right w:w="0" w:type="dxa"/>
            </w:tcMar>
            <w:vAlign w:val="center"/>
          </w:tcPr>
          <w:p w14:paraId="7AE4D22E">
            <w:pPr>
              <w:spacing w:line="360" w:lineRule="auto"/>
              <w:rPr>
                <w:rFonts w:ascii="Arial" w:hAnsi="Arial" w:cs="Arial"/>
                <w:szCs w:val="21"/>
                <w:highlight w:val="none"/>
              </w:rPr>
            </w:pPr>
          </w:p>
        </w:tc>
        <w:tc>
          <w:tcPr>
            <w:tcW w:w="3422" w:type="dxa"/>
            <w:gridSpan w:val="4"/>
            <w:noWrap w:val="0"/>
            <w:tcMar>
              <w:left w:w="0" w:type="dxa"/>
              <w:right w:w="0" w:type="dxa"/>
            </w:tcMar>
            <w:vAlign w:val="center"/>
          </w:tcPr>
          <w:p w14:paraId="5D63945A">
            <w:pPr>
              <w:spacing w:line="360" w:lineRule="auto"/>
              <w:rPr>
                <w:rFonts w:ascii="Arial" w:hAnsi="Arial" w:cs="Arial"/>
                <w:szCs w:val="21"/>
                <w:highlight w:val="none"/>
              </w:rPr>
            </w:pPr>
          </w:p>
        </w:tc>
        <w:tc>
          <w:tcPr>
            <w:tcW w:w="1260" w:type="dxa"/>
            <w:noWrap w:val="0"/>
            <w:tcMar>
              <w:left w:w="0" w:type="dxa"/>
              <w:right w:w="0" w:type="dxa"/>
            </w:tcMar>
            <w:vAlign w:val="center"/>
          </w:tcPr>
          <w:p w14:paraId="35845DA7">
            <w:pPr>
              <w:spacing w:line="360" w:lineRule="auto"/>
              <w:rPr>
                <w:rFonts w:ascii="Arial" w:hAnsi="Arial" w:cs="Arial"/>
                <w:szCs w:val="21"/>
                <w:highlight w:val="none"/>
              </w:rPr>
            </w:pPr>
          </w:p>
        </w:tc>
        <w:tc>
          <w:tcPr>
            <w:tcW w:w="2800" w:type="dxa"/>
            <w:gridSpan w:val="2"/>
            <w:noWrap w:val="0"/>
            <w:tcMar>
              <w:left w:w="0" w:type="dxa"/>
              <w:right w:w="0" w:type="dxa"/>
            </w:tcMar>
            <w:vAlign w:val="center"/>
          </w:tcPr>
          <w:p w14:paraId="231B2903">
            <w:pPr>
              <w:spacing w:line="360" w:lineRule="auto"/>
              <w:rPr>
                <w:rFonts w:ascii="Arial" w:hAnsi="Arial" w:cs="Arial"/>
                <w:szCs w:val="21"/>
                <w:highlight w:val="none"/>
              </w:rPr>
            </w:pPr>
          </w:p>
        </w:tc>
      </w:tr>
      <w:tr w14:paraId="1BC7F7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2023" w:type="dxa"/>
            <w:gridSpan w:val="2"/>
            <w:noWrap w:val="0"/>
            <w:tcMar>
              <w:left w:w="0" w:type="dxa"/>
              <w:right w:w="0" w:type="dxa"/>
            </w:tcMar>
            <w:vAlign w:val="center"/>
          </w:tcPr>
          <w:p w14:paraId="3B73B6C4">
            <w:pPr>
              <w:spacing w:line="360" w:lineRule="auto"/>
              <w:rPr>
                <w:rFonts w:ascii="Arial" w:hAnsi="Arial" w:cs="Arial"/>
                <w:szCs w:val="21"/>
                <w:highlight w:val="none"/>
              </w:rPr>
            </w:pPr>
          </w:p>
        </w:tc>
        <w:tc>
          <w:tcPr>
            <w:tcW w:w="3422" w:type="dxa"/>
            <w:gridSpan w:val="4"/>
            <w:noWrap w:val="0"/>
            <w:tcMar>
              <w:left w:w="0" w:type="dxa"/>
              <w:right w:w="0" w:type="dxa"/>
            </w:tcMar>
            <w:vAlign w:val="center"/>
          </w:tcPr>
          <w:p w14:paraId="52424A97">
            <w:pPr>
              <w:spacing w:line="360" w:lineRule="auto"/>
              <w:rPr>
                <w:rFonts w:ascii="Arial" w:hAnsi="Arial" w:cs="Arial"/>
                <w:szCs w:val="21"/>
                <w:highlight w:val="none"/>
              </w:rPr>
            </w:pPr>
          </w:p>
        </w:tc>
        <w:tc>
          <w:tcPr>
            <w:tcW w:w="1260" w:type="dxa"/>
            <w:noWrap w:val="0"/>
            <w:tcMar>
              <w:left w:w="0" w:type="dxa"/>
              <w:right w:w="0" w:type="dxa"/>
            </w:tcMar>
            <w:vAlign w:val="center"/>
          </w:tcPr>
          <w:p w14:paraId="7DADBB1B">
            <w:pPr>
              <w:spacing w:line="360" w:lineRule="auto"/>
              <w:rPr>
                <w:rFonts w:ascii="Arial" w:hAnsi="Arial" w:cs="Arial"/>
                <w:szCs w:val="21"/>
                <w:highlight w:val="none"/>
              </w:rPr>
            </w:pPr>
          </w:p>
        </w:tc>
        <w:tc>
          <w:tcPr>
            <w:tcW w:w="2800" w:type="dxa"/>
            <w:gridSpan w:val="2"/>
            <w:noWrap w:val="0"/>
            <w:tcMar>
              <w:left w:w="0" w:type="dxa"/>
              <w:right w:w="0" w:type="dxa"/>
            </w:tcMar>
            <w:vAlign w:val="center"/>
          </w:tcPr>
          <w:p w14:paraId="29F84C83">
            <w:pPr>
              <w:spacing w:line="360" w:lineRule="auto"/>
              <w:rPr>
                <w:rFonts w:ascii="Arial" w:hAnsi="Arial" w:cs="Arial"/>
                <w:szCs w:val="21"/>
                <w:highlight w:val="none"/>
              </w:rPr>
            </w:pPr>
          </w:p>
        </w:tc>
      </w:tr>
    </w:tbl>
    <w:p w14:paraId="2987E5DD">
      <w:pPr>
        <w:pStyle w:val="13"/>
        <w:spacing w:line="340" w:lineRule="exact"/>
        <w:ind w:left="657" w:leftChars="313" w:firstLine="4180" w:firstLineChars="1900"/>
        <w:rPr>
          <w:rFonts w:hAnsi="宋体" w:eastAsia="宋体" w:cs="宋体"/>
          <w:sz w:val="22"/>
          <w:szCs w:val="22"/>
          <w:highlight w:val="none"/>
        </w:rPr>
      </w:pPr>
    </w:p>
    <w:p w14:paraId="620BCD5C">
      <w:pPr>
        <w:pStyle w:val="13"/>
        <w:spacing w:line="340" w:lineRule="exact"/>
        <w:jc w:val="left"/>
        <w:rPr>
          <w:rFonts w:hAnsi="宋体" w:eastAsia="宋体" w:cs="宋体"/>
          <w:sz w:val="22"/>
          <w:szCs w:val="22"/>
          <w:highlight w:val="none"/>
        </w:rPr>
      </w:pPr>
      <w:r>
        <w:rPr>
          <w:rFonts w:hint="eastAsia" w:hAnsi="宋体" w:eastAsia="宋体" w:cs="宋体"/>
          <w:sz w:val="22"/>
          <w:szCs w:val="22"/>
          <w:highlight w:val="none"/>
        </w:rPr>
        <w:t>注：需提供学历证书、资格证书、职称证书、本单位社保证明等相关证件复印件加盖公章</w:t>
      </w:r>
    </w:p>
    <w:p w14:paraId="2868BC01">
      <w:pPr>
        <w:pStyle w:val="13"/>
        <w:spacing w:line="340" w:lineRule="exact"/>
        <w:jc w:val="left"/>
        <w:rPr>
          <w:rFonts w:hAnsi="宋体" w:eastAsia="宋体" w:cs="宋体"/>
          <w:sz w:val="22"/>
          <w:szCs w:val="22"/>
          <w:highlight w:val="none"/>
        </w:rPr>
      </w:pPr>
    </w:p>
    <w:p w14:paraId="27B7FE51">
      <w:pPr>
        <w:pStyle w:val="13"/>
        <w:spacing w:line="340" w:lineRule="exact"/>
        <w:jc w:val="left"/>
        <w:rPr>
          <w:rFonts w:hAnsi="宋体" w:eastAsia="宋体" w:cs="宋体"/>
          <w:sz w:val="22"/>
          <w:szCs w:val="22"/>
          <w:highlight w:val="none"/>
        </w:rPr>
      </w:pPr>
    </w:p>
    <w:p w14:paraId="19734C83">
      <w:pPr>
        <w:pStyle w:val="13"/>
        <w:spacing w:line="340" w:lineRule="exact"/>
        <w:jc w:val="left"/>
        <w:rPr>
          <w:rFonts w:hAnsi="宋体" w:eastAsia="宋体" w:cs="宋体"/>
          <w:sz w:val="22"/>
          <w:szCs w:val="22"/>
          <w:highlight w:val="none"/>
        </w:rPr>
      </w:pPr>
    </w:p>
    <w:p w14:paraId="5F1D04EF">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投标供应商全称（盖章）：</w:t>
      </w:r>
    </w:p>
    <w:p w14:paraId="6F400078">
      <w:pPr>
        <w:spacing w:line="360" w:lineRule="auto"/>
        <w:rPr>
          <w:rFonts w:ascii="宋体" w:hAnsi="宋体" w:eastAsia="宋体" w:cs="宋体"/>
          <w:sz w:val="22"/>
          <w:szCs w:val="22"/>
          <w:highlight w:val="none"/>
        </w:rPr>
      </w:pPr>
      <w:r>
        <w:rPr>
          <w:rFonts w:hint="eastAsia" w:ascii="宋体" w:hAnsi="宋体" w:eastAsia="宋体" w:cs="宋体"/>
          <w:sz w:val="22"/>
          <w:szCs w:val="22"/>
          <w:highlight w:val="none"/>
          <w:lang w:val="zh-CN"/>
        </w:rPr>
        <w:t>法定代表人或授权代表（签字或盖章）</w:t>
      </w:r>
      <w:r>
        <w:rPr>
          <w:rFonts w:hint="eastAsia" w:ascii="宋体" w:hAnsi="宋体" w:eastAsia="宋体" w:cs="宋体"/>
          <w:sz w:val="22"/>
          <w:szCs w:val="22"/>
          <w:highlight w:val="none"/>
        </w:rPr>
        <w:t>：</w:t>
      </w:r>
    </w:p>
    <w:p w14:paraId="48114427">
      <w:pPr>
        <w:pStyle w:val="13"/>
        <w:spacing w:line="360" w:lineRule="auto"/>
        <w:jc w:val="left"/>
        <w:rPr>
          <w:rFonts w:hAnsi="宋体" w:eastAsia="宋体" w:cs="宋体"/>
          <w:sz w:val="22"/>
          <w:szCs w:val="22"/>
          <w:highlight w:val="none"/>
        </w:rPr>
      </w:pPr>
      <w:r>
        <w:rPr>
          <w:rFonts w:hint="eastAsia" w:hAnsi="宋体" w:eastAsia="宋体" w:cs="宋体"/>
          <w:sz w:val="22"/>
          <w:szCs w:val="22"/>
          <w:highlight w:val="none"/>
        </w:rPr>
        <w:t xml:space="preserve">日    期：       </w:t>
      </w:r>
    </w:p>
    <w:p w14:paraId="4DF906CA">
      <w:pPr>
        <w:spacing w:line="360" w:lineRule="auto"/>
        <w:rPr>
          <w:rFonts w:ascii="宋体" w:hAnsi="宋体" w:eastAsia="宋体" w:cs="宋体"/>
          <w:b/>
          <w:sz w:val="22"/>
          <w:szCs w:val="22"/>
          <w:highlight w:val="none"/>
        </w:rPr>
      </w:pPr>
    </w:p>
    <w:p w14:paraId="1EA544A2">
      <w:pPr>
        <w:pStyle w:val="3"/>
        <w:rPr>
          <w:rFonts w:ascii="宋体" w:hAnsi="宋体" w:eastAsia="宋体" w:cs="宋体"/>
          <w:b/>
          <w:sz w:val="22"/>
          <w:szCs w:val="22"/>
          <w:highlight w:val="none"/>
        </w:rPr>
      </w:pPr>
    </w:p>
    <w:p w14:paraId="74048AD9">
      <w:pPr>
        <w:pStyle w:val="2"/>
        <w:ind w:firstLine="221"/>
        <w:rPr>
          <w:rFonts w:ascii="宋体" w:hAnsi="宋体" w:eastAsia="宋体" w:cs="宋体"/>
          <w:b/>
          <w:sz w:val="22"/>
          <w:szCs w:val="22"/>
          <w:highlight w:val="none"/>
        </w:rPr>
      </w:pPr>
    </w:p>
    <w:p w14:paraId="04BCCDE8">
      <w:pPr>
        <w:rPr>
          <w:rFonts w:ascii="宋体" w:hAnsi="宋体" w:eastAsia="宋体" w:cs="宋体"/>
          <w:b/>
          <w:sz w:val="22"/>
          <w:szCs w:val="22"/>
          <w:highlight w:val="none"/>
        </w:rPr>
      </w:pPr>
    </w:p>
    <w:p w14:paraId="6419F247">
      <w:pPr>
        <w:pStyle w:val="3"/>
        <w:rPr>
          <w:rFonts w:ascii="宋体" w:hAnsi="宋体" w:eastAsia="宋体" w:cs="宋体"/>
          <w:highlight w:val="none"/>
        </w:rPr>
      </w:pPr>
    </w:p>
    <w:p w14:paraId="12CFE52A">
      <w:pPr>
        <w:jc w:val="center"/>
        <w:rPr>
          <w:rFonts w:eastAsia="新宋体"/>
          <w:b/>
          <w:sz w:val="28"/>
          <w:szCs w:val="21"/>
          <w:highlight w:val="none"/>
        </w:rPr>
      </w:pPr>
      <w:r>
        <w:rPr>
          <w:rFonts w:hint="eastAsia" w:eastAsia="新宋体"/>
          <w:b/>
          <w:sz w:val="28"/>
          <w:szCs w:val="21"/>
          <w:highlight w:val="none"/>
        </w:rPr>
        <w:t>拟投入的项目实施人员名单</w:t>
      </w:r>
    </w:p>
    <w:p w14:paraId="7632DF85">
      <w:pPr>
        <w:rPr>
          <w:rFonts w:eastAsia="新宋体"/>
          <w:sz w:val="22"/>
          <w:highlight w:val="none"/>
        </w:rPr>
      </w:pPr>
      <w:r>
        <w:rPr>
          <w:rFonts w:hint="eastAsia" w:eastAsia="新宋体"/>
          <w:b/>
          <w:sz w:val="24"/>
          <w:highlight w:val="none"/>
        </w:rPr>
        <w:t>项目名称：</w:t>
      </w:r>
      <w:r>
        <w:rPr>
          <w:rFonts w:hint="eastAsia" w:eastAsia="新宋体"/>
          <w:b/>
          <w:sz w:val="22"/>
          <w:highlight w:val="none"/>
        </w:rPr>
        <w:t xml:space="preserve">                                         项目编号：</w:t>
      </w:r>
      <w:r>
        <w:rPr>
          <w:rFonts w:hint="eastAsia" w:eastAsia="新宋体"/>
          <w:sz w:val="22"/>
          <w:highlight w:val="none"/>
        </w:rPr>
        <w:t xml:space="preserve"> </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09"/>
        <w:gridCol w:w="784"/>
        <w:gridCol w:w="944"/>
        <w:gridCol w:w="1107"/>
        <w:gridCol w:w="1198"/>
        <w:gridCol w:w="1340"/>
        <w:gridCol w:w="2807"/>
      </w:tblGrid>
      <w:tr w14:paraId="438B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282" w:type="pct"/>
            <w:vAlign w:val="center"/>
          </w:tcPr>
          <w:p w14:paraId="06CE9479">
            <w:pPr>
              <w:rPr>
                <w:rFonts w:ascii="宋体" w:hAnsi="宋体"/>
                <w:bCs/>
                <w:sz w:val="22"/>
                <w:szCs w:val="22"/>
                <w:highlight w:val="none"/>
              </w:rPr>
            </w:pPr>
            <w:r>
              <w:rPr>
                <w:rFonts w:hint="eastAsia" w:ascii="宋体" w:hAnsi="宋体"/>
                <w:bCs/>
                <w:sz w:val="22"/>
                <w:szCs w:val="22"/>
                <w:highlight w:val="none"/>
              </w:rPr>
              <w:t>序号</w:t>
            </w:r>
          </w:p>
        </w:tc>
        <w:tc>
          <w:tcPr>
            <w:tcW w:w="563" w:type="pct"/>
            <w:vAlign w:val="center"/>
          </w:tcPr>
          <w:p w14:paraId="5ABF511A">
            <w:pPr>
              <w:jc w:val="center"/>
              <w:rPr>
                <w:rFonts w:ascii="宋体" w:hAnsi="宋体"/>
                <w:bCs/>
                <w:sz w:val="22"/>
                <w:szCs w:val="22"/>
                <w:highlight w:val="none"/>
              </w:rPr>
            </w:pPr>
            <w:r>
              <w:rPr>
                <w:rFonts w:hint="eastAsia" w:ascii="宋体" w:hAnsi="宋体"/>
                <w:bCs/>
                <w:sz w:val="22"/>
                <w:szCs w:val="22"/>
                <w:highlight w:val="none"/>
              </w:rPr>
              <w:t>姓名</w:t>
            </w:r>
          </w:p>
        </w:tc>
        <w:tc>
          <w:tcPr>
            <w:tcW w:w="398" w:type="pct"/>
            <w:vAlign w:val="center"/>
          </w:tcPr>
          <w:p w14:paraId="791E8A78">
            <w:pPr>
              <w:jc w:val="center"/>
              <w:rPr>
                <w:rFonts w:ascii="宋体" w:hAnsi="宋体"/>
                <w:bCs/>
                <w:sz w:val="22"/>
                <w:szCs w:val="22"/>
                <w:highlight w:val="none"/>
              </w:rPr>
            </w:pPr>
            <w:r>
              <w:rPr>
                <w:rFonts w:hint="eastAsia" w:ascii="宋体" w:hAnsi="宋体"/>
                <w:bCs/>
                <w:sz w:val="22"/>
                <w:szCs w:val="22"/>
                <w:highlight w:val="none"/>
              </w:rPr>
              <w:t>性别</w:t>
            </w:r>
          </w:p>
        </w:tc>
        <w:tc>
          <w:tcPr>
            <w:tcW w:w="479" w:type="pct"/>
            <w:vAlign w:val="center"/>
          </w:tcPr>
          <w:p w14:paraId="687486F2">
            <w:pPr>
              <w:jc w:val="center"/>
              <w:rPr>
                <w:rFonts w:ascii="宋体" w:hAnsi="宋体"/>
                <w:bCs/>
                <w:sz w:val="22"/>
                <w:szCs w:val="22"/>
                <w:highlight w:val="none"/>
              </w:rPr>
            </w:pPr>
            <w:r>
              <w:rPr>
                <w:rFonts w:hint="eastAsia" w:ascii="宋体" w:hAnsi="宋体"/>
                <w:bCs/>
                <w:sz w:val="22"/>
                <w:szCs w:val="22"/>
                <w:highlight w:val="none"/>
              </w:rPr>
              <w:t>年龄</w:t>
            </w:r>
          </w:p>
        </w:tc>
        <w:tc>
          <w:tcPr>
            <w:tcW w:w="562" w:type="pct"/>
            <w:vAlign w:val="center"/>
          </w:tcPr>
          <w:p w14:paraId="550928B2">
            <w:pPr>
              <w:jc w:val="center"/>
              <w:rPr>
                <w:rFonts w:ascii="宋体" w:hAnsi="宋体"/>
                <w:bCs/>
                <w:sz w:val="22"/>
                <w:szCs w:val="22"/>
                <w:highlight w:val="none"/>
              </w:rPr>
            </w:pPr>
            <w:r>
              <w:rPr>
                <w:rFonts w:hint="eastAsia" w:ascii="宋体" w:hAnsi="宋体"/>
                <w:bCs/>
                <w:sz w:val="22"/>
                <w:szCs w:val="22"/>
                <w:highlight w:val="none"/>
              </w:rPr>
              <w:t>专业/年限</w:t>
            </w:r>
          </w:p>
        </w:tc>
        <w:tc>
          <w:tcPr>
            <w:tcW w:w="608" w:type="pct"/>
            <w:vAlign w:val="center"/>
          </w:tcPr>
          <w:p w14:paraId="32BC5F07">
            <w:pPr>
              <w:jc w:val="center"/>
              <w:rPr>
                <w:rFonts w:ascii="宋体" w:hAnsi="宋体"/>
                <w:bCs/>
                <w:sz w:val="22"/>
                <w:szCs w:val="22"/>
                <w:highlight w:val="none"/>
              </w:rPr>
            </w:pPr>
            <w:r>
              <w:rPr>
                <w:rFonts w:hint="eastAsia" w:ascii="宋体" w:hAnsi="宋体"/>
                <w:bCs/>
                <w:sz w:val="22"/>
                <w:szCs w:val="22"/>
                <w:highlight w:val="none"/>
              </w:rPr>
              <w:t>职称/</w:t>
            </w:r>
            <w:r>
              <w:rPr>
                <w:rFonts w:hint="eastAsia" w:ascii="宋体" w:hAnsi="宋体"/>
                <w:sz w:val="22"/>
                <w:szCs w:val="22"/>
                <w:highlight w:val="none"/>
              </w:rPr>
              <w:t>资格</w:t>
            </w:r>
          </w:p>
        </w:tc>
        <w:tc>
          <w:tcPr>
            <w:tcW w:w="680" w:type="pct"/>
            <w:vAlign w:val="center"/>
          </w:tcPr>
          <w:p w14:paraId="645C147E">
            <w:pPr>
              <w:jc w:val="center"/>
              <w:rPr>
                <w:rFonts w:ascii="宋体" w:hAnsi="宋体"/>
                <w:bCs/>
                <w:sz w:val="22"/>
                <w:szCs w:val="22"/>
                <w:highlight w:val="none"/>
              </w:rPr>
            </w:pPr>
            <w:r>
              <w:rPr>
                <w:rFonts w:hint="eastAsia" w:ascii="宋体" w:hAnsi="宋体"/>
                <w:bCs/>
                <w:sz w:val="22"/>
                <w:szCs w:val="22"/>
                <w:highlight w:val="none"/>
              </w:rPr>
              <w:t>拟担任何种工作/职务</w:t>
            </w:r>
          </w:p>
        </w:tc>
        <w:tc>
          <w:tcPr>
            <w:tcW w:w="1425" w:type="pct"/>
            <w:vAlign w:val="center"/>
          </w:tcPr>
          <w:p w14:paraId="54520A08">
            <w:pPr>
              <w:jc w:val="center"/>
              <w:rPr>
                <w:rFonts w:ascii="宋体" w:hAnsi="宋体"/>
                <w:bCs/>
                <w:sz w:val="22"/>
                <w:szCs w:val="22"/>
                <w:highlight w:val="none"/>
              </w:rPr>
            </w:pPr>
            <w:r>
              <w:rPr>
                <w:rFonts w:hint="eastAsia" w:ascii="宋体" w:hAnsi="宋体"/>
                <w:bCs/>
                <w:sz w:val="22"/>
                <w:szCs w:val="22"/>
                <w:highlight w:val="none"/>
              </w:rPr>
              <w:t>类似服务的经历、业绩、是否有上岗证等介绍（或另附简历）</w:t>
            </w:r>
          </w:p>
        </w:tc>
      </w:tr>
      <w:tr w14:paraId="7485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295270FA">
            <w:pPr>
              <w:rPr>
                <w:rFonts w:ascii="宋体" w:hAnsi="宋体"/>
                <w:sz w:val="22"/>
                <w:szCs w:val="22"/>
                <w:highlight w:val="none"/>
              </w:rPr>
            </w:pPr>
          </w:p>
        </w:tc>
        <w:tc>
          <w:tcPr>
            <w:tcW w:w="563" w:type="pct"/>
            <w:vAlign w:val="center"/>
          </w:tcPr>
          <w:p w14:paraId="4256CA4F">
            <w:pPr>
              <w:rPr>
                <w:rFonts w:ascii="宋体" w:hAnsi="宋体"/>
                <w:sz w:val="22"/>
                <w:szCs w:val="22"/>
                <w:highlight w:val="none"/>
              </w:rPr>
            </w:pPr>
          </w:p>
        </w:tc>
        <w:tc>
          <w:tcPr>
            <w:tcW w:w="398" w:type="pct"/>
            <w:vAlign w:val="center"/>
          </w:tcPr>
          <w:p w14:paraId="62395973">
            <w:pPr>
              <w:rPr>
                <w:rFonts w:ascii="宋体" w:hAnsi="宋体"/>
                <w:sz w:val="22"/>
                <w:szCs w:val="22"/>
                <w:highlight w:val="none"/>
              </w:rPr>
            </w:pPr>
          </w:p>
        </w:tc>
        <w:tc>
          <w:tcPr>
            <w:tcW w:w="479" w:type="pct"/>
            <w:vAlign w:val="center"/>
          </w:tcPr>
          <w:p w14:paraId="2CA43662">
            <w:pPr>
              <w:rPr>
                <w:rFonts w:ascii="宋体" w:hAnsi="宋体"/>
                <w:sz w:val="22"/>
                <w:szCs w:val="22"/>
                <w:highlight w:val="none"/>
              </w:rPr>
            </w:pPr>
          </w:p>
        </w:tc>
        <w:tc>
          <w:tcPr>
            <w:tcW w:w="562" w:type="pct"/>
            <w:vAlign w:val="center"/>
          </w:tcPr>
          <w:p w14:paraId="5CD160E7">
            <w:pPr>
              <w:rPr>
                <w:rFonts w:ascii="宋体" w:hAnsi="宋体"/>
                <w:sz w:val="22"/>
                <w:szCs w:val="22"/>
                <w:highlight w:val="none"/>
              </w:rPr>
            </w:pPr>
          </w:p>
        </w:tc>
        <w:tc>
          <w:tcPr>
            <w:tcW w:w="608" w:type="pct"/>
            <w:vAlign w:val="center"/>
          </w:tcPr>
          <w:p w14:paraId="47A4AB05">
            <w:pPr>
              <w:rPr>
                <w:rFonts w:ascii="宋体" w:hAnsi="宋体"/>
                <w:sz w:val="22"/>
                <w:szCs w:val="22"/>
                <w:highlight w:val="none"/>
              </w:rPr>
            </w:pPr>
          </w:p>
        </w:tc>
        <w:tc>
          <w:tcPr>
            <w:tcW w:w="680" w:type="pct"/>
            <w:vAlign w:val="center"/>
          </w:tcPr>
          <w:p w14:paraId="65AAD692">
            <w:pPr>
              <w:rPr>
                <w:rFonts w:ascii="宋体" w:hAnsi="宋体"/>
                <w:sz w:val="22"/>
                <w:szCs w:val="22"/>
                <w:highlight w:val="none"/>
              </w:rPr>
            </w:pPr>
          </w:p>
        </w:tc>
        <w:tc>
          <w:tcPr>
            <w:tcW w:w="1425" w:type="pct"/>
            <w:vAlign w:val="center"/>
          </w:tcPr>
          <w:p w14:paraId="0FE311FC">
            <w:pPr>
              <w:rPr>
                <w:rFonts w:ascii="宋体" w:hAnsi="宋体"/>
                <w:sz w:val="22"/>
                <w:szCs w:val="22"/>
                <w:highlight w:val="none"/>
              </w:rPr>
            </w:pPr>
          </w:p>
        </w:tc>
      </w:tr>
      <w:tr w14:paraId="0A6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0EDB93FE">
            <w:pPr>
              <w:rPr>
                <w:rFonts w:ascii="宋体" w:hAnsi="宋体"/>
                <w:sz w:val="22"/>
                <w:szCs w:val="22"/>
                <w:highlight w:val="none"/>
              </w:rPr>
            </w:pPr>
          </w:p>
        </w:tc>
        <w:tc>
          <w:tcPr>
            <w:tcW w:w="563" w:type="pct"/>
            <w:vAlign w:val="center"/>
          </w:tcPr>
          <w:p w14:paraId="48D31F91">
            <w:pPr>
              <w:rPr>
                <w:rFonts w:ascii="宋体" w:hAnsi="宋体"/>
                <w:sz w:val="22"/>
                <w:szCs w:val="22"/>
                <w:highlight w:val="none"/>
              </w:rPr>
            </w:pPr>
          </w:p>
        </w:tc>
        <w:tc>
          <w:tcPr>
            <w:tcW w:w="398" w:type="pct"/>
            <w:vAlign w:val="center"/>
          </w:tcPr>
          <w:p w14:paraId="1DE70166">
            <w:pPr>
              <w:rPr>
                <w:rFonts w:ascii="宋体" w:hAnsi="宋体"/>
                <w:sz w:val="22"/>
                <w:szCs w:val="22"/>
                <w:highlight w:val="none"/>
              </w:rPr>
            </w:pPr>
          </w:p>
        </w:tc>
        <w:tc>
          <w:tcPr>
            <w:tcW w:w="479" w:type="pct"/>
            <w:vAlign w:val="center"/>
          </w:tcPr>
          <w:p w14:paraId="0C99EDC0">
            <w:pPr>
              <w:rPr>
                <w:rFonts w:ascii="宋体" w:hAnsi="宋体"/>
                <w:sz w:val="22"/>
                <w:szCs w:val="22"/>
                <w:highlight w:val="none"/>
              </w:rPr>
            </w:pPr>
          </w:p>
        </w:tc>
        <w:tc>
          <w:tcPr>
            <w:tcW w:w="562" w:type="pct"/>
            <w:vAlign w:val="center"/>
          </w:tcPr>
          <w:p w14:paraId="5FA56D16">
            <w:pPr>
              <w:rPr>
                <w:rFonts w:ascii="宋体" w:hAnsi="宋体"/>
                <w:sz w:val="22"/>
                <w:szCs w:val="22"/>
                <w:highlight w:val="none"/>
              </w:rPr>
            </w:pPr>
          </w:p>
        </w:tc>
        <w:tc>
          <w:tcPr>
            <w:tcW w:w="608" w:type="pct"/>
            <w:vAlign w:val="center"/>
          </w:tcPr>
          <w:p w14:paraId="6073F1F7">
            <w:pPr>
              <w:rPr>
                <w:rFonts w:ascii="宋体" w:hAnsi="宋体"/>
                <w:sz w:val="22"/>
                <w:szCs w:val="22"/>
                <w:highlight w:val="none"/>
              </w:rPr>
            </w:pPr>
          </w:p>
        </w:tc>
        <w:tc>
          <w:tcPr>
            <w:tcW w:w="680" w:type="pct"/>
            <w:vAlign w:val="center"/>
          </w:tcPr>
          <w:p w14:paraId="0F9850A2">
            <w:pPr>
              <w:rPr>
                <w:rFonts w:ascii="宋体" w:hAnsi="宋体"/>
                <w:sz w:val="22"/>
                <w:szCs w:val="22"/>
                <w:highlight w:val="none"/>
              </w:rPr>
            </w:pPr>
          </w:p>
        </w:tc>
        <w:tc>
          <w:tcPr>
            <w:tcW w:w="1425" w:type="pct"/>
            <w:vAlign w:val="center"/>
          </w:tcPr>
          <w:p w14:paraId="75F86F09">
            <w:pPr>
              <w:pStyle w:val="14"/>
              <w:ind w:left="5250"/>
              <w:rPr>
                <w:rFonts w:ascii="宋体" w:hAnsi="宋体"/>
                <w:sz w:val="22"/>
                <w:szCs w:val="22"/>
                <w:highlight w:val="none"/>
              </w:rPr>
            </w:pPr>
          </w:p>
        </w:tc>
      </w:tr>
      <w:tr w14:paraId="7B8C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14798401">
            <w:pPr>
              <w:rPr>
                <w:rFonts w:ascii="宋体" w:hAnsi="宋体"/>
                <w:sz w:val="22"/>
                <w:szCs w:val="22"/>
                <w:highlight w:val="none"/>
              </w:rPr>
            </w:pPr>
          </w:p>
        </w:tc>
        <w:tc>
          <w:tcPr>
            <w:tcW w:w="563" w:type="pct"/>
            <w:vAlign w:val="center"/>
          </w:tcPr>
          <w:p w14:paraId="614B102F">
            <w:pPr>
              <w:rPr>
                <w:rFonts w:ascii="宋体" w:hAnsi="宋体"/>
                <w:sz w:val="22"/>
                <w:szCs w:val="22"/>
                <w:highlight w:val="none"/>
              </w:rPr>
            </w:pPr>
          </w:p>
        </w:tc>
        <w:tc>
          <w:tcPr>
            <w:tcW w:w="398" w:type="pct"/>
            <w:vAlign w:val="center"/>
          </w:tcPr>
          <w:p w14:paraId="3E9CB6D8">
            <w:pPr>
              <w:rPr>
                <w:rFonts w:ascii="宋体" w:hAnsi="宋体"/>
                <w:sz w:val="22"/>
                <w:szCs w:val="22"/>
                <w:highlight w:val="none"/>
              </w:rPr>
            </w:pPr>
          </w:p>
        </w:tc>
        <w:tc>
          <w:tcPr>
            <w:tcW w:w="479" w:type="pct"/>
            <w:vAlign w:val="center"/>
          </w:tcPr>
          <w:p w14:paraId="4DF22A01">
            <w:pPr>
              <w:rPr>
                <w:rFonts w:ascii="宋体" w:hAnsi="宋体"/>
                <w:sz w:val="22"/>
                <w:szCs w:val="22"/>
                <w:highlight w:val="none"/>
              </w:rPr>
            </w:pPr>
          </w:p>
        </w:tc>
        <w:tc>
          <w:tcPr>
            <w:tcW w:w="562" w:type="pct"/>
            <w:vAlign w:val="center"/>
          </w:tcPr>
          <w:p w14:paraId="3AB2B861">
            <w:pPr>
              <w:rPr>
                <w:rFonts w:ascii="宋体" w:hAnsi="宋体"/>
                <w:sz w:val="22"/>
                <w:szCs w:val="22"/>
                <w:highlight w:val="none"/>
              </w:rPr>
            </w:pPr>
          </w:p>
        </w:tc>
        <w:tc>
          <w:tcPr>
            <w:tcW w:w="608" w:type="pct"/>
            <w:vAlign w:val="center"/>
          </w:tcPr>
          <w:p w14:paraId="6773BE66">
            <w:pPr>
              <w:rPr>
                <w:rFonts w:ascii="宋体" w:hAnsi="宋体"/>
                <w:sz w:val="22"/>
                <w:szCs w:val="22"/>
                <w:highlight w:val="none"/>
              </w:rPr>
            </w:pPr>
          </w:p>
        </w:tc>
        <w:tc>
          <w:tcPr>
            <w:tcW w:w="680" w:type="pct"/>
            <w:vAlign w:val="center"/>
          </w:tcPr>
          <w:p w14:paraId="528D8F1F">
            <w:pPr>
              <w:rPr>
                <w:rFonts w:ascii="宋体" w:hAnsi="宋体"/>
                <w:sz w:val="22"/>
                <w:szCs w:val="22"/>
                <w:highlight w:val="none"/>
              </w:rPr>
            </w:pPr>
          </w:p>
        </w:tc>
        <w:tc>
          <w:tcPr>
            <w:tcW w:w="1425" w:type="pct"/>
            <w:vAlign w:val="center"/>
          </w:tcPr>
          <w:p w14:paraId="579A210E">
            <w:pPr>
              <w:rPr>
                <w:rFonts w:ascii="宋体" w:hAnsi="宋体"/>
                <w:sz w:val="22"/>
                <w:szCs w:val="22"/>
                <w:highlight w:val="none"/>
              </w:rPr>
            </w:pPr>
          </w:p>
        </w:tc>
      </w:tr>
      <w:tr w14:paraId="08C8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3C656D5B">
            <w:pPr>
              <w:rPr>
                <w:rFonts w:ascii="宋体" w:hAnsi="宋体"/>
                <w:sz w:val="22"/>
                <w:szCs w:val="22"/>
                <w:highlight w:val="none"/>
              </w:rPr>
            </w:pPr>
          </w:p>
        </w:tc>
        <w:tc>
          <w:tcPr>
            <w:tcW w:w="563" w:type="pct"/>
            <w:vAlign w:val="center"/>
          </w:tcPr>
          <w:p w14:paraId="5A1CDBBE">
            <w:pPr>
              <w:rPr>
                <w:rFonts w:ascii="宋体" w:hAnsi="宋体"/>
                <w:sz w:val="22"/>
                <w:szCs w:val="22"/>
                <w:highlight w:val="none"/>
              </w:rPr>
            </w:pPr>
          </w:p>
        </w:tc>
        <w:tc>
          <w:tcPr>
            <w:tcW w:w="398" w:type="pct"/>
            <w:vAlign w:val="center"/>
          </w:tcPr>
          <w:p w14:paraId="42619A80">
            <w:pPr>
              <w:rPr>
                <w:rFonts w:ascii="宋体" w:hAnsi="宋体"/>
                <w:sz w:val="22"/>
                <w:szCs w:val="22"/>
                <w:highlight w:val="none"/>
              </w:rPr>
            </w:pPr>
          </w:p>
        </w:tc>
        <w:tc>
          <w:tcPr>
            <w:tcW w:w="479" w:type="pct"/>
            <w:vAlign w:val="center"/>
          </w:tcPr>
          <w:p w14:paraId="2A7E8110">
            <w:pPr>
              <w:rPr>
                <w:rFonts w:ascii="宋体" w:hAnsi="宋体"/>
                <w:sz w:val="22"/>
                <w:szCs w:val="22"/>
                <w:highlight w:val="none"/>
              </w:rPr>
            </w:pPr>
          </w:p>
        </w:tc>
        <w:tc>
          <w:tcPr>
            <w:tcW w:w="562" w:type="pct"/>
            <w:vAlign w:val="center"/>
          </w:tcPr>
          <w:p w14:paraId="42183FAE">
            <w:pPr>
              <w:rPr>
                <w:rFonts w:ascii="宋体" w:hAnsi="宋体"/>
                <w:sz w:val="22"/>
                <w:szCs w:val="22"/>
                <w:highlight w:val="none"/>
              </w:rPr>
            </w:pPr>
          </w:p>
        </w:tc>
        <w:tc>
          <w:tcPr>
            <w:tcW w:w="608" w:type="pct"/>
            <w:vAlign w:val="center"/>
          </w:tcPr>
          <w:p w14:paraId="72D2C19B">
            <w:pPr>
              <w:rPr>
                <w:rFonts w:ascii="宋体" w:hAnsi="宋体"/>
                <w:sz w:val="22"/>
                <w:szCs w:val="22"/>
                <w:highlight w:val="none"/>
              </w:rPr>
            </w:pPr>
          </w:p>
        </w:tc>
        <w:tc>
          <w:tcPr>
            <w:tcW w:w="680" w:type="pct"/>
            <w:vAlign w:val="center"/>
          </w:tcPr>
          <w:p w14:paraId="6A8AE2AD">
            <w:pPr>
              <w:rPr>
                <w:rFonts w:ascii="宋体" w:hAnsi="宋体"/>
                <w:sz w:val="22"/>
                <w:szCs w:val="22"/>
                <w:highlight w:val="none"/>
              </w:rPr>
            </w:pPr>
          </w:p>
        </w:tc>
        <w:tc>
          <w:tcPr>
            <w:tcW w:w="1425" w:type="pct"/>
            <w:vAlign w:val="center"/>
          </w:tcPr>
          <w:p w14:paraId="4BA68D40">
            <w:pPr>
              <w:rPr>
                <w:rFonts w:ascii="宋体" w:hAnsi="宋体"/>
                <w:sz w:val="22"/>
                <w:szCs w:val="22"/>
                <w:highlight w:val="none"/>
              </w:rPr>
            </w:pPr>
          </w:p>
        </w:tc>
      </w:tr>
      <w:tr w14:paraId="4416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03FA2E44">
            <w:pPr>
              <w:rPr>
                <w:rFonts w:ascii="宋体" w:hAnsi="宋体"/>
                <w:sz w:val="22"/>
                <w:szCs w:val="22"/>
                <w:highlight w:val="none"/>
              </w:rPr>
            </w:pPr>
          </w:p>
        </w:tc>
        <w:tc>
          <w:tcPr>
            <w:tcW w:w="563" w:type="pct"/>
            <w:vAlign w:val="center"/>
          </w:tcPr>
          <w:p w14:paraId="757AB8EE">
            <w:pPr>
              <w:rPr>
                <w:rFonts w:ascii="宋体" w:hAnsi="宋体"/>
                <w:sz w:val="22"/>
                <w:szCs w:val="22"/>
                <w:highlight w:val="none"/>
              </w:rPr>
            </w:pPr>
          </w:p>
        </w:tc>
        <w:tc>
          <w:tcPr>
            <w:tcW w:w="398" w:type="pct"/>
            <w:vAlign w:val="center"/>
          </w:tcPr>
          <w:p w14:paraId="6A6E8AA9">
            <w:pPr>
              <w:rPr>
                <w:rFonts w:ascii="宋体" w:hAnsi="宋体"/>
                <w:sz w:val="22"/>
                <w:szCs w:val="22"/>
                <w:highlight w:val="none"/>
              </w:rPr>
            </w:pPr>
          </w:p>
        </w:tc>
        <w:tc>
          <w:tcPr>
            <w:tcW w:w="479" w:type="pct"/>
            <w:vAlign w:val="center"/>
          </w:tcPr>
          <w:p w14:paraId="5404C8B2">
            <w:pPr>
              <w:rPr>
                <w:rFonts w:ascii="宋体" w:hAnsi="宋体"/>
                <w:sz w:val="22"/>
                <w:szCs w:val="22"/>
                <w:highlight w:val="none"/>
              </w:rPr>
            </w:pPr>
          </w:p>
        </w:tc>
        <w:tc>
          <w:tcPr>
            <w:tcW w:w="562" w:type="pct"/>
            <w:vAlign w:val="center"/>
          </w:tcPr>
          <w:p w14:paraId="7C6D3DCE">
            <w:pPr>
              <w:rPr>
                <w:rFonts w:ascii="宋体" w:hAnsi="宋体"/>
                <w:sz w:val="22"/>
                <w:szCs w:val="22"/>
                <w:highlight w:val="none"/>
              </w:rPr>
            </w:pPr>
          </w:p>
        </w:tc>
        <w:tc>
          <w:tcPr>
            <w:tcW w:w="608" w:type="pct"/>
            <w:vAlign w:val="center"/>
          </w:tcPr>
          <w:p w14:paraId="26F7C8EA">
            <w:pPr>
              <w:rPr>
                <w:rFonts w:ascii="宋体" w:hAnsi="宋体"/>
                <w:sz w:val="22"/>
                <w:szCs w:val="22"/>
                <w:highlight w:val="none"/>
              </w:rPr>
            </w:pPr>
          </w:p>
        </w:tc>
        <w:tc>
          <w:tcPr>
            <w:tcW w:w="680" w:type="pct"/>
            <w:vAlign w:val="center"/>
          </w:tcPr>
          <w:p w14:paraId="7A5B6EC5">
            <w:pPr>
              <w:rPr>
                <w:rFonts w:ascii="宋体" w:hAnsi="宋体"/>
                <w:sz w:val="22"/>
                <w:szCs w:val="22"/>
                <w:highlight w:val="none"/>
              </w:rPr>
            </w:pPr>
          </w:p>
        </w:tc>
        <w:tc>
          <w:tcPr>
            <w:tcW w:w="1425" w:type="pct"/>
            <w:vAlign w:val="center"/>
          </w:tcPr>
          <w:p w14:paraId="4C6FC457">
            <w:pPr>
              <w:rPr>
                <w:rFonts w:ascii="宋体" w:hAnsi="宋体"/>
                <w:sz w:val="22"/>
                <w:szCs w:val="22"/>
                <w:highlight w:val="none"/>
              </w:rPr>
            </w:pPr>
          </w:p>
        </w:tc>
      </w:tr>
      <w:tr w14:paraId="2047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24506AD2">
            <w:pPr>
              <w:rPr>
                <w:rFonts w:ascii="宋体" w:hAnsi="宋体"/>
                <w:sz w:val="22"/>
                <w:szCs w:val="22"/>
                <w:highlight w:val="none"/>
              </w:rPr>
            </w:pPr>
          </w:p>
        </w:tc>
        <w:tc>
          <w:tcPr>
            <w:tcW w:w="563" w:type="pct"/>
            <w:vAlign w:val="center"/>
          </w:tcPr>
          <w:p w14:paraId="2A3100B8">
            <w:pPr>
              <w:rPr>
                <w:rFonts w:ascii="宋体" w:hAnsi="宋体"/>
                <w:sz w:val="22"/>
                <w:szCs w:val="22"/>
                <w:highlight w:val="none"/>
              </w:rPr>
            </w:pPr>
          </w:p>
        </w:tc>
        <w:tc>
          <w:tcPr>
            <w:tcW w:w="398" w:type="pct"/>
            <w:vAlign w:val="center"/>
          </w:tcPr>
          <w:p w14:paraId="7EE23961">
            <w:pPr>
              <w:rPr>
                <w:rFonts w:ascii="宋体" w:hAnsi="宋体"/>
                <w:sz w:val="22"/>
                <w:szCs w:val="22"/>
                <w:highlight w:val="none"/>
              </w:rPr>
            </w:pPr>
          </w:p>
        </w:tc>
        <w:tc>
          <w:tcPr>
            <w:tcW w:w="479" w:type="pct"/>
            <w:vAlign w:val="center"/>
          </w:tcPr>
          <w:p w14:paraId="30BFEF6B">
            <w:pPr>
              <w:rPr>
                <w:rFonts w:ascii="宋体" w:hAnsi="宋体"/>
                <w:sz w:val="22"/>
                <w:szCs w:val="22"/>
                <w:highlight w:val="none"/>
              </w:rPr>
            </w:pPr>
          </w:p>
        </w:tc>
        <w:tc>
          <w:tcPr>
            <w:tcW w:w="562" w:type="pct"/>
            <w:vAlign w:val="center"/>
          </w:tcPr>
          <w:p w14:paraId="7D61F668">
            <w:pPr>
              <w:rPr>
                <w:rFonts w:ascii="宋体" w:hAnsi="宋体"/>
                <w:sz w:val="22"/>
                <w:szCs w:val="22"/>
                <w:highlight w:val="none"/>
              </w:rPr>
            </w:pPr>
          </w:p>
        </w:tc>
        <w:tc>
          <w:tcPr>
            <w:tcW w:w="608" w:type="pct"/>
            <w:vAlign w:val="center"/>
          </w:tcPr>
          <w:p w14:paraId="59C81C28">
            <w:pPr>
              <w:rPr>
                <w:rFonts w:ascii="宋体" w:hAnsi="宋体"/>
                <w:sz w:val="22"/>
                <w:szCs w:val="22"/>
                <w:highlight w:val="none"/>
              </w:rPr>
            </w:pPr>
          </w:p>
        </w:tc>
        <w:tc>
          <w:tcPr>
            <w:tcW w:w="680" w:type="pct"/>
            <w:vAlign w:val="center"/>
          </w:tcPr>
          <w:p w14:paraId="39F03FBC">
            <w:pPr>
              <w:rPr>
                <w:rFonts w:ascii="宋体" w:hAnsi="宋体"/>
                <w:sz w:val="22"/>
                <w:szCs w:val="22"/>
                <w:highlight w:val="none"/>
              </w:rPr>
            </w:pPr>
          </w:p>
        </w:tc>
        <w:tc>
          <w:tcPr>
            <w:tcW w:w="1425" w:type="pct"/>
            <w:vAlign w:val="center"/>
          </w:tcPr>
          <w:p w14:paraId="38C14E4F">
            <w:pPr>
              <w:rPr>
                <w:rFonts w:ascii="宋体" w:hAnsi="宋体"/>
                <w:sz w:val="22"/>
                <w:szCs w:val="22"/>
                <w:highlight w:val="none"/>
              </w:rPr>
            </w:pPr>
          </w:p>
        </w:tc>
      </w:tr>
      <w:tr w14:paraId="420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1DE509F4">
            <w:pPr>
              <w:rPr>
                <w:rFonts w:ascii="宋体" w:hAnsi="宋体"/>
                <w:sz w:val="22"/>
                <w:szCs w:val="22"/>
                <w:highlight w:val="none"/>
              </w:rPr>
            </w:pPr>
          </w:p>
        </w:tc>
        <w:tc>
          <w:tcPr>
            <w:tcW w:w="563" w:type="pct"/>
            <w:vAlign w:val="center"/>
          </w:tcPr>
          <w:p w14:paraId="64E8D40F">
            <w:pPr>
              <w:rPr>
                <w:rFonts w:ascii="宋体" w:hAnsi="宋体"/>
                <w:sz w:val="22"/>
                <w:szCs w:val="22"/>
                <w:highlight w:val="none"/>
              </w:rPr>
            </w:pPr>
          </w:p>
        </w:tc>
        <w:tc>
          <w:tcPr>
            <w:tcW w:w="398" w:type="pct"/>
            <w:vAlign w:val="center"/>
          </w:tcPr>
          <w:p w14:paraId="4190F8E6">
            <w:pPr>
              <w:rPr>
                <w:rFonts w:ascii="宋体" w:hAnsi="宋体"/>
                <w:sz w:val="22"/>
                <w:szCs w:val="22"/>
                <w:highlight w:val="none"/>
              </w:rPr>
            </w:pPr>
          </w:p>
        </w:tc>
        <w:tc>
          <w:tcPr>
            <w:tcW w:w="479" w:type="pct"/>
            <w:vAlign w:val="center"/>
          </w:tcPr>
          <w:p w14:paraId="4245BBC1">
            <w:pPr>
              <w:rPr>
                <w:rFonts w:ascii="宋体" w:hAnsi="宋体"/>
                <w:sz w:val="22"/>
                <w:szCs w:val="22"/>
                <w:highlight w:val="none"/>
              </w:rPr>
            </w:pPr>
          </w:p>
        </w:tc>
        <w:tc>
          <w:tcPr>
            <w:tcW w:w="562" w:type="pct"/>
            <w:vAlign w:val="center"/>
          </w:tcPr>
          <w:p w14:paraId="1DDBBF01">
            <w:pPr>
              <w:rPr>
                <w:rFonts w:ascii="宋体" w:hAnsi="宋体"/>
                <w:sz w:val="22"/>
                <w:szCs w:val="22"/>
                <w:highlight w:val="none"/>
              </w:rPr>
            </w:pPr>
          </w:p>
        </w:tc>
        <w:tc>
          <w:tcPr>
            <w:tcW w:w="608" w:type="pct"/>
            <w:vAlign w:val="center"/>
          </w:tcPr>
          <w:p w14:paraId="165A830E">
            <w:pPr>
              <w:rPr>
                <w:rFonts w:ascii="宋体" w:hAnsi="宋体"/>
                <w:sz w:val="22"/>
                <w:szCs w:val="22"/>
                <w:highlight w:val="none"/>
              </w:rPr>
            </w:pPr>
          </w:p>
        </w:tc>
        <w:tc>
          <w:tcPr>
            <w:tcW w:w="680" w:type="pct"/>
            <w:vAlign w:val="center"/>
          </w:tcPr>
          <w:p w14:paraId="4AADAB66">
            <w:pPr>
              <w:rPr>
                <w:rFonts w:ascii="宋体" w:hAnsi="宋体"/>
                <w:sz w:val="22"/>
                <w:szCs w:val="22"/>
                <w:highlight w:val="none"/>
              </w:rPr>
            </w:pPr>
          </w:p>
        </w:tc>
        <w:tc>
          <w:tcPr>
            <w:tcW w:w="1425" w:type="pct"/>
            <w:vAlign w:val="center"/>
          </w:tcPr>
          <w:p w14:paraId="1A2D042E">
            <w:pPr>
              <w:rPr>
                <w:rFonts w:ascii="宋体" w:hAnsi="宋体"/>
                <w:sz w:val="22"/>
                <w:szCs w:val="22"/>
                <w:highlight w:val="none"/>
              </w:rPr>
            </w:pPr>
          </w:p>
        </w:tc>
      </w:tr>
      <w:tr w14:paraId="041C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2" w:type="pct"/>
            <w:vAlign w:val="center"/>
          </w:tcPr>
          <w:p w14:paraId="097A5295">
            <w:pPr>
              <w:rPr>
                <w:rFonts w:ascii="宋体" w:hAnsi="宋体"/>
                <w:sz w:val="22"/>
                <w:szCs w:val="22"/>
                <w:highlight w:val="none"/>
              </w:rPr>
            </w:pPr>
          </w:p>
        </w:tc>
        <w:tc>
          <w:tcPr>
            <w:tcW w:w="563" w:type="pct"/>
            <w:vAlign w:val="center"/>
          </w:tcPr>
          <w:p w14:paraId="35C7E280">
            <w:pPr>
              <w:rPr>
                <w:rFonts w:ascii="宋体" w:hAnsi="宋体"/>
                <w:sz w:val="22"/>
                <w:szCs w:val="22"/>
                <w:highlight w:val="none"/>
              </w:rPr>
            </w:pPr>
          </w:p>
        </w:tc>
        <w:tc>
          <w:tcPr>
            <w:tcW w:w="398" w:type="pct"/>
            <w:vAlign w:val="center"/>
          </w:tcPr>
          <w:p w14:paraId="219710E6">
            <w:pPr>
              <w:rPr>
                <w:rFonts w:ascii="宋体" w:hAnsi="宋体"/>
                <w:sz w:val="22"/>
                <w:szCs w:val="22"/>
                <w:highlight w:val="none"/>
              </w:rPr>
            </w:pPr>
          </w:p>
        </w:tc>
        <w:tc>
          <w:tcPr>
            <w:tcW w:w="479" w:type="pct"/>
            <w:vAlign w:val="center"/>
          </w:tcPr>
          <w:p w14:paraId="615B0E8D">
            <w:pPr>
              <w:rPr>
                <w:rFonts w:ascii="宋体" w:hAnsi="宋体"/>
                <w:sz w:val="22"/>
                <w:szCs w:val="22"/>
                <w:highlight w:val="none"/>
              </w:rPr>
            </w:pPr>
          </w:p>
        </w:tc>
        <w:tc>
          <w:tcPr>
            <w:tcW w:w="562" w:type="pct"/>
            <w:vAlign w:val="center"/>
          </w:tcPr>
          <w:p w14:paraId="5F86BAB3">
            <w:pPr>
              <w:rPr>
                <w:rFonts w:ascii="宋体" w:hAnsi="宋体"/>
                <w:sz w:val="22"/>
                <w:szCs w:val="22"/>
                <w:highlight w:val="none"/>
              </w:rPr>
            </w:pPr>
          </w:p>
        </w:tc>
        <w:tc>
          <w:tcPr>
            <w:tcW w:w="608" w:type="pct"/>
            <w:vAlign w:val="center"/>
          </w:tcPr>
          <w:p w14:paraId="08215BA4">
            <w:pPr>
              <w:rPr>
                <w:rFonts w:ascii="宋体" w:hAnsi="宋体"/>
                <w:sz w:val="22"/>
                <w:szCs w:val="22"/>
                <w:highlight w:val="none"/>
              </w:rPr>
            </w:pPr>
          </w:p>
        </w:tc>
        <w:tc>
          <w:tcPr>
            <w:tcW w:w="680" w:type="pct"/>
            <w:vAlign w:val="center"/>
          </w:tcPr>
          <w:p w14:paraId="3FEA77D8">
            <w:pPr>
              <w:rPr>
                <w:rFonts w:ascii="宋体" w:hAnsi="宋体"/>
                <w:sz w:val="22"/>
                <w:szCs w:val="22"/>
                <w:highlight w:val="none"/>
              </w:rPr>
            </w:pPr>
          </w:p>
        </w:tc>
        <w:tc>
          <w:tcPr>
            <w:tcW w:w="1425" w:type="pct"/>
            <w:vAlign w:val="center"/>
          </w:tcPr>
          <w:p w14:paraId="589D21E1">
            <w:pPr>
              <w:rPr>
                <w:rFonts w:ascii="宋体" w:hAnsi="宋体"/>
                <w:sz w:val="22"/>
                <w:szCs w:val="22"/>
                <w:highlight w:val="none"/>
              </w:rPr>
            </w:pPr>
          </w:p>
        </w:tc>
      </w:tr>
    </w:tbl>
    <w:p w14:paraId="3B8E43F7">
      <w:pPr>
        <w:tabs>
          <w:tab w:val="left" w:pos="1620"/>
        </w:tabs>
        <w:spacing w:line="360" w:lineRule="exact"/>
        <w:ind w:right="-107"/>
        <w:rPr>
          <w:rFonts w:ascii="宋体" w:hAnsi="宋体"/>
          <w:sz w:val="22"/>
          <w:szCs w:val="22"/>
          <w:highlight w:val="none"/>
        </w:rPr>
      </w:pPr>
      <w:r>
        <w:rPr>
          <w:rFonts w:hint="eastAsia" w:ascii="宋体" w:hAnsi="宋体"/>
          <w:sz w:val="22"/>
          <w:szCs w:val="22"/>
          <w:highlight w:val="none"/>
        </w:rPr>
        <w:t>注：</w:t>
      </w:r>
    </w:p>
    <w:p w14:paraId="727664C2">
      <w:pPr>
        <w:pStyle w:val="13"/>
        <w:spacing w:line="360" w:lineRule="auto"/>
        <w:ind w:left="657" w:leftChars="313" w:firstLine="4180" w:firstLineChars="1900"/>
        <w:rPr>
          <w:rFonts w:hAnsi="宋体" w:eastAsia="宋体" w:cs="宋体"/>
          <w:sz w:val="22"/>
          <w:szCs w:val="22"/>
          <w:highlight w:val="none"/>
        </w:rPr>
      </w:pPr>
    </w:p>
    <w:p w14:paraId="5E8F4CC8">
      <w:pPr>
        <w:pStyle w:val="13"/>
        <w:spacing w:line="360" w:lineRule="auto"/>
        <w:jc w:val="left"/>
        <w:rPr>
          <w:rFonts w:hAnsi="宋体" w:eastAsia="宋体" w:cs="宋体"/>
          <w:sz w:val="22"/>
          <w:szCs w:val="22"/>
          <w:highlight w:val="none"/>
        </w:rPr>
      </w:pPr>
      <w:r>
        <w:rPr>
          <w:rFonts w:hint="eastAsia" w:hAnsi="宋体" w:eastAsia="宋体" w:cs="宋体"/>
          <w:sz w:val="22"/>
          <w:szCs w:val="22"/>
          <w:highlight w:val="none"/>
        </w:rPr>
        <w:t>注：（1）</w:t>
      </w:r>
      <w:r>
        <w:rPr>
          <w:rFonts w:hint="eastAsia" w:ascii="宋体" w:hAnsi="宋体"/>
          <w:sz w:val="22"/>
          <w:szCs w:val="22"/>
          <w:highlight w:val="none"/>
        </w:rPr>
        <w:t>本表须附身份证、技术职称（资格）证书或上岗证</w:t>
      </w:r>
      <w:r>
        <w:rPr>
          <w:rFonts w:hint="eastAsia" w:ascii="宋体" w:hAnsi="宋体"/>
          <w:sz w:val="22"/>
          <w:szCs w:val="22"/>
          <w:highlight w:val="none"/>
          <w:lang w:eastAsia="zh-CN"/>
        </w:rPr>
        <w:t>、</w:t>
      </w:r>
      <w:r>
        <w:rPr>
          <w:rFonts w:hint="eastAsia" w:hAnsi="宋体" w:eastAsia="宋体" w:cs="宋体"/>
          <w:sz w:val="22"/>
          <w:szCs w:val="22"/>
          <w:highlight w:val="none"/>
        </w:rPr>
        <w:t>本单位社保证明</w:t>
      </w:r>
      <w:r>
        <w:rPr>
          <w:rFonts w:hint="eastAsia" w:ascii="宋体" w:hAnsi="宋体"/>
          <w:sz w:val="22"/>
          <w:szCs w:val="22"/>
          <w:highlight w:val="none"/>
        </w:rPr>
        <w:t>等原件扫描件加盖电子公章</w:t>
      </w:r>
      <w:r>
        <w:rPr>
          <w:rFonts w:hint="eastAsia" w:hAnsi="宋体" w:eastAsia="宋体" w:cs="宋体"/>
          <w:sz w:val="22"/>
          <w:szCs w:val="22"/>
          <w:highlight w:val="none"/>
        </w:rPr>
        <w:t>；</w:t>
      </w:r>
    </w:p>
    <w:p w14:paraId="29417BEE">
      <w:pPr>
        <w:rPr>
          <w:highlight w:val="none"/>
        </w:rPr>
      </w:pPr>
      <w:r>
        <w:rPr>
          <w:rFonts w:hint="eastAsia"/>
          <w:highlight w:val="none"/>
        </w:rPr>
        <w:t xml:space="preserve">    （2）类似项目经验，提供服务合同，如合同中已经载明岗位的，以合同为准，否则需提供发包人证明；</w:t>
      </w:r>
    </w:p>
    <w:p w14:paraId="3937C759">
      <w:pPr>
        <w:pStyle w:val="13"/>
        <w:spacing w:line="400" w:lineRule="atLeast"/>
        <w:rPr>
          <w:rFonts w:hAnsi="宋体"/>
          <w:sz w:val="22"/>
          <w:szCs w:val="22"/>
          <w:highlight w:val="none"/>
        </w:rPr>
      </w:pPr>
      <w:r>
        <w:rPr>
          <w:rFonts w:hint="eastAsia" w:hAnsi="宋体" w:eastAsia="宋体" w:cs="宋体"/>
          <w:sz w:val="22"/>
          <w:szCs w:val="22"/>
          <w:highlight w:val="none"/>
          <w:lang w:val="en-US" w:eastAsia="zh-CN"/>
        </w:rPr>
        <w:t xml:space="preserve">    （3）</w:t>
      </w:r>
      <w:r>
        <w:rPr>
          <w:rFonts w:hAnsi="宋体"/>
          <w:b/>
          <w:sz w:val="22"/>
          <w:szCs w:val="22"/>
          <w:highlight w:val="none"/>
        </w:rPr>
        <w:t xml:space="preserve"> ▲</w:t>
      </w:r>
      <w:r>
        <w:rPr>
          <w:rFonts w:hint="eastAsia" w:hAnsi="宋体"/>
          <w:b/>
          <w:sz w:val="22"/>
          <w:highlight w:val="none"/>
          <w:u w:val="single"/>
        </w:rPr>
        <w:t>如遇特殊情况需要更改，则提供的替代人员的各方面均不得低于被替代人员，并提供相关证明材料给采购人确认之后方可更改。</w:t>
      </w:r>
    </w:p>
    <w:p w14:paraId="68B48D73">
      <w:pPr>
        <w:pStyle w:val="13"/>
        <w:spacing w:line="360" w:lineRule="auto"/>
        <w:jc w:val="left"/>
        <w:rPr>
          <w:rFonts w:hint="default" w:hAnsi="宋体" w:eastAsia="宋体" w:cs="宋体"/>
          <w:sz w:val="22"/>
          <w:szCs w:val="22"/>
          <w:highlight w:val="none"/>
          <w:lang w:val="en-US" w:eastAsia="zh-CN"/>
        </w:rPr>
      </w:pPr>
    </w:p>
    <w:p w14:paraId="39F0B5D1">
      <w:pPr>
        <w:pStyle w:val="13"/>
        <w:spacing w:line="360" w:lineRule="auto"/>
        <w:jc w:val="left"/>
        <w:rPr>
          <w:rFonts w:hAnsi="宋体" w:eastAsia="宋体" w:cs="宋体"/>
          <w:sz w:val="22"/>
          <w:szCs w:val="22"/>
          <w:highlight w:val="none"/>
        </w:rPr>
      </w:pPr>
    </w:p>
    <w:p w14:paraId="01B8998E">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投标供应商全称（盖章）：</w:t>
      </w:r>
    </w:p>
    <w:p w14:paraId="55A8A7E3">
      <w:pPr>
        <w:spacing w:line="360" w:lineRule="auto"/>
        <w:rPr>
          <w:rFonts w:ascii="宋体" w:hAnsi="宋体" w:eastAsia="宋体" w:cs="宋体"/>
          <w:sz w:val="22"/>
          <w:szCs w:val="22"/>
          <w:highlight w:val="none"/>
        </w:rPr>
      </w:pPr>
      <w:r>
        <w:rPr>
          <w:rFonts w:hint="eastAsia" w:ascii="宋体" w:hAnsi="宋体" w:eastAsia="宋体" w:cs="宋体"/>
          <w:sz w:val="22"/>
          <w:szCs w:val="22"/>
          <w:highlight w:val="none"/>
          <w:lang w:val="zh-CN"/>
        </w:rPr>
        <w:t>法定代表人或授权代表（签字或盖章）</w:t>
      </w:r>
      <w:r>
        <w:rPr>
          <w:rFonts w:hint="eastAsia" w:ascii="宋体" w:hAnsi="宋体" w:eastAsia="宋体" w:cs="宋体"/>
          <w:sz w:val="22"/>
          <w:szCs w:val="22"/>
          <w:highlight w:val="none"/>
        </w:rPr>
        <w:t>：</w:t>
      </w:r>
    </w:p>
    <w:p w14:paraId="0C81675A">
      <w:pPr>
        <w:pStyle w:val="13"/>
        <w:spacing w:line="360" w:lineRule="auto"/>
        <w:jc w:val="left"/>
        <w:rPr>
          <w:rFonts w:hAnsi="宋体" w:eastAsia="宋体" w:cs="宋体"/>
          <w:sz w:val="22"/>
          <w:szCs w:val="22"/>
          <w:highlight w:val="none"/>
        </w:rPr>
      </w:pPr>
      <w:r>
        <w:rPr>
          <w:rFonts w:hint="eastAsia" w:hAnsi="宋体" w:eastAsia="宋体" w:cs="宋体"/>
          <w:sz w:val="22"/>
          <w:szCs w:val="22"/>
          <w:highlight w:val="none"/>
        </w:rPr>
        <w:t xml:space="preserve">日    期：       </w:t>
      </w:r>
    </w:p>
    <w:p w14:paraId="1467D23B">
      <w:pPr>
        <w:pStyle w:val="38"/>
        <w:spacing w:line="360" w:lineRule="auto"/>
        <w:rPr>
          <w:rFonts w:ascii="宋体" w:hAnsi="宋体" w:cs="宋体"/>
          <w:b/>
          <w:sz w:val="22"/>
          <w:szCs w:val="22"/>
          <w:highlight w:val="none"/>
        </w:rPr>
      </w:pPr>
    </w:p>
    <w:p w14:paraId="530886EE">
      <w:pPr>
        <w:pStyle w:val="3"/>
        <w:spacing w:line="360" w:lineRule="auto"/>
        <w:rPr>
          <w:rFonts w:ascii="宋体" w:hAnsi="宋体" w:eastAsia="宋体" w:cs="宋体"/>
          <w:b/>
          <w:sz w:val="22"/>
          <w:szCs w:val="22"/>
          <w:highlight w:val="none"/>
        </w:rPr>
      </w:pPr>
    </w:p>
    <w:p w14:paraId="4CB20E54">
      <w:pPr>
        <w:pStyle w:val="2"/>
        <w:spacing w:line="360" w:lineRule="auto"/>
        <w:ind w:firstLine="200"/>
        <w:rPr>
          <w:rFonts w:ascii="宋体" w:hAnsi="宋体" w:eastAsia="宋体" w:cs="宋体"/>
          <w:highlight w:val="none"/>
        </w:rPr>
      </w:pPr>
    </w:p>
    <w:p w14:paraId="63D058AF">
      <w:pPr>
        <w:pStyle w:val="3"/>
        <w:spacing w:line="360" w:lineRule="auto"/>
        <w:rPr>
          <w:rFonts w:ascii="宋体" w:hAnsi="宋体" w:eastAsia="宋体" w:cs="宋体"/>
          <w:b/>
          <w:bCs/>
          <w:highlight w:val="none"/>
        </w:rPr>
      </w:pPr>
    </w:p>
    <w:p w14:paraId="5942925D">
      <w:pPr>
        <w:pStyle w:val="3"/>
        <w:spacing w:line="360" w:lineRule="auto"/>
        <w:rPr>
          <w:rFonts w:ascii="宋体" w:hAnsi="宋体" w:eastAsia="宋体" w:cs="宋体"/>
          <w:b/>
          <w:bCs/>
          <w:highlight w:val="none"/>
        </w:rPr>
      </w:pPr>
    </w:p>
    <w:p w14:paraId="5BEC6FD8">
      <w:pPr>
        <w:pStyle w:val="3"/>
        <w:spacing w:line="360" w:lineRule="auto"/>
        <w:rPr>
          <w:rFonts w:ascii="宋体" w:hAnsi="宋体" w:eastAsia="宋体" w:cs="宋体"/>
          <w:highlight w:val="none"/>
        </w:rPr>
        <w:sectPr>
          <w:footerReference r:id="rId17" w:type="default"/>
          <w:pgSz w:w="11906" w:h="16838"/>
          <w:pgMar w:top="1134" w:right="1134" w:bottom="1134" w:left="1134" w:header="851" w:footer="851" w:gutter="0"/>
          <w:cols w:space="720" w:num="1"/>
          <w:docGrid w:linePitch="312" w:charSpace="0"/>
        </w:sectPr>
      </w:pPr>
    </w:p>
    <w:p w14:paraId="3E5D04E9">
      <w:pPr>
        <w:spacing w:line="42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拟投入设备、工具一览表</w:t>
      </w:r>
    </w:p>
    <w:p w14:paraId="4693649C">
      <w:pPr>
        <w:pStyle w:val="2"/>
        <w:ind w:firstLine="200"/>
        <w:rPr>
          <w:rFonts w:ascii="宋体" w:hAnsi="宋体" w:eastAsia="宋体" w:cs="宋体"/>
          <w:highlight w:val="none"/>
        </w:rPr>
      </w:pPr>
    </w:p>
    <w:p w14:paraId="50A7E7A5">
      <w:pPr>
        <w:ind w:firstLine="660" w:firstLineChars="300"/>
        <w:jc w:val="left"/>
        <w:rPr>
          <w:rFonts w:ascii="宋体" w:hAnsi="宋体" w:eastAsia="宋体" w:cs="宋体"/>
          <w:b/>
          <w:bCs/>
          <w:sz w:val="22"/>
          <w:szCs w:val="22"/>
          <w:highlight w:val="none"/>
        </w:rPr>
      </w:pPr>
      <w:r>
        <w:rPr>
          <w:rFonts w:hint="eastAsia" w:ascii="宋体" w:hAnsi="宋体" w:eastAsia="宋体" w:cs="宋体"/>
          <w:sz w:val="22"/>
          <w:szCs w:val="22"/>
          <w:highlight w:val="none"/>
        </w:rPr>
        <w:t xml:space="preserve">项目名称：                                       项目编号：                              </w:t>
      </w:r>
    </w:p>
    <w:tbl>
      <w:tblPr>
        <w:tblStyle w:val="24"/>
        <w:tblW w:w="8675" w:type="dxa"/>
        <w:jc w:val="center"/>
        <w:tblLayout w:type="fixed"/>
        <w:tblCellMar>
          <w:top w:w="0" w:type="dxa"/>
          <w:left w:w="108" w:type="dxa"/>
          <w:bottom w:w="0" w:type="dxa"/>
          <w:right w:w="108" w:type="dxa"/>
        </w:tblCellMar>
      </w:tblPr>
      <w:tblGrid>
        <w:gridCol w:w="719"/>
        <w:gridCol w:w="2148"/>
        <w:gridCol w:w="2387"/>
        <w:gridCol w:w="1431"/>
        <w:gridCol w:w="1003"/>
        <w:gridCol w:w="987"/>
      </w:tblGrid>
      <w:tr w14:paraId="539A5DF8">
        <w:tblPrEx>
          <w:tblCellMar>
            <w:top w:w="0" w:type="dxa"/>
            <w:left w:w="108" w:type="dxa"/>
            <w:bottom w:w="0" w:type="dxa"/>
            <w:right w:w="108" w:type="dxa"/>
          </w:tblCellMar>
        </w:tblPrEx>
        <w:trPr>
          <w:trHeight w:val="846"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368B13AF">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2148" w:type="dxa"/>
            <w:tcBorders>
              <w:top w:val="single" w:color="000000" w:sz="4" w:space="0"/>
              <w:left w:val="single" w:color="000000" w:sz="4" w:space="0"/>
              <w:bottom w:val="single" w:color="000000" w:sz="4" w:space="0"/>
              <w:right w:val="single" w:color="000000" w:sz="4" w:space="0"/>
            </w:tcBorders>
            <w:vAlign w:val="center"/>
          </w:tcPr>
          <w:p w14:paraId="1E7485ED">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名称</w:t>
            </w:r>
          </w:p>
        </w:tc>
        <w:tc>
          <w:tcPr>
            <w:tcW w:w="2387" w:type="dxa"/>
            <w:tcBorders>
              <w:top w:val="single" w:color="000000" w:sz="4" w:space="0"/>
              <w:left w:val="single" w:color="000000" w:sz="4" w:space="0"/>
              <w:bottom w:val="single" w:color="000000" w:sz="4" w:space="0"/>
              <w:right w:val="single" w:color="000000" w:sz="4" w:space="0"/>
            </w:tcBorders>
            <w:vAlign w:val="center"/>
          </w:tcPr>
          <w:p w14:paraId="0B5AE3F1">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规格</w:t>
            </w:r>
          </w:p>
        </w:tc>
        <w:tc>
          <w:tcPr>
            <w:tcW w:w="1431" w:type="dxa"/>
            <w:tcBorders>
              <w:top w:val="single" w:color="000000" w:sz="4" w:space="0"/>
              <w:left w:val="single" w:color="000000" w:sz="4" w:space="0"/>
              <w:bottom w:val="single" w:color="000000" w:sz="4" w:space="0"/>
              <w:right w:val="single" w:color="000000" w:sz="4" w:space="0"/>
            </w:tcBorders>
            <w:vAlign w:val="center"/>
          </w:tcPr>
          <w:p w14:paraId="75A00D26">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产地</w:t>
            </w:r>
          </w:p>
        </w:tc>
        <w:tc>
          <w:tcPr>
            <w:tcW w:w="1003" w:type="dxa"/>
            <w:tcBorders>
              <w:top w:val="single" w:color="000000" w:sz="4" w:space="0"/>
              <w:left w:val="single" w:color="000000" w:sz="4" w:space="0"/>
              <w:bottom w:val="single" w:color="000000" w:sz="4" w:space="0"/>
              <w:right w:val="single" w:color="000000" w:sz="4" w:space="0"/>
            </w:tcBorders>
            <w:vAlign w:val="center"/>
          </w:tcPr>
          <w:p w14:paraId="23B13E0E">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987" w:type="dxa"/>
            <w:tcBorders>
              <w:top w:val="single" w:color="000000" w:sz="4" w:space="0"/>
              <w:left w:val="single" w:color="000000" w:sz="4" w:space="0"/>
              <w:bottom w:val="single" w:color="000000" w:sz="4" w:space="0"/>
              <w:right w:val="single" w:color="000000" w:sz="4" w:space="0"/>
            </w:tcBorders>
            <w:vAlign w:val="center"/>
          </w:tcPr>
          <w:p w14:paraId="2DA047A5">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备注</w:t>
            </w:r>
          </w:p>
        </w:tc>
      </w:tr>
      <w:tr w14:paraId="41F451EB">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03B885F1">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713F730D">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6D7C5B18">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7662C820">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7FBAF569">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07372E91">
            <w:pPr>
              <w:rPr>
                <w:rFonts w:ascii="宋体" w:hAnsi="宋体" w:eastAsia="宋体" w:cs="宋体"/>
                <w:sz w:val="22"/>
                <w:szCs w:val="22"/>
                <w:highlight w:val="none"/>
              </w:rPr>
            </w:pPr>
          </w:p>
        </w:tc>
      </w:tr>
      <w:tr w14:paraId="772D43E8">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C9216E8">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7BE18596">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040DCDD7">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20CA2DC1">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698380A3">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77495E76">
            <w:pPr>
              <w:rPr>
                <w:rFonts w:ascii="宋体" w:hAnsi="宋体" w:eastAsia="宋体" w:cs="宋体"/>
                <w:sz w:val="22"/>
                <w:szCs w:val="22"/>
                <w:highlight w:val="none"/>
              </w:rPr>
            </w:pPr>
          </w:p>
        </w:tc>
      </w:tr>
      <w:tr w14:paraId="7F69D054">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7564EF5">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68A306AE">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2923D124">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57F9CF9B">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65965D67">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7FA8C2E3">
            <w:pPr>
              <w:rPr>
                <w:rFonts w:ascii="宋体" w:hAnsi="宋体" w:eastAsia="宋体" w:cs="宋体"/>
                <w:sz w:val="22"/>
                <w:szCs w:val="22"/>
                <w:highlight w:val="none"/>
              </w:rPr>
            </w:pPr>
          </w:p>
        </w:tc>
      </w:tr>
      <w:tr w14:paraId="753F7722">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2A7F3BE4">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6C776E89">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08EF9905">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13126E10">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4C850C62">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26148A6A">
            <w:pPr>
              <w:rPr>
                <w:rFonts w:ascii="宋体" w:hAnsi="宋体" w:eastAsia="宋体" w:cs="宋体"/>
                <w:sz w:val="22"/>
                <w:szCs w:val="22"/>
                <w:highlight w:val="none"/>
              </w:rPr>
            </w:pPr>
          </w:p>
        </w:tc>
      </w:tr>
      <w:tr w14:paraId="50D1688E">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1BC2388D">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648F027F">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12F9BA1C">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38436DE7">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74D05C7C">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13CA4D18">
            <w:pPr>
              <w:rPr>
                <w:rFonts w:ascii="宋体" w:hAnsi="宋体" w:eastAsia="宋体" w:cs="宋体"/>
                <w:sz w:val="22"/>
                <w:szCs w:val="22"/>
                <w:highlight w:val="none"/>
              </w:rPr>
            </w:pPr>
          </w:p>
        </w:tc>
      </w:tr>
      <w:tr w14:paraId="211A1BAF">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74C33F48">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46D28357">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61F11672">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4B55518A">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69A26C0A">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6A689D10">
            <w:pPr>
              <w:rPr>
                <w:rFonts w:ascii="宋体" w:hAnsi="宋体" w:eastAsia="宋体" w:cs="宋体"/>
                <w:sz w:val="22"/>
                <w:szCs w:val="22"/>
                <w:highlight w:val="none"/>
              </w:rPr>
            </w:pPr>
          </w:p>
        </w:tc>
      </w:tr>
      <w:tr w14:paraId="010C9025">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2B864253">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3FEAEA0D">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454CAD6A">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7B83C724">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1B057EBC">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0F464328">
            <w:pPr>
              <w:rPr>
                <w:rFonts w:ascii="宋体" w:hAnsi="宋体" w:eastAsia="宋体" w:cs="宋体"/>
                <w:sz w:val="22"/>
                <w:szCs w:val="22"/>
                <w:highlight w:val="none"/>
              </w:rPr>
            </w:pPr>
          </w:p>
        </w:tc>
      </w:tr>
      <w:tr w14:paraId="5A285563">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2C67CDC2">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4542FD8D">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2C22B8C7">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659D8AB6">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2F716077">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1182E67E">
            <w:pPr>
              <w:rPr>
                <w:rFonts w:ascii="宋体" w:hAnsi="宋体" w:eastAsia="宋体" w:cs="宋体"/>
                <w:sz w:val="22"/>
                <w:szCs w:val="22"/>
                <w:highlight w:val="none"/>
              </w:rPr>
            </w:pPr>
          </w:p>
        </w:tc>
      </w:tr>
      <w:tr w14:paraId="3D92942E">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E910B49">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02EA4682">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782578F6">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0070F540">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62A844EF">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75F89BAD">
            <w:pPr>
              <w:rPr>
                <w:rFonts w:ascii="宋体" w:hAnsi="宋体" w:eastAsia="宋体" w:cs="宋体"/>
                <w:sz w:val="22"/>
                <w:szCs w:val="22"/>
                <w:highlight w:val="none"/>
              </w:rPr>
            </w:pPr>
          </w:p>
        </w:tc>
      </w:tr>
      <w:tr w14:paraId="3EAD3A43">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3BE571F">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2E1DFA3A">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6B39DADC">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75ACBD6F">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7381D99D">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4C82FB71">
            <w:pPr>
              <w:rPr>
                <w:rFonts w:ascii="宋体" w:hAnsi="宋体" w:eastAsia="宋体" w:cs="宋体"/>
                <w:sz w:val="22"/>
                <w:szCs w:val="22"/>
                <w:highlight w:val="none"/>
              </w:rPr>
            </w:pPr>
          </w:p>
        </w:tc>
      </w:tr>
      <w:tr w14:paraId="595FE521">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8DD33E6">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29F806BF">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1168E782">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0FE04E7D">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6E3D2C0C">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1B50EB08">
            <w:pPr>
              <w:rPr>
                <w:rFonts w:ascii="宋体" w:hAnsi="宋体" w:eastAsia="宋体" w:cs="宋体"/>
                <w:sz w:val="22"/>
                <w:szCs w:val="22"/>
                <w:highlight w:val="none"/>
              </w:rPr>
            </w:pPr>
          </w:p>
        </w:tc>
      </w:tr>
      <w:tr w14:paraId="6C1DD5B9">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76D7036">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6DA3E6C9">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1F656D89">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7B4D17CB">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4D9DAE3B">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4193BE9C">
            <w:pPr>
              <w:rPr>
                <w:rFonts w:ascii="宋体" w:hAnsi="宋体" w:eastAsia="宋体" w:cs="宋体"/>
                <w:sz w:val="22"/>
                <w:szCs w:val="22"/>
                <w:highlight w:val="none"/>
              </w:rPr>
            </w:pPr>
          </w:p>
        </w:tc>
      </w:tr>
      <w:tr w14:paraId="1B17FA54">
        <w:tblPrEx>
          <w:tblCellMar>
            <w:top w:w="0" w:type="dxa"/>
            <w:left w:w="108" w:type="dxa"/>
            <w:bottom w:w="0" w:type="dxa"/>
            <w:right w:w="108"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Pr>
          <w:p w14:paraId="3BA69A39">
            <w:pPr>
              <w:rPr>
                <w:rFonts w:ascii="宋体" w:hAnsi="宋体" w:eastAsia="宋体" w:cs="宋体"/>
                <w:sz w:val="22"/>
                <w:szCs w:val="22"/>
                <w:highlight w:val="none"/>
              </w:rPr>
            </w:pPr>
          </w:p>
        </w:tc>
        <w:tc>
          <w:tcPr>
            <w:tcW w:w="2148" w:type="dxa"/>
            <w:tcBorders>
              <w:top w:val="single" w:color="000000" w:sz="4" w:space="0"/>
              <w:left w:val="single" w:color="000000" w:sz="4" w:space="0"/>
              <w:bottom w:val="single" w:color="000000" w:sz="4" w:space="0"/>
              <w:right w:val="single" w:color="000000" w:sz="4" w:space="0"/>
            </w:tcBorders>
          </w:tcPr>
          <w:p w14:paraId="3574C7D1">
            <w:pPr>
              <w:rPr>
                <w:rFonts w:ascii="宋体" w:hAnsi="宋体" w:eastAsia="宋体" w:cs="宋体"/>
                <w:sz w:val="22"/>
                <w:szCs w:val="22"/>
                <w:highlight w:val="none"/>
              </w:rPr>
            </w:pPr>
          </w:p>
        </w:tc>
        <w:tc>
          <w:tcPr>
            <w:tcW w:w="2387" w:type="dxa"/>
            <w:tcBorders>
              <w:top w:val="single" w:color="000000" w:sz="4" w:space="0"/>
              <w:left w:val="single" w:color="000000" w:sz="4" w:space="0"/>
              <w:bottom w:val="single" w:color="000000" w:sz="4" w:space="0"/>
              <w:right w:val="single" w:color="000000" w:sz="4" w:space="0"/>
            </w:tcBorders>
          </w:tcPr>
          <w:p w14:paraId="3B22C3F9">
            <w:pPr>
              <w:rPr>
                <w:rFonts w:ascii="宋体" w:hAnsi="宋体" w:eastAsia="宋体" w:cs="宋体"/>
                <w:sz w:val="22"/>
                <w:szCs w:val="22"/>
                <w:highlight w:val="none"/>
              </w:rPr>
            </w:pPr>
          </w:p>
        </w:tc>
        <w:tc>
          <w:tcPr>
            <w:tcW w:w="1431" w:type="dxa"/>
            <w:tcBorders>
              <w:top w:val="single" w:color="000000" w:sz="4" w:space="0"/>
              <w:left w:val="single" w:color="000000" w:sz="4" w:space="0"/>
              <w:bottom w:val="single" w:color="000000" w:sz="4" w:space="0"/>
              <w:right w:val="single" w:color="000000" w:sz="4" w:space="0"/>
            </w:tcBorders>
          </w:tcPr>
          <w:p w14:paraId="48C62F4E">
            <w:pPr>
              <w:rPr>
                <w:rFonts w:ascii="宋体" w:hAnsi="宋体" w:eastAsia="宋体" w:cs="宋体"/>
                <w:sz w:val="22"/>
                <w:szCs w:val="22"/>
                <w:highlight w:val="none"/>
              </w:rPr>
            </w:pPr>
          </w:p>
        </w:tc>
        <w:tc>
          <w:tcPr>
            <w:tcW w:w="1003" w:type="dxa"/>
            <w:tcBorders>
              <w:top w:val="single" w:color="000000" w:sz="4" w:space="0"/>
              <w:left w:val="single" w:color="000000" w:sz="4" w:space="0"/>
              <w:bottom w:val="single" w:color="000000" w:sz="4" w:space="0"/>
              <w:right w:val="single" w:color="000000" w:sz="4" w:space="0"/>
            </w:tcBorders>
          </w:tcPr>
          <w:p w14:paraId="56421EA7">
            <w:pPr>
              <w:rPr>
                <w:rFonts w:ascii="宋体" w:hAnsi="宋体" w:eastAsia="宋体" w:cs="宋体"/>
                <w:sz w:val="22"/>
                <w:szCs w:val="22"/>
                <w:highlight w:val="none"/>
              </w:rPr>
            </w:pPr>
          </w:p>
        </w:tc>
        <w:tc>
          <w:tcPr>
            <w:tcW w:w="987" w:type="dxa"/>
            <w:tcBorders>
              <w:top w:val="single" w:color="000000" w:sz="4" w:space="0"/>
              <w:left w:val="single" w:color="000000" w:sz="4" w:space="0"/>
              <w:bottom w:val="single" w:color="000000" w:sz="4" w:space="0"/>
              <w:right w:val="single" w:color="000000" w:sz="4" w:space="0"/>
            </w:tcBorders>
          </w:tcPr>
          <w:p w14:paraId="3FDF2A41">
            <w:pPr>
              <w:rPr>
                <w:rFonts w:ascii="宋体" w:hAnsi="宋体" w:eastAsia="宋体" w:cs="宋体"/>
                <w:sz w:val="22"/>
                <w:szCs w:val="22"/>
                <w:highlight w:val="none"/>
              </w:rPr>
            </w:pPr>
          </w:p>
        </w:tc>
      </w:tr>
    </w:tbl>
    <w:p w14:paraId="5A703C9B">
      <w:pPr>
        <w:pStyle w:val="3"/>
        <w:kinsoku w:val="0"/>
        <w:overflowPunct w:val="0"/>
        <w:spacing w:line="400" w:lineRule="exact"/>
        <w:jc w:val="left"/>
        <w:rPr>
          <w:rFonts w:ascii="宋体" w:hAnsi="宋体" w:eastAsia="宋体" w:cs="宋体"/>
          <w:b/>
          <w:bCs/>
          <w:sz w:val="22"/>
          <w:szCs w:val="22"/>
          <w:highlight w:val="none"/>
        </w:rPr>
      </w:pPr>
    </w:p>
    <w:p w14:paraId="2ACCF410">
      <w:pPr>
        <w:pStyle w:val="3"/>
        <w:kinsoku w:val="0"/>
        <w:overflowPunct w:val="0"/>
        <w:spacing w:line="400" w:lineRule="exact"/>
        <w:ind w:firstLine="442" w:firstLineChars="200"/>
        <w:jc w:val="left"/>
        <w:rPr>
          <w:rFonts w:ascii="宋体" w:hAnsi="宋体" w:eastAsia="宋体" w:cs="宋体"/>
          <w:b/>
          <w:bCs/>
          <w:sz w:val="22"/>
          <w:szCs w:val="22"/>
          <w:highlight w:val="none"/>
        </w:rPr>
      </w:pPr>
      <w:r>
        <w:rPr>
          <w:rFonts w:hint="eastAsia" w:ascii="宋体" w:hAnsi="宋体" w:eastAsia="宋体" w:cs="宋体"/>
          <w:b/>
          <w:bCs/>
          <w:sz w:val="22"/>
          <w:szCs w:val="22"/>
          <w:highlight w:val="none"/>
        </w:rPr>
        <w:t>注：</w:t>
      </w:r>
    </w:p>
    <w:p w14:paraId="672D0CC2">
      <w:pPr>
        <w:pStyle w:val="51"/>
        <w:numPr>
          <w:ilvl w:val="3"/>
          <w:numId w:val="14"/>
        </w:numPr>
        <w:tabs>
          <w:tab w:val="left" w:pos="709"/>
        </w:tabs>
        <w:kinsoku w:val="0"/>
        <w:overflowPunct w:val="0"/>
        <w:spacing w:line="400" w:lineRule="exact"/>
        <w:ind w:left="709" w:hanging="283" w:firstLineChars="0"/>
        <w:jc w:val="left"/>
        <w:rPr>
          <w:rFonts w:ascii="宋体" w:hAnsi="宋体" w:eastAsia="宋体" w:cs="宋体"/>
          <w:spacing w:val="-3"/>
          <w:sz w:val="22"/>
          <w:highlight w:val="none"/>
        </w:rPr>
      </w:pPr>
      <w:r>
        <w:rPr>
          <w:rFonts w:hint="eastAsia" w:ascii="宋体" w:hAnsi="宋体" w:eastAsia="宋体" w:cs="宋体"/>
          <w:spacing w:val="-3"/>
          <w:sz w:val="22"/>
          <w:highlight w:val="none"/>
        </w:rPr>
        <w:t>本表中所列设备、工具应计入投标报价。</w:t>
      </w:r>
    </w:p>
    <w:p w14:paraId="6006B53F">
      <w:pPr>
        <w:pStyle w:val="51"/>
        <w:numPr>
          <w:ilvl w:val="3"/>
          <w:numId w:val="14"/>
        </w:numPr>
        <w:tabs>
          <w:tab w:val="left" w:pos="709"/>
        </w:tabs>
        <w:kinsoku w:val="0"/>
        <w:overflowPunct w:val="0"/>
        <w:spacing w:line="400" w:lineRule="exact"/>
        <w:ind w:left="709" w:hanging="283" w:firstLineChars="0"/>
        <w:jc w:val="left"/>
        <w:rPr>
          <w:rFonts w:ascii="宋体" w:hAnsi="宋体" w:eastAsia="宋体" w:cs="宋体"/>
          <w:spacing w:val="-3"/>
          <w:sz w:val="22"/>
          <w:highlight w:val="none"/>
        </w:rPr>
      </w:pPr>
      <w:r>
        <w:rPr>
          <w:rFonts w:hint="eastAsia" w:ascii="宋体" w:hAnsi="宋体" w:eastAsia="宋体" w:cs="宋体"/>
          <w:spacing w:val="-3"/>
          <w:sz w:val="22"/>
          <w:highlight w:val="none"/>
        </w:rPr>
        <w:t>此表仅提供了表格形式，投标供应商应根据需要准备足够数量的表格来填写。</w:t>
      </w:r>
    </w:p>
    <w:p w14:paraId="345C4A1E">
      <w:pPr>
        <w:pStyle w:val="3"/>
        <w:kinsoku w:val="0"/>
        <w:overflowPunct w:val="0"/>
        <w:spacing w:line="400" w:lineRule="exact"/>
        <w:jc w:val="left"/>
        <w:rPr>
          <w:rFonts w:ascii="宋体" w:hAnsi="宋体" w:eastAsia="宋体" w:cs="宋体"/>
          <w:sz w:val="22"/>
          <w:szCs w:val="22"/>
          <w:highlight w:val="none"/>
        </w:rPr>
      </w:pPr>
    </w:p>
    <w:p w14:paraId="12F31911">
      <w:pPr>
        <w:pStyle w:val="3"/>
        <w:kinsoku w:val="0"/>
        <w:overflowPunct w:val="0"/>
        <w:spacing w:line="400" w:lineRule="exact"/>
        <w:jc w:val="left"/>
        <w:rPr>
          <w:rFonts w:ascii="宋体" w:hAnsi="宋体" w:eastAsia="宋体" w:cs="宋体"/>
          <w:sz w:val="22"/>
          <w:szCs w:val="22"/>
          <w:highlight w:val="none"/>
        </w:rPr>
      </w:pPr>
    </w:p>
    <w:p w14:paraId="40AFB6DE">
      <w:pPr>
        <w:spacing w:line="380" w:lineRule="exact"/>
        <w:rPr>
          <w:rFonts w:ascii="宋体" w:hAnsi="宋体" w:eastAsia="宋体" w:cs="宋体"/>
          <w:sz w:val="22"/>
          <w:szCs w:val="22"/>
          <w:highlight w:val="none"/>
        </w:rPr>
      </w:pPr>
      <w:r>
        <w:rPr>
          <w:rFonts w:hint="eastAsia" w:ascii="宋体" w:hAnsi="宋体" w:eastAsia="宋体" w:cs="宋体"/>
          <w:sz w:val="22"/>
          <w:szCs w:val="22"/>
          <w:highlight w:val="none"/>
        </w:rPr>
        <w:t>投标供应商全称（盖章）：</w:t>
      </w:r>
    </w:p>
    <w:p w14:paraId="25D1EB03">
      <w:pPr>
        <w:spacing w:line="380" w:lineRule="exact"/>
        <w:rPr>
          <w:rFonts w:ascii="宋体" w:hAnsi="宋体" w:eastAsia="宋体" w:cs="宋体"/>
          <w:sz w:val="22"/>
          <w:szCs w:val="22"/>
          <w:highlight w:val="none"/>
        </w:rPr>
      </w:pPr>
      <w:r>
        <w:rPr>
          <w:rFonts w:hint="eastAsia" w:ascii="宋体" w:hAnsi="宋体" w:eastAsia="宋体" w:cs="宋体"/>
          <w:sz w:val="22"/>
          <w:szCs w:val="22"/>
          <w:highlight w:val="none"/>
        </w:rPr>
        <w:t xml:space="preserve">法定代表人或授权代表（签字或盖章）： </w:t>
      </w:r>
    </w:p>
    <w:p w14:paraId="705094A6">
      <w:pPr>
        <w:spacing w:line="380" w:lineRule="exact"/>
        <w:rPr>
          <w:rFonts w:ascii="宋体" w:hAnsi="宋体" w:eastAsia="宋体" w:cs="宋体"/>
          <w:sz w:val="22"/>
          <w:szCs w:val="22"/>
          <w:highlight w:val="none"/>
        </w:rPr>
      </w:pPr>
      <w:r>
        <w:rPr>
          <w:rFonts w:hint="eastAsia" w:ascii="宋体" w:hAnsi="宋体" w:eastAsia="宋体" w:cs="宋体"/>
          <w:sz w:val="22"/>
          <w:szCs w:val="22"/>
          <w:highlight w:val="none"/>
        </w:rPr>
        <w:t>日</w:t>
      </w:r>
      <w:r>
        <w:rPr>
          <w:rFonts w:hint="eastAsia" w:ascii="宋体" w:hAnsi="宋体" w:eastAsia="宋体" w:cs="宋体"/>
          <w:sz w:val="22"/>
          <w:szCs w:val="22"/>
          <w:highlight w:val="none"/>
        </w:rPr>
        <w:tab/>
      </w:r>
      <w:r>
        <w:rPr>
          <w:rFonts w:hint="eastAsia" w:ascii="宋体" w:hAnsi="宋体" w:eastAsia="宋体" w:cs="宋体"/>
          <w:sz w:val="22"/>
          <w:szCs w:val="22"/>
          <w:highlight w:val="none"/>
        </w:rPr>
        <w:t>期：</w:t>
      </w:r>
      <w:r>
        <w:rPr>
          <w:rFonts w:hint="eastAsia" w:ascii="宋体" w:hAnsi="宋体" w:eastAsia="宋体" w:cs="宋体"/>
          <w:sz w:val="22"/>
          <w:szCs w:val="22"/>
          <w:highlight w:val="none"/>
        </w:rPr>
        <w:tab/>
      </w:r>
    </w:p>
    <w:p w14:paraId="1601E908">
      <w:pPr>
        <w:pStyle w:val="38"/>
        <w:spacing w:line="360" w:lineRule="auto"/>
        <w:rPr>
          <w:rFonts w:ascii="宋体" w:hAnsi="宋体" w:cs="宋体"/>
          <w:b/>
          <w:bCs/>
          <w:sz w:val="22"/>
          <w:szCs w:val="22"/>
          <w:highlight w:val="none"/>
        </w:rPr>
      </w:pPr>
    </w:p>
    <w:p w14:paraId="6C294172">
      <w:pPr>
        <w:pStyle w:val="3"/>
        <w:rPr>
          <w:rFonts w:ascii="宋体" w:hAnsi="宋体" w:eastAsia="宋体" w:cs="宋体"/>
          <w:b/>
          <w:bCs/>
          <w:sz w:val="22"/>
          <w:szCs w:val="22"/>
          <w:highlight w:val="none"/>
        </w:rPr>
      </w:pPr>
    </w:p>
    <w:p w14:paraId="42F96261">
      <w:pPr>
        <w:pStyle w:val="2"/>
        <w:ind w:firstLine="221"/>
        <w:rPr>
          <w:rFonts w:ascii="宋体" w:hAnsi="宋体" w:eastAsia="宋体" w:cs="宋体"/>
          <w:b/>
          <w:bCs/>
          <w:sz w:val="22"/>
          <w:szCs w:val="22"/>
          <w:highlight w:val="none"/>
        </w:rPr>
      </w:pPr>
    </w:p>
    <w:p w14:paraId="327C3CEF">
      <w:pPr>
        <w:rPr>
          <w:rFonts w:ascii="宋体" w:hAnsi="宋体" w:eastAsia="宋体" w:cs="宋体"/>
          <w:highlight w:val="none"/>
        </w:rPr>
      </w:pPr>
    </w:p>
    <w:p w14:paraId="0F34A214">
      <w:pPr>
        <w:pStyle w:val="13"/>
        <w:spacing w:line="400" w:lineRule="atLeast"/>
        <w:jc w:val="center"/>
        <w:rPr>
          <w:rFonts w:hAnsi="宋体" w:cs="宋体"/>
          <w:sz w:val="22"/>
          <w:szCs w:val="22"/>
          <w:highlight w:val="none"/>
        </w:rPr>
      </w:pPr>
      <w:r>
        <w:rPr>
          <w:rFonts w:hint="eastAsia" w:hAnsi="宋体" w:cs="宋体"/>
          <w:sz w:val="22"/>
          <w:szCs w:val="22"/>
          <w:highlight w:val="none"/>
        </w:rPr>
        <w:t>（报价文件封面，供参考）</w:t>
      </w:r>
    </w:p>
    <w:p w14:paraId="4D9BB2AC">
      <w:pPr>
        <w:rPr>
          <w:rFonts w:ascii="宋体" w:hAnsi="宋体" w:cs="宋体"/>
          <w:highlight w:val="none"/>
        </w:rPr>
      </w:pPr>
    </w:p>
    <w:p w14:paraId="3A0F9D11">
      <w:pPr>
        <w:rPr>
          <w:rFonts w:ascii="宋体" w:hAnsi="宋体" w:cs="宋体"/>
          <w:highlight w:val="none"/>
        </w:rPr>
      </w:pPr>
    </w:p>
    <w:p w14:paraId="4F23F334">
      <w:pPr>
        <w:rPr>
          <w:rFonts w:ascii="宋体" w:hAnsi="宋体" w:cs="宋体"/>
          <w:highlight w:val="none"/>
        </w:rPr>
      </w:pPr>
    </w:p>
    <w:p w14:paraId="375B9579">
      <w:pPr>
        <w:jc w:val="center"/>
        <w:rPr>
          <w:rFonts w:ascii="宋体" w:hAnsi="宋体" w:cs="宋体"/>
          <w:sz w:val="28"/>
          <w:szCs w:val="28"/>
          <w:highlight w:val="none"/>
        </w:rPr>
      </w:pPr>
      <w:r>
        <w:rPr>
          <w:rFonts w:hint="eastAsia" w:ascii="宋体" w:hAnsi="宋体" w:cs="宋体"/>
          <w:sz w:val="28"/>
          <w:szCs w:val="28"/>
          <w:highlight w:val="none"/>
          <w:u w:val="single"/>
        </w:rPr>
        <w:t xml:space="preserve">                 （项目名称）              </w:t>
      </w:r>
      <w:r>
        <w:rPr>
          <w:rFonts w:hint="eastAsia" w:ascii="宋体" w:hAnsi="宋体" w:cs="宋体"/>
          <w:sz w:val="28"/>
          <w:szCs w:val="28"/>
          <w:highlight w:val="none"/>
        </w:rPr>
        <w:t>投标文件</w:t>
      </w:r>
    </w:p>
    <w:p w14:paraId="04B03B32">
      <w:pPr>
        <w:rPr>
          <w:rFonts w:ascii="宋体" w:hAnsi="宋体" w:cs="宋体"/>
          <w:sz w:val="28"/>
          <w:szCs w:val="28"/>
          <w:highlight w:val="none"/>
        </w:rPr>
      </w:pPr>
    </w:p>
    <w:p w14:paraId="7B35DD2D">
      <w:pPr>
        <w:rPr>
          <w:rFonts w:ascii="宋体" w:hAnsi="宋体" w:cs="宋体"/>
          <w:sz w:val="28"/>
          <w:szCs w:val="28"/>
          <w:highlight w:val="none"/>
        </w:rPr>
      </w:pPr>
    </w:p>
    <w:p w14:paraId="555D9C37">
      <w:pPr>
        <w:pStyle w:val="2"/>
        <w:ind w:firstLine="281"/>
        <w:rPr>
          <w:rFonts w:ascii="宋体" w:hAnsi="宋体" w:cs="宋体"/>
          <w:sz w:val="28"/>
          <w:szCs w:val="28"/>
          <w:highlight w:val="none"/>
        </w:rPr>
      </w:pPr>
    </w:p>
    <w:p w14:paraId="72EF207F">
      <w:pPr>
        <w:pStyle w:val="2"/>
        <w:ind w:firstLine="281"/>
        <w:rPr>
          <w:rFonts w:ascii="宋体" w:hAnsi="宋体" w:cs="宋体"/>
          <w:sz w:val="28"/>
          <w:szCs w:val="28"/>
          <w:highlight w:val="none"/>
        </w:rPr>
      </w:pPr>
    </w:p>
    <w:p w14:paraId="044975D6">
      <w:pPr>
        <w:rPr>
          <w:rFonts w:ascii="宋体" w:hAnsi="宋体" w:cs="宋体"/>
          <w:sz w:val="28"/>
          <w:szCs w:val="28"/>
          <w:highlight w:val="none"/>
        </w:rPr>
      </w:pPr>
    </w:p>
    <w:p w14:paraId="74FC50B1">
      <w:pPr>
        <w:rPr>
          <w:rFonts w:ascii="宋体" w:hAnsi="宋体" w:cs="宋体"/>
          <w:sz w:val="28"/>
          <w:szCs w:val="28"/>
          <w:highlight w:val="none"/>
        </w:rPr>
      </w:pPr>
    </w:p>
    <w:p w14:paraId="41AE39D6">
      <w:pPr>
        <w:jc w:val="center"/>
        <w:rPr>
          <w:rFonts w:ascii="宋体" w:hAnsi="宋体" w:cs="宋体"/>
          <w:sz w:val="52"/>
          <w:szCs w:val="52"/>
          <w:highlight w:val="none"/>
        </w:rPr>
      </w:pPr>
      <w:r>
        <w:rPr>
          <w:rFonts w:hint="eastAsia" w:ascii="宋体" w:hAnsi="宋体" w:cs="宋体"/>
          <w:sz w:val="52"/>
          <w:szCs w:val="52"/>
          <w:highlight w:val="none"/>
        </w:rPr>
        <w:t>报 价 文 件</w:t>
      </w:r>
    </w:p>
    <w:p w14:paraId="16D01925">
      <w:pPr>
        <w:spacing w:line="360" w:lineRule="auto"/>
        <w:rPr>
          <w:rFonts w:ascii="宋体" w:hAnsi="宋体" w:cs="宋体"/>
          <w:szCs w:val="21"/>
          <w:highlight w:val="none"/>
        </w:rPr>
      </w:pPr>
    </w:p>
    <w:p w14:paraId="54C39ECC">
      <w:pPr>
        <w:spacing w:line="360" w:lineRule="auto"/>
        <w:rPr>
          <w:rFonts w:ascii="宋体" w:hAnsi="宋体" w:cs="宋体"/>
          <w:szCs w:val="21"/>
          <w:highlight w:val="none"/>
        </w:rPr>
      </w:pPr>
    </w:p>
    <w:p w14:paraId="51CA54F6">
      <w:pPr>
        <w:spacing w:line="360" w:lineRule="auto"/>
        <w:rPr>
          <w:rFonts w:ascii="宋体" w:hAnsi="宋体" w:cs="宋体"/>
          <w:szCs w:val="21"/>
          <w:highlight w:val="none"/>
        </w:rPr>
      </w:pPr>
    </w:p>
    <w:p w14:paraId="44093B80">
      <w:pPr>
        <w:spacing w:line="360" w:lineRule="auto"/>
        <w:rPr>
          <w:rFonts w:ascii="宋体" w:hAnsi="宋体" w:cs="宋体"/>
          <w:szCs w:val="21"/>
          <w:highlight w:val="none"/>
        </w:rPr>
      </w:pPr>
    </w:p>
    <w:p w14:paraId="4462A0DE">
      <w:pPr>
        <w:spacing w:line="360" w:lineRule="auto"/>
        <w:rPr>
          <w:rFonts w:ascii="宋体" w:hAnsi="宋体" w:cs="宋体"/>
          <w:szCs w:val="21"/>
          <w:highlight w:val="none"/>
        </w:rPr>
      </w:pPr>
    </w:p>
    <w:p w14:paraId="3C22C653">
      <w:pPr>
        <w:jc w:val="center"/>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14:paraId="4505F616">
      <w:pPr>
        <w:rPr>
          <w:rFonts w:ascii="宋体" w:hAnsi="宋体" w:cs="宋体"/>
          <w:sz w:val="28"/>
          <w:szCs w:val="28"/>
          <w:highlight w:val="none"/>
          <w:u w:val="single"/>
        </w:rPr>
      </w:pPr>
    </w:p>
    <w:p w14:paraId="64247911">
      <w:pPr>
        <w:jc w:val="center"/>
        <w:rPr>
          <w:rFonts w:ascii="宋体" w:hAnsi="宋体" w:cs="宋体"/>
          <w:sz w:val="28"/>
          <w:szCs w:val="28"/>
          <w:highlight w:val="none"/>
        </w:rPr>
      </w:pPr>
      <w:r>
        <w:rPr>
          <w:rFonts w:hint="eastAsia" w:ascii="宋体" w:hAnsi="宋体" w:cs="宋体"/>
          <w:sz w:val="28"/>
          <w:szCs w:val="28"/>
          <w:highlight w:val="none"/>
        </w:rPr>
        <w:t>法定代表人（单位负责人）或其委托代理人：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14:paraId="5B9196BD">
      <w:pPr>
        <w:rPr>
          <w:rFonts w:ascii="宋体" w:hAnsi="宋体" w:cs="宋体"/>
          <w:sz w:val="28"/>
          <w:szCs w:val="28"/>
          <w:highlight w:val="none"/>
        </w:rPr>
      </w:pPr>
    </w:p>
    <w:p w14:paraId="134E95C5">
      <w:pPr>
        <w:overflowPunct w:val="0"/>
        <w:spacing w:line="380" w:lineRule="exact"/>
        <w:ind w:firstLine="2738" w:firstLineChars="978"/>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18263DCA">
      <w:pPr>
        <w:overflowPunct w:val="0"/>
        <w:spacing w:line="380" w:lineRule="exact"/>
        <w:rPr>
          <w:rFonts w:ascii="宋体" w:hAnsi="宋体" w:cs="宋体"/>
          <w:b/>
          <w:bCs/>
          <w:sz w:val="22"/>
          <w:szCs w:val="22"/>
          <w:highlight w:val="none"/>
        </w:rPr>
      </w:pPr>
      <w:r>
        <w:rPr>
          <w:rFonts w:hint="eastAsia" w:ascii="宋体" w:hAnsi="宋体" w:cs="宋体"/>
          <w:sz w:val="22"/>
          <w:szCs w:val="22"/>
          <w:highlight w:val="none"/>
        </w:rPr>
        <w:br w:type="page"/>
      </w:r>
    </w:p>
    <w:p w14:paraId="74E0EC1C">
      <w:pPr>
        <w:pStyle w:val="2"/>
        <w:spacing w:line="360" w:lineRule="auto"/>
        <w:ind w:firstLine="200"/>
        <w:rPr>
          <w:rFonts w:ascii="宋体" w:hAnsi="宋体" w:eastAsia="宋体" w:cs="宋体"/>
          <w:highlight w:val="none"/>
        </w:rPr>
      </w:pPr>
    </w:p>
    <w:p w14:paraId="4CCE918C">
      <w:pPr>
        <w:pStyle w:val="15"/>
        <w:rPr>
          <w:highlight w:val="none"/>
        </w:rPr>
      </w:pPr>
    </w:p>
    <w:p w14:paraId="7AF7991E">
      <w:pPr>
        <w:spacing w:line="360" w:lineRule="auto"/>
        <w:jc w:val="center"/>
        <w:rPr>
          <w:rFonts w:ascii="宋体" w:hAnsi="宋体" w:eastAsia="宋体" w:cs="宋体"/>
          <w:b/>
          <w:bCs/>
          <w:sz w:val="28"/>
          <w:szCs w:val="28"/>
          <w:highlight w:val="none"/>
        </w:rPr>
      </w:pPr>
      <w:bookmarkStart w:id="119" w:name="_Toc7521"/>
      <w:r>
        <w:rPr>
          <w:rFonts w:hint="eastAsia" w:ascii="宋体" w:hAnsi="宋体" w:eastAsia="宋体" w:cs="宋体"/>
          <w:b/>
          <w:bCs/>
          <w:sz w:val="28"/>
          <w:szCs w:val="28"/>
          <w:highlight w:val="none"/>
        </w:rPr>
        <w:t>开标一览表</w:t>
      </w:r>
      <w:bookmarkEnd w:id="119"/>
    </w:p>
    <w:p w14:paraId="4B084325">
      <w:pPr>
        <w:spacing w:line="360" w:lineRule="auto"/>
        <w:jc w:val="center"/>
        <w:rPr>
          <w:rFonts w:ascii="宋体" w:hAnsi="宋体" w:eastAsia="宋体" w:cs="宋体"/>
          <w:b/>
          <w:bCs/>
          <w:sz w:val="28"/>
          <w:highlight w:val="none"/>
        </w:rPr>
      </w:pPr>
    </w:p>
    <w:p w14:paraId="095E3718">
      <w:pPr>
        <w:pStyle w:val="8"/>
        <w:spacing w:line="360" w:lineRule="auto"/>
        <w:ind w:firstLine="422" w:firstLineChars="200"/>
        <w:rPr>
          <w:rFonts w:ascii="宋体" w:hAnsi="宋体" w:eastAsia="宋体" w:cs="宋体"/>
          <w:highlight w:val="none"/>
        </w:rPr>
      </w:pPr>
      <w:r>
        <w:rPr>
          <w:rFonts w:hint="eastAsia" w:ascii="宋体" w:hAnsi="宋体" w:eastAsia="宋体" w:cs="宋体"/>
          <w:b/>
          <w:bCs/>
          <w:highlight w:val="none"/>
        </w:rPr>
        <w:t xml:space="preserve">项目编号： </w:t>
      </w:r>
    </w:p>
    <w:tbl>
      <w:tblPr>
        <w:tblStyle w:val="24"/>
        <w:tblpPr w:leftFromText="180" w:rightFromText="180" w:vertAnchor="text" w:horzAnchor="page" w:tblpX="1129" w:tblpY="383"/>
        <w:tblOverlap w:val="never"/>
        <w:tblW w:w="9850" w:type="dxa"/>
        <w:tblInd w:w="0" w:type="dxa"/>
        <w:tblLayout w:type="fixed"/>
        <w:tblCellMar>
          <w:top w:w="0" w:type="dxa"/>
          <w:left w:w="0" w:type="dxa"/>
          <w:bottom w:w="0" w:type="dxa"/>
          <w:right w:w="0" w:type="dxa"/>
        </w:tblCellMar>
      </w:tblPr>
      <w:tblGrid>
        <w:gridCol w:w="3499"/>
        <w:gridCol w:w="1971"/>
        <w:gridCol w:w="2265"/>
        <w:gridCol w:w="2115"/>
      </w:tblGrid>
      <w:tr w14:paraId="4AB11CF1">
        <w:tblPrEx>
          <w:tblCellMar>
            <w:top w:w="0" w:type="dxa"/>
            <w:left w:w="0" w:type="dxa"/>
            <w:bottom w:w="0" w:type="dxa"/>
            <w:right w:w="0" w:type="dxa"/>
          </w:tblCellMar>
        </w:tblPrEx>
        <w:trPr>
          <w:trHeight w:val="1216" w:hRule="exact"/>
        </w:trPr>
        <w:tc>
          <w:tcPr>
            <w:tcW w:w="3499" w:type="dxa"/>
            <w:tcBorders>
              <w:top w:val="single" w:color="000000" w:sz="4" w:space="0"/>
              <w:left w:val="single" w:color="000000" w:sz="4" w:space="0"/>
              <w:right w:val="single" w:color="auto" w:sz="4" w:space="0"/>
            </w:tcBorders>
            <w:noWrap/>
            <w:vAlign w:val="center"/>
          </w:tcPr>
          <w:p w14:paraId="697F1CEF">
            <w:pPr>
              <w:pStyle w:val="52"/>
              <w:kinsoku w:val="0"/>
              <w:overflowPunct w:val="0"/>
              <w:ind w:left="1"/>
              <w:jc w:val="center"/>
              <w:rPr>
                <w:rFonts w:hint="default" w:ascii="宋体" w:hAnsi="宋体" w:eastAsia="宋体" w:cs="宋体"/>
                <w:sz w:val="24"/>
                <w:szCs w:val="24"/>
                <w:highlight w:val="none"/>
              </w:rPr>
            </w:pPr>
            <w:r>
              <w:rPr>
                <w:rFonts w:ascii="宋体" w:hAnsi="宋体" w:eastAsia="宋体" w:cs="宋体"/>
                <w:spacing w:val="-1"/>
                <w:sz w:val="24"/>
                <w:szCs w:val="24"/>
                <w:highlight w:val="none"/>
              </w:rPr>
              <w:t>项</w:t>
            </w:r>
            <w:r>
              <w:rPr>
                <w:rFonts w:ascii="宋体" w:hAnsi="宋体" w:eastAsia="宋体" w:cs="宋体"/>
                <w:spacing w:val="-3"/>
                <w:sz w:val="24"/>
                <w:szCs w:val="24"/>
                <w:highlight w:val="none"/>
              </w:rPr>
              <w:t>目</w:t>
            </w:r>
            <w:r>
              <w:rPr>
                <w:rFonts w:ascii="宋体" w:hAnsi="宋体" w:eastAsia="宋体" w:cs="宋体"/>
                <w:spacing w:val="-1"/>
                <w:sz w:val="24"/>
                <w:szCs w:val="24"/>
                <w:highlight w:val="none"/>
              </w:rPr>
              <w:t>名</w:t>
            </w:r>
            <w:r>
              <w:rPr>
                <w:rFonts w:ascii="宋体" w:hAnsi="宋体" w:eastAsia="宋体" w:cs="宋体"/>
                <w:sz w:val="24"/>
                <w:szCs w:val="24"/>
                <w:highlight w:val="none"/>
              </w:rPr>
              <w:t>称</w:t>
            </w:r>
          </w:p>
        </w:tc>
        <w:tc>
          <w:tcPr>
            <w:tcW w:w="1971" w:type="dxa"/>
            <w:tcBorders>
              <w:top w:val="single" w:color="000000" w:sz="4" w:space="0"/>
              <w:left w:val="single" w:color="auto" w:sz="4" w:space="0"/>
              <w:right w:val="single" w:color="auto" w:sz="4" w:space="0"/>
            </w:tcBorders>
            <w:vAlign w:val="center"/>
          </w:tcPr>
          <w:p w14:paraId="39F81E2D">
            <w:pPr>
              <w:pStyle w:val="52"/>
              <w:kinsoku w:val="0"/>
              <w:overflowPunct w:val="0"/>
              <w:jc w:val="center"/>
              <w:rPr>
                <w:rFonts w:hint="eastAsia" w:asciiTheme="majorEastAsia" w:hAnsiTheme="majorEastAsia" w:eastAsiaTheme="majorEastAsia" w:cstheme="majorEastAsia"/>
                <w:sz w:val="24"/>
                <w:szCs w:val="24"/>
                <w:highlight w:val="none"/>
              </w:rPr>
            </w:pPr>
            <w:r>
              <w:rPr>
                <w:rFonts w:hint="eastAsia" w:ascii="宋体" w:hAnsi="宋体" w:eastAsia="宋体" w:cs="宋体"/>
                <w:b w:val="0"/>
                <w:color w:val="auto"/>
                <w:sz w:val="22"/>
                <w:szCs w:val="22"/>
                <w:highlight w:val="none"/>
              </w:rPr>
              <w:t>综合单价(元/吨)</w:t>
            </w:r>
          </w:p>
        </w:tc>
        <w:tc>
          <w:tcPr>
            <w:tcW w:w="2265" w:type="dxa"/>
            <w:tcBorders>
              <w:top w:val="single" w:color="000000" w:sz="4" w:space="0"/>
              <w:left w:val="single" w:color="auto" w:sz="4" w:space="0"/>
              <w:bottom w:val="single" w:color="000000" w:sz="4" w:space="0"/>
              <w:right w:val="single" w:color="000000" w:sz="4" w:space="0"/>
            </w:tcBorders>
            <w:vAlign w:val="center"/>
          </w:tcPr>
          <w:p w14:paraId="64D8F9BD">
            <w:pPr>
              <w:pStyle w:val="52"/>
              <w:kinsoku w:val="0"/>
              <w:overflowPunct w:val="0"/>
              <w:jc w:val="center"/>
              <w:rPr>
                <w:rFonts w:hint="eastAsia" w:asciiTheme="majorEastAsia" w:hAnsiTheme="majorEastAsia" w:eastAsiaTheme="majorEastAsia" w:cstheme="majorEastAsia"/>
                <w:sz w:val="24"/>
                <w:szCs w:val="24"/>
                <w:highlight w:val="none"/>
              </w:rPr>
            </w:pPr>
            <w:r>
              <w:rPr>
                <w:rFonts w:hint="eastAsia" w:ascii="宋体" w:hAnsi="宋体" w:eastAsia="宋体" w:cs="宋体"/>
                <w:b w:val="0"/>
                <w:color w:val="auto"/>
                <w:sz w:val="22"/>
                <w:szCs w:val="22"/>
                <w:highlight w:val="none"/>
              </w:rPr>
              <w:t>日转运量（吨）</w:t>
            </w:r>
          </w:p>
        </w:tc>
        <w:tc>
          <w:tcPr>
            <w:tcW w:w="2115" w:type="dxa"/>
            <w:tcBorders>
              <w:top w:val="single" w:color="000000" w:sz="4" w:space="0"/>
              <w:left w:val="single" w:color="auto" w:sz="4" w:space="0"/>
              <w:bottom w:val="single" w:color="000000" w:sz="4" w:space="0"/>
              <w:right w:val="single" w:color="000000" w:sz="4" w:space="0"/>
            </w:tcBorders>
            <w:vAlign w:val="center"/>
          </w:tcPr>
          <w:p w14:paraId="2059F89E">
            <w:pPr>
              <w:pStyle w:val="52"/>
              <w:kinsoku w:val="0"/>
              <w:overflowPunct w:val="0"/>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pacing w:val="-3"/>
                <w:sz w:val="24"/>
                <w:szCs w:val="24"/>
                <w:highlight w:val="none"/>
                <w:lang w:val="en-US" w:eastAsia="zh-CN"/>
              </w:rPr>
              <w:t>备注</w:t>
            </w:r>
          </w:p>
        </w:tc>
      </w:tr>
      <w:tr w14:paraId="58727981">
        <w:tblPrEx>
          <w:tblCellMar>
            <w:top w:w="0" w:type="dxa"/>
            <w:left w:w="0" w:type="dxa"/>
            <w:bottom w:w="0" w:type="dxa"/>
            <w:right w:w="0" w:type="dxa"/>
          </w:tblCellMar>
        </w:tblPrEx>
        <w:trPr>
          <w:trHeight w:val="810" w:hRule="exact"/>
        </w:trPr>
        <w:tc>
          <w:tcPr>
            <w:tcW w:w="3499" w:type="dxa"/>
            <w:tcBorders>
              <w:top w:val="single" w:color="000000" w:sz="4" w:space="0"/>
              <w:left w:val="single" w:color="000000" w:sz="4" w:space="0"/>
              <w:bottom w:val="single" w:color="auto" w:sz="4" w:space="0"/>
              <w:right w:val="single" w:color="auto" w:sz="4" w:space="0"/>
            </w:tcBorders>
            <w:noWrap/>
            <w:vAlign w:val="center"/>
          </w:tcPr>
          <w:p w14:paraId="181BCEEF">
            <w:pPr>
              <w:pStyle w:val="52"/>
              <w:kinsoku w:val="0"/>
              <w:overflowPunct w:val="0"/>
              <w:spacing w:line="339" w:lineRule="auto"/>
              <w:ind w:left="183" w:right="179"/>
              <w:jc w:val="center"/>
              <w:rPr>
                <w:rFonts w:hint="default" w:ascii="宋体" w:hAnsi="宋体" w:eastAsia="宋体" w:cs="宋体"/>
                <w:sz w:val="24"/>
                <w:szCs w:val="24"/>
                <w:highlight w:val="none"/>
              </w:rPr>
            </w:pPr>
            <w:r>
              <w:rPr>
                <w:rFonts w:hint="eastAsia" w:ascii="宋体" w:hAnsi="宋体" w:eastAsia="宋体" w:cs="宋体"/>
                <w:color w:val="auto"/>
                <w:sz w:val="24"/>
                <w:highlight w:val="none"/>
                <w:lang w:eastAsia="zh-CN"/>
              </w:rPr>
              <w:t>2025年度瓯海区生活垃圾转运服务</w:t>
            </w:r>
          </w:p>
        </w:tc>
        <w:tc>
          <w:tcPr>
            <w:tcW w:w="1971" w:type="dxa"/>
            <w:tcBorders>
              <w:top w:val="single" w:color="000000" w:sz="4" w:space="0"/>
              <w:left w:val="single" w:color="auto" w:sz="4" w:space="0"/>
              <w:bottom w:val="single" w:color="auto" w:sz="4" w:space="0"/>
              <w:right w:val="single" w:color="auto" w:sz="4" w:space="0"/>
            </w:tcBorders>
            <w:vAlign w:val="center"/>
          </w:tcPr>
          <w:p w14:paraId="370674A3">
            <w:pPr>
              <w:pStyle w:val="52"/>
              <w:tabs>
                <w:tab w:val="left" w:pos="1891"/>
              </w:tabs>
              <w:kinsoku w:val="0"/>
              <w:overflowPunct w:val="0"/>
              <w:ind w:left="101"/>
              <w:jc w:val="center"/>
              <w:rPr>
                <w:rFonts w:hint="default" w:asciiTheme="majorEastAsia" w:hAnsiTheme="majorEastAsia" w:eastAsiaTheme="majorEastAsia" w:cstheme="majorEastAsia"/>
                <w:sz w:val="24"/>
                <w:szCs w:val="24"/>
                <w:highlight w:val="none"/>
                <w:lang w:val="en-US" w:eastAsia="zh-CN"/>
              </w:rPr>
            </w:pPr>
          </w:p>
        </w:tc>
        <w:tc>
          <w:tcPr>
            <w:tcW w:w="2265" w:type="dxa"/>
            <w:tcBorders>
              <w:top w:val="single" w:color="000000" w:sz="4" w:space="0"/>
              <w:left w:val="single" w:color="auto" w:sz="4" w:space="0"/>
              <w:bottom w:val="single" w:color="auto" w:sz="4" w:space="0"/>
              <w:right w:val="single" w:color="000000" w:sz="4" w:space="0"/>
            </w:tcBorders>
            <w:vAlign w:val="center"/>
          </w:tcPr>
          <w:p w14:paraId="6C1D10A7">
            <w:pPr>
              <w:pStyle w:val="52"/>
              <w:tabs>
                <w:tab w:val="left" w:pos="1891"/>
              </w:tabs>
              <w:kinsoku w:val="0"/>
              <w:overflowPunct w:val="0"/>
              <w:ind w:left="101" w:leftChars="0"/>
              <w:jc w:val="center"/>
              <w:rPr>
                <w:rFonts w:hint="default" w:asciiTheme="majorEastAsia" w:hAnsiTheme="majorEastAsia" w:eastAsiaTheme="majorEastAsia" w:cstheme="majorEastAsia"/>
                <w:sz w:val="24"/>
                <w:szCs w:val="24"/>
                <w:highlight w:val="none"/>
                <w:lang w:val="en-US" w:eastAsia="zh-CN"/>
              </w:rPr>
            </w:pPr>
            <w:r>
              <w:rPr>
                <w:rFonts w:hint="eastAsia" w:ascii="宋体" w:hAnsi="宋体" w:eastAsia="宋体" w:cs="宋体"/>
                <w:b w:val="0"/>
                <w:color w:val="auto"/>
                <w:sz w:val="22"/>
                <w:szCs w:val="22"/>
                <w:highlight w:val="none"/>
                <w:lang w:val="en-US" w:eastAsia="zh-CN"/>
              </w:rPr>
              <w:t>1065</w:t>
            </w:r>
          </w:p>
        </w:tc>
        <w:tc>
          <w:tcPr>
            <w:tcW w:w="2115" w:type="dxa"/>
            <w:tcBorders>
              <w:top w:val="single" w:color="000000" w:sz="4" w:space="0"/>
              <w:left w:val="single" w:color="auto" w:sz="4" w:space="0"/>
              <w:bottom w:val="single" w:color="auto" w:sz="4" w:space="0"/>
              <w:right w:val="single" w:color="000000" w:sz="4" w:space="0"/>
            </w:tcBorders>
            <w:vAlign w:val="center"/>
          </w:tcPr>
          <w:p w14:paraId="27EE9A80">
            <w:pPr>
              <w:pStyle w:val="52"/>
              <w:tabs>
                <w:tab w:val="left" w:pos="1891"/>
              </w:tabs>
              <w:kinsoku w:val="0"/>
              <w:overflowPunct w:val="0"/>
              <w:ind w:left="101"/>
              <w:jc w:val="center"/>
              <w:rPr>
                <w:rFonts w:hint="eastAsia" w:asciiTheme="majorEastAsia" w:hAnsiTheme="majorEastAsia" w:eastAsiaTheme="majorEastAsia" w:cstheme="majorEastAsia"/>
                <w:sz w:val="24"/>
                <w:szCs w:val="24"/>
                <w:highlight w:val="none"/>
              </w:rPr>
            </w:pPr>
          </w:p>
        </w:tc>
      </w:tr>
      <w:tr w14:paraId="5FD168F6">
        <w:tblPrEx>
          <w:tblCellMar>
            <w:top w:w="0" w:type="dxa"/>
            <w:left w:w="0" w:type="dxa"/>
            <w:bottom w:w="0" w:type="dxa"/>
            <w:right w:w="0" w:type="dxa"/>
          </w:tblCellMar>
        </w:tblPrEx>
        <w:trPr>
          <w:trHeight w:val="860" w:hRule="exact"/>
        </w:trPr>
        <w:tc>
          <w:tcPr>
            <w:tcW w:w="3499" w:type="dxa"/>
            <w:tcBorders>
              <w:top w:val="single" w:color="auto" w:sz="4" w:space="0"/>
              <w:left w:val="single" w:color="000000" w:sz="4" w:space="0"/>
              <w:bottom w:val="single" w:color="auto" w:sz="4" w:space="0"/>
              <w:right w:val="single" w:color="auto" w:sz="4" w:space="0"/>
            </w:tcBorders>
            <w:noWrap/>
            <w:vAlign w:val="center"/>
          </w:tcPr>
          <w:p w14:paraId="64013997">
            <w:pPr>
              <w:pStyle w:val="52"/>
              <w:kinsoku w:val="0"/>
              <w:overflowPunct w:val="0"/>
              <w:spacing w:line="339" w:lineRule="auto"/>
              <w:ind w:left="183" w:right="179"/>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合计总价（人民币元）</w:t>
            </w:r>
          </w:p>
          <w:p w14:paraId="53DC6C03">
            <w:pPr>
              <w:pStyle w:val="52"/>
              <w:kinsoku w:val="0"/>
              <w:overflowPunct w:val="0"/>
              <w:spacing w:line="339" w:lineRule="auto"/>
              <w:ind w:left="183" w:right="179"/>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（二年服务期）</w:t>
            </w:r>
          </w:p>
          <w:p w14:paraId="0127FF73">
            <w:pPr>
              <w:pStyle w:val="52"/>
              <w:kinsoku w:val="0"/>
              <w:overflowPunct w:val="0"/>
              <w:spacing w:line="339" w:lineRule="auto"/>
              <w:ind w:left="183" w:right="179"/>
              <w:jc w:val="center"/>
              <w:rPr>
                <w:rFonts w:hint="default" w:ascii="宋体" w:hAnsi="宋体" w:eastAsia="宋体" w:cs="宋体"/>
                <w:sz w:val="24"/>
                <w:szCs w:val="24"/>
                <w:highlight w:val="none"/>
                <w:lang w:val="en-US" w:eastAsia="zh-CN"/>
              </w:rPr>
            </w:pPr>
          </w:p>
        </w:tc>
        <w:tc>
          <w:tcPr>
            <w:tcW w:w="6351" w:type="dxa"/>
            <w:gridSpan w:val="3"/>
            <w:tcBorders>
              <w:top w:val="single" w:color="auto" w:sz="4" w:space="0"/>
              <w:left w:val="single" w:color="auto" w:sz="4" w:space="0"/>
              <w:bottom w:val="single" w:color="auto" w:sz="4" w:space="0"/>
              <w:right w:val="single" w:color="000000" w:sz="4" w:space="0"/>
            </w:tcBorders>
            <w:vAlign w:val="center"/>
          </w:tcPr>
          <w:p w14:paraId="53E0DA5A">
            <w:pPr>
              <w:pStyle w:val="52"/>
              <w:tabs>
                <w:tab w:val="left" w:pos="1891"/>
              </w:tabs>
              <w:kinsoku w:val="0"/>
              <w:overflowPunct w:val="0"/>
              <w:ind w:left="101"/>
              <w:rPr>
                <w:rFonts w:hint="default" w:ascii="宋体" w:hAnsi="宋体" w:eastAsia="宋体" w:cs="宋体"/>
                <w:spacing w:val="2"/>
                <w:sz w:val="24"/>
                <w:szCs w:val="24"/>
                <w:highlight w:val="none"/>
              </w:rPr>
            </w:pPr>
            <w:r>
              <w:rPr>
                <w:rFonts w:hint="default" w:ascii="宋体" w:hAnsi="宋体" w:eastAsia="宋体" w:cs="宋体"/>
                <w:spacing w:val="2"/>
                <w:sz w:val="24"/>
                <w:szCs w:val="24"/>
                <w:highlight w:val="none"/>
              </w:rPr>
              <w:t>小写：</w:t>
            </w:r>
          </w:p>
          <w:p w14:paraId="7F1701F7">
            <w:pPr>
              <w:pStyle w:val="52"/>
              <w:tabs>
                <w:tab w:val="left" w:pos="1891"/>
              </w:tabs>
              <w:kinsoku w:val="0"/>
              <w:overflowPunct w:val="0"/>
              <w:ind w:left="101"/>
              <w:rPr>
                <w:rFonts w:ascii="宋体" w:hAnsi="宋体" w:eastAsia="宋体" w:cs="宋体"/>
                <w:spacing w:val="2"/>
                <w:sz w:val="24"/>
                <w:szCs w:val="24"/>
                <w:highlight w:val="none"/>
              </w:rPr>
            </w:pPr>
            <w:r>
              <w:rPr>
                <w:rFonts w:ascii="宋体" w:hAnsi="宋体" w:eastAsia="宋体" w:cs="宋体"/>
                <w:spacing w:val="2"/>
                <w:sz w:val="24"/>
                <w:szCs w:val="24"/>
                <w:highlight w:val="none"/>
              </w:rPr>
              <w:t>大写：</w:t>
            </w:r>
          </w:p>
        </w:tc>
      </w:tr>
    </w:tbl>
    <w:p w14:paraId="57821E34">
      <w:pPr>
        <w:pStyle w:val="8"/>
        <w:spacing w:line="360" w:lineRule="auto"/>
        <w:ind w:firstLineChars="200"/>
        <w:rPr>
          <w:rFonts w:ascii="宋体" w:hAnsi="宋体" w:eastAsia="宋体" w:cs="宋体"/>
          <w:highlight w:val="none"/>
        </w:rPr>
      </w:pPr>
    </w:p>
    <w:p w14:paraId="13D5CB91">
      <w:pPr>
        <w:spacing w:line="360" w:lineRule="auto"/>
        <w:rPr>
          <w:rFonts w:ascii="宋体" w:hAnsi="宋体" w:eastAsia="宋体" w:cs="宋体"/>
          <w:highlight w:val="none"/>
        </w:rPr>
      </w:pPr>
    </w:p>
    <w:p w14:paraId="647B373F">
      <w:pPr>
        <w:spacing w:line="360" w:lineRule="auto"/>
        <w:rPr>
          <w:rFonts w:ascii="宋体" w:hAnsi="宋体" w:eastAsia="宋体" w:cs="宋体"/>
          <w:bCs/>
          <w:szCs w:val="21"/>
          <w:highlight w:val="none"/>
        </w:rPr>
      </w:pPr>
    </w:p>
    <w:p w14:paraId="4289E681">
      <w:pPr>
        <w:pStyle w:val="13"/>
        <w:spacing w:line="460" w:lineRule="atLeast"/>
        <w:ind w:firstLine="420" w:firstLineChars="200"/>
        <w:rPr>
          <w:rFonts w:ascii="Arial" w:hAnsi="Arial" w:eastAsia="宋体" w:cs="Arial"/>
          <w:b w:val="0"/>
          <w:color w:val="auto"/>
          <w:sz w:val="22"/>
          <w:szCs w:val="22"/>
          <w:highlight w:val="none"/>
        </w:rPr>
      </w:pPr>
      <w:r>
        <w:rPr>
          <w:rFonts w:hint="eastAsia" w:ascii="宋体" w:hAnsi="宋体" w:eastAsia="宋体" w:cs="宋体"/>
          <w:bCs/>
          <w:szCs w:val="21"/>
          <w:highlight w:val="none"/>
        </w:rPr>
        <w:t>附注：</w:t>
      </w:r>
      <w:r>
        <w:rPr>
          <w:rFonts w:ascii="Arial" w:hAnsi="Arial" w:eastAsia="宋体" w:cs="Arial"/>
          <w:color w:val="auto"/>
          <w:sz w:val="22"/>
          <w:szCs w:val="22"/>
          <w:highlight w:val="none"/>
          <w:u w:val="single"/>
          <w:lang w:val="zh-CN"/>
        </w:rPr>
        <w:t>▲开标一览表中投标报价</w:t>
      </w:r>
      <w:r>
        <w:rPr>
          <w:rFonts w:hint="eastAsia" w:ascii="Arial" w:hAnsi="Arial" w:eastAsia="宋体" w:cs="Arial"/>
          <w:color w:val="auto"/>
          <w:sz w:val="22"/>
          <w:szCs w:val="22"/>
          <w:highlight w:val="none"/>
          <w:u w:val="single"/>
          <w:lang w:val="en-US" w:eastAsia="zh-CN"/>
        </w:rPr>
        <w:t>已包含</w:t>
      </w:r>
      <w:r>
        <w:rPr>
          <w:rFonts w:ascii="Arial" w:hAnsi="Arial" w:eastAsia="宋体" w:cs="Arial"/>
          <w:color w:val="auto"/>
          <w:sz w:val="22"/>
          <w:szCs w:val="22"/>
          <w:highlight w:val="none"/>
          <w:u w:val="single"/>
          <w:lang w:val="zh-CN"/>
        </w:rPr>
        <w:t>采购文件要求的</w:t>
      </w:r>
      <w:r>
        <w:rPr>
          <w:rFonts w:hint="eastAsia" w:ascii="Arial" w:hAnsi="Arial" w:eastAsia="宋体" w:cs="Arial"/>
          <w:color w:val="auto"/>
          <w:sz w:val="22"/>
          <w:szCs w:val="22"/>
          <w:highlight w:val="none"/>
          <w:u w:val="single"/>
          <w:lang w:val="en-US" w:eastAsia="zh-CN"/>
        </w:rPr>
        <w:t>场地、设备、车辆、人员及其他的</w:t>
      </w:r>
      <w:r>
        <w:rPr>
          <w:rFonts w:ascii="Arial" w:hAnsi="Arial" w:eastAsia="宋体" w:cs="Arial"/>
          <w:color w:val="auto"/>
          <w:sz w:val="22"/>
          <w:szCs w:val="22"/>
          <w:highlight w:val="none"/>
          <w:u w:val="single"/>
          <w:lang w:val="zh-CN"/>
        </w:rPr>
        <w:t>所有费用。</w:t>
      </w:r>
    </w:p>
    <w:p w14:paraId="29F90A98">
      <w:pPr>
        <w:pStyle w:val="13"/>
        <w:spacing w:line="460" w:lineRule="atLeast"/>
        <w:ind w:firstLine="440" w:firstLineChars="200"/>
        <w:rPr>
          <w:rFonts w:hint="eastAsia" w:hAnsi="宋体" w:eastAsia="宋体" w:cs="宋体"/>
          <w:b w:val="0"/>
          <w:color w:val="auto"/>
          <w:sz w:val="22"/>
          <w:szCs w:val="22"/>
          <w:highlight w:val="none"/>
          <w:u w:val="single"/>
          <w:lang w:val="en-US" w:eastAsia="zh-CN"/>
        </w:rPr>
      </w:pPr>
      <w:r>
        <w:rPr>
          <w:rFonts w:ascii="Arial" w:hAnsi="Arial" w:eastAsia="宋体" w:cs="Arial"/>
          <w:color w:val="auto"/>
          <w:sz w:val="22"/>
          <w:szCs w:val="22"/>
          <w:highlight w:val="none"/>
          <w:u w:val="single"/>
          <w:lang w:val="zh-CN"/>
        </w:rPr>
        <w:t>▲</w:t>
      </w:r>
      <w:r>
        <w:rPr>
          <w:rFonts w:hint="eastAsia" w:ascii="Arial" w:hAnsi="Arial" w:eastAsia="宋体" w:cs="Arial"/>
          <w:color w:val="auto"/>
          <w:sz w:val="22"/>
          <w:szCs w:val="22"/>
          <w:highlight w:val="none"/>
          <w:u w:val="single"/>
          <w:lang w:val="en-US" w:eastAsia="zh-CN"/>
        </w:rPr>
        <w:t>本项目</w:t>
      </w:r>
      <w:r>
        <w:rPr>
          <w:rFonts w:hint="eastAsia" w:ascii="宋体" w:hAnsi="宋体" w:eastAsia="宋体" w:cs="宋体"/>
          <w:b w:val="0"/>
          <w:color w:val="auto"/>
          <w:sz w:val="22"/>
          <w:szCs w:val="22"/>
          <w:highlight w:val="none"/>
          <w:u w:val="single"/>
        </w:rPr>
        <w:t>综合单价最高限价：</w:t>
      </w:r>
      <w:r>
        <w:rPr>
          <w:rFonts w:hint="eastAsia" w:hAnsi="宋体" w:eastAsia="宋体" w:cs="宋体"/>
          <w:b w:val="0"/>
          <w:color w:val="auto"/>
          <w:sz w:val="22"/>
          <w:szCs w:val="22"/>
          <w:highlight w:val="none"/>
          <w:u w:val="single"/>
          <w:lang w:val="en-US" w:eastAsia="zh-CN"/>
        </w:rPr>
        <w:t>49.6元/吨，投标报价高于最高限价的，将按无效标处理。</w:t>
      </w:r>
    </w:p>
    <w:p w14:paraId="3E8F17B2">
      <w:pPr>
        <w:pStyle w:val="13"/>
        <w:spacing w:line="460" w:lineRule="atLeast"/>
        <w:ind w:firstLine="440" w:firstLineChars="200"/>
        <w:rPr>
          <w:rFonts w:hint="default" w:hAnsi="宋体" w:eastAsia="宋体" w:cs="宋体"/>
          <w:b w:val="0"/>
          <w:color w:val="auto"/>
          <w:sz w:val="22"/>
          <w:szCs w:val="22"/>
          <w:highlight w:val="none"/>
          <w:u w:val="single"/>
          <w:lang w:val="en-US" w:eastAsia="zh-CN"/>
        </w:rPr>
      </w:pPr>
      <w:r>
        <w:rPr>
          <w:rFonts w:ascii="Arial" w:hAnsi="Arial" w:eastAsia="宋体" w:cs="Arial"/>
          <w:color w:val="auto"/>
          <w:sz w:val="22"/>
          <w:szCs w:val="22"/>
          <w:highlight w:val="none"/>
          <w:u w:val="single"/>
          <w:lang w:val="zh-CN"/>
        </w:rPr>
        <w:t>▲</w:t>
      </w:r>
      <w:r>
        <w:rPr>
          <w:rFonts w:hint="default" w:hAnsi="宋体" w:eastAsia="宋体" w:cs="宋体"/>
          <w:b w:val="0"/>
          <w:color w:val="auto"/>
          <w:sz w:val="22"/>
          <w:szCs w:val="22"/>
          <w:highlight w:val="none"/>
          <w:u w:val="single"/>
          <w:lang w:val="en-US" w:eastAsia="zh-CN"/>
        </w:rPr>
        <w:t>如供应商为小型、微型企业、监狱企业或残疾人福利性单位的（以提供中小企业声明函或残疾人福利性单位声明函为准），其评标价为投标报价给予价格扣除后的价格。</w:t>
      </w:r>
    </w:p>
    <w:p w14:paraId="4A3ED90E">
      <w:pPr>
        <w:pStyle w:val="13"/>
        <w:spacing w:line="460" w:lineRule="atLeast"/>
        <w:ind w:firstLine="440" w:firstLineChars="200"/>
        <w:rPr>
          <w:rFonts w:ascii="Arial" w:hAnsi="Arial" w:eastAsia="宋体" w:cs="Arial"/>
          <w:b w:val="0"/>
          <w:color w:val="auto"/>
          <w:sz w:val="24"/>
          <w:highlight w:val="none"/>
          <w:u w:val="single"/>
        </w:rPr>
      </w:pPr>
      <w:r>
        <w:rPr>
          <w:rFonts w:ascii="Arial" w:hAnsi="Arial" w:eastAsia="宋体" w:cs="Arial"/>
          <w:color w:val="auto"/>
          <w:sz w:val="22"/>
          <w:szCs w:val="22"/>
          <w:highlight w:val="none"/>
          <w:u w:val="single"/>
          <w:lang w:val="zh-CN"/>
        </w:rPr>
        <w:t>▲</w:t>
      </w:r>
      <w:r>
        <w:rPr>
          <w:rFonts w:ascii="Arial" w:hAnsi="Arial" w:eastAsia="宋体" w:cs="Arial"/>
          <w:b w:val="0"/>
          <w:color w:val="auto"/>
          <w:sz w:val="22"/>
          <w:szCs w:val="22"/>
          <w:highlight w:val="none"/>
          <w:u w:val="single"/>
        </w:rPr>
        <w:t>不提供此表格的将视为没有实质性响应采购文件</w:t>
      </w:r>
      <w:r>
        <w:rPr>
          <w:rFonts w:ascii="Arial" w:hAnsi="Arial" w:eastAsia="宋体" w:cs="Arial"/>
          <w:b w:val="0"/>
          <w:color w:val="auto"/>
          <w:sz w:val="24"/>
          <w:highlight w:val="none"/>
          <w:u w:val="single"/>
        </w:rPr>
        <w:t>。</w:t>
      </w:r>
    </w:p>
    <w:p w14:paraId="2DBE0C16">
      <w:pPr>
        <w:pStyle w:val="13"/>
        <w:spacing w:line="460" w:lineRule="atLeast"/>
        <w:ind w:firstLine="480" w:firstLineChars="200"/>
        <w:rPr>
          <w:rFonts w:ascii="Arial" w:hAnsi="Arial" w:eastAsia="宋体" w:cs="Arial"/>
          <w:b w:val="0"/>
          <w:color w:val="auto"/>
          <w:sz w:val="24"/>
          <w:highlight w:val="none"/>
        </w:rPr>
      </w:pPr>
    </w:p>
    <w:p w14:paraId="05A978CB">
      <w:pPr>
        <w:spacing w:line="360" w:lineRule="auto"/>
        <w:ind w:left="0" w:leftChars="0" w:right="-21" w:rightChars="-10" w:firstLine="5678" w:firstLineChars="2366"/>
        <w:rPr>
          <w:rFonts w:ascii="宋体" w:hAnsi="宋体" w:eastAsia="宋体" w:cs="宋体"/>
          <w:sz w:val="24"/>
          <w:highlight w:val="none"/>
        </w:rPr>
      </w:pPr>
    </w:p>
    <w:p w14:paraId="139C81F4">
      <w:pPr>
        <w:spacing w:line="360" w:lineRule="auto"/>
        <w:ind w:left="0" w:leftChars="0" w:right="-21" w:rightChars="-10" w:firstLine="838" w:firstLineChars="381"/>
        <w:rPr>
          <w:rFonts w:ascii="宋体" w:hAnsi="宋体" w:eastAsia="宋体" w:cs="宋体"/>
          <w:sz w:val="22"/>
          <w:szCs w:val="22"/>
          <w:highlight w:val="none"/>
        </w:rPr>
      </w:pPr>
      <w:bookmarkStart w:id="120" w:name="_Toc1167"/>
      <w:r>
        <w:rPr>
          <w:rFonts w:hint="eastAsia" w:ascii="宋体" w:hAnsi="宋体" w:eastAsia="宋体" w:cs="宋体"/>
          <w:sz w:val="22"/>
          <w:szCs w:val="22"/>
          <w:highlight w:val="none"/>
        </w:rPr>
        <w:t>投标供应商全称（公章）：</w:t>
      </w:r>
      <w:bookmarkEnd w:id="120"/>
    </w:p>
    <w:p w14:paraId="027B4DFF">
      <w:pPr>
        <w:spacing w:line="360" w:lineRule="auto"/>
        <w:ind w:left="0" w:leftChars="0" w:right="-10" w:firstLine="838" w:firstLineChars="381"/>
        <w:rPr>
          <w:rFonts w:ascii="宋体" w:hAnsi="宋体" w:eastAsia="宋体" w:cs="宋体"/>
          <w:sz w:val="22"/>
          <w:szCs w:val="22"/>
          <w:highlight w:val="none"/>
        </w:rPr>
      </w:pPr>
      <w:bookmarkStart w:id="121" w:name="_Toc13123"/>
      <w:r>
        <w:rPr>
          <w:rFonts w:hint="eastAsia" w:ascii="宋体" w:hAnsi="宋体" w:eastAsia="宋体" w:cs="宋体"/>
          <w:sz w:val="22"/>
          <w:szCs w:val="22"/>
          <w:highlight w:val="none"/>
        </w:rPr>
        <w:t>法定代表人或授权代表（签字或盖章）：</w:t>
      </w:r>
      <w:bookmarkEnd w:id="121"/>
    </w:p>
    <w:p w14:paraId="29216400">
      <w:pPr>
        <w:spacing w:line="360" w:lineRule="auto"/>
        <w:ind w:left="0" w:leftChars="0" w:firstLine="838" w:firstLineChars="381"/>
        <w:rPr>
          <w:rFonts w:ascii="宋体" w:hAnsi="宋体" w:eastAsia="宋体" w:cs="宋体"/>
          <w:sz w:val="22"/>
          <w:szCs w:val="22"/>
          <w:highlight w:val="none"/>
        </w:rPr>
      </w:pPr>
      <w:bookmarkStart w:id="122" w:name="_Toc1183"/>
      <w:r>
        <w:rPr>
          <w:rFonts w:hint="eastAsia" w:ascii="宋体" w:hAnsi="宋体" w:eastAsia="宋体" w:cs="宋体"/>
          <w:sz w:val="22"/>
          <w:szCs w:val="22"/>
          <w:highlight w:val="none"/>
        </w:rPr>
        <w:t>日期：</w:t>
      </w:r>
      <w:bookmarkEnd w:id="122"/>
    </w:p>
    <w:p w14:paraId="258D57A8">
      <w:pPr>
        <w:spacing w:line="360" w:lineRule="auto"/>
        <w:ind w:left="0" w:leftChars="0" w:firstLine="841" w:firstLineChars="381"/>
        <w:rPr>
          <w:rFonts w:ascii="宋体" w:hAnsi="宋体" w:eastAsia="宋体" w:cs="宋体"/>
          <w:b/>
          <w:bCs/>
          <w:sz w:val="22"/>
          <w:szCs w:val="22"/>
          <w:highlight w:val="none"/>
        </w:rPr>
      </w:pPr>
    </w:p>
    <w:p w14:paraId="3AE96D29">
      <w:pPr>
        <w:spacing w:line="360" w:lineRule="auto"/>
        <w:rPr>
          <w:rFonts w:hint="eastAsia" w:ascii="宋体" w:hAnsi="宋体" w:eastAsia="宋体" w:cs="宋体"/>
          <w:b/>
          <w:bCs/>
          <w:sz w:val="22"/>
          <w:szCs w:val="22"/>
          <w:highlight w:val="none"/>
        </w:rPr>
      </w:pPr>
    </w:p>
    <w:p w14:paraId="7A84F14A">
      <w:pPr>
        <w:pStyle w:val="38"/>
        <w:spacing w:line="360" w:lineRule="auto"/>
        <w:rPr>
          <w:rFonts w:hint="eastAsia" w:ascii="宋体" w:hAnsi="宋体" w:cs="宋体"/>
          <w:b/>
          <w:bCs/>
          <w:sz w:val="22"/>
          <w:szCs w:val="22"/>
          <w:highlight w:val="none"/>
        </w:rPr>
      </w:pPr>
    </w:p>
    <w:p w14:paraId="1D4D7067">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7B7DBB93">
      <w:pPr>
        <w:pStyle w:val="2"/>
        <w:rPr>
          <w:rFonts w:hint="eastAsia"/>
          <w:highlight w:val="none"/>
        </w:rPr>
      </w:pPr>
    </w:p>
    <w:p w14:paraId="2D60A3A4">
      <w:pPr>
        <w:spacing w:line="360" w:lineRule="auto"/>
        <w:jc w:val="center"/>
        <w:rPr>
          <w:rFonts w:hint="eastAsia" w:ascii="宋体" w:hAnsi="宋体" w:eastAsia="宋体" w:cs="宋体"/>
          <w:b/>
          <w:bCs/>
          <w:sz w:val="28"/>
          <w:szCs w:val="28"/>
          <w:highlight w:val="none"/>
        </w:rPr>
      </w:pPr>
    </w:p>
    <w:p w14:paraId="61D0C989">
      <w:pPr>
        <w:spacing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政府采购活动现场确认声明书</w:t>
      </w:r>
    </w:p>
    <w:p w14:paraId="729D3038">
      <w:pPr>
        <w:pStyle w:val="45"/>
        <w:spacing w:line="360" w:lineRule="auto"/>
        <w:ind w:firstLine="420"/>
        <w:rPr>
          <w:rFonts w:hAnsi="宋体" w:eastAsia="宋体" w:cs="宋体"/>
          <w:bCs/>
          <w:szCs w:val="21"/>
          <w:highlight w:val="none"/>
        </w:rPr>
      </w:pPr>
      <w:r>
        <w:rPr>
          <w:rFonts w:hint="eastAsia" w:hAnsi="宋体" w:eastAsia="宋体" w:cs="宋体"/>
          <w:bCs/>
          <w:kern w:val="0"/>
          <w:szCs w:val="21"/>
          <w:highlight w:val="none"/>
        </w:rPr>
        <w:t>温州市瓯海区综合行政执法局：</w:t>
      </w:r>
    </w:p>
    <w:p w14:paraId="2BE0A7C4">
      <w:pPr>
        <w:pStyle w:val="45"/>
        <w:spacing w:line="360" w:lineRule="auto"/>
        <w:ind w:firstLine="444"/>
        <w:rPr>
          <w:rFonts w:hAnsi="宋体" w:eastAsia="宋体" w:cs="宋体"/>
          <w:spacing w:val="6"/>
          <w:szCs w:val="21"/>
          <w:highlight w:val="none"/>
        </w:rPr>
      </w:pPr>
      <w:r>
        <w:rPr>
          <w:rFonts w:hint="eastAsia" w:ascii="宋体" w:hAnsi="宋体" w:eastAsia="宋体" w:cs="宋体"/>
          <w:color w:val="auto"/>
          <w:spacing w:val="6"/>
          <w:szCs w:val="21"/>
          <w:highlight w:val="none"/>
        </w:rPr>
        <w:t>本人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none"/>
          <w:lang w:val="en-US" w:eastAsia="zh-CN"/>
        </w:rPr>
        <w:t>(授权代表姓名)，</w:t>
      </w:r>
      <w:r>
        <w:rPr>
          <w:rFonts w:hint="eastAsia" w:ascii="宋体" w:hAnsi="宋体" w:eastAsia="宋体" w:cs="宋体"/>
          <w:color w:val="auto"/>
          <w:spacing w:val="6"/>
          <w:szCs w:val="21"/>
          <w:highlight w:val="none"/>
        </w:rPr>
        <w:t>经由</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none"/>
        </w:rPr>
        <w:t>（单位）</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none"/>
        </w:rPr>
        <w:t>（</w:t>
      </w:r>
      <w:r>
        <w:rPr>
          <w:rFonts w:hint="eastAsia" w:ascii="宋体" w:hAnsi="宋体" w:eastAsia="宋体" w:cs="宋体"/>
          <w:color w:val="auto"/>
          <w:spacing w:val="6"/>
          <w:szCs w:val="21"/>
          <w:highlight w:val="none"/>
          <w:u w:val="none"/>
          <w:lang w:eastAsia="zh-CN"/>
        </w:rPr>
        <w:t>法定代表人</w:t>
      </w:r>
      <w:r>
        <w:rPr>
          <w:rFonts w:hint="eastAsia" w:ascii="宋体" w:hAnsi="宋体" w:eastAsia="宋体" w:cs="宋体"/>
          <w:color w:val="auto"/>
          <w:spacing w:val="6"/>
          <w:szCs w:val="21"/>
          <w:highlight w:val="none"/>
          <w:u w:val="none"/>
        </w:rPr>
        <w:t>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）政府采购活动，经与本单位法人代表（负责人）联系确认，现就有关公平竞争事项郑重声明如下：</w:t>
      </w:r>
      <w:r>
        <w:rPr>
          <w:rFonts w:hint="eastAsia" w:hAnsi="宋体" w:eastAsia="宋体" w:cs="宋体"/>
          <w:spacing w:val="6"/>
          <w:szCs w:val="21"/>
          <w:highlight w:val="none"/>
        </w:rPr>
        <w:t xml:space="preserve"> </w:t>
      </w:r>
    </w:p>
    <w:p w14:paraId="4EEC14B8">
      <w:pPr>
        <w:pStyle w:val="46"/>
        <w:widowControl/>
        <w:numPr>
          <w:ilvl w:val="0"/>
          <w:numId w:val="15"/>
        </w:numPr>
        <w:snapToGrid w:val="0"/>
        <w:spacing w:line="360" w:lineRule="auto"/>
        <w:ind w:firstLine="396" w:firstLineChars="189"/>
        <w:rPr>
          <w:rFonts w:ascii="宋体" w:hAnsi="宋体" w:cs="宋体"/>
          <w:kern w:val="0"/>
          <w:szCs w:val="21"/>
          <w:highlight w:val="none"/>
        </w:rPr>
      </w:pPr>
      <w:r>
        <w:rPr>
          <w:rFonts w:hint="eastAsia" w:ascii="宋体" w:hAnsi="宋体" w:cs="宋体"/>
          <w:kern w:val="0"/>
          <w:szCs w:val="21"/>
          <w:highlight w:val="none"/>
        </w:rPr>
        <w:t>本单位与采购人之间 □不存在利害关系 □存在下列利害关系：</w:t>
      </w:r>
    </w:p>
    <w:p w14:paraId="2DB4C3BB">
      <w:pPr>
        <w:pStyle w:val="46"/>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A.投资关系    B.行政隶属关系    C.业务指导关系</w:t>
      </w:r>
    </w:p>
    <w:p w14:paraId="52B1DAAF">
      <w:pPr>
        <w:pStyle w:val="46"/>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D.其他可能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 xml:space="preserve">（如有，请如实说明）                 </w:t>
      </w:r>
      <w:r>
        <w:rPr>
          <w:rFonts w:hint="eastAsia" w:ascii="宋体" w:hAnsi="宋体" w:cs="宋体"/>
          <w:kern w:val="0"/>
          <w:szCs w:val="21"/>
          <w:highlight w:val="none"/>
        </w:rPr>
        <w:t>。</w:t>
      </w:r>
    </w:p>
    <w:p w14:paraId="7643A8CB">
      <w:pPr>
        <w:pStyle w:val="46"/>
        <w:widowControl/>
        <w:snapToGrid w:val="0"/>
        <w:spacing w:line="360" w:lineRule="auto"/>
        <w:rPr>
          <w:rFonts w:ascii="宋体" w:hAnsi="宋体" w:cs="宋体"/>
          <w:kern w:val="0"/>
          <w:szCs w:val="21"/>
          <w:highlight w:val="none"/>
        </w:rPr>
      </w:pPr>
      <w:r>
        <w:rPr>
          <w:rFonts w:hint="eastAsia" w:ascii="宋体" w:hAnsi="宋体" w:cs="宋体"/>
          <w:spacing w:val="6"/>
          <w:szCs w:val="21"/>
          <w:highlight w:val="none"/>
        </w:rPr>
        <w:t xml:space="preserve">  二、</w:t>
      </w:r>
      <w:r>
        <w:rPr>
          <w:rFonts w:hint="eastAsia" w:ascii="宋体" w:hAnsi="宋体" w:cs="宋体"/>
          <w:kern w:val="0"/>
          <w:szCs w:val="21"/>
          <w:highlight w:val="none"/>
        </w:rPr>
        <w:t>现已清楚知道参加本项目采购活动的其他所有供应商名称，本单位 □与其他所有供应商之间均不存在利害关系 □与（供应商名称）之间存在下列利害关系：</w:t>
      </w:r>
    </w:p>
    <w:p w14:paraId="7B860D71">
      <w:pPr>
        <w:pStyle w:val="45"/>
        <w:spacing w:line="360" w:lineRule="auto"/>
        <w:ind w:firstLine="420"/>
        <w:rPr>
          <w:rFonts w:hAnsi="宋体" w:eastAsia="宋体" w:cs="宋体"/>
          <w:kern w:val="0"/>
          <w:szCs w:val="21"/>
          <w:highlight w:val="none"/>
        </w:rPr>
      </w:pPr>
      <w:r>
        <w:rPr>
          <w:rFonts w:hint="eastAsia" w:hAnsi="宋体" w:eastAsia="宋体" w:cs="宋体"/>
          <w:kern w:val="0"/>
          <w:szCs w:val="21"/>
          <w:highlight w:val="none"/>
        </w:rPr>
        <w:t xml:space="preserve">  A.法定代表人或负责人或实际控制人是同一人</w:t>
      </w:r>
    </w:p>
    <w:p w14:paraId="6F467BB4">
      <w:pPr>
        <w:pStyle w:val="45"/>
        <w:spacing w:line="360" w:lineRule="auto"/>
        <w:ind w:firstLine="420"/>
        <w:rPr>
          <w:rFonts w:hAnsi="宋体" w:eastAsia="宋体" w:cs="宋体"/>
          <w:spacing w:val="6"/>
          <w:szCs w:val="21"/>
          <w:highlight w:val="none"/>
        </w:rPr>
      </w:pPr>
      <w:r>
        <w:rPr>
          <w:rFonts w:hint="eastAsia" w:hAnsi="宋体" w:eastAsia="宋体" w:cs="宋体"/>
          <w:kern w:val="0"/>
          <w:szCs w:val="21"/>
          <w:highlight w:val="none"/>
        </w:rPr>
        <w:t xml:space="preserve">  B.法定代表人或负责人或实际控制人是夫妻关系</w:t>
      </w:r>
    </w:p>
    <w:p w14:paraId="5F11866C">
      <w:pPr>
        <w:pStyle w:val="45"/>
        <w:spacing w:line="360" w:lineRule="auto"/>
        <w:ind w:firstLine="420"/>
        <w:rPr>
          <w:rFonts w:hAnsi="宋体" w:eastAsia="宋体" w:cs="宋体"/>
          <w:spacing w:val="6"/>
          <w:szCs w:val="21"/>
          <w:highlight w:val="none"/>
        </w:rPr>
      </w:pPr>
      <w:r>
        <w:rPr>
          <w:rFonts w:hint="eastAsia" w:hAnsi="宋体" w:eastAsia="宋体" w:cs="宋体"/>
          <w:kern w:val="0"/>
          <w:szCs w:val="21"/>
          <w:highlight w:val="none"/>
        </w:rPr>
        <w:t xml:space="preserve">  C.法定代表人或负责人或实际控制人是直系血亲关系</w:t>
      </w:r>
    </w:p>
    <w:p w14:paraId="21641532">
      <w:pPr>
        <w:pStyle w:val="45"/>
        <w:spacing w:line="360" w:lineRule="auto"/>
        <w:ind w:firstLine="420"/>
        <w:rPr>
          <w:rFonts w:hAnsi="宋体" w:eastAsia="宋体" w:cs="宋体"/>
          <w:spacing w:val="6"/>
          <w:szCs w:val="21"/>
          <w:highlight w:val="none"/>
        </w:rPr>
      </w:pPr>
      <w:r>
        <w:rPr>
          <w:rFonts w:hint="eastAsia" w:hAnsi="宋体" w:eastAsia="宋体" w:cs="宋体"/>
          <w:kern w:val="0"/>
          <w:szCs w:val="21"/>
          <w:highlight w:val="none"/>
        </w:rPr>
        <w:t xml:space="preserve">  D.法定代表人或负责人或实际控制人存在三代以内旁系血亲关系</w:t>
      </w:r>
    </w:p>
    <w:p w14:paraId="5BDD13B5">
      <w:pPr>
        <w:pStyle w:val="45"/>
        <w:spacing w:line="360" w:lineRule="auto"/>
        <w:ind w:firstLine="420"/>
        <w:rPr>
          <w:rFonts w:hAnsi="宋体" w:eastAsia="宋体" w:cs="宋体"/>
          <w:kern w:val="0"/>
          <w:szCs w:val="21"/>
          <w:highlight w:val="none"/>
        </w:rPr>
      </w:pPr>
      <w:r>
        <w:rPr>
          <w:rFonts w:hint="eastAsia" w:hAnsi="宋体" w:eastAsia="宋体" w:cs="宋体"/>
          <w:kern w:val="0"/>
          <w:szCs w:val="21"/>
          <w:highlight w:val="none"/>
        </w:rPr>
        <w:t xml:space="preserve">  E.法定代表人或负责人或实际控制人存在近姻亲关系</w:t>
      </w:r>
    </w:p>
    <w:p w14:paraId="36F35F55">
      <w:pPr>
        <w:pStyle w:val="45"/>
        <w:spacing w:line="360" w:lineRule="auto"/>
        <w:ind w:firstLine="420"/>
        <w:rPr>
          <w:rFonts w:hAnsi="宋体" w:eastAsia="宋体" w:cs="宋体"/>
          <w:kern w:val="0"/>
          <w:szCs w:val="21"/>
          <w:highlight w:val="none"/>
        </w:rPr>
      </w:pPr>
      <w:r>
        <w:rPr>
          <w:rFonts w:hint="eastAsia" w:hAnsi="宋体" w:eastAsia="宋体" w:cs="宋体"/>
          <w:kern w:val="0"/>
          <w:szCs w:val="21"/>
          <w:highlight w:val="none"/>
        </w:rPr>
        <w:t xml:space="preserve">  F.法定代表人或负责人或实际控制人存在股份控制或实际控制关系</w:t>
      </w:r>
    </w:p>
    <w:p w14:paraId="32311E3E">
      <w:pPr>
        <w:pStyle w:val="45"/>
        <w:spacing w:line="360" w:lineRule="auto"/>
        <w:ind w:firstLine="420"/>
        <w:rPr>
          <w:rFonts w:hAnsi="宋体" w:eastAsia="宋体" w:cs="宋体"/>
          <w:kern w:val="0"/>
          <w:szCs w:val="21"/>
          <w:highlight w:val="none"/>
        </w:rPr>
      </w:pPr>
      <w:r>
        <w:rPr>
          <w:rFonts w:hint="eastAsia" w:hAnsi="宋体" w:eastAsia="宋体" w:cs="宋体"/>
          <w:kern w:val="0"/>
          <w:szCs w:val="21"/>
          <w:highlight w:val="none"/>
        </w:rPr>
        <w:t xml:space="preserve">  G.存在共同直接或间接投资设立子公司、联营企业和合营企业情况</w:t>
      </w:r>
    </w:p>
    <w:p w14:paraId="08F377FE">
      <w:pPr>
        <w:pStyle w:val="45"/>
        <w:spacing w:line="360" w:lineRule="auto"/>
        <w:ind w:firstLine="420"/>
        <w:rPr>
          <w:rFonts w:hAnsi="宋体" w:eastAsia="宋体" w:cs="宋体"/>
          <w:szCs w:val="21"/>
          <w:highlight w:val="none"/>
        </w:rPr>
      </w:pPr>
      <w:r>
        <w:rPr>
          <w:rFonts w:hint="eastAsia" w:hAnsi="宋体" w:eastAsia="宋体" w:cs="宋体"/>
          <w:kern w:val="0"/>
          <w:szCs w:val="21"/>
          <w:highlight w:val="none"/>
        </w:rPr>
        <w:t xml:space="preserve">  H.存在分级代理或代销关系、同一生产制造商关系、</w:t>
      </w:r>
      <w:r>
        <w:rPr>
          <w:rFonts w:hint="eastAsia" w:hAnsi="宋体" w:eastAsia="宋体" w:cs="宋体"/>
          <w:szCs w:val="21"/>
          <w:highlight w:val="none"/>
        </w:rPr>
        <w:t>管理关系、重要业务（占主营业务收入50%以上）或重要财务往来关系（如融资）等其他实质性控制关系</w:t>
      </w:r>
    </w:p>
    <w:p w14:paraId="7FDEED0A">
      <w:pPr>
        <w:pStyle w:val="45"/>
        <w:spacing w:line="360" w:lineRule="auto"/>
        <w:ind w:firstLine="420"/>
        <w:rPr>
          <w:rFonts w:hAnsi="宋体" w:eastAsia="宋体" w:cs="宋体"/>
          <w:spacing w:val="6"/>
          <w:szCs w:val="21"/>
          <w:highlight w:val="none"/>
        </w:rPr>
      </w:pPr>
      <w:r>
        <w:rPr>
          <w:rFonts w:hint="eastAsia" w:hAnsi="宋体" w:eastAsia="宋体" w:cs="宋体"/>
          <w:szCs w:val="21"/>
          <w:highlight w:val="none"/>
        </w:rPr>
        <w:t xml:space="preserve">    I</w:t>
      </w:r>
      <w:r>
        <w:rPr>
          <w:rFonts w:hint="eastAsia" w:hAnsi="宋体" w:eastAsia="宋体" w:cs="宋体"/>
          <w:kern w:val="0"/>
          <w:szCs w:val="21"/>
          <w:highlight w:val="none"/>
        </w:rPr>
        <w:t>.</w:t>
      </w:r>
      <w:r>
        <w:rPr>
          <w:rFonts w:hint="eastAsia" w:hAnsi="宋体" w:eastAsia="宋体" w:cs="宋体"/>
          <w:szCs w:val="21"/>
          <w:highlight w:val="none"/>
        </w:rPr>
        <w:t>其他利害关系情况</w:t>
      </w:r>
      <w:r>
        <w:rPr>
          <w:rFonts w:hint="eastAsia" w:hAnsi="宋体" w:eastAsia="宋体" w:cs="宋体"/>
          <w:kern w:val="0"/>
          <w:szCs w:val="21"/>
          <w:highlight w:val="none"/>
        </w:rPr>
        <w:t>。</w:t>
      </w:r>
    </w:p>
    <w:p w14:paraId="46128CD7">
      <w:pPr>
        <w:pStyle w:val="46"/>
        <w:widowControl/>
        <w:numPr>
          <w:ilvl w:val="0"/>
          <w:numId w:val="16"/>
        </w:numPr>
        <w:snapToGrid w:val="0"/>
        <w:spacing w:line="360" w:lineRule="auto"/>
        <w:ind w:firstLine="396" w:firstLineChars="189"/>
        <w:rPr>
          <w:rFonts w:ascii="宋体" w:hAns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14:paraId="097F3A42">
      <w:pPr>
        <w:pStyle w:val="46"/>
        <w:widowControl/>
        <w:numPr>
          <w:ilvl w:val="0"/>
          <w:numId w:val="16"/>
        </w:numPr>
        <w:snapToGrid w:val="0"/>
        <w:spacing w:line="360" w:lineRule="auto"/>
        <w:ind w:firstLine="396" w:firstLineChars="189"/>
        <w:rPr>
          <w:rFonts w:ascii="宋体" w:hAnsi="宋体" w:cs="宋体"/>
          <w:kern w:val="0"/>
          <w:szCs w:val="21"/>
          <w:highlight w:val="none"/>
        </w:rPr>
      </w:pPr>
      <w:r>
        <w:rPr>
          <w:rFonts w:hint="eastAsia" w:ascii="宋体" w:hAnsi="宋体" w:cs="宋体"/>
          <w:kern w:val="0"/>
          <w:szCs w:val="21"/>
          <w:highlight w:val="none"/>
        </w:rPr>
        <w:t>我发现供应商之间存在或可能存在上述第二条第项利害关系。</w:t>
      </w:r>
    </w:p>
    <w:p w14:paraId="118B2142">
      <w:pPr>
        <w:pStyle w:val="45"/>
        <w:spacing w:line="360" w:lineRule="auto"/>
        <w:ind w:firstLine="420"/>
        <w:rPr>
          <w:rFonts w:hAnsi="宋体" w:eastAsia="宋体" w:cs="宋体"/>
          <w:szCs w:val="21"/>
          <w:highlight w:val="none"/>
        </w:rPr>
      </w:pPr>
    </w:p>
    <w:p w14:paraId="76BA39E8">
      <w:pPr>
        <w:pStyle w:val="45"/>
        <w:spacing w:line="360" w:lineRule="auto"/>
        <w:ind w:firstLine="420"/>
        <w:jc w:val="center"/>
        <w:rPr>
          <w:rFonts w:hAnsi="宋体" w:eastAsia="宋体" w:cs="宋体"/>
          <w:szCs w:val="21"/>
          <w:highlight w:val="none"/>
        </w:rPr>
      </w:pPr>
      <w:r>
        <w:rPr>
          <w:rFonts w:hint="eastAsia" w:hAnsi="宋体" w:eastAsia="宋体" w:cs="宋体"/>
          <w:szCs w:val="21"/>
          <w:highlight w:val="none"/>
        </w:rPr>
        <w:t>供应商代表签名：</w:t>
      </w:r>
    </w:p>
    <w:p w14:paraId="36AEA7BC">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年  月  日</w:t>
      </w:r>
    </w:p>
    <w:p w14:paraId="2C29D06E">
      <w:pPr>
        <w:pStyle w:val="2"/>
        <w:spacing w:line="360" w:lineRule="auto"/>
        <w:ind w:firstLine="210"/>
        <w:rPr>
          <w:rFonts w:ascii="宋体" w:hAnsi="宋体" w:eastAsia="宋体" w:cs="宋体"/>
          <w:sz w:val="21"/>
          <w:szCs w:val="21"/>
          <w:highlight w:val="none"/>
        </w:rPr>
      </w:pPr>
    </w:p>
    <w:p w14:paraId="620A5D0F">
      <w:pPr>
        <w:pStyle w:val="2"/>
        <w:spacing w:line="360" w:lineRule="auto"/>
        <w:ind w:firstLine="210"/>
        <w:rPr>
          <w:rFonts w:ascii="宋体" w:hAnsi="宋体" w:eastAsia="宋体" w:cs="宋体"/>
          <w:sz w:val="21"/>
          <w:szCs w:val="21"/>
          <w:highlight w:val="none"/>
        </w:rPr>
      </w:pPr>
    </w:p>
    <w:p w14:paraId="0040A0FF">
      <w:pPr>
        <w:pStyle w:val="2"/>
        <w:spacing w:line="360" w:lineRule="auto"/>
        <w:ind w:firstLine="210"/>
        <w:rPr>
          <w:rFonts w:ascii="宋体" w:hAnsi="宋体" w:eastAsia="宋体" w:cs="宋体"/>
          <w:sz w:val="21"/>
          <w:szCs w:val="21"/>
          <w:highlight w:val="none"/>
        </w:rPr>
      </w:pPr>
    </w:p>
    <w:p w14:paraId="078CB806">
      <w:pPr>
        <w:rPr>
          <w:rFonts w:ascii="宋体" w:hAnsi="宋体" w:eastAsia="宋体" w:cs="宋体"/>
          <w:sz w:val="21"/>
          <w:szCs w:val="21"/>
          <w:highlight w:val="none"/>
        </w:rPr>
      </w:pPr>
    </w:p>
    <w:p w14:paraId="21CA8BA3">
      <w:pPr>
        <w:pStyle w:val="44"/>
        <w:rPr>
          <w:rFonts w:ascii="宋体" w:hAnsi="宋体" w:eastAsia="宋体" w:cs="宋体"/>
          <w:sz w:val="21"/>
          <w:szCs w:val="21"/>
          <w:highlight w:val="none"/>
        </w:rPr>
      </w:pPr>
    </w:p>
    <w:p w14:paraId="6BA7558E">
      <w:pPr>
        <w:pStyle w:val="44"/>
        <w:rPr>
          <w:rFonts w:ascii="宋体" w:hAnsi="宋体" w:eastAsia="宋体" w:cs="宋体"/>
          <w:sz w:val="21"/>
          <w:szCs w:val="21"/>
          <w:highlight w:val="none"/>
        </w:rPr>
      </w:pPr>
    </w:p>
    <w:p w14:paraId="7C6244D4">
      <w:pPr>
        <w:pStyle w:val="44"/>
        <w:rPr>
          <w:rFonts w:ascii="宋体" w:hAnsi="宋体" w:eastAsia="宋体" w:cs="宋体"/>
          <w:sz w:val="21"/>
          <w:szCs w:val="21"/>
          <w:highlight w:val="none"/>
        </w:rPr>
      </w:pPr>
    </w:p>
    <w:p w14:paraId="1C0FB741">
      <w:pPr>
        <w:pStyle w:val="44"/>
        <w:rPr>
          <w:rFonts w:ascii="宋体" w:hAnsi="宋体" w:eastAsia="宋体" w:cs="宋体"/>
          <w:sz w:val="21"/>
          <w:szCs w:val="21"/>
          <w:highlight w:val="none"/>
        </w:rPr>
      </w:pPr>
    </w:p>
    <w:p w14:paraId="276AC197">
      <w:pPr>
        <w:pStyle w:val="44"/>
        <w:rPr>
          <w:rFonts w:ascii="宋体" w:hAnsi="宋体" w:eastAsia="宋体" w:cs="宋体"/>
          <w:sz w:val="21"/>
          <w:szCs w:val="21"/>
          <w:highlight w:val="none"/>
        </w:rPr>
        <w:sectPr>
          <w:footerReference r:id="rId18" w:type="default"/>
          <w:pgSz w:w="11906" w:h="16838"/>
          <w:pgMar w:top="1440" w:right="1134" w:bottom="1440" w:left="1134" w:header="851" w:footer="851" w:gutter="0"/>
          <w:cols w:space="720" w:num="1"/>
          <w:docGrid w:linePitch="312" w:charSpace="0"/>
        </w:sectPr>
      </w:pPr>
    </w:p>
    <w:p w14:paraId="7A0FB849">
      <w:pPr>
        <w:pStyle w:val="5"/>
        <w:numPr>
          <w:ilvl w:val="0"/>
          <w:numId w:val="0"/>
        </w:numPr>
        <w:spacing w:line="360" w:lineRule="auto"/>
        <w:jc w:val="center"/>
        <w:rPr>
          <w:rFonts w:ascii="宋体" w:hAnsi="宋体" w:eastAsia="宋体" w:cs="宋体"/>
          <w:bCs w:val="0"/>
          <w:kern w:val="2"/>
          <w:sz w:val="36"/>
          <w:szCs w:val="36"/>
          <w:highlight w:val="none"/>
        </w:rPr>
      </w:pPr>
      <w:bookmarkStart w:id="123" w:name="_Toc31291"/>
      <w:bookmarkStart w:id="124" w:name="_Toc29791"/>
      <w:r>
        <w:rPr>
          <w:rFonts w:hint="eastAsia" w:ascii="宋体" w:hAnsi="宋体" w:eastAsia="宋体" w:cs="宋体"/>
          <w:bCs w:val="0"/>
          <w:kern w:val="2"/>
          <w:sz w:val="36"/>
          <w:szCs w:val="36"/>
          <w:highlight w:val="none"/>
          <w:lang w:val="en-US" w:eastAsia="zh-CN"/>
        </w:rPr>
        <w:t xml:space="preserve">第四部分 </w:t>
      </w:r>
      <w:r>
        <w:rPr>
          <w:rFonts w:hint="eastAsia" w:ascii="宋体" w:hAnsi="宋体" w:eastAsia="宋体" w:cs="宋体"/>
          <w:bCs w:val="0"/>
          <w:kern w:val="2"/>
          <w:sz w:val="36"/>
          <w:szCs w:val="36"/>
          <w:highlight w:val="none"/>
        </w:rPr>
        <w:t>采购内容及要求</w:t>
      </w:r>
      <w:bookmarkEnd w:id="110"/>
      <w:bookmarkEnd w:id="111"/>
      <w:bookmarkEnd w:id="123"/>
      <w:bookmarkEnd w:id="124"/>
    </w:p>
    <w:p w14:paraId="07E439F4">
      <w:pPr>
        <w:pStyle w:val="6"/>
        <w:tabs>
          <w:tab w:val="left" w:pos="840"/>
        </w:tabs>
        <w:spacing w:before="156" w:beforeLines="50" w:after="156" w:afterLines="50" w:line="360" w:lineRule="auto"/>
        <w:rPr>
          <w:rFonts w:ascii="Arial" w:hAnsi="Arial" w:eastAsia="宋体" w:cs="Arial"/>
          <w:sz w:val="24"/>
          <w:szCs w:val="24"/>
          <w:highlight w:val="none"/>
        </w:rPr>
      </w:pPr>
      <w:bookmarkStart w:id="125" w:name="_Toc92361051"/>
      <w:bookmarkStart w:id="126" w:name="_Toc72407402"/>
      <w:bookmarkStart w:id="127" w:name="_Toc10008"/>
      <w:bookmarkStart w:id="128" w:name="_Toc10004"/>
      <w:bookmarkStart w:id="129" w:name="_Toc196474518"/>
      <w:r>
        <w:rPr>
          <w:rFonts w:ascii="Arial" w:hAnsi="Arial" w:eastAsia="宋体" w:cs="Arial"/>
          <w:sz w:val="24"/>
          <w:szCs w:val="24"/>
          <w:highlight w:val="none"/>
        </w:rPr>
        <w:t>一、概述</w:t>
      </w:r>
      <w:bookmarkEnd w:id="125"/>
      <w:bookmarkEnd w:id="126"/>
      <w:bookmarkEnd w:id="127"/>
      <w:bookmarkEnd w:id="128"/>
    </w:p>
    <w:p w14:paraId="6500731C">
      <w:pPr>
        <w:tabs>
          <w:tab w:val="left" w:pos="540"/>
        </w:tabs>
        <w:adjustRightInd w:val="0"/>
        <w:snapToGrid w:val="0"/>
        <w:spacing w:line="360" w:lineRule="auto"/>
        <w:ind w:firstLine="315" w:firstLineChars="150"/>
        <w:rPr>
          <w:rFonts w:ascii="Arial" w:hAnsi="Arial" w:cs="Arial"/>
          <w:szCs w:val="21"/>
          <w:highlight w:val="none"/>
        </w:rPr>
      </w:pPr>
      <w:r>
        <w:rPr>
          <w:rFonts w:ascii="Arial" w:hAnsi="Arial" w:cs="Arial"/>
          <w:szCs w:val="21"/>
          <w:highlight w:val="none"/>
        </w:rPr>
        <w:t>（一）供应商必须完成采购内容和合同规定义务，不允许只对部分内容进行报价。</w:t>
      </w:r>
    </w:p>
    <w:p w14:paraId="3FE4831C">
      <w:pPr>
        <w:tabs>
          <w:tab w:val="left" w:pos="540"/>
        </w:tabs>
        <w:adjustRightInd w:val="0"/>
        <w:snapToGrid w:val="0"/>
        <w:spacing w:line="360" w:lineRule="auto"/>
        <w:ind w:firstLine="310" w:firstLineChars="147"/>
        <w:rPr>
          <w:rFonts w:ascii="Arial" w:hAnsi="Arial" w:cs="Arial"/>
          <w:szCs w:val="21"/>
          <w:highlight w:val="none"/>
        </w:rPr>
      </w:pPr>
      <w:r>
        <w:rPr>
          <w:rFonts w:ascii="Arial" w:hAnsi="Arial" w:cs="Arial"/>
          <w:b/>
          <w:szCs w:val="21"/>
          <w:highlight w:val="none"/>
        </w:rPr>
        <w:t>（二）现场踏勘：各供应商于投标截止时间前自行到现场进行踏勘，以获取本次投标所需的现场资料及数据，供应商若未到现场踏勘，引起的一切后果均由其自行负责，由此造成投标价的偏差均不予调整。现场踏勘费用自理。</w:t>
      </w:r>
    </w:p>
    <w:p w14:paraId="0BF8B293">
      <w:pPr>
        <w:tabs>
          <w:tab w:val="left" w:pos="540"/>
        </w:tabs>
        <w:adjustRightInd w:val="0"/>
        <w:snapToGrid w:val="0"/>
        <w:spacing w:line="360" w:lineRule="auto"/>
        <w:ind w:firstLine="315" w:firstLineChars="150"/>
        <w:rPr>
          <w:rFonts w:ascii="Arial" w:hAnsi="Arial" w:cs="Arial"/>
          <w:szCs w:val="21"/>
          <w:highlight w:val="none"/>
        </w:rPr>
      </w:pPr>
      <w:r>
        <w:rPr>
          <w:rFonts w:ascii="Arial" w:hAnsi="Arial" w:cs="Arial"/>
          <w:szCs w:val="21"/>
          <w:highlight w:val="none"/>
        </w:rPr>
        <w:t>（三）</w:t>
      </w:r>
      <w:r>
        <w:rPr>
          <w:rFonts w:ascii="Arial" w:hAnsi="Arial" w:cs="Arial"/>
          <w:bCs/>
          <w:highlight w:val="none"/>
        </w:rPr>
        <w:t>供应商需要对本次招标的全部采购内容进行投标，不允许只对其中部分内容进行投标，谢绝联合投标。</w:t>
      </w:r>
    </w:p>
    <w:p w14:paraId="4714C3CB">
      <w:pPr>
        <w:tabs>
          <w:tab w:val="left" w:pos="540"/>
        </w:tabs>
        <w:adjustRightInd w:val="0"/>
        <w:snapToGrid w:val="0"/>
        <w:spacing w:line="360" w:lineRule="auto"/>
        <w:ind w:firstLine="315" w:firstLineChars="150"/>
        <w:rPr>
          <w:rFonts w:ascii="Arial" w:hAnsi="Arial" w:cs="Arial"/>
          <w:szCs w:val="21"/>
          <w:highlight w:val="none"/>
        </w:rPr>
      </w:pPr>
      <w:r>
        <w:rPr>
          <w:rFonts w:ascii="Arial" w:hAnsi="Arial" w:cs="Arial"/>
          <w:bCs/>
          <w:highlight w:val="none"/>
        </w:rPr>
        <w:t>（四）供应商应按采购文件的要求完成采购工作。按工作顺序提交所需的无论其是否被明细列在合同文件中的所有资料，提供的货物和服务必须满足采购文件中提出的相关要求。</w:t>
      </w:r>
    </w:p>
    <w:p w14:paraId="581C3E9B">
      <w:pPr>
        <w:tabs>
          <w:tab w:val="left" w:pos="540"/>
        </w:tabs>
        <w:adjustRightInd w:val="0"/>
        <w:snapToGrid w:val="0"/>
        <w:spacing w:line="360" w:lineRule="auto"/>
        <w:ind w:firstLine="315" w:firstLineChars="150"/>
        <w:rPr>
          <w:rFonts w:ascii="Arial" w:hAnsi="Arial" w:cs="Arial"/>
          <w:szCs w:val="21"/>
          <w:highlight w:val="none"/>
        </w:rPr>
      </w:pPr>
      <w:r>
        <w:rPr>
          <w:rFonts w:ascii="Arial" w:hAnsi="Arial" w:cs="Arial"/>
          <w:szCs w:val="21"/>
          <w:highlight w:val="none"/>
        </w:rPr>
        <w:t>（五）在投标之前，供应商须仔细阅读采购文件，如发现有任何疑问、冲突或技术问题，供应商在答疑截止时间前以书面形式向采购代理机构提出。逾期采购人不再作答复，有关风险及责任由供应商自行承担。</w:t>
      </w:r>
    </w:p>
    <w:p w14:paraId="64EE9B4F">
      <w:pPr>
        <w:pStyle w:val="6"/>
        <w:tabs>
          <w:tab w:val="left" w:pos="840"/>
        </w:tabs>
        <w:spacing w:before="156" w:beforeLines="50" w:after="156" w:afterLines="50" w:line="360" w:lineRule="auto"/>
        <w:rPr>
          <w:rFonts w:hint="eastAsia" w:ascii="Arial" w:hAnsi="Arial" w:eastAsia="宋体" w:cs="Arial"/>
          <w:sz w:val="24"/>
          <w:szCs w:val="24"/>
          <w:highlight w:val="none"/>
        </w:rPr>
      </w:pPr>
      <w:bookmarkStart w:id="130" w:name="_Toc72407403"/>
      <w:bookmarkStart w:id="131" w:name="_Toc92361052"/>
      <w:r>
        <w:rPr>
          <w:rFonts w:ascii="Arial" w:hAnsi="Arial" w:eastAsia="宋体" w:cs="Arial"/>
          <w:sz w:val="24"/>
          <w:szCs w:val="24"/>
          <w:highlight w:val="none"/>
        </w:rPr>
        <w:t>二、</w:t>
      </w:r>
      <w:bookmarkEnd w:id="129"/>
      <w:bookmarkEnd w:id="130"/>
      <w:r>
        <w:rPr>
          <w:rFonts w:hint="eastAsia" w:ascii="Arial" w:hAnsi="Arial" w:eastAsia="宋体" w:cs="Arial"/>
          <w:sz w:val="24"/>
          <w:szCs w:val="24"/>
          <w:highlight w:val="none"/>
        </w:rPr>
        <w:t>采购内容及服务期限</w:t>
      </w:r>
      <w:bookmarkEnd w:id="131"/>
    </w:p>
    <w:p w14:paraId="21686059">
      <w:pPr>
        <w:spacing w:line="360" w:lineRule="auto"/>
        <w:ind w:firstLine="420"/>
        <w:rPr>
          <w:rFonts w:ascii="宋体" w:hAnsi="宋体" w:cs="宋体"/>
          <w:highlight w:val="none"/>
        </w:rPr>
      </w:pPr>
      <w:r>
        <w:rPr>
          <w:rFonts w:hint="eastAsia" w:ascii="宋体" w:hAnsi="宋体" w:cs="宋体"/>
          <w:highlight w:val="none"/>
        </w:rPr>
        <w:t>2.1采购内容：瓯海区生活垃圾转运服务项目；</w:t>
      </w:r>
    </w:p>
    <w:p w14:paraId="7A4B0805">
      <w:pPr>
        <w:spacing w:line="360" w:lineRule="auto"/>
        <w:ind w:firstLine="420"/>
        <w:rPr>
          <w:rFonts w:ascii="宋体" w:hAnsi="宋体" w:cs="宋体"/>
          <w:highlight w:val="none"/>
        </w:rPr>
      </w:pPr>
      <w:r>
        <w:rPr>
          <w:rFonts w:hint="eastAsia" w:ascii="宋体" w:hAnsi="宋体" w:cs="宋体"/>
          <w:highlight w:val="none"/>
        </w:rPr>
        <w:t>2.2服务时限：</w:t>
      </w:r>
      <w:r>
        <w:rPr>
          <w:rFonts w:hint="eastAsia" w:ascii="宋体" w:hAnsi="宋体" w:cs="宋体"/>
          <w:b/>
          <w:bCs/>
          <w:highlight w:val="none"/>
        </w:rPr>
        <w:t>服务期限为</w:t>
      </w:r>
      <w:r>
        <w:rPr>
          <w:rFonts w:hint="eastAsia" w:ascii="宋体" w:hAnsi="宋体" w:cs="宋体"/>
          <w:b/>
          <w:bCs/>
          <w:highlight w:val="none"/>
          <w:lang w:val="en-US" w:eastAsia="zh-CN"/>
        </w:rPr>
        <w:t>2</w:t>
      </w:r>
      <w:r>
        <w:rPr>
          <w:rFonts w:hint="eastAsia" w:ascii="宋体" w:hAnsi="宋体" w:cs="宋体"/>
          <w:b/>
          <w:bCs/>
          <w:highlight w:val="none"/>
        </w:rPr>
        <w:t>年，合同一年一签。</w:t>
      </w:r>
      <w:r>
        <w:rPr>
          <w:rFonts w:hint="eastAsia" w:ascii="宋体" w:hAnsi="宋体" w:cs="宋体"/>
          <w:highlight w:val="none"/>
        </w:rPr>
        <w:t>若采购人对服务质量综合评定情况不满意，当年合同到期后，采购人（即业主）有权拒绝签订下一年合同。</w:t>
      </w:r>
    </w:p>
    <w:p w14:paraId="7982F79A">
      <w:pPr>
        <w:pStyle w:val="6"/>
        <w:tabs>
          <w:tab w:val="left" w:pos="840"/>
        </w:tabs>
        <w:spacing w:before="156" w:beforeLines="50" w:after="156" w:afterLines="50" w:line="360" w:lineRule="auto"/>
        <w:rPr>
          <w:rFonts w:hint="eastAsia" w:ascii="Arial" w:hAnsi="Arial" w:eastAsia="宋体" w:cs="Arial"/>
          <w:sz w:val="24"/>
          <w:szCs w:val="24"/>
          <w:highlight w:val="none"/>
        </w:rPr>
      </w:pPr>
      <w:bookmarkStart w:id="132" w:name="_Toc92361053"/>
      <w:r>
        <w:rPr>
          <w:rFonts w:hint="eastAsia" w:ascii="Arial" w:hAnsi="Arial" w:eastAsia="宋体" w:cs="Arial"/>
          <w:sz w:val="24"/>
          <w:szCs w:val="24"/>
          <w:highlight w:val="none"/>
        </w:rPr>
        <w:t>三、采购要求</w:t>
      </w:r>
      <w:bookmarkEnd w:id="132"/>
    </w:p>
    <w:p w14:paraId="7489C876">
      <w:pPr>
        <w:spacing w:line="360" w:lineRule="auto"/>
        <w:ind w:firstLine="420"/>
        <w:rPr>
          <w:rFonts w:ascii="宋体" w:hAnsi="宋体" w:cs="宋体"/>
          <w:highlight w:val="none"/>
        </w:rPr>
      </w:pPr>
      <w:r>
        <w:rPr>
          <w:rFonts w:hint="eastAsia" w:ascii="宋体" w:hAnsi="宋体" w:cs="宋体"/>
          <w:highlight w:val="none"/>
        </w:rPr>
        <w:t>以下工作内容产生的费用，由供应商在投标报价时综合单价中综合考虑。</w:t>
      </w:r>
    </w:p>
    <w:p w14:paraId="6960E649">
      <w:pPr>
        <w:spacing w:line="360" w:lineRule="auto"/>
        <w:ind w:firstLine="420"/>
        <w:rPr>
          <w:rFonts w:ascii="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）作业内容：中标供应商</w:t>
      </w:r>
      <w:r>
        <w:rPr>
          <w:rFonts w:hint="eastAsia" w:ascii="宋体" w:hAnsi="宋体" w:cs="宋体"/>
          <w:szCs w:val="21"/>
          <w:highlight w:val="none"/>
          <w:lang w:val="zh-CN"/>
        </w:rPr>
        <w:t>按相关政策、行业规范、技术标准</w:t>
      </w:r>
      <w:r>
        <w:rPr>
          <w:rFonts w:hint="eastAsia" w:ascii="宋体" w:hAnsi="宋体" w:cs="宋体"/>
          <w:highlight w:val="none"/>
        </w:rPr>
        <w:t>负责将所有垃圾中转站生活垃圾先进行压缩处理再转运到垃圾发电厂或采购人指定的其它转运地点，要求日产日清。垃圾堆放场的垃圾也要求日产日清。垃圾中转站及垃圾堆放场垃圾清运后产生的污水须清洗干净。</w:t>
      </w:r>
    </w:p>
    <w:p w14:paraId="24D39F21">
      <w:pPr>
        <w:spacing w:line="360" w:lineRule="auto"/>
        <w:ind w:firstLine="420"/>
        <w:rPr>
          <w:rFonts w:ascii="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）作业数量：</w:t>
      </w:r>
      <w:r>
        <w:rPr>
          <w:rFonts w:hint="eastAsia" w:ascii="宋体" w:hAnsi="宋体" w:cs="宋体"/>
          <w:b/>
          <w:bCs/>
          <w:highlight w:val="none"/>
        </w:rPr>
        <w:t>合同期每天预估量总计约1065吨，具体数量按实际运量结算。</w:t>
      </w:r>
    </w:p>
    <w:p w14:paraId="62A2B1D3">
      <w:pPr>
        <w:spacing w:line="360" w:lineRule="auto"/>
        <w:ind w:firstLine="420"/>
        <w:rPr>
          <w:rFonts w:hint="eastAsia"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）各中转站</w:t>
      </w:r>
      <w:r>
        <w:rPr>
          <w:rFonts w:hint="eastAsia" w:ascii="宋体" w:hAnsi="宋体" w:cs="宋体"/>
          <w:highlight w:val="none"/>
          <w:lang w:eastAsia="zh-CN"/>
        </w:rPr>
        <w:t>及街道每日垃圾预估量</w:t>
      </w:r>
      <w:r>
        <w:rPr>
          <w:rFonts w:hint="eastAsia" w:ascii="宋体" w:hAnsi="宋体" w:cs="宋体"/>
          <w:highlight w:val="none"/>
        </w:rPr>
        <w:t>：</w:t>
      </w:r>
    </w:p>
    <w:tbl>
      <w:tblPr>
        <w:tblStyle w:val="24"/>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4"/>
        <w:gridCol w:w="4185"/>
        <w:gridCol w:w="3090"/>
      </w:tblGrid>
      <w:tr w14:paraId="6937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F4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镇 街</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83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45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每日垃圾量（吨）</w:t>
            </w:r>
          </w:p>
        </w:tc>
      </w:tr>
      <w:tr w14:paraId="2694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87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娄桥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A1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娄桥街道古岸头中转站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10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75</w:t>
            </w:r>
          </w:p>
        </w:tc>
      </w:tr>
      <w:tr w14:paraId="2695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37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E1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娄桥街道中心区转运站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F6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55</w:t>
            </w:r>
          </w:p>
        </w:tc>
      </w:tr>
      <w:tr w14:paraId="5096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5E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瓯开区</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5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瓯开发红梅路中转站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46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r>
      <w:tr w14:paraId="2AED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07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5F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瓯开发上汇中转站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47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r>
      <w:tr w14:paraId="33C8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25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潘桥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DA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潘桥街道横塘中转站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83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44</w:t>
            </w:r>
          </w:p>
        </w:tc>
      </w:tr>
      <w:tr w14:paraId="0151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B7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8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潘桥街道焦下中转站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70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70</w:t>
            </w:r>
          </w:p>
        </w:tc>
      </w:tr>
      <w:tr w14:paraId="454F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3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瞿溪</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68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瞿溪中转站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D1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66</w:t>
            </w:r>
          </w:p>
        </w:tc>
      </w:tr>
      <w:tr w14:paraId="636B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6F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郭溪</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E6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郭溪街道富阳南路中转站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D5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w:t>
            </w:r>
          </w:p>
        </w:tc>
      </w:tr>
      <w:tr w14:paraId="7559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15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14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郭溪街道梅园中转站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1B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74</w:t>
            </w:r>
          </w:p>
        </w:tc>
      </w:tr>
      <w:tr w14:paraId="7CD4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22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梧田</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C5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梧田街道大堡底中转站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AB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87</w:t>
            </w:r>
          </w:p>
        </w:tc>
      </w:tr>
      <w:tr w14:paraId="75D5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D3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E1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瓯开发西经三路中转站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5F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70</w:t>
            </w:r>
          </w:p>
        </w:tc>
      </w:tr>
      <w:tr w14:paraId="20DE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CF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三垟</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2E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三垟中转站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35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r>
      <w:tr w14:paraId="199B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F0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茶山</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58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茶山中转站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D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w:t>
            </w:r>
          </w:p>
        </w:tc>
      </w:tr>
      <w:tr w14:paraId="02C3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ED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南白象</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16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南白象街道虎岩口中转站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96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w:t>
            </w:r>
          </w:p>
        </w:tc>
      </w:tr>
      <w:tr w14:paraId="361B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8E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D5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南白象街道横港头站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17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w:t>
            </w:r>
          </w:p>
        </w:tc>
      </w:tr>
      <w:tr w14:paraId="2A84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FF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仙岩</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C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仙岩街道下林中转站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7E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62</w:t>
            </w:r>
          </w:p>
        </w:tc>
      </w:tr>
      <w:tr w14:paraId="5DD3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CC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新桥</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BF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新桥街道前花垃圾中转站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FF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r>
      <w:tr w14:paraId="76A7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FD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FC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新桥街道山前垃圾中转站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23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r>
      <w:tr w14:paraId="6311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1A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丽岙</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34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丽岙中转站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ED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r>
      <w:tr w14:paraId="73B6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66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泽雅</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9F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泽雅垃圾中转站</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B8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r>
      <w:tr w14:paraId="1CA8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A0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景山</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A7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景山中转站（建设中）</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AE0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r>
      <w:tr w14:paraId="2CCB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EA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总量</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6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06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1065吨</w:t>
            </w:r>
          </w:p>
        </w:tc>
      </w:tr>
    </w:tbl>
    <w:p w14:paraId="22C3A10C">
      <w:pPr>
        <w:autoSpaceDE w:val="0"/>
        <w:autoSpaceDN w:val="0"/>
        <w:adjustRightInd w:val="0"/>
        <w:snapToGrid w:val="0"/>
        <w:spacing w:line="400" w:lineRule="exact"/>
        <w:ind w:firstLine="630" w:firstLineChars="300"/>
        <w:rPr>
          <w:rFonts w:hint="eastAsia" w:ascii="宋体" w:hAnsi="宋体" w:cs="宋体"/>
          <w:szCs w:val="21"/>
          <w:highlight w:val="none"/>
        </w:rPr>
      </w:pPr>
      <w:r>
        <w:rPr>
          <w:rFonts w:hint="eastAsia" w:ascii="宋体" w:hAnsi="宋体" w:cs="宋体"/>
          <w:szCs w:val="21"/>
          <w:highlight w:val="none"/>
          <w:lang w:val="zh-CN"/>
        </w:rPr>
        <w:t>注：</w:t>
      </w:r>
      <w:r>
        <w:rPr>
          <w:rFonts w:hint="eastAsia" w:ascii="宋体" w:hAnsi="宋体" w:cs="宋体"/>
          <w:b/>
          <w:bCs/>
          <w:szCs w:val="21"/>
          <w:highlight w:val="none"/>
          <w:lang w:val="zh-CN"/>
        </w:rPr>
        <w:t>本方案中设计转运规模为转运站预计承担的垃圾转运量（已考虑一定的余量），并非</w:t>
      </w:r>
      <w:r>
        <w:rPr>
          <w:rFonts w:hint="eastAsia" w:ascii="宋体" w:hAnsi="宋体" w:cs="宋体"/>
          <w:b/>
          <w:bCs/>
          <w:szCs w:val="21"/>
          <w:highlight w:val="none"/>
        </w:rPr>
        <w:t>实际转运量</w:t>
      </w:r>
      <w:r>
        <w:rPr>
          <w:rFonts w:hint="eastAsia" w:ascii="宋体" w:hAnsi="宋体" w:cs="宋体"/>
          <w:b/>
          <w:bCs/>
          <w:szCs w:val="21"/>
          <w:highlight w:val="none"/>
          <w:lang w:val="zh-CN"/>
        </w:rPr>
        <w:t>。</w:t>
      </w:r>
      <w:r>
        <w:rPr>
          <w:rFonts w:hint="eastAsia" w:ascii="宋体" w:hAnsi="宋体" w:cs="宋体"/>
          <w:b/>
          <w:bCs/>
          <w:szCs w:val="21"/>
          <w:highlight w:val="none"/>
        </w:rPr>
        <w:t>因涉及环卫一体化改造和瓯海区垃圾直运项目，部分中转站可能不纳入本次招投标项目，中标供应商可能导致转运量减少的风险。</w:t>
      </w:r>
    </w:p>
    <w:p w14:paraId="7C1AFA5D">
      <w:pPr>
        <w:autoSpaceDE w:val="0"/>
        <w:autoSpaceDN w:val="0"/>
        <w:adjustRightInd w:val="0"/>
        <w:snapToGrid w:val="0"/>
        <w:spacing w:line="400" w:lineRule="exact"/>
        <w:ind w:firstLine="480"/>
        <w:rPr>
          <w:rFonts w:ascii="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）运距：</w:t>
      </w:r>
      <w:r>
        <w:rPr>
          <w:rFonts w:hint="eastAsia" w:ascii="宋体" w:hAnsi="宋体"/>
          <w:b/>
          <w:sz w:val="22"/>
          <w:szCs w:val="22"/>
          <w:highlight w:val="none"/>
        </w:rPr>
        <w:t>无论垃圾是从瓯海区哪个中转站运到垃圾发电厂，均按投标时的综合单价统一进行结算，供应商不得以运距长短提出调价要求，如焚烧厂故障、检修、市级调配、应急或其他情况需要变换转运地点的，中标供应商必须服从采购人安排，运至采购人指定地点，具体结算按投标时单价结算。</w:t>
      </w:r>
    </w:p>
    <w:p w14:paraId="208C51AC">
      <w:pPr>
        <w:spacing w:line="360" w:lineRule="auto"/>
        <w:ind w:firstLine="420"/>
        <w:rPr>
          <w:rFonts w:hint="eastAsia"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）工作时间：</w:t>
      </w:r>
      <w:r>
        <w:rPr>
          <w:rFonts w:hint="eastAsia" w:ascii="宋体" w:hAnsi="宋体" w:cs="宋体"/>
          <w:highlight w:val="yellow"/>
        </w:rPr>
        <w:t>中转站开放时间每天早上</w:t>
      </w:r>
      <w:r>
        <w:rPr>
          <w:rFonts w:ascii="宋体" w:hAnsi="宋体" w:cs="宋体"/>
          <w:highlight w:val="yellow"/>
        </w:rPr>
        <w:t>4</w:t>
      </w:r>
      <w:r>
        <w:rPr>
          <w:rFonts w:hint="eastAsia" w:ascii="宋体" w:hAnsi="宋体" w:cs="宋体"/>
          <w:highlight w:val="yellow"/>
        </w:rPr>
        <w:t>:</w:t>
      </w:r>
      <w:r>
        <w:rPr>
          <w:rFonts w:ascii="宋体" w:cs="宋体"/>
          <w:highlight w:val="yellow"/>
        </w:rPr>
        <w:t>30</w:t>
      </w:r>
      <w:r>
        <w:rPr>
          <w:rFonts w:hint="eastAsia" w:ascii="宋体" w:hAnsi="宋体" w:cs="宋体"/>
          <w:highlight w:val="yellow"/>
        </w:rPr>
        <w:t>点开始至晚上</w:t>
      </w:r>
      <w:r>
        <w:rPr>
          <w:rFonts w:hint="eastAsia" w:ascii="宋体" w:hAnsi="宋体" w:cs="宋体"/>
          <w:highlight w:val="yellow"/>
          <w:lang w:val="en-US" w:eastAsia="zh-CN"/>
        </w:rPr>
        <w:t>18</w:t>
      </w:r>
      <w:r>
        <w:rPr>
          <w:rFonts w:hint="eastAsia" w:ascii="宋体" w:hAnsi="宋体" w:cs="宋体"/>
          <w:highlight w:val="yellow"/>
        </w:rPr>
        <w:t>:</w:t>
      </w:r>
      <w:r>
        <w:rPr>
          <w:rFonts w:ascii="宋体" w:cs="宋体"/>
          <w:highlight w:val="yellow"/>
        </w:rPr>
        <w:t>00</w:t>
      </w:r>
      <w:r>
        <w:rPr>
          <w:rFonts w:hint="eastAsia" w:ascii="宋体" w:hAnsi="宋体" w:cs="宋体"/>
          <w:highlight w:val="yellow"/>
        </w:rPr>
        <w:t>点各中转站</w:t>
      </w:r>
      <w:r>
        <w:rPr>
          <w:rFonts w:hint="eastAsia" w:ascii="宋体" w:hAnsi="宋体" w:cs="宋体"/>
          <w:highlight w:val="none"/>
        </w:rPr>
        <w:t>内所有满箱的垃圾运完为止，工作时间内不得缺车。采购人根据垃圾转运情况调如需整工作时间，中标供应商必须服从采购人安排。</w:t>
      </w:r>
    </w:p>
    <w:p w14:paraId="63B7C0CB">
      <w:pPr>
        <w:spacing w:line="360" w:lineRule="auto"/>
        <w:ind w:firstLine="420"/>
        <w:rPr>
          <w:rFonts w:hint="eastAsia" w:ascii="宋体" w:hAnsi="宋体" w:cs="宋体"/>
          <w:b/>
          <w:bCs/>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）车辆：</w:t>
      </w:r>
      <w:r>
        <w:rPr>
          <w:rFonts w:hint="eastAsia" w:ascii="宋体" w:hAnsi="宋体" w:cs="宋体"/>
          <w:b/>
          <w:bCs/>
          <w:highlight w:val="none"/>
        </w:rPr>
        <w:t>项目所需备用应急车辆由中标供应商解决，供应商应至少提供（具体以投标承诺为准）：2辆垃圾运输车（核定载质量≥13000</w:t>
      </w:r>
      <w:r>
        <w:rPr>
          <w:rFonts w:ascii="宋体" w:hAnsi="宋体" w:cs="宋体"/>
          <w:b/>
          <w:bCs/>
          <w:highlight w:val="none"/>
        </w:rPr>
        <w:t>Kg</w:t>
      </w:r>
      <w:r>
        <w:rPr>
          <w:rFonts w:hint="eastAsia" w:ascii="宋体" w:hAnsi="宋体" w:cs="宋体"/>
          <w:b/>
          <w:bCs/>
          <w:highlight w:val="none"/>
        </w:rPr>
        <w:t>），</w:t>
      </w:r>
      <w:r>
        <w:rPr>
          <w:rFonts w:hint="eastAsia" w:ascii="宋体" w:hAnsi="宋体" w:cs="宋体"/>
          <w:b/>
          <w:bCs/>
          <w:highlight w:val="none"/>
          <w:lang w:val="en-US" w:eastAsia="zh-CN"/>
        </w:rPr>
        <w:t>2</w:t>
      </w:r>
      <w:r>
        <w:rPr>
          <w:rFonts w:hint="eastAsia" w:ascii="宋体" w:hAnsi="宋体" w:cs="宋体"/>
          <w:b/>
          <w:bCs/>
          <w:highlight w:val="none"/>
        </w:rPr>
        <w:t>辆移动式垃圾压缩车（核定载质量≥9000kg）备用车辆。</w:t>
      </w:r>
    </w:p>
    <w:p w14:paraId="4DC8B1CB">
      <w:pPr>
        <w:spacing w:line="360" w:lineRule="auto"/>
        <w:ind w:firstLine="42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）中转站运维：场地</w:t>
      </w:r>
      <w:r>
        <w:rPr>
          <w:rFonts w:ascii="宋体" w:hAnsi="宋体" w:cs="宋体"/>
          <w:highlight w:val="none"/>
        </w:rPr>
        <w:t>及</w:t>
      </w:r>
      <w:r>
        <w:rPr>
          <w:rFonts w:hint="eastAsia" w:ascii="宋体" w:hAnsi="宋体" w:cs="宋体"/>
          <w:highlight w:val="none"/>
        </w:rPr>
        <w:t>现有的驾驶员</w:t>
      </w:r>
      <w:r>
        <w:rPr>
          <w:rFonts w:ascii="宋体" w:hAnsi="宋体" w:cs="宋体"/>
          <w:highlight w:val="none"/>
        </w:rPr>
        <w:t>房间</w:t>
      </w:r>
      <w:r>
        <w:rPr>
          <w:rFonts w:hint="eastAsia" w:ascii="宋体" w:hAnsi="宋体" w:cs="宋体"/>
          <w:highlight w:val="none"/>
        </w:rPr>
        <w:t>、操作工</w:t>
      </w:r>
      <w:r>
        <w:rPr>
          <w:rFonts w:ascii="宋体" w:hAnsi="宋体" w:cs="宋体"/>
          <w:highlight w:val="none"/>
        </w:rPr>
        <w:t>房间由采购人提供，</w:t>
      </w:r>
      <w:r>
        <w:rPr>
          <w:rFonts w:hint="eastAsia" w:ascii="宋体" w:hAnsi="宋体" w:cs="宋体"/>
          <w:highlight w:val="none"/>
        </w:rPr>
        <w:t>除此在外中转站运维所需的</w:t>
      </w:r>
      <w:r>
        <w:rPr>
          <w:rFonts w:ascii="宋体" w:hAnsi="宋体" w:cs="宋体"/>
          <w:highlight w:val="none"/>
        </w:rPr>
        <w:t>水</w:t>
      </w:r>
      <w:r>
        <w:rPr>
          <w:rFonts w:hint="eastAsia" w:ascii="宋体" w:hAnsi="宋体" w:cs="宋体"/>
          <w:highlight w:val="none"/>
        </w:rPr>
        <w:t>电（保洁公司的环卫工人住宿产生的水电费由保洁公司负责）、药剂、除臭剂、消毒剂、设备维修、污水管网清通、场地保洁</w:t>
      </w:r>
      <w:r>
        <w:rPr>
          <w:rFonts w:ascii="宋体" w:hAnsi="宋体" w:cs="宋体"/>
          <w:highlight w:val="none"/>
        </w:rPr>
        <w:t>等</w:t>
      </w:r>
      <w:r>
        <w:rPr>
          <w:rFonts w:hint="eastAsia" w:ascii="宋体" w:hAnsi="宋体" w:cs="宋体"/>
          <w:highlight w:val="none"/>
        </w:rPr>
        <w:t>一切</w:t>
      </w:r>
      <w:r>
        <w:rPr>
          <w:rFonts w:ascii="宋体" w:hAnsi="宋体" w:cs="宋体"/>
          <w:highlight w:val="none"/>
        </w:rPr>
        <w:t>费用</w:t>
      </w:r>
      <w:r>
        <w:rPr>
          <w:rFonts w:hint="eastAsia" w:ascii="宋体" w:hAnsi="宋体" w:cs="宋体"/>
          <w:b/>
          <w:bCs/>
          <w:highlight w:val="none"/>
        </w:rPr>
        <w:t>均</w:t>
      </w:r>
      <w:r>
        <w:rPr>
          <w:rFonts w:ascii="宋体" w:hAnsi="宋体" w:cs="宋体"/>
          <w:b/>
          <w:bCs/>
          <w:highlight w:val="none"/>
        </w:rPr>
        <w:t>由中标供应商</w:t>
      </w:r>
      <w:r>
        <w:rPr>
          <w:rFonts w:hint="eastAsia" w:ascii="宋体" w:hAnsi="宋体" w:cs="宋体"/>
          <w:b/>
          <w:bCs/>
          <w:highlight w:val="none"/>
        </w:rPr>
        <w:t>承担</w:t>
      </w:r>
      <w:r>
        <w:rPr>
          <w:rFonts w:hint="eastAsia" w:ascii="宋体" w:hAnsi="宋体" w:cs="宋体"/>
          <w:highlight w:val="none"/>
        </w:rPr>
        <w:t>。</w:t>
      </w:r>
    </w:p>
    <w:p w14:paraId="4B34ADE0">
      <w:pPr>
        <w:spacing w:line="360" w:lineRule="auto"/>
        <w:ind w:firstLine="420"/>
        <w:rPr>
          <w:rFonts w:hint="eastAsia" w:ascii="宋体" w:hAnsi="宋体" w:cs="宋体"/>
          <w:b/>
          <w:bCs/>
          <w:highlight w:val="none"/>
        </w:rPr>
      </w:pPr>
      <w:r>
        <w:rPr>
          <w:rFonts w:hint="eastAsia" w:ascii="宋体" w:hAnsi="宋体" w:cs="宋体"/>
          <w:b w:val="0"/>
          <w:bCs w:val="0"/>
          <w:highlight w:val="none"/>
        </w:rPr>
        <w:t>（</w:t>
      </w:r>
      <w:r>
        <w:rPr>
          <w:rFonts w:hint="eastAsia" w:ascii="宋体" w:hAnsi="宋体" w:cs="宋体"/>
          <w:b w:val="0"/>
          <w:bCs w:val="0"/>
          <w:highlight w:val="none"/>
          <w:lang w:val="en-US" w:eastAsia="zh-CN"/>
        </w:rPr>
        <w:t>8</w:t>
      </w:r>
      <w:r>
        <w:rPr>
          <w:rFonts w:hint="eastAsia" w:ascii="宋体" w:hAnsi="宋体" w:cs="宋体"/>
          <w:b w:val="0"/>
          <w:bCs w:val="0"/>
          <w:highlight w:val="none"/>
        </w:rPr>
        <w:t>）安全消防设施：</w:t>
      </w:r>
      <w:r>
        <w:rPr>
          <w:rFonts w:hint="eastAsia" w:ascii="宋体" w:hAnsi="宋体" w:cs="宋体"/>
          <w:b/>
          <w:bCs/>
          <w:highlight w:val="none"/>
        </w:rPr>
        <w:t>未安装监控系统的中转站，由供应商</w:t>
      </w:r>
      <w:r>
        <w:rPr>
          <w:rFonts w:hint="eastAsia" w:ascii="宋体" w:hAnsi="宋体" w:cs="宋体"/>
          <w:b/>
          <w:bCs/>
          <w:highlight w:val="none"/>
          <w:lang w:val="en-US" w:eastAsia="zh-CN"/>
        </w:rPr>
        <w:t>按</w:t>
      </w:r>
      <w:r>
        <w:rPr>
          <w:rFonts w:hint="eastAsia" w:ascii="宋体" w:hAnsi="宋体" w:cs="宋体"/>
          <w:b/>
          <w:bCs/>
          <w:highlight w:val="none"/>
        </w:rPr>
        <w:t>采购人或街道要求安装监控系统，</w:t>
      </w:r>
      <w:r>
        <w:rPr>
          <w:rFonts w:hint="eastAsia" w:ascii="宋体" w:hAnsi="宋体" w:cs="宋体"/>
          <w:b/>
          <w:bCs/>
          <w:highlight w:val="none"/>
          <w:lang w:val="en-US" w:eastAsia="zh-CN"/>
        </w:rPr>
        <w:t>相关安装及日常运维费用均包含在本次综合报价内综合考虑，相关设备</w:t>
      </w:r>
      <w:r>
        <w:rPr>
          <w:rFonts w:hint="eastAsia" w:ascii="宋体" w:hAnsi="宋体" w:cs="宋体"/>
          <w:b/>
          <w:bCs/>
          <w:highlight w:val="none"/>
        </w:rPr>
        <w:t>所有权</w:t>
      </w:r>
      <w:r>
        <w:rPr>
          <w:rFonts w:hint="eastAsia" w:ascii="宋体" w:hAnsi="宋体" w:cs="宋体"/>
          <w:b/>
          <w:bCs/>
          <w:highlight w:val="none"/>
          <w:lang w:val="en-US" w:eastAsia="zh-CN"/>
        </w:rPr>
        <w:t>最终</w:t>
      </w:r>
      <w:r>
        <w:rPr>
          <w:rFonts w:hint="eastAsia" w:ascii="宋体" w:hAnsi="宋体" w:cs="宋体"/>
          <w:b/>
          <w:bCs/>
          <w:highlight w:val="none"/>
        </w:rPr>
        <w:t>归采购人所有；中转站安全</w:t>
      </w:r>
      <w:bookmarkStart w:id="139" w:name="_GoBack"/>
      <w:bookmarkEnd w:id="139"/>
      <w:r>
        <w:rPr>
          <w:rFonts w:hint="eastAsia" w:ascii="宋体" w:hAnsi="宋体" w:cs="宋体"/>
          <w:b/>
          <w:bCs/>
          <w:highlight w:val="none"/>
        </w:rPr>
        <w:t>消防设施不达标的，由供应商负责升级改造，达到规范要求，并负责中转站安全消防设施运维工作。</w:t>
      </w:r>
    </w:p>
    <w:p w14:paraId="5B4ABAC0">
      <w:pPr>
        <w:spacing w:line="360" w:lineRule="auto"/>
        <w:ind w:firstLine="420"/>
        <w:rPr>
          <w:rFonts w:hint="eastAsia" w:ascii="宋体" w:hAnsi="宋体" w:cs="宋体"/>
          <w:szCs w:val="21"/>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）检测：</w:t>
      </w:r>
      <w:r>
        <w:rPr>
          <w:rFonts w:hint="eastAsia" w:ascii="宋体" w:hAnsi="宋体" w:cs="宋体"/>
          <w:b/>
          <w:bCs/>
          <w:highlight w:val="none"/>
        </w:rPr>
        <w:t>供应商需在</w:t>
      </w:r>
      <w:r>
        <w:rPr>
          <w:rFonts w:hint="eastAsia" w:ascii="宋体" w:hAnsi="宋体" w:cs="宋体"/>
          <w:b/>
          <w:bCs/>
          <w:szCs w:val="21"/>
          <w:highlight w:val="none"/>
        </w:rPr>
        <w:t>每个季度对中转站内大气、污水处理排水口处进行监测</w:t>
      </w:r>
      <w:r>
        <w:rPr>
          <w:rFonts w:hint="eastAsia" w:ascii="宋体" w:hAnsi="宋体" w:cs="宋体"/>
          <w:b/>
          <w:bCs/>
          <w:szCs w:val="21"/>
          <w:highlight w:val="none"/>
          <w:lang w:eastAsia="zh-CN"/>
        </w:rPr>
        <w:t>，</w:t>
      </w:r>
      <w:r>
        <w:rPr>
          <w:rFonts w:hint="eastAsia" w:ascii="宋体" w:hAnsi="宋体" w:cs="宋体"/>
          <w:b/>
          <w:bCs/>
          <w:szCs w:val="21"/>
          <w:highlight w:val="none"/>
        </w:rPr>
        <w:t>中转站内大气</w:t>
      </w:r>
      <w:r>
        <w:rPr>
          <w:rFonts w:hint="eastAsia" w:ascii="宋体" w:hAnsi="宋体" w:cs="宋体"/>
          <w:b/>
          <w:bCs/>
          <w:szCs w:val="21"/>
          <w:highlight w:val="none"/>
          <w:lang w:val="en-US" w:eastAsia="zh-CN"/>
        </w:rPr>
        <w:t>检测标准需达到</w:t>
      </w:r>
      <w:r>
        <w:rPr>
          <w:rFonts w:hint="eastAsia" w:ascii="宋体" w:hAnsi="宋体" w:cs="宋体"/>
          <w:b/>
          <w:bCs/>
          <w:szCs w:val="21"/>
          <w:highlight w:val="none"/>
          <w:lang w:eastAsia="zh-CN"/>
        </w:rPr>
        <w:t>《恶臭污染物排放标准》(GB14554-93)</w:t>
      </w:r>
      <w:r>
        <w:rPr>
          <w:rFonts w:hint="eastAsia" w:ascii="宋体" w:hAnsi="宋体" w:cs="宋体"/>
          <w:b/>
          <w:bCs/>
          <w:szCs w:val="21"/>
          <w:highlight w:val="none"/>
        </w:rPr>
        <w:t>，排水口处</w:t>
      </w:r>
      <w:r>
        <w:rPr>
          <w:rFonts w:hint="eastAsia" w:ascii="宋体" w:hAnsi="宋体" w:cs="宋体"/>
          <w:b/>
          <w:bCs/>
          <w:szCs w:val="21"/>
          <w:highlight w:val="none"/>
          <w:lang w:val="en-US" w:eastAsia="zh-CN"/>
        </w:rPr>
        <w:t>水质至少需检测PH值、悬浮物浓度、氨氮浓度、化学需氧量（COD）、生化需氧量(BOD)等。</w:t>
      </w:r>
      <w:r>
        <w:rPr>
          <w:rFonts w:hint="eastAsia" w:ascii="宋体" w:hAnsi="宋体" w:cs="宋体"/>
          <w:b/>
          <w:bCs/>
          <w:szCs w:val="21"/>
          <w:highlight w:val="none"/>
        </w:rPr>
        <w:t>第三方检测机构</w:t>
      </w:r>
      <w:r>
        <w:rPr>
          <w:rFonts w:hint="eastAsia" w:ascii="宋体" w:hAnsi="宋体" w:cs="宋体"/>
          <w:b/>
          <w:bCs/>
          <w:szCs w:val="21"/>
          <w:highlight w:val="none"/>
          <w:lang w:val="en-US" w:eastAsia="zh-CN"/>
        </w:rPr>
        <w:t>由业主方进行指定，相关费用由供应商支付，以上费用均综合考虑在报价内，不再单独列项</w:t>
      </w:r>
      <w:r>
        <w:rPr>
          <w:rFonts w:hint="eastAsia" w:ascii="宋体" w:hAnsi="宋体" w:cs="宋体"/>
          <w:b/>
          <w:bCs/>
          <w:szCs w:val="21"/>
          <w:highlight w:val="none"/>
        </w:rPr>
        <w:t>。</w:t>
      </w:r>
    </w:p>
    <w:p w14:paraId="32B9C34D">
      <w:pPr>
        <w:spacing w:line="360" w:lineRule="auto"/>
        <w:ind w:firstLine="420"/>
        <w:rPr>
          <w:rFonts w:hint="eastAsia" w:ascii="宋体" w:hAnsi="宋体" w:cs="宋体"/>
          <w:szCs w:val="21"/>
          <w:highlight w:val="none"/>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szCs w:val="21"/>
          <w:highlight w:val="none"/>
        </w:rPr>
        <w:t>渗滤液：本项目中转站渗滤液处理由供应商按</w:t>
      </w:r>
      <w:r>
        <w:rPr>
          <w:rFonts w:hint="eastAsia" w:ascii="宋体" w:hAnsi="宋体" w:cs="宋体"/>
          <w:szCs w:val="21"/>
          <w:highlight w:val="none"/>
          <w:lang w:val="zh-CN"/>
        </w:rPr>
        <w:t>相关政策、行业规范及环保要求</w:t>
      </w:r>
      <w:r>
        <w:rPr>
          <w:rFonts w:hint="eastAsia" w:ascii="宋体" w:hAnsi="宋体" w:cs="宋体"/>
          <w:szCs w:val="21"/>
          <w:highlight w:val="none"/>
        </w:rPr>
        <w:t>负责处置，并做好相关工作台账。</w:t>
      </w:r>
    </w:p>
    <w:p w14:paraId="3C806E43">
      <w:pPr>
        <w:spacing w:line="360" w:lineRule="auto"/>
        <w:ind w:firstLine="420"/>
        <w:rPr>
          <w:rFonts w:hint="eastAsia" w:ascii="宋体" w:hAnsi="宋体" w:cs="宋体" w:eastAsiaTheme="minorEastAsia"/>
          <w:b/>
          <w:bCs/>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垃圾分类：运营期间，垃圾收运方式及相关政策发生变化，采购人有权要求供应商根据垃圾分类工作推进情况，按垃圾分类标准配置分类压缩，分类运至末端处置厂处置，分类运输车辆分类标识应完整清晰；垃圾分类硬件设施升级费用由采购人负责，垃圾分类压缩转运增加的运行费用由供应商负责</w:t>
      </w:r>
      <w:r>
        <w:rPr>
          <w:rFonts w:hint="eastAsia" w:ascii="宋体" w:hAnsi="宋体" w:cs="宋体"/>
          <w:highlight w:val="none"/>
          <w:lang w:eastAsia="zh-CN"/>
        </w:rPr>
        <w:t>。</w:t>
      </w:r>
    </w:p>
    <w:p w14:paraId="1E3B01BA">
      <w:pPr>
        <w:spacing w:line="360" w:lineRule="auto"/>
        <w:ind w:firstLine="420"/>
        <w:rPr>
          <w:rFonts w:hint="default" w:ascii="宋体" w:hAnsi="宋体" w:cs="宋体" w:eastAsiaTheme="minorEastAsia"/>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）人员要求：</w:t>
      </w:r>
      <w:r>
        <w:rPr>
          <w:rFonts w:hint="eastAsia" w:ascii="宋体" w:hAnsi="宋体" w:cs="宋体"/>
          <w:highlight w:val="yellow"/>
        </w:rPr>
        <w:t>中标供应商投入本项目</w:t>
      </w:r>
      <w:r>
        <w:rPr>
          <w:rFonts w:hint="eastAsia" w:ascii="宋体" w:hAnsi="宋体" w:cs="宋体"/>
          <w:b/>
          <w:bCs/>
          <w:highlight w:val="yellow"/>
        </w:rPr>
        <w:t>每个垃圾中转站的固定工作人员不得少于</w:t>
      </w:r>
      <w:r>
        <w:rPr>
          <w:rFonts w:hint="eastAsia" w:ascii="宋体" w:hAnsi="宋体" w:cs="宋体"/>
          <w:b/>
          <w:bCs/>
          <w:highlight w:val="yellow"/>
          <w:u w:val="single"/>
        </w:rPr>
        <w:t xml:space="preserve">  </w:t>
      </w:r>
      <w:r>
        <w:rPr>
          <w:rFonts w:hint="eastAsia" w:ascii="宋体" w:hAnsi="宋体" w:cs="宋体"/>
          <w:b/>
          <w:bCs/>
          <w:highlight w:val="yellow"/>
          <w:u w:val="single"/>
          <w:lang w:val="en-US" w:eastAsia="zh-CN"/>
        </w:rPr>
        <w:t>2</w:t>
      </w:r>
      <w:r>
        <w:rPr>
          <w:rFonts w:hint="eastAsia" w:ascii="宋体" w:hAnsi="宋体" w:cs="宋体"/>
          <w:b/>
          <w:bCs/>
          <w:highlight w:val="yellow"/>
          <w:u w:val="single"/>
        </w:rPr>
        <w:t xml:space="preserve">  </w:t>
      </w:r>
      <w:r>
        <w:rPr>
          <w:rFonts w:hint="eastAsia" w:ascii="宋体" w:hAnsi="宋体" w:cs="宋体"/>
          <w:b/>
          <w:bCs/>
          <w:highlight w:val="yellow"/>
        </w:rPr>
        <w:t>名</w:t>
      </w:r>
      <w:r>
        <w:rPr>
          <w:rFonts w:hint="eastAsia" w:ascii="宋体" w:hAnsi="宋体" w:cs="宋体"/>
          <w:b/>
          <w:bCs/>
          <w:highlight w:val="yellow"/>
          <w:lang w:val="en-US" w:eastAsia="zh-CN"/>
        </w:rPr>
        <w:t>(如站点工作量较大，业主有权要求中标供应商增派1名固定工作人员)</w:t>
      </w:r>
      <w:r>
        <w:rPr>
          <w:rFonts w:hint="eastAsia" w:ascii="宋体" w:hAnsi="宋体" w:cs="宋体"/>
          <w:highlight w:val="yellow"/>
        </w:rPr>
        <w:t>，负责中转站设施操作、保洁、门卫安保等工作；</w:t>
      </w:r>
      <w:r>
        <w:rPr>
          <w:rFonts w:hint="eastAsia" w:ascii="宋体" w:hAnsi="宋体" w:cs="宋体"/>
          <w:highlight w:val="yellow"/>
          <w:lang w:val="en-US" w:eastAsia="zh-CN"/>
        </w:rPr>
        <w:t>每车</w:t>
      </w:r>
      <w:r>
        <w:rPr>
          <w:rFonts w:hint="eastAsia" w:ascii="宋体" w:hAnsi="宋体" w:cs="宋体"/>
          <w:highlight w:val="yellow"/>
        </w:rPr>
        <w:t>需配置驾驶员，驾驶员必须取得本次招标要求车辆准驾资格</w:t>
      </w:r>
      <w:r>
        <w:rPr>
          <w:rFonts w:hint="eastAsia" w:ascii="宋体" w:hAnsi="宋体" w:cs="宋体"/>
          <w:highlight w:val="yellow"/>
          <w:lang w:eastAsia="zh-CN"/>
        </w:rPr>
        <w:t>；</w:t>
      </w:r>
      <w:r>
        <w:rPr>
          <w:rFonts w:hint="eastAsia" w:ascii="宋体" w:hAnsi="宋体" w:cs="宋体"/>
          <w:b/>
          <w:bCs/>
          <w:highlight w:val="yellow"/>
          <w:lang w:val="en-US" w:eastAsia="zh-CN"/>
        </w:rPr>
        <w:t>采购人处需配置</w:t>
      </w:r>
      <w:r>
        <w:rPr>
          <w:rFonts w:hint="eastAsia" w:ascii="宋体" w:hAnsi="宋体" w:cs="宋体"/>
          <w:b/>
          <w:bCs/>
          <w:highlight w:val="yellow"/>
          <w:u w:val="single"/>
          <w:lang w:val="en-US" w:eastAsia="zh-CN"/>
        </w:rPr>
        <w:t xml:space="preserve">  1  </w:t>
      </w:r>
      <w:r>
        <w:rPr>
          <w:rFonts w:hint="eastAsia" w:ascii="宋体" w:hAnsi="宋体" w:cs="宋体"/>
          <w:b/>
          <w:bCs/>
          <w:highlight w:val="yellow"/>
          <w:lang w:val="en-US" w:eastAsia="zh-CN"/>
        </w:rPr>
        <w:t>名专职对接人员</w:t>
      </w:r>
      <w:r>
        <w:rPr>
          <w:rFonts w:hint="eastAsia" w:ascii="宋体" w:hAnsi="宋体" w:cs="宋体"/>
          <w:highlight w:val="yellow"/>
          <w:lang w:val="en-US" w:eastAsia="zh-CN"/>
        </w:rPr>
        <w:t>，负责协调与配合相关工作。</w:t>
      </w:r>
    </w:p>
    <w:p w14:paraId="25DDD420">
      <w:pPr>
        <w:spacing w:line="360" w:lineRule="auto"/>
        <w:ind w:firstLine="420"/>
        <w:rPr>
          <w:rFonts w:hint="eastAsia"/>
          <w:highlight w:val="none"/>
        </w:rPr>
      </w:pP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）保洁公司的垃圾桶清洗由保洁公司负责，供应商提供配合，洗清产生的水电费由供应商负责。</w:t>
      </w:r>
    </w:p>
    <w:p w14:paraId="04CF62C9">
      <w:pPr>
        <w:spacing w:line="360" w:lineRule="auto"/>
        <w:ind w:firstLine="42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b/>
          <w:bCs/>
          <w:highlight w:val="none"/>
        </w:rPr>
        <w:t>中标供应商开展本项目前应向采购人提供转运车辆驾驶人员、转运车辆安排及工作时间安排等情况。</w:t>
      </w:r>
      <w:r>
        <w:rPr>
          <w:rFonts w:hint="eastAsia" w:ascii="宋体" w:hAnsi="宋体" w:cs="宋体"/>
          <w:highlight w:val="none"/>
        </w:rPr>
        <w:t>每月底提供下月转运车辆驾驶员、转运车辆安排及工作时间，采购人有权根据全区垃圾的转运情况进行调整，中标供应商必须服从采购人的安排。</w:t>
      </w:r>
    </w:p>
    <w:p w14:paraId="5D5A7F8C">
      <w:pPr>
        <w:spacing w:line="360" w:lineRule="auto"/>
        <w:ind w:firstLine="420"/>
        <w:rPr>
          <w:rFonts w:hint="default" w:ascii="宋体" w:hAnsi="宋体" w:eastAsia="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w:t>
      </w:r>
      <w:r>
        <w:rPr>
          <w:rFonts w:hint="eastAsia" w:ascii="宋体" w:hAnsi="宋体" w:eastAsia="宋体"/>
          <w:b/>
          <w:bCs/>
          <w:highlight w:val="none"/>
        </w:rPr>
        <w:t>景山</w:t>
      </w:r>
      <w:r>
        <w:rPr>
          <w:rFonts w:hint="eastAsia" w:ascii="宋体" w:hAnsi="宋体" w:eastAsia="宋体"/>
          <w:b/>
          <w:bCs/>
          <w:highlight w:val="none"/>
          <w:lang w:val="en-US" w:eastAsia="zh-CN"/>
        </w:rPr>
        <w:t>中转站仍在筹建中，相关设备及车辆暂未购置。在设备及车辆购置到位前，如该站点垃圾直运工作到期，则相关垃圾的处理量纳入到本次转运项目内，均交由本次中标供应商负责处理及运输，相关费用综合考虑在单价内，不再单独列项。</w:t>
      </w:r>
    </w:p>
    <w:p w14:paraId="75253B0D">
      <w:pPr>
        <w:spacing w:line="360" w:lineRule="auto"/>
        <w:ind w:firstLine="420"/>
        <w:rPr>
          <w:rFonts w:hint="eastAsia" w:ascii="宋体" w:hAnsi="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w:t>
      </w:r>
      <w:r>
        <w:rPr>
          <w:rFonts w:hint="eastAsia" w:ascii="宋体" w:hAnsi="宋体" w:eastAsia="宋体" w:cs="宋体"/>
          <w:bCs/>
          <w:szCs w:val="21"/>
          <w:highlight w:val="none"/>
        </w:rPr>
        <w:t>▲</w:t>
      </w:r>
      <w:r>
        <w:rPr>
          <w:rFonts w:hint="eastAsia" w:ascii="宋体" w:hAnsi="宋体" w:cs="宋体"/>
          <w:b/>
          <w:bCs/>
          <w:highlight w:val="none"/>
          <w:u w:val="single"/>
          <w:lang w:val="en-US" w:eastAsia="zh-CN"/>
        </w:rPr>
        <w:t>经评估确定，采购人将对现有的垃圾中转站</w:t>
      </w:r>
      <w:r>
        <w:rPr>
          <w:rFonts w:hint="eastAsia" w:ascii="宋体" w:hAnsi="宋体" w:cs="宋体"/>
          <w:b/>
          <w:bCs/>
          <w:highlight w:val="none"/>
          <w:u w:val="single"/>
        </w:rPr>
        <w:t>车辆</w:t>
      </w:r>
      <w:r>
        <w:rPr>
          <w:rFonts w:hint="eastAsia" w:ascii="宋体" w:hAnsi="宋体" w:cs="宋体"/>
          <w:b/>
          <w:bCs/>
          <w:highlight w:val="none"/>
          <w:u w:val="single"/>
          <w:lang w:eastAsia="zh-CN"/>
        </w:rPr>
        <w:t>、箱</w:t>
      </w:r>
      <w:r>
        <w:rPr>
          <w:rFonts w:hint="eastAsia" w:ascii="宋体" w:hAnsi="宋体" w:cs="宋体"/>
          <w:b/>
          <w:bCs/>
          <w:highlight w:val="none"/>
          <w:u w:val="single"/>
          <w:lang w:val="en-US" w:eastAsia="zh-CN"/>
        </w:rPr>
        <w:t>体及设备</w:t>
      </w:r>
      <w:r>
        <w:rPr>
          <w:rFonts w:hint="eastAsia" w:ascii="宋体" w:hAnsi="宋体" w:cs="宋体"/>
          <w:b/>
          <w:bCs/>
          <w:highlight w:val="none"/>
          <w:u w:val="single"/>
          <w:lang w:eastAsia="zh-CN"/>
        </w:rPr>
        <w:t>，</w:t>
      </w:r>
      <w:r>
        <w:rPr>
          <w:rFonts w:hint="eastAsia" w:ascii="宋体" w:hAnsi="宋体" w:cs="宋体"/>
          <w:b/>
          <w:bCs/>
          <w:highlight w:val="none"/>
          <w:u w:val="single"/>
          <w:lang w:val="en-US" w:eastAsia="zh-CN"/>
        </w:rPr>
        <w:t>合计2年期租赁权价值总计959.99万元的设备使用权移交由中标供应商。移交后中转站场地、设备及车辆的日常运行费用、维保、保险、年审年检费用、安装GPS定位装置及现场需要的视频摄像装置等费用均由中标供应商负责。以上设备的租赁费用、日常支出及相关场地设备使用费，由供应商综合考虑在单价内，不再单独列项</w:t>
      </w:r>
      <w:r>
        <w:rPr>
          <w:rFonts w:hint="eastAsia" w:ascii="宋体" w:hAnsi="宋体" w:cs="宋体"/>
          <w:b/>
          <w:bCs/>
          <w:highlight w:val="none"/>
          <w:lang w:val="en-US" w:eastAsia="zh-CN"/>
        </w:rPr>
        <w:t>。</w:t>
      </w:r>
    </w:p>
    <w:p w14:paraId="3FEF7E85">
      <w:pPr>
        <w:spacing w:line="360" w:lineRule="auto"/>
        <w:ind w:firstLine="420"/>
        <w:rPr>
          <w:rFonts w:hint="eastAsia" w:ascii="宋体" w:hAnsi="宋体" w:cs="宋体"/>
          <w:highlight w:val="none"/>
        </w:rPr>
      </w:pPr>
      <w:r>
        <w:rPr>
          <w:rFonts w:hint="eastAsia" w:ascii="宋体" w:hAnsi="宋体" w:cs="宋体"/>
          <w:highlight w:val="none"/>
        </w:rPr>
        <w:t>现有车辆</w:t>
      </w:r>
      <w:r>
        <w:rPr>
          <w:rFonts w:hint="eastAsia" w:ascii="宋体" w:hAnsi="宋体" w:cs="宋体"/>
          <w:highlight w:val="none"/>
          <w:lang w:eastAsia="zh-CN"/>
        </w:rPr>
        <w:t>、箱</w:t>
      </w:r>
      <w:r>
        <w:rPr>
          <w:rFonts w:hint="eastAsia" w:ascii="宋体" w:hAnsi="宋体" w:cs="宋体"/>
          <w:highlight w:val="none"/>
          <w:lang w:val="en-US" w:eastAsia="zh-CN"/>
        </w:rPr>
        <w:t>体及设备2年期</w:t>
      </w:r>
      <w:r>
        <w:rPr>
          <w:rFonts w:hint="eastAsia" w:ascii="宋体" w:hAnsi="宋体" w:cs="宋体"/>
          <w:szCs w:val="21"/>
          <w:highlight w:val="none"/>
        </w:rPr>
        <w:t>租赁权价值评估值情况</w:t>
      </w:r>
      <w:r>
        <w:rPr>
          <w:rFonts w:hint="eastAsia" w:ascii="宋体" w:hAnsi="宋体" w:cs="宋体"/>
          <w:highlight w:val="none"/>
        </w:rPr>
        <w:t>如下：</w:t>
      </w:r>
    </w:p>
    <w:p w14:paraId="49938236">
      <w:pPr>
        <w:rPr>
          <w:rFonts w:hint="eastAsia" w:ascii="宋体" w:hAnsi="宋体" w:cs="宋体"/>
          <w:highlight w:val="none"/>
        </w:rPr>
      </w:pPr>
      <w:r>
        <w:rPr>
          <w:rFonts w:hint="eastAsia" w:ascii="宋体" w:hAnsi="宋体" w:cs="宋体"/>
          <w:highlight w:val="none"/>
        </w:rPr>
        <w:br w:type="page"/>
      </w:r>
    </w:p>
    <w:p w14:paraId="44E2F59B">
      <w:pPr>
        <w:spacing w:line="360" w:lineRule="auto"/>
        <w:ind w:firstLine="480"/>
        <w:rPr>
          <w:rFonts w:hint="eastAsia" w:ascii="宋体" w:hAnsi="宋体" w:cs="宋体"/>
          <w:highlight w:val="none"/>
        </w:rPr>
      </w:pPr>
      <w:r>
        <w:rPr>
          <w:rFonts w:hint="eastAsia" w:ascii="宋体" w:hAnsi="宋体" w:cs="宋体"/>
          <w:highlight w:val="none"/>
        </w:rPr>
        <w:t>表1：</w:t>
      </w:r>
    </w:p>
    <w:tbl>
      <w:tblPr>
        <w:tblStyle w:val="24"/>
        <w:tblW w:w="9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380"/>
        <w:gridCol w:w="1155"/>
        <w:gridCol w:w="1140"/>
        <w:gridCol w:w="1110"/>
        <w:gridCol w:w="1155"/>
        <w:gridCol w:w="1275"/>
        <w:gridCol w:w="1573"/>
      </w:tblGrid>
      <w:tr w14:paraId="683D2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343" w:type="dxa"/>
            <w:gridSpan w:val="8"/>
            <w:noWrap w:val="0"/>
            <w:vAlign w:val="center"/>
          </w:tcPr>
          <w:p w14:paraId="1EB5660D">
            <w:pPr>
              <w:spacing w:line="360" w:lineRule="auto"/>
              <w:jc w:val="center"/>
              <w:rPr>
                <w:rFonts w:ascii="宋体" w:hAnsi="宋体"/>
                <w:szCs w:val="21"/>
                <w:highlight w:val="none"/>
              </w:rPr>
            </w:pPr>
            <w:r>
              <w:rPr>
                <w:rFonts w:hint="eastAsia" w:ascii="宋体" w:hAnsi="宋体" w:cs="宋体"/>
                <w:szCs w:val="21"/>
                <w:highlight w:val="none"/>
              </w:rPr>
              <w:t>垃圾中转站垃圾运输车辆</w:t>
            </w:r>
            <w:r>
              <w:rPr>
                <w:rFonts w:hint="eastAsia" w:ascii="宋体" w:hAnsi="宋体" w:cs="宋体"/>
                <w:szCs w:val="21"/>
                <w:highlight w:val="none"/>
                <w:lang w:val="en-US" w:eastAsia="zh-CN"/>
              </w:rPr>
              <w:t>2年期</w:t>
            </w:r>
            <w:r>
              <w:rPr>
                <w:rFonts w:hint="eastAsia" w:ascii="宋体" w:hAnsi="宋体" w:cs="宋体"/>
                <w:szCs w:val="21"/>
                <w:highlight w:val="none"/>
              </w:rPr>
              <w:t>租赁权价值评估值情况</w:t>
            </w:r>
          </w:p>
        </w:tc>
      </w:tr>
      <w:tr w14:paraId="4BB06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1671987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序号</w:t>
            </w:r>
          </w:p>
        </w:tc>
        <w:tc>
          <w:tcPr>
            <w:tcW w:w="1380" w:type="dxa"/>
            <w:noWrap w:val="0"/>
            <w:vAlign w:val="center"/>
          </w:tcPr>
          <w:p w14:paraId="0BA22F0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中转站名称</w:t>
            </w:r>
          </w:p>
        </w:tc>
        <w:tc>
          <w:tcPr>
            <w:tcW w:w="1155" w:type="dxa"/>
            <w:noWrap w:val="0"/>
            <w:vAlign w:val="center"/>
          </w:tcPr>
          <w:p w14:paraId="0E059EE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车牌号</w:t>
            </w:r>
          </w:p>
        </w:tc>
        <w:tc>
          <w:tcPr>
            <w:tcW w:w="1140" w:type="dxa"/>
            <w:noWrap w:val="0"/>
            <w:vAlign w:val="center"/>
          </w:tcPr>
          <w:p w14:paraId="2D220E1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核定载质量(kg)</w:t>
            </w:r>
          </w:p>
        </w:tc>
        <w:tc>
          <w:tcPr>
            <w:tcW w:w="1110" w:type="dxa"/>
            <w:noWrap w:val="0"/>
            <w:vAlign w:val="center"/>
          </w:tcPr>
          <w:p w14:paraId="594D5FF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生产厂家</w:t>
            </w:r>
          </w:p>
        </w:tc>
        <w:tc>
          <w:tcPr>
            <w:tcW w:w="1155" w:type="dxa"/>
            <w:noWrap w:val="0"/>
            <w:vAlign w:val="center"/>
          </w:tcPr>
          <w:p w14:paraId="6F784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表征里程</w:t>
            </w:r>
          </w:p>
          <w:p w14:paraId="2C7062C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（km）</w:t>
            </w:r>
          </w:p>
        </w:tc>
        <w:tc>
          <w:tcPr>
            <w:tcW w:w="1275" w:type="dxa"/>
            <w:noWrap w:val="0"/>
            <w:vAlign w:val="center"/>
          </w:tcPr>
          <w:p w14:paraId="6AA381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购置时间</w:t>
            </w:r>
          </w:p>
          <w:p w14:paraId="691FA9B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（领牌日期）</w:t>
            </w:r>
          </w:p>
        </w:tc>
        <w:tc>
          <w:tcPr>
            <w:tcW w:w="1573" w:type="dxa"/>
            <w:noWrap w:val="0"/>
            <w:vAlign w:val="center"/>
          </w:tcPr>
          <w:p w14:paraId="6DF1B231">
            <w:pPr>
              <w:keepNext w:val="0"/>
              <w:keepLines w:val="0"/>
              <w:widowControl/>
              <w:suppressLineNumbers w:val="0"/>
              <w:jc w:val="center"/>
              <w:textAlignment w:val="center"/>
              <w:rPr>
                <w:rFonts w:hint="default" w:ascii="宋体" w:hAnsi="宋体" w:cs="宋体"/>
                <w:b w:val="0"/>
                <w:bCs w:val="0"/>
                <w:sz w:val="18"/>
                <w:szCs w:val="18"/>
                <w:highlight w:val="none"/>
                <w:lang w:val="en-US"/>
              </w:rPr>
            </w:pPr>
            <w:r>
              <w:rPr>
                <w:rFonts w:hint="eastAsia" w:ascii="宋体" w:hAnsi="宋体" w:eastAsia="宋体" w:cs="宋体"/>
                <w:b w:val="0"/>
                <w:bCs w:val="0"/>
                <w:i w:val="0"/>
                <w:iCs w:val="0"/>
                <w:color w:val="000000"/>
                <w:kern w:val="0"/>
                <w:sz w:val="18"/>
                <w:szCs w:val="18"/>
                <w:highlight w:val="none"/>
                <w:u w:val="none"/>
                <w:lang w:val="en-US" w:eastAsia="zh-CN" w:bidi="ar"/>
              </w:rPr>
              <w:t>2年租赁权价值合计</w:t>
            </w:r>
          </w:p>
        </w:tc>
      </w:tr>
      <w:tr w14:paraId="2DD8F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13F088F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380" w:type="dxa"/>
            <w:noWrap w:val="0"/>
            <w:vAlign w:val="center"/>
          </w:tcPr>
          <w:p w14:paraId="08DEB5A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古岸头站</w:t>
            </w:r>
          </w:p>
        </w:tc>
        <w:tc>
          <w:tcPr>
            <w:tcW w:w="1155" w:type="dxa"/>
            <w:noWrap w:val="0"/>
            <w:vAlign w:val="center"/>
          </w:tcPr>
          <w:p w14:paraId="7CCB840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浙C63583</w:t>
            </w:r>
          </w:p>
        </w:tc>
        <w:tc>
          <w:tcPr>
            <w:tcW w:w="1140" w:type="dxa"/>
            <w:noWrap w:val="0"/>
            <w:vAlign w:val="center"/>
          </w:tcPr>
          <w:p w14:paraId="308ABF1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45E67251">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0AE3D9C9">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100519</w:t>
            </w:r>
          </w:p>
        </w:tc>
        <w:tc>
          <w:tcPr>
            <w:tcW w:w="1275" w:type="dxa"/>
            <w:noWrap w:val="0"/>
            <w:vAlign w:val="center"/>
          </w:tcPr>
          <w:p w14:paraId="6F3E9EBD">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21035B8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136240.00</w:t>
            </w:r>
          </w:p>
        </w:tc>
      </w:tr>
      <w:tr w14:paraId="6588D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85FAA6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380" w:type="dxa"/>
            <w:noWrap w:val="0"/>
            <w:vAlign w:val="center"/>
          </w:tcPr>
          <w:p w14:paraId="3A8400D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古岸头站</w:t>
            </w:r>
          </w:p>
        </w:tc>
        <w:tc>
          <w:tcPr>
            <w:tcW w:w="1155" w:type="dxa"/>
            <w:noWrap w:val="0"/>
            <w:vAlign w:val="center"/>
          </w:tcPr>
          <w:p w14:paraId="1D5F0A0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浙C69938</w:t>
            </w:r>
          </w:p>
        </w:tc>
        <w:tc>
          <w:tcPr>
            <w:tcW w:w="1140" w:type="dxa"/>
            <w:noWrap w:val="0"/>
            <w:vAlign w:val="center"/>
          </w:tcPr>
          <w:p w14:paraId="29B8B07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368085C5">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5D976409">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139022</w:t>
            </w:r>
          </w:p>
        </w:tc>
        <w:tc>
          <w:tcPr>
            <w:tcW w:w="1275" w:type="dxa"/>
            <w:noWrap w:val="0"/>
            <w:vAlign w:val="center"/>
          </w:tcPr>
          <w:p w14:paraId="6590FC11">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0DEA04F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129720.00</w:t>
            </w:r>
          </w:p>
        </w:tc>
      </w:tr>
      <w:tr w14:paraId="7D2DD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1EDA01D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380" w:type="dxa"/>
            <w:noWrap w:val="0"/>
            <w:vAlign w:val="center"/>
          </w:tcPr>
          <w:p w14:paraId="60F12C3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中心区站</w:t>
            </w:r>
          </w:p>
        </w:tc>
        <w:tc>
          <w:tcPr>
            <w:tcW w:w="1155" w:type="dxa"/>
            <w:noWrap w:val="0"/>
            <w:vAlign w:val="center"/>
          </w:tcPr>
          <w:p w14:paraId="7E35F7F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浙C63060</w:t>
            </w:r>
          </w:p>
        </w:tc>
        <w:tc>
          <w:tcPr>
            <w:tcW w:w="1140" w:type="dxa"/>
            <w:noWrap w:val="0"/>
            <w:vAlign w:val="center"/>
          </w:tcPr>
          <w:p w14:paraId="585A413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4FC6251A">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3E9F72F1">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57236</w:t>
            </w:r>
          </w:p>
        </w:tc>
        <w:tc>
          <w:tcPr>
            <w:tcW w:w="1275" w:type="dxa"/>
            <w:noWrap w:val="0"/>
            <w:vAlign w:val="center"/>
          </w:tcPr>
          <w:p w14:paraId="6210E335">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0675D3A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125230.00</w:t>
            </w:r>
          </w:p>
        </w:tc>
      </w:tr>
      <w:tr w14:paraId="72520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6CB06BB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380" w:type="dxa"/>
            <w:noWrap w:val="0"/>
            <w:vAlign w:val="center"/>
          </w:tcPr>
          <w:p w14:paraId="241B168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中心区站</w:t>
            </w:r>
          </w:p>
        </w:tc>
        <w:tc>
          <w:tcPr>
            <w:tcW w:w="1155" w:type="dxa"/>
            <w:noWrap w:val="0"/>
            <w:vAlign w:val="center"/>
          </w:tcPr>
          <w:p w14:paraId="7E1E025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浙C03686D</w:t>
            </w:r>
          </w:p>
        </w:tc>
        <w:tc>
          <w:tcPr>
            <w:tcW w:w="1140" w:type="dxa"/>
            <w:noWrap w:val="0"/>
            <w:vAlign w:val="center"/>
          </w:tcPr>
          <w:p w14:paraId="5F5CA19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15620</w:t>
            </w:r>
          </w:p>
        </w:tc>
        <w:tc>
          <w:tcPr>
            <w:tcW w:w="1110" w:type="dxa"/>
            <w:noWrap w:val="0"/>
            <w:vAlign w:val="center"/>
          </w:tcPr>
          <w:p w14:paraId="412A04F7">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豪沃</w:t>
            </w:r>
          </w:p>
        </w:tc>
        <w:tc>
          <w:tcPr>
            <w:tcW w:w="1155" w:type="dxa"/>
            <w:noWrap w:val="0"/>
            <w:vAlign w:val="center"/>
          </w:tcPr>
          <w:p w14:paraId="1A15E6CF">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944</w:t>
            </w:r>
          </w:p>
        </w:tc>
        <w:tc>
          <w:tcPr>
            <w:tcW w:w="1275" w:type="dxa"/>
            <w:noWrap w:val="0"/>
            <w:vAlign w:val="center"/>
          </w:tcPr>
          <w:p w14:paraId="77E2FA2E">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2023-8-10</w:t>
            </w:r>
          </w:p>
        </w:tc>
        <w:tc>
          <w:tcPr>
            <w:tcW w:w="1573" w:type="dxa"/>
            <w:noWrap w:val="0"/>
            <w:vAlign w:val="center"/>
          </w:tcPr>
          <w:p w14:paraId="0000C56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403800.00</w:t>
            </w:r>
          </w:p>
        </w:tc>
      </w:tr>
      <w:tr w14:paraId="31BE2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B68914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1380" w:type="dxa"/>
            <w:noWrap w:val="0"/>
            <w:vAlign w:val="center"/>
          </w:tcPr>
          <w:p w14:paraId="78E0E2C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上汇站</w:t>
            </w:r>
          </w:p>
        </w:tc>
        <w:tc>
          <w:tcPr>
            <w:tcW w:w="1155" w:type="dxa"/>
            <w:noWrap w:val="0"/>
            <w:vAlign w:val="center"/>
          </w:tcPr>
          <w:p w14:paraId="0BBBBE9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浙C69028</w:t>
            </w:r>
          </w:p>
        </w:tc>
        <w:tc>
          <w:tcPr>
            <w:tcW w:w="1140" w:type="dxa"/>
            <w:noWrap w:val="0"/>
            <w:vAlign w:val="center"/>
          </w:tcPr>
          <w:p w14:paraId="3770F88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13720</w:t>
            </w:r>
          </w:p>
        </w:tc>
        <w:tc>
          <w:tcPr>
            <w:tcW w:w="1110" w:type="dxa"/>
            <w:noWrap w:val="0"/>
            <w:vAlign w:val="center"/>
          </w:tcPr>
          <w:p w14:paraId="31FC659D">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0AF00E73">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230821</w:t>
            </w:r>
          </w:p>
        </w:tc>
        <w:tc>
          <w:tcPr>
            <w:tcW w:w="1275" w:type="dxa"/>
            <w:noWrap w:val="0"/>
            <w:vAlign w:val="center"/>
          </w:tcPr>
          <w:p w14:paraId="34ED744D">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2021-7-12</w:t>
            </w:r>
          </w:p>
        </w:tc>
        <w:tc>
          <w:tcPr>
            <w:tcW w:w="1573" w:type="dxa"/>
            <w:noWrap w:val="0"/>
            <w:vAlign w:val="center"/>
          </w:tcPr>
          <w:p w14:paraId="1F236AA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88180.00</w:t>
            </w:r>
          </w:p>
        </w:tc>
      </w:tr>
      <w:tr w14:paraId="1806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D31E3C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w:t>
            </w:r>
          </w:p>
        </w:tc>
        <w:tc>
          <w:tcPr>
            <w:tcW w:w="1380" w:type="dxa"/>
            <w:noWrap w:val="0"/>
            <w:vAlign w:val="center"/>
          </w:tcPr>
          <w:p w14:paraId="162D2EA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上汇站</w:t>
            </w:r>
          </w:p>
        </w:tc>
        <w:tc>
          <w:tcPr>
            <w:tcW w:w="1155" w:type="dxa"/>
            <w:noWrap w:val="0"/>
            <w:vAlign w:val="center"/>
          </w:tcPr>
          <w:p w14:paraId="712D6FB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浙C38807D</w:t>
            </w:r>
          </w:p>
        </w:tc>
        <w:tc>
          <w:tcPr>
            <w:tcW w:w="1140" w:type="dxa"/>
            <w:noWrap w:val="0"/>
            <w:vAlign w:val="center"/>
          </w:tcPr>
          <w:p w14:paraId="4FFA8DF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15620</w:t>
            </w:r>
          </w:p>
        </w:tc>
        <w:tc>
          <w:tcPr>
            <w:tcW w:w="1110" w:type="dxa"/>
            <w:noWrap w:val="0"/>
            <w:vAlign w:val="center"/>
          </w:tcPr>
          <w:p w14:paraId="5BF0D4DE">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豪沃</w:t>
            </w:r>
          </w:p>
        </w:tc>
        <w:tc>
          <w:tcPr>
            <w:tcW w:w="1155" w:type="dxa"/>
            <w:noWrap w:val="0"/>
            <w:vAlign w:val="center"/>
          </w:tcPr>
          <w:p w14:paraId="3107D668">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7016</w:t>
            </w:r>
          </w:p>
        </w:tc>
        <w:tc>
          <w:tcPr>
            <w:tcW w:w="1275" w:type="dxa"/>
            <w:noWrap w:val="0"/>
            <w:vAlign w:val="center"/>
          </w:tcPr>
          <w:p w14:paraId="36E977AE">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2023-8-10</w:t>
            </w:r>
          </w:p>
        </w:tc>
        <w:tc>
          <w:tcPr>
            <w:tcW w:w="1573" w:type="dxa"/>
            <w:noWrap w:val="0"/>
            <w:vAlign w:val="center"/>
          </w:tcPr>
          <w:p w14:paraId="7FA1435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399290.00</w:t>
            </w:r>
          </w:p>
        </w:tc>
      </w:tr>
      <w:tr w14:paraId="409C7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90DEBF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7</w:t>
            </w:r>
          </w:p>
        </w:tc>
        <w:tc>
          <w:tcPr>
            <w:tcW w:w="1380" w:type="dxa"/>
            <w:noWrap w:val="0"/>
            <w:vAlign w:val="center"/>
          </w:tcPr>
          <w:p w14:paraId="6C32C77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红梅路站</w:t>
            </w:r>
          </w:p>
        </w:tc>
        <w:tc>
          <w:tcPr>
            <w:tcW w:w="1155" w:type="dxa"/>
            <w:noWrap w:val="0"/>
            <w:vAlign w:val="center"/>
          </w:tcPr>
          <w:p w14:paraId="5244438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浙C71750</w:t>
            </w:r>
          </w:p>
        </w:tc>
        <w:tc>
          <w:tcPr>
            <w:tcW w:w="1140" w:type="dxa"/>
            <w:noWrap w:val="0"/>
            <w:vAlign w:val="center"/>
          </w:tcPr>
          <w:p w14:paraId="60E1F9C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37522CC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8E8754F">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48190</w:t>
            </w:r>
          </w:p>
        </w:tc>
        <w:tc>
          <w:tcPr>
            <w:tcW w:w="1275" w:type="dxa"/>
            <w:noWrap w:val="0"/>
            <w:vAlign w:val="center"/>
          </w:tcPr>
          <w:p w14:paraId="07CE687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19F8206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127550.00</w:t>
            </w:r>
          </w:p>
        </w:tc>
      </w:tr>
      <w:tr w14:paraId="6C68E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0B0FC7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8</w:t>
            </w:r>
          </w:p>
        </w:tc>
        <w:tc>
          <w:tcPr>
            <w:tcW w:w="1380" w:type="dxa"/>
            <w:noWrap w:val="0"/>
            <w:vAlign w:val="center"/>
          </w:tcPr>
          <w:p w14:paraId="4A91710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红梅路站</w:t>
            </w:r>
          </w:p>
        </w:tc>
        <w:tc>
          <w:tcPr>
            <w:tcW w:w="1155" w:type="dxa"/>
            <w:noWrap w:val="0"/>
            <w:vAlign w:val="center"/>
          </w:tcPr>
          <w:p w14:paraId="60A7192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浙C76625</w:t>
            </w:r>
          </w:p>
        </w:tc>
        <w:tc>
          <w:tcPr>
            <w:tcW w:w="1140" w:type="dxa"/>
            <w:noWrap w:val="0"/>
            <w:vAlign w:val="center"/>
          </w:tcPr>
          <w:p w14:paraId="10A178D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4FB3EDF9">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364C06A8">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22209</w:t>
            </w:r>
          </w:p>
        </w:tc>
        <w:tc>
          <w:tcPr>
            <w:tcW w:w="1275" w:type="dxa"/>
            <w:noWrap w:val="0"/>
            <w:vAlign w:val="center"/>
          </w:tcPr>
          <w:p w14:paraId="4D04A7E7">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2B44813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134220.00</w:t>
            </w:r>
          </w:p>
        </w:tc>
      </w:tr>
      <w:tr w14:paraId="6C7FF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70B024F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9</w:t>
            </w:r>
          </w:p>
        </w:tc>
        <w:tc>
          <w:tcPr>
            <w:tcW w:w="1380" w:type="dxa"/>
            <w:noWrap w:val="0"/>
            <w:vAlign w:val="center"/>
          </w:tcPr>
          <w:p w14:paraId="777CE16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西经三路站</w:t>
            </w:r>
          </w:p>
        </w:tc>
        <w:tc>
          <w:tcPr>
            <w:tcW w:w="1155" w:type="dxa"/>
            <w:noWrap w:val="0"/>
            <w:vAlign w:val="center"/>
          </w:tcPr>
          <w:p w14:paraId="522BDE7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浙C57213</w:t>
            </w:r>
          </w:p>
        </w:tc>
        <w:tc>
          <w:tcPr>
            <w:tcW w:w="1140" w:type="dxa"/>
            <w:noWrap w:val="0"/>
            <w:vAlign w:val="center"/>
          </w:tcPr>
          <w:p w14:paraId="7F0E060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3FD70580">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54E8004E">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30722</w:t>
            </w:r>
          </w:p>
        </w:tc>
        <w:tc>
          <w:tcPr>
            <w:tcW w:w="1275" w:type="dxa"/>
            <w:noWrap w:val="0"/>
            <w:vAlign w:val="center"/>
          </w:tcPr>
          <w:p w14:paraId="6BCBD764">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1A813D0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132040.00</w:t>
            </w:r>
          </w:p>
        </w:tc>
      </w:tr>
      <w:tr w14:paraId="1737E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C905F0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380" w:type="dxa"/>
            <w:noWrap w:val="0"/>
            <w:vAlign w:val="center"/>
          </w:tcPr>
          <w:p w14:paraId="5699A49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西经三路站</w:t>
            </w:r>
          </w:p>
        </w:tc>
        <w:tc>
          <w:tcPr>
            <w:tcW w:w="1155" w:type="dxa"/>
            <w:noWrap w:val="0"/>
            <w:vAlign w:val="center"/>
          </w:tcPr>
          <w:p w14:paraId="0DB24F8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浙C63312</w:t>
            </w:r>
          </w:p>
        </w:tc>
        <w:tc>
          <w:tcPr>
            <w:tcW w:w="1140" w:type="dxa"/>
            <w:noWrap w:val="0"/>
            <w:vAlign w:val="center"/>
          </w:tcPr>
          <w:p w14:paraId="3012023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062F9E48">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1BDAC657">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34096</w:t>
            </w:r>
          </w:p>
        </w:tc>
        <w:tc>
          <w:tcPr>
            <w:tcW w:w="1275" w:type="dxa"/>
            <w:noWrap w:val="0"/>
            <w:vAlign w:val="center"/>
          </w:tcPr>
          <w:p w14:paraId="3F9F94F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5B0A01A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131170.00</w:t>
            </w:r>
          </w:p>
        </w:tc>
      </w:tr>
      <w:tr w14:paraId="7C18C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43375A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w:t>
            </w:r>
          </w:p>
        </w:tc>
        <w:tc>
          <w:tcPr>
            <w:tcW w:w="1380" w:type="dxa"/>
            <w:noWrap w:val="0"/>
            <w:vAlign w:val="center"/>
          </w:tcPr>
          <w:p w14:paraId="223FC37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横塘站</w:t>
            </w:r>
          </w:p>
        </w:tc>
        <w:tc>
          <w:tcPr>
            <w:tcW w:w="1155" w:type="dxa"/>
            <w:noWrap w:val="0"/>
            <w:vAlign w:val="center"/>
          </w:tcPr>
          <w:p w14:paraId="5CD9C48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浙C32402</w:t>
            </w:r>
          </w:p>
        </w:tc>
        <w:tc>
          <w:tcPr>
            <w:tcW w:w="1140" w:type="dxa"/>
            <w:noWrap w:val="0"/>
            <w:vAlign w:val="center"/>
          </w:tcPr>
          <w:p w14:paraId="5108084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7E361518">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387EEE6A">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66987</w:t>
            </w:r>
          </w:p>
        </w:tc>
        <w:tc>
          <w:tcPr>
            <w:tcW w:w="1275" w:type="dxa"/>
            <w:noWrap w:val="0"/>
            <w:vAlign w:val="center"/>
          </w:tcPr>
          <w:p w14:paraId="3AC372C9">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6808B24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149990.00</w:t>
            </w:r>
          </w:p>
        </w:tc>
      </w:tr>
      <w:tr w14:paraId="347AA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7492913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w:t>
            </w:r>
          </w:p>
        </w:tc>
        <w:tc>
          <w:tcPr>
            <w:tcW w:w="1380" w:type="dxa"/>
            <w:noWrap w:val="0"/>
            <w:vAlign w:val="center"/>
          </w:tcPr>
          <w:p w14:paraId="04D84FD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南片工业区站</w:t>
            </w:r>
          </w:p>
        </w:tc>
        <w:tc>
          <w:tcPr>
            <w:tcW w:w="1155" w:type="dxa"/>
            <w:noWrap w:val="0"/>
            <w:vAlign w:val="center"/>
          </w:tcPr>
          <w:p w14:paraId="4C13E34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浙C73325</w:t>
            </w:r>
          </w:p>
        </w:tc>
        <w:tc>
          <w:tcPr>
            <w:tcW w:w="1140" w:type="dxa"/>
            <w:noWrap w:val="0"/>
            <w:vAlign w:val="center"/>
          </w:tcPr>
          <w:p w14:paraId="2E15D19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4B3DB115">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16AC930E">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77901</w:t>
            </w:r>
          </w:p>
        </w:tc>
        <w:tc>
          <w:tcPr>
            <w:tcW w:w="1275" w:type="dxa"/>
            <w:noWrap w:val="0"/>
            <w:vAlign w:val="center"/>
          </w:tcPr>
          <w:p w14:paraId="664AC2F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5736A63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119910.00</w:t>
            </w:r>
          </w:p>
        </w:tc>
      </w:tr>
      <w:tr w14:paraId="0B277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51C0B05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w:t>
            </w:r>
          </w:p>
        </w:tc>
        <w:tc>
          <w:tcPr>
            <w:tcW w:w="1380" w:type="dxa"/>
            <w:noWrap w:val="0"/>
            <w:vAlign w:val="center"/>
          </w:tcPr>
          <w:p w14:paraId="4C6B898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焦下站</w:t>
            </w:r>
          </w:p>
        </w:tc>
        <w:tc>
          <w:tcPr>
            <w:tcW w:w="1155" w:type="dxa"/>
            <w:noWrap w:val="0"/>
            <w:vAlign w:val="center"/>
          </w:tcPr>
          <w:p w14:paraId="5C8378B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浙C72712</w:t>
            </w:r>
          </w:p>
        </w:tc>
        <w:tc>
          <w:tcPr>
            <w:tcW w:w="1140" w:type="dxa"/>
            <w:noWrap w:val="0"/>
            <w:vAlign w:val="center"/>
          </w:tcPr>
          <w:p w14:paraId="40F1451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1A5D14F7">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0981DB89">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56352</w:t>
            </w:r>
          </w:p>
        </w:tc>
        <w:tc>
          <w:tcPr>
            <w:tcW w:w="1275" w:type="dxa"/>
            <w:noWrap w:val="0"/>
            <w:vAlign w:val="center"/>
          </w:tcPr>
          <w:p w14:paraId="4CCB6213">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7EDA5CA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125450.00</w:t>
            </w:r>
          </w:p>
        </w:tc>
      </w:tr>
      <w:tr w14:paraId="467DA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BD839C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14</w:t>
            </w:r>
          </w:p>
        </w:tc>
        <w:tc>
          <w:tcPr>
            <w:tcW w:w="1380" w:type="dxa"/>
            <w:noWrap w:val="0"/>
            <w:vAlign w:val="center"/>
          </w:tcPr>
          <w:p w14:paraId="6006603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焦下站</w:t>
            </w:r>
          </w:p>
        </w:tc>
        <w:tc>
          <w:tcPr>
            <w:tcW w:w="1155" w:type="dxa"/>
            <w:noWrap w:val="0"/>
            <w:vAlign w:val="center"/>
          </w:tcPr>
          <w:p w14:paraId="03708D7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浙C59593</w:t>
            </w:r>
          </w:p>
        </w:tc>
        <w:tc>
          <w:tcPr>
            <w:tcW w:w="1140" w:type="dxa"/>
            <w:noWrap w:val="0"/>
            <w:vAlign w:val="center"/>
          </w:tcPr>
          <w:p w14:paraId="63A1495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2BA12D89">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25DC1351">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169218</w:t>
            </w:r>
          </w:p>
        </w:tc>
        <w:tc>
          <w:tcPr>
            <w:tcW w:w="1275" w:type="dxa"/>
            <w:noWrap w:val="0"/>
            <w:vAlign w:val="center"/>
          </w:tcPr>
          <w:p w14:paraId="2C16861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14FA59E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121210.00</w:t>
            </w:r>
          </w:p>
        </w:tc>
      </w:tr>
      <w:tr w14:paraId="5B2E3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06E89D2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15</w:t>
            </w:r>
          </w:p>
        </w:tc>
        <w:tc>
          <w:tcPr>
            <w:tcW w:w="1380" w:type="dxa"/>
            <w:noWrap w:val="0"/>
            <w:vAlign w:val="center"/>
          </w:tcPr>
          <w:p w14:paraId="07BD096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红桥头站</w:t>
            </w:r>
          </w:p>
        </w:tc>
        <w:tc>
          <w:tcPr>
            <w:tcW w:w="1155" w:type="dxa"/>
            <w:noWrap w:val="0"/>
            <w:vAlign w:val="center"/>
          </w:tcPr>
          <w:p w14:paraId="4EC6FF3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浙C17737</w:t>
            </w:r>
          </w:p>
        </w:tc>
        <w:tc>
          <w:tcPr>
            <w:tcW w:w="1140" w:type="dxa"/>
            <w:noWrap w:val="0"/>
            <w:vAlign w:val="center"/>
          </w:tcPr>
          <w:p w14:paraId="0FC3E8E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20A9CFD0">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4D7D9EBF">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79168</w:t>
            </w:r>
          </w:p>
        </w:tc>
        <w:tc>
          <w:tcPr>
            <w:tcW w:w="1275" w:type="dxa"/>
            <w:noWrap w:val="0"/>
            <w:vAlign w:val="center"/>
          </w:tcPr>
          <w:p w14:paraId="454E49F9">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4441BC3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119580.00</w:t>
            </w:r>
          </w:p>
        </w:tc>
      </w:tr>
      <w:tr w14:paraId="6DB75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8669F3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16</w:t>
            </w:r>
          </w:p>
        </w:tc>
        <w:tc>
          <w:tcPr>
            <w:tcW w:w="1380" w:type="dxa"/>
            <w:noWrap w:val="0"/>
            <w:vAlign w:val="center"/>
          </w:tcPr>
          <w:p w14:paraId="39357E5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红桥头站</w:t>
            </w:r>
          </w:p>
        </w:tc>
        <w:tc>
          <w:tcPr>
            <w:tcW w:w="1155" w:type="dxa"/>
            <w:noWrap w:val="0"/>
            <w:vAlign w:val="center"/>
          </w:tcPr>
          <w:p w14:paraId="214CED7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浙C63933</w:t>
            </w:r>
          </w:p>
        </w:tc>
        <w:tc>
          <w:tcPr>
            <w:tcW w:w="1140" w:type="dxa"/>
            <w:noWrap w:val="0"/>
            <w:vAlign w:val="center"/>
          </w:tcPr>
          <w:p w14:paraId="0BD7807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32CF9E80">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0E7E9B42">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210469</w:t>
            </w:r>
          </w:p>
        </w:tc>
        <w:tc>
          <w:tcPr>
            <w:tcW w:w="1275" w:type="dxa"/>
            <w:noWrap w:val="0"/>
            <w:vAlign w:val="center"/>
          </w:tcPr>
          <w:p w14:paraId="05B65C98">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4BDAD0C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106260.00</w:t>
            </w:r>
          </w:p>
        </w:tc>
      </w:tr>
      <w:tr w14:paraId="2BF8B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10D51B6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17</w:t>
            </w:r>
          </w:p>
        </w:tc>
        <w:tc>
          <w:tcPr>
            <w:tcW w:w="1380" w:type="dxa"/>
            <w:noWrap w:val="0"/>
            <w:vAlign w:val="center"/>
          </w:tcPr>
          <w:p w14:paraId="74F4908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梅园站</w:t>
            </w:r>
          </w:p>
        </w:tc>
        <w:tc>
          <w:tcPr>
            <w:tcW w:w="1155" w:type="dxa"/>
            <w:noWrap w:val="0"/>
            <w:vAlign w:val="center"/>
          </w:tcPr>
          <w:p w14:paraId="2FAC1AB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浙C68203</w:t>
            </w:r>
          </w:p>
        </w:tc>
        <w:tc>
          <w:tcPr>
            <w:tcW w:w="1140" w:type="dxa"/>
            <w:noWrap w:val="0"/>
            <w:vAlign w:val="center"/>
          </w:tcPr>
          <w:p w14:paraId="4F071EB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13670</w:t>
            </w:r>
          </w:p>
        </w:tc>
        <w:tc>
          <w:tcPr>
            <w:tcW w:w="1110" w:type="dxa"/>
            <w:noWrap w:val="0"/>
            <w:vAlign w:val="center"/>
          </w:tcPr>
          <w:p w14:paraId="111C25FB">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16D353C1">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321745</w:t>
            </w:r>
          </w:p>
        </w:tc>
        <w:tc>
          <w:tcPr>
            <w:tcW w:w="1275" w:type="dxa"/>
            <w:noWrap w:val="0"/>
            <w:vAlign w:val="center"/>
          </w:tcPr>
          <w:p w14:paraId="60D30665">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2021-9-17</w:t>
            </w:r>
          </w:p>
        </w:tc>
        <w:tc>
          <w:tcPr>
            <w:tcW w:w="1573" w:type="dxa"/>
            <w:noWrap w:val="0"/>
            <w:vAlign w:val="center"/>
          </w:tcPr>
          <w:p w14:paraId="41B9087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31100.00</w:t>
            </w:r>
          </w:p>
        </w:tc>
      </w:tr>
      <w:tr w14:paraId="7A7A9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F62BD8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18</w:t>
            </w:r>
          </w:p>
        </w:tc>
        <w:tc>
          <w:tcPr>
            <w:tcW w:w="1380" w:type="dxa"/>
            <w:noWrap w:val="0"/>
            <w:vAlign w:val="center"/>
          </w:tcPr>
          <w:p w14:paraId="7985723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梅园站</w:t>
            </w:r>
          </w:p>
        </w:tc>
        <w:tc>
          <w:tcPr>
            <w:tcW w:w="1155" w:type="dxa"/>
            <w:noWrap w:val="0"/>
            <w:vAlign w:val="center"/>
          </w:tcPr>
          <w:p w14:paraId="6E54923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浙C67219</w:t>
            </w:r>
          </w:p>
        </w:tc>
        <w:tc>
          <w:tcPr>
            <w:tcW w:w="1140" w:type="dxa"/>
            <w:noWrap w:val="0"/>
            <w:vAlign w:val="center"/>
          </w:tcPr>
          <w:p w14:paraId="3F4F92E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51D438EB">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A77B2FC">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66000</w:t>
            </w:r>
          </w:p>
        </w:tc>
        <w:tc>
          <w:tcPr>
            <w:tcW w:w="1275" w:type="dxa"/>
            <w:noWrap w:val="0"/>
            <w:vAlign w:val="center"/>
          </w:tcPr>
          <w:p w14:paraId="7EC7184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60C7C5E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122960.00</w:t>
            </w:r>
          </w:p>
        </w:tc>
      </w:tr>
      <w:tr w14:paraId="1AFF7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02695AB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19</w:t>
            </w:r>
          </w:p>
        </w:tc>
        <w:tc>
          <w:tcPr>
            <w:tcW w:w="1380" w:type="dxa"/>
            <w:noWrap w:val="0"/>
            <w:vAlign w:val="center"/>
          </w:tcPr>
          <w:p w14:paraId="156FB36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大堡底站</w:t>
            </w:r>
          </w:p>
        </w:tc>
        <w:tc>
          <w:tcPr>
            <w:tcW w:w="1155" w:type="dxa"/>
            <w:noWrap w:val="0"/>
            <w:vAlign w:val="center"/>
          </w:tcPr>
          <w:p w14:paraId="00892CB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浙C64372</w:t>
            </w:r>
          </w:p>
        </w:tc>
        <w:tc>
          <w:tcPr>
            <w:tcW w:w="1140" w:type="dxa"/>
            <w:noWrap w:val="0"/>
            <w:vAlign w:val="center"/>
          </w:tcPr>
          <w:p w14:paraId="44D9735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20DADE0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2FCD8FBD">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191245</w:t>
            </w:r>
          </w:p>
        </w:tc>
        <w:tc>
          <w:tcPr>
            <w:tcW w:w="1275" w:type="dxa"/>
            <w:noWrap w:val="0"/>
            <w:vAlign w:val="center"/>
          </w:tcPr>
          <w:p w14:paraId="70F09598">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76F3B01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115020.00</w:t>
            </w:r>
          </w:p>
        </w:tc>
      </w:tr>
      <w:tr w14:paraId="276F6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CB3C92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w:t>
            </w:r>
          </w:p>
        </w:tc>
        <w:tc>
          <w:tcPr>
            <w:tcW w:w="1380" w:type="dxa"/>
            <w:noWrap w:val="0"/>
            <w:vAlign w:val="center"/>
          </w:tcPr>
          <w:p w14:paraId="64944EC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大堡底站</w:t>
            </w:r>
          </w:p>
        </w:tc>
        <w:tc>
          <w:tcPr>
            <w:tcW w:w="1155" w:type="dxa"/>
            <w:noWrap w:val="0"/>
            <w:vAlign w:val="center"/>
          </w:tcPr>
          <w:p w14:paraId="0368A5B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浙C64081</w:t>
            </w:r>
          </w:p>
        </w:tc>
        <w:tc>
          <w:tcPr>
            <w:tcW w:w="1140" w:type="dxa"/>
            <w:noWrap w:val="0"/>
            <w:vAlign w:val="center"/>
          </w:tcPr>
          <w:p w14:paraId="4A6BBFD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18A5E3AE">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34010632">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214629</w:t>
            </w:r>
          </w:p>
        </w:tc>
        <w:tc>
          <w:tcPr>
            <w:tcW w:w="1275" w:type="dxa"/>
            <w:noWrap w:val="0"/>
            <w:vAlign w:val="center"/>
          </w:tcPr>
          <w:p w14:paraId="377197F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58438A4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105120.00</w:t>
            </w:r>
          </w:p>
        </w:tc>
      </w:tr>
      <w:tr w14:paraId="75B56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7A11E92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21</w:t>
            </w:r>
          </w:p>
        </w:tc>
        <w:tc>
          <w:tcPr>
            <w:tcW w:w="1380" w:type="dxa"/>
            <w:noWrap w:val="0"/>
            <w:vAlign w:val="center"/>
          </w:tcPr>
          <w:p w14:paraId="418934B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三垟站</w:t>
            </w:r>
          </w:p>
        </w:tc>
        <w:tc>
          <w:tcPr>
            <w:tcW w:w="1155" w:type="dxa"/>
            <w:noWrap w:val="0"/>
            <w:vAlign w:val="center"/>
          </w:tcPr>
          <w:p w14:paraId="543BBBD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浙C66102</w:t>
            </w:r>
          </w:p>
        </w:tc>
        <w:tc>
          <w:tcPr>
            <w:tcW w:w="1140" w:type="dxa"/>
            <w:noWrap w:val="0"/>
            <w:vAlign w:val="center"/>
          </w:tcPr>
          <w:p w14:paraId="0D0F287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257217E0">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447AE916">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35018</w:t>
            </w:r>
          </w:p>
        </w:tc>
        <w:tc>
          <w:tcPr>
            <w:tcW w:w="1275" w:type="dxa"/>
            <w:noWrap w:val="0"/>
            <w:vAlign w:val="center"/>
          </w:tcPr>
          <w:p w14:paraId="5D0C9599">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79916E5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130930.00</w:t>
            </w:r>
          </w:p>
        </w:tc>
      </w:tr>
      <w:tr w14:paraId="27D94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F5C838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22</w:t>
            </w:r>
          </w:p>
        </w:tc>
        <w:tc>
          <w:tcPr>
            <w:tcW w:w="1380" w:type="dxa"/>
            <w:noWrap w:val="0"/>
            <w:vAlign w:val="center"/>
          </w:tcPr>
          <w:p w14:paraId="23A728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红梅路站</w:t>
            </w:r>
          </w:p>
          <w:p w14:paraId="0B93A05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备用车</w:t>
            </w:r>
          </w:p>
        </w:tc>
        <w:tc>
          <w:tcPr>
            <w:tcW w:w="1155" w:type="dxa"/>
            <w:noWrap w:val="0"/>
            <w:vAlign w:val="center"/>
          </w:tcPr>
          <w:p w14:paraId="1BAB6F7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浙C36920</w:t>
            </w:r>
          </w:p>
        </w:tc>
        <w:tc>
          <w:tcPr>
            <w:tcW w:w="1140" w:type="dxa"/>
            <w:noWrap w:val="0"/>
            <w:vAlign w:val="center"/>
          </w:tcPr>
          <w:p w14:paraId="4F6E63F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13430</w:t>
            </w:r>
          </w:p>
        </w:tc>
        <w:tc>
          <w:tcPr>
            <w:tcW w:w="1110" w:type="dxa"/>
            <w:noWrap w:val="0"/>
            <w:vAlign w:val="center"/>
          </w:tcPr>
          <w:p w14:paraId="53581BEF">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291D0DF">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247489</w:t>
            </w:r>
          </w:p>
        </w:tc>
        <w:tc>
          <w:tcPr>
            <w:tcW w:w="1275" w:type="dxa"/>
            <w:noWrap w:val="0"/>
            <w:vAlign w:val="center"/>
          </w:tcPr>
          <w:p w14:paraId="364D74D3">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2019-1-11</w:t>
            </w:r>
          </w:p>
        </w:tc>
        <w:tc>
          <w:tcPr>
            <w:tcW w:w="1573" w:type="dxa"/>
            <w:noWrap w:val="0"/>
            <w:vAlign w:val="center"/>
          </w:tcPr>
          <w:p w14:paraId="3E66611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90830.00</w:t>
            </w:r>
          </w:p>
        </w:tc>
      </w:tr>
      <w:tr w14:paraId="64DFD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1ADFB7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23</w:t>
            </w:r>
          </w:p>
        </w:tc>
        <w:tc>
          <w:tcPr>
            <w:tcW w:w="1380" w:type="dxa"/>
            <w:noWrap w:val="0"/>
            <w:vAlign w:val="center"/>
          </w:tcPr>
          <w:p w14:paraId="337097D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茶山站</w:t>
            </w:r>
          </w:p>
        </w:tc>
        <w:tc>
          <w:tcPr>
            <w:tcW w:w="1155" w:type="dxa"/>
            <w:noWrap w:val="0"/>
            <w:vAlign w:val="center"/>
          </w:tcPr>
          <w:p w14:paraId="470A8FF8">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浙C20238</w:t>
            </w:r>
          </w:p>
        </w:tc>
        <w:tc>
          <w:tcPr>
            <w:tcW w:w="1140" w:type="dxa"/>
            <w:noWrap w:val="0"/>
            <w:vAlign w:val="center"/>
          </w:tcPr>
          <w:p w14:paraId="03D1D33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3A92EBCB">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2B201484">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20749</w:t>
            </w:r>
          </w:p>
        </w:tc>
        <w:tc>
          <w:tcPr>
            <w:tcW w:w="1275" w:type="dxa"/>
            <w:noWrap w:val="0"/>
            <w:vAlign w:val="center"/>
          </w:tcPr>
          <w:p w14:paraId="274ED91A">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57C6FA8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134600.00</w:t>
            </w:r>
          </w:p>
        </w:tc>
      </w:tr>
      <w:tr w14:paraId="34924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E9CE81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24</w:t>
            </w:r>
          </w:p>
        </w:tc>
        <w:tc>
          <w:tcPr>
            <w:tcW w:w="1380" w:type="dxa"/>
            <w:noWrap w:val="0"/>
            <w:vAlign w:val="center"/>
          </w:tcPr>
          <w:p w14:paraId="3EFB375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茶山站</w:t>
            </w:r>
          </w:p>
        </w:tc>
        <w:tc>
          <w:tcPr>
            <w:tcW w:w="1155" w:type="dxa"/>
            <w:noWrap w:val="0"/>
            <w:vAlign w:val="center"/>
          </w:tcPr>
          <w:p w14:paraId="43916F4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浙C76050</w:t>
            </w:r>
          </w:p>
        </w:tc>
        <w:tc>
          <w:tcPr>
            <w:tcW w:w="1140" w:type="dxa"/>
            <w:noWrap w:val="0"/>
            <w:vAlign w:val="center"/>
          </w:tcPr>
          <w:p w14:paraId="0F6FA5A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524C94D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47B76AE4">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78664</w:t>
            </w:r>
          </w:p>
        </w:tc>
        <w:tc>
          <w:tcPr>
            <w:tcW w:w="1275" w:type="dxa"/>
            <w:noWrap w:val="0"/>
            <w:vAlign w:val="center"/>
          </w:tcPr>
          <w:p w14:paraId="049D1343">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764FFFD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146700.00</w:t>
            </w:r>
          </w:p>
        </w:tc>
      </w:tr>
      <w:tr w14:paraId="4AB02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08ACE41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25</w:t>
            </w:r>
          </w:p>
        </w:tc>
        <w:tc>
          <w:tcPr>
            <w:tcW w:w="1380" w:type="dxa"/>
            <w:noWrap w:val="0"/>
            <w:vAlign w:val="center"/>
          </w:tcPr>
          <w:p w14:paraId="77CFBE6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虎岩口站</w:t>
            </w:r>
          </w:p>
        </w:tc>
        <w:tc>
          <w:tcPr>
            <w:tcW w:w="1155" w:type="dxa"/>
            <w:noWrap w:val="0"/>
            <w:vAlign w:val="center"/>
          </w:tcPr>
          <w:p w14:paraId="20D2F24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浙C77120</w:t>
            </w:r>
          </w:p>
        </w:tc>
        <w:tc>
          <w:tcPr>
            <w:tcW w:w="1140" w:type="dxa"/>
            <w:noWrap w:val="0"/>
            <w:vAlign w:val="center"/>
          </w:tcPr>
          <w:p w14:paraId="0F5FE2A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341CF91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751589B">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26235</w:t>
            </w:r>
          </w:p>
        </w:tc>
        <w:tc>
          <w:tcPr>
            <w:tcW w:w="1275" w:type="dxa"/>
            <w:noWrap w:val="0"/>
            <w:vAlign w:val="center"/>
          </w:tcPr>
          <w:p w14:paraId="56B888F7">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78602C2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133190.00</w:t>
            </w:r>
          </w:p>
        </w:tc>
      </w:tr>
      <w:tr w14:paraId="6D340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0266D0E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26</w:t>
            </w:r>
          </w:p>
        </w:tc>
        <w:tc>
          <w:tcPr>
            <w:tcW w:w="1380" w:type="dxa"/>
            <w:noWrap w:val="0"/>
            <w:vAlign w:val="center"/>
          </w:tcPr>
          <w:p w14:paraId="770687C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横港头站</w:t>
            </w:r>
          </w:p>
        </w:tc>
        <w:tc>
          <w:tcPr>
            <w:tcW w:w="1155" w:type="dxa"/>
            <w:noWrap w:val="0"/>
            <w:vAlign w:val="center"/>
          </w:tcPr>
          <w:p w14:paraId="213395F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浙C21611</w:t>
            </w:r>
          </w:p>
        </w:tc>
        <w:tc>
          <w:tcPr>
            <w:tcW w:w="1140" w:type="dxa"/>
            <w:noWrap w:val="0"/>
            <w:vAlign w:val="center"/>
          </w:tcPr>
          <w:p w14:paraId="11377D1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45D5683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5E329F85">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41969</w:t>
            </w:r>
          </w:p>
        </w:tc>
        <w:tc>
          <w:tcPr>
            <w:tcW w:w="1275" w:type="dxa"/>
            <w:noWrap w:val="0"/>
            <w:vAlign w:val="center"/>
          </w:tcPr>
          <w:p w14:paraId="1BE912C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2EAB95A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125190.00</w:t>
            </w:r>
          </w:p>
        </w:tc>
      </w:tr>
      <w:tr w14:paraId="78D9C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612DC2C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27</w:t>
            </w:r>
          </w:p>
        </w:tc>
        <w:tc>
          <w:tcPr>
            <w:tcW w:w="1380" w:type="dxa"/>
            <w:noWrap w:val="0"/>
            <w:vAlign w:val="center"/>
          </w:tcPr>
          <w:p w14:paraId="7487226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横港头站</w:t>
            </w:r>
          </w:p>
        </w:tc>
        <w:tc>
          <w:tcPr>
            <w:tcW w:w="1155" w:type="dxa"/>
            <w:noWrap w:val="0"/>
            <w:vAlign w:val="center"/>
          </w:tcPr>
          <w:p w14:paraId="4D74097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浙C72978</w:t>
            </w:r>
          </w:p>
        </w:tc>
        <w:tc>
          <w:tcPr>
            <w:tcW w:w="1140" w:type="dxa"/>
            <w:noWrap w:val="0"/>
            <w:vAlign w:val="center"/>
          </w:tcPr>
          <w:p w14:paraId="28F8548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52D1E3CE">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78DC998F">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157105</w:t>
            </w:r>
          </w:p>
        </w:tc>
        <w:tc>
          <w:tcPr>
            <w:tcW w:w="1275" w:type="dxa"/>
            <w:noWrap w:val="0"/>
            <w:vAlign w:val="center"/>
          </w:tcPr>
          <w:p w14:paraId="525A846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0EFD8C2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124630.00</w:t>
            </w:r>
          </w:p>
        </w:tc>
      </w:tr>
      <w:tr w14:paraId="2A74E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1AC091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28</w:t>
            </w:r>
          </w:p>
        </w:tc>
        <w:tc>
          <w:tcPr>
            <w:tcW w:w="1380" w:type="dxa"/>
            <w:noWrap w:val="0"/>
            <w:vAlign w:val="center"/>
          </w:tcPr>
          <w:p w14:paraId="71CE3B7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下林站</w:t>
            </w:r>
          </w:p>
        </w:tc>
        <w:tc>
          <w:tcPr>
            <w:tcW w:w="1155" w:type="dxa"/>
            <w:noWrap w:val="0"/>
            <w:vAlign w:val="center"/>
          </w:tcPr>
          <w:p w14:paraId="491AA66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浙C56335</w:t>
            </w:r>
          </w:p>
        </w:tc>
        <w:tc>
          <w:tcPr>
            <w:tcW w:w="1140" w:type="dxa"/>
            <w:noWrap w:val="0"/>
            <w:vAlign w:val="center"/>
          </w:tcPr>
          <w:p w14:paraId="4056426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2C629F6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21517DA">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58446</w:t>
            </w:r>
          </w:p>
        </w:tc>
        <w:tc>
          <w:tcPr>
            <w:tcW w:w="1275" w:type="dxa"/>
            <w:noWrap w:val="0"/>
            <w:vAlign w:val="center"/>
          </w:tcPr>
          <w:p w14:paraId="0AD196D5">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732BB2D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124910.00</w:t>
            </w:r>
          </w:p>
        </w:tc>
      </w:tr>
      <w:tr w14:paraId="5677D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0FAD5C1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29</w:t>
            </w:r>
          </w:p>
        </w:tc>
        <w:tc>
          <w:tcPr>
            <w:tcW w:w="1380" w:type="dxa"/>
            <w:noWrap w:val="0"/>
            <w:vAlign w:val="center"/>
          </w:tcPr>
          <w:p w14:paraId="31C15F2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下林站</w:t>
            </w:r>
          </w:p>
        </w:tc>
        <w:tc>
          <w:tcPr>
            <w:tcW w:w="1155" w:type="dxa"/>
            <w:noWrap w:val="0"/>
            <w:vAlign w:val="center"/>
          </w:tcPr>
          <w:p w14:paraId="7FAFD5D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浙C73519</w:t>
            </w:r>
          </w:p>
        </w:tc>
        <w:tc>
          <w:tcPr>
            <w:tcW w:w="1140" w:type="dxa"/>
            <w:noWrap w:val="0"/>
            <w:vAlign w:val="center"/>
          </w:tcPr>
          <w:p w14:paraId="48EC7CF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4A954A39">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27B71E0E">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154443</w:t>
            </w:r>
          </w:p>
        </w:tc>
        <w:tc>
          <w:tcPr>
            <w:tcW w:w="1275" w:type="dxa"/>
            <w:noWrap w:val="0"/>
            <w:vAlign w:val="center"/>
          </w:tcPr>
          <w:p w14:paraId="721CD82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36A03A2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125390.00</w:t>
            </w:r>
          </w:p>
        </w:tc>
      </w:tr>
      <w:tr w14:paraId="6AF2E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0A0E98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30</w:t>
            </w:r>
          </w:p>
        </w:tc>
        <w:tc>
          <w:tcPr>
            <w:tcW w:w="1380" w:type="dxa"/>
            <w:noWrap w:val="0"/>
            <w:vAlign w:val="center"/>
          </w:tcPr>
          <w:p w14:paraId="49C6F70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前花站</w:t>
            </w:r>
          </w:p>
        </w:tc>
        <w:tc>
          <w:tcPr>
            <w:tcW w:w="1155" w:type="dxa"/>
            <w:noWrap w:val="0"/>
            <w:vAlign w:val="center"/>
          </w:tcPr>
          <w:p w14:paraId="2628246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浙C11281</w:t>
            </w:r>
          </w:p>
        </w:tc>
        <w:tc>
          <w:tcPr>
            <w:tcW w:w="1140" w:type="dxa"/>
            <w:noWrap w:val="0"/>
            <w:vAlign w:val="center"/>
          </w:tcPr>
          <w:p w14:paraId="3218904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6879FA04">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3CF3C229">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62839</w:t>
            </w:r>
          </w:p>
        </w:tc>
        <w:tc>
          <w:tcPr>
            <w:tcW w:w="1275" w:type="dxa"/>
            <w:noWrap w:val="0"/>
            <w:vAlign w:val="center"/>
          </w:tcPr>
          <w:p w14:paraId="4E9BCA1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336AA79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123780.00</w:t>
            </w:r>
          </w:p>
        </w:tc>
      </w:tr>
      <w:tr w14:paraId="37F3C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555" w:type="dxa"/>
            <w:noWrap w:val="0"/>
            <w:vAlign w:val="center"/>
          </w:tcPr>
          <w:p w14:paraId="51DDEAF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31</w:t>
            </w:r>
          </w:p>
        </w:tc>
        <w:tc>
          <w:tcPr>
            <w:tcW w:w="1380" w:type="dxa"/>
            <w:noWrap w:val="0"/>
            <w:vAlign w:val="center"/>
          </w:tcPr>
          <w:p w14:paraId="578A370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前花站</w:t>
            </w:r>
          </w:p>
        </w:tc>
        <w:tc>
          <w:tcPr>
            <w:tcW w:w="1155" w:type="dxa"/>
            <w:noWrap w:val="0"/>
            <w:vAlign w:val="center"/>
          </w:tcPr>
          <w:p w14:paraId="6A3A673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浙C75200</w:t>
            </w:r>
          </w:p>
        </w:tc>
        <w:tc>
          <w:tcPr>
            <w:tcW w:w="1140" w:type="dxa"/>
            <w:noWrap w:val="0"/>
            <w:vAlign w:val="center"/>
          </w:tcPr>
          <w:p w14:paraId="2127E48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29A2160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5796BAEA">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86540</w:t>
            </w:r>
          </w:p>
        </w:tc>
        <w:tc>
          <w:tcPr>
            <w:tcW w:w="1275" w:type="dxa"/>
            <w:noWrap w:val="0"/>
            <w:vAlign w:val="center"/>
          </w:tcPr>
          <w:p w14:paraId="65C2692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0CA3205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140060.00</w:t>
            </w:r>
          </w:p>
        </w:tc>
      </w:tr>
      <w:tr w14:paraId="590BB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897C56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32</w:t>
            </w:r>
          </w:p>
        </w:tc>
        <w:tc>
          <w:tcPr>
            <w:tcW w:w="1380" w:type="dxa"/>
            <w:noWrap w:val="0"/>
            <w:vAlign w:val="center"/>
          </w:tcPr>
          <w:p w14:paraId="5A6D913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山前站</w:t>
            </w:r>
          </w:p>
        </w:tc>
        <w:tc>
          <w:tcPr>
            <w:tcW w:w="1155" w:type="dxa"/>
            <w:noWrap w:val="0"/>
            <w:vAlign w:val="center"/>
          </w:tcPr>
          <w:p w14:paraId="467A1B2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浙C71715</w:t>
            </w:r>
          </w:p>
        </w:tc>
        <w:tc>
          <w:tcPr>
            <w:tcW w:w="1140" w:type="dxa"/>
            <w:noWrap w:val="0"/>
            <w:vAlign w:val="center"/>
          </w:tcPr>
          <w:p w14:paraId="54D89BE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621DA7E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70C70239">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115085</w:t>
            </w:r>
          </w:p>
        </w:tc>
        <w:tc>
          <w:tcPr>
            <w:tcW w:w="1275" w:type="dxa"/>
            <w:noWrap w:val="0"/>
            <w:vAlign w:val="center"/>
          </w:tcPr>
          <w:p w14:paraId="27A19E21">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217E168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136460.00</w:t>
            </w:r>
          </w:p>
        </w:tc>
      </w:tr>
      <w:tr w14:paraId="78159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1C46BA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33</w:t>
            </w:r>
          </w:p>
        </w:tc>
        <w:tc>
          <w:tcPr>
            <w:tcW w:w="1380" w:type="dxa"/>
            <w:noWrap w:val="0"/>
            <w:vAlign w:val="center"/>
          </w:tcPr>
          <w:p w14:paraId="1A15C8F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茶堂站</w:t>
            </w:r>
          </w:p>
        </w:tc>
        <w:tc>
          <w:tcPr>
            <w:tcW w:w="1155" w:type="dxa"/>
            <w:noWrap w:val="0"/>
            <w:vAlign w:val="center"/>
          </w:tcPr>
          <w:p w14:paraId="00D4191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浙C66951</w:t>
            </w:r>
          </w:p>
        </w:tc>
        <w:tc>
          <w:tcPr>
            <w:tcW w:w="1140" w:type="dxa"/>
            <w:noWrap w:val="0"/>
            <w:vAlign w:val="center"/>
          </w:tcPr>
          <w:p w14:paraId="0FC479E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3B3944E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18BA1C5F">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32605</w:t>
            </w:r>
          </w:p>
        </w:tc>
        <w:tc>
          <w:tcPr>
            <w:tcW w:w="1275" w:type="dxa"/>
            <w:noWrap w:val="0"/>
            <w:vAlign w:val="center"/>
          </w:tcPr>
          <w:p w14:paraId="10C3FC30">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702D20C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131560.00</w:t>
            </w:r>
          </w:p>
        </w:tc>
      </w:tr>
      <w:tr w14:paraId="18255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4BBB18C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34</w:t>
            </w:r>
          </w:p>
        </w:tc>
        <w:tc>
          <w:tcPr>
            <w:tcW w:w="1380" w:type="dxa"/>
            <w:noWrap w:val="0"/>
            <w:vAlign w:val="center"/>
          </w:tcPr>
          <w:p w14:paraId="7D8F754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茶堂站</w:t>
            </w:r>
          </w:p>
        </w:tc>
        <w:tc>
          <w:tcPr>
            <w:tcW w:w="1155" w:type="dxa"/>
            <w:noWrap w:val="0"/>
            <w:vAlign w:val="center"/>
          </w:tcPr>
          <w:p w14:paraId="1BD675E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浙C72311</w:t>
            </w:r>
          </w:p>
        </w:tc>
        <w:tc>
          <w:tcPr>
            <w:tcW w:w="1140" w:type="dxa"/>
            <w:noWrap w:val="0"/>
            <w:vAlign w:val="center"/>
          </w:tcPr>
          <w:p w14:paraId="59046F3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5CF5C1ED">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373475E5">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111922</w:t>
            </w:r>
          </w:p>
        </w:tc>
        <w:tc>
          <w:tcPr>
            <w:tcW w:w="1275" w:type="dxa"/>
            <w:noWrap w:val="0"/>
            <w:vAlign w:val="center"/>
          </w:tcPr>
          <w:p w14:paraId="5AEBB58F">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716A9F97">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137340.00</w:t>
            </w:r>
          </w:p>
        </w:tc>
      </w:tr>
      <w:tr w14:paraId="68D59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5B203D4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35</w:t>
            </w:r>
          </w:p>
        </w:tc>
        <w:tc>
          <w:tcPr>
            <w:tcW w:w="1380" w:type="dxa"/>
            <w:noWrap w:val="0"/>
            <w:vAlign w:val="center"/>
          </w:tcPr>
          <w:p w14:paraId="139BABA1">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泽雅站</w:t>
            </w:r>
          </w:p>
        </w:tc>
        <w:tc>
          <w:tcPr>
            <w:tcW w:w="1155" w:type="dxa"/>
            <w:noWrap w:val="0"/>
            <w:vAlign w:val="center"/>
          </w:tcPr>
          <w:p w14:paraId="1B374A3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浙C52020</w:t>
            </w:r>
          </w:p>
        </w:tc>
        <w:tc>
          <w:tcPr>
            <w:tcW w:w="1140" w:type="dxa"/>
            <w:noWrap w:val="0"/>
            <w:vAlign w:val="center"/>
          </w:tcPr>
          <w:p w14:paraId="2789E26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1FAB9F7F">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7C4D898C">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29010</w:t>
            </w:r>
          </w:p>
        </w:tc>
        <w:tc>
          <w:tcPr>
            <w:tcW w:w="1275" w:type="dxa"/>
            <w:noWrap w:val="0"/>
            <w:vAlign w:val="center"/>
          </w:tcPr>
          <w:p w14:paraId="02078171">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02C3E795">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132470.00</w:t>
            </w:r>
          </w:p>
        </w:tc>
      </w:tr>
      <w:tr w14:paraId="1465A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5CABE51D">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36</w:t>
            </w:r>
          </w:p>
        </w:tc>
        <w:tc>
          <w:tcPr>
            <w:tcW w:w="1380" w:type="dxa"/>
            <w:noWrap w:val="0"/>
            <w:vAlign w:val="center"/>
          </w:tcPr>
          <w:p w14:paraId="017879C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泽雅站</w:t>
            </w:r>
          </w:p>
        </w:tc>
        <w:tc>
          <w:tcPr>
            <w:tcW w:w="1155" w:type="dxa"/>
            <w:noWrap w:val="0"/>
            <w:vAlign w:val="center"/>
          </w:tcPr>
          <w:p w14:paraId="0FDCA54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浙C62237</w:t>
            </w:r>
          </w:p>
        </w:tc>
        <w:tc>
          <w:tcPr>
            <w:tcW w:w="1140" w:type="dxa"/>
            <w:noWrap w:val="0"/>
            <w:vAlign w:val="center"/>
          </w:tcPr>
          <w:p w14:paraId="6F6EAAF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13570</w:t>
            </w:r>
          </w:p>
        </w:tc>
        <w:tc>
          <w:tcPr>
            <w:tcW w:w="1110" w:type="dxa"/>
            <w:noWrap w:val="0"/>
            <w:vAlign w:val="center"/>
          </w:tcPr>
          <w:p w14:paraId="727A170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2EFBA36">
            <w:pPr>
              <w:keepNext w:val="0"/>
              <w:keepLines w:val="0"/>
              <w:widowControl/>
              <w:suppressLineNumbers w:val="0"/>
              <w:jc w:val="center"/>
              <w:textAlignment w:val="center"/>
              <w:rPr>
                <w:rFonts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66936</w:t>
            </w:r>
          </w:p>
        </w:tc>
        <w:tc>
          <w:tcPr>
            <w:tcW w:w="1275" w:type="dxa"/>
            <w:noWrap w:val="0"/>
            <w:vAlign w:val="center"/>
          </w:tcPr>
          <w:p w14:paraId="2E5EC465">
            <w:pPr>
              <w:keepNext w:val="0"/>
              <w:keepLines w:val="0"/>
              <w:widowControl/>
              <w:suppressLineNumbers w:val="0"/>
              <w:jc w:val="center"/>
              <w:textAlignment w:val="center"/>
              <w:rPr>
                <w:rFonts w:hint="default" w:ascii="Times New Roman" w:hAnsi="Times New Roman"/>
                <w:b w:val="0"/>
                <w:bCs w:val="0"/>
                <w:sz w:val="18"/>
                <w:szCs w:val="18"/>
                <w:highlight w:val="none"/>
                <w:lang w:val="en-US"/>
              </w:rPr>
            </w:pPr>
            <w:r>
              <w:rPr>
                <w:rFonts w:hint="eastAsia" w:ascii="宋体" w:hAnsi="宋体" w:eastAsia="宋体" w:cs="宋体"/>
                <w:b w:val="0"/>
                <w:bCs w:val="0"/>
                <w:i w:val="0"/>
                <w:iCs w:val="0"/>
                <w:color w:val="000000"/>
                <w:kern w:val="0"/>
                <w:sz w:val="18"/>
                <w:szCs w:val="18"/>
                <w:highlight w:val="none"/>
                <w:u w:val="none"/>
                <w:lang w:val="en-US" w:eastAsia="zh-CN" w:bidi="ar"/>
              </w:rPr>
              <w:t>2021-12-8</w:t>
            </w:r>
          </w:p>
        </w:tc>
        <w:tc>
          <w:tcPr>
            <w:tcW w:w="1573" w:type="dxa"/>
            <w:noWrap w:val="0"/>
            <w:vAlign w:val="center"/>
          </w:tcPr>
          <w:p w14:paraId="33BCF58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150010.00</w:t>
            </w:r>
          </w:p>
        </w:tc>
      </w:tr>
      <w:tr w14:paraId="5410F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763FC23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37</w:t>
            </w:r>
          </w:p>
        </w:tc>
        <w:tc>
          <w:tcPr>
            <w:tcW w:w="1380" w:type="dxa"/>
            <w:noWrap w:val="0"/>
            <w:vAlign w:val="center"/>
          </w:tcPr>
          <w:p w14:paraId="18298B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梧田街道</w:t>
            </w:r>
          </w:p>
          <w:p w14:paraId="78A7385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备用车</w:t>
            </w:r>
          </w:p>
        </w:tc>
        <w:tc>
          <w:tcPr>
            <w:tcW w:w="1155" w:type="dxa"/>
            <w:noWrap w:val="0"/>
            <w:vAlign w:val="center"/>
          </w:tcPr>
          <w:p w14:paraId="2B0B3636">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浙C50458</w:t>
            </w:r>
          </w:p>
        </w:tc>
        <w:tc>
          <w:tcPr>
            <w:tcW w:w="1140" w:type="dxa"/>
            <w:noWrap w:val="0"/>
            <w:vAlign w:val="center"/>
          </w:tcPr>
          <w:p w14:paraId="5B003FE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13430</w:t>
            </w:r>
          </w:p>
        </w:tc>
        <w:tc>
          <w:tcPr>
            <w:tcW w:w="1110" w:type="dxa"/>
            <w:noWrap w:val="0"/>
            <w:vAlign w:val="center"/>
          </w:tcPr>
          <w:p w14:paraId="713FD6AC">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690029F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254867</w:t>
            </w:r>
          </w:p>
        </w:tc>
        <w:tc>
          <w:tcPr>
            <w:tcW w:w="1275" w:type="dxa"/>
            <w:noWrap w:val="0"/>
            <w:vAlign w:val="center"/>
          </w:tcPr>
          <w:p w14:paraId="0669A7EA">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2019-1-11</w:t>
            </w:r>
          </w:p>
        </w:tc>
        <w:tc>
          <w:tcPr>
            <w:tcW w:w="1573" w:type="dxa"/>
            <w:noWrap w:val="0"/>
            <w:vAlign w:val="center"/>
          </w:tcPr>
          <w:p w14:paraId="749F8EC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86600.00</w:t>
            </w:r>
          </w:p>
        </w:tc>
      </w:tr>
      <w:tr w14:paraId="59C6E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24812A12">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38</w:t>
            </w:r>
          </w:p>
        </w:tc>
        <w:tc>
          <w:tcPr>
            <w:tcW w:w="1380" w:type="dxa"/>
            <w:noWrap w:val="0"/>
            <w:vAlign w:val="center"/>
          </w:tcPr>
          <w:p w14:paraId="598781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梧田街道</w:t>
            </w:r>
          </w:p>
          <w:p w14:paraId="685435E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备用车</w:t>
            </w:r>
          </w:p>
        </w:tc>
        <w:tc>
          <w:tcPr>
            <w:tcW w:w="1155" w:type="dxa"/>
            <w:noWrap w:val="0"/>
            <w:vAlign w:val="center"/>
          </w:tcPr>
          <w:p w14:paraId="420F6EA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浙C53212</w:t>
            </w:r>
          </w:p>
        </w:tc>
        <w:tc>
          <w:tcPr>
            <w:tcW w:w="1140" w:type="dxa"/>
            <w:noWrap w:val="0"/>
            <w:vAlign w:val="center"/>
          </w:tcPr>
          <w:p w14:paraId="386506D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7AFF91F8">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13F440B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35655</w:t>
            </w:r>
          </w:p>
        </w:tc>
        <w:tc>
          <w:tcPr>
            <w:tcW w:w="1275" w:type="dxa"/>
            <w:noWrap w:val="0"/>
            <w:vAlign w:val="center"/>
          </w:tcPr>
          <w:p w14:paraId="6CE4F7DF">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1694530B">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130760.00</w:t>
            </w:r>
          </w:p>
        </w:tc>
      </w:tr>
      <w:tr w14:paraId="270D3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3AB6342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39</w:t>
            </w:r>
          </w:p>
        </w:tc>
        <w:tc>
          <w:tcPr>
            <w:tcW w:w="1380" w:type="dxa"/>
            <w:noWrap w:val="0"/>
            <w:vAlign w:val="center"/>
          </w:tcPr>
          <w:p w14:paraId="505BFD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梧田街道</w:t>
            </w:r>
          </w:p>
          <w:p w14:paraId="571734D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备用车</w:t>
            </w:r>
          </w:p>
        </w:tc>
        <w:tc>
          <w:tcPr>
            <w:tcW w:w="1155" w:type="dxa"/>
            <w:noWrap w:val="0"/>
            <w:vAlign w:val="center"/>
          </w:tcPr>
          <w:p w14:paraId="7A17753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浙C72321</w:t>
            </w:r>
          </w:p>
        </w:tc>
        <w:tc>
          <w:tcPr>
            <w:tcW w:w="1140" w:type="dxa"/>
            <w:noWrap w:val="0"/>
            <w:vAlign w:val="center"/>
          </w:tcPr>
          <w:p w14:paraId="4353F7A9">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13455</w:t>
            </w:r>
          </w:p>
        </w:tc>
        <w:tc>
          <w:tcPr>
            <w:tcW w:w="1110" w:type="dxa"/>
            <w:noWrap w:val="0"/>
            <w:vAlign w:val="center"/>
          </w:tcPr>
          <w:p w14:paraId="326A2000">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54A616F7">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13227</w:t>
            </w:r>
          </w:p>
        </w:tc>
        <w:tc>
          <w:tcPr>
            <w:tcW w:w="1275" w:type="dxa"/>
            <w:noWrap w:val="0"/>
            <w:vAlign w:val="center"/>
          </w:tcPr>
          <w:p w14:paraId="7A37CAB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2023-8-16</w:t>
            </w:r>
          </w:p>
        </w:tc>
        <w:tc>
          <w:tcPr>
            <w:tcW w:w="1573" w:type="dxa"/>
            <w:noWrap w:val="0"/>
            <w:vAlign w:val="center"/>
          </w:tcPr>
          <w:p w14:paraId="03F1EED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136540.00</w:t>
            </w:r>
          </w:p>
        </w:tc>
      </w:tr>
      <w:tr w14:paraId="0F3DE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684B02D0">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40</w:t>
            </w:r>
          </w:p>
        </w:tc>
        <w:tc>
          <w:tcPr>
            <w:tcW w:w="1380" w:type="dxa"/>
            <w:noWrap w:val="0"/>
            <w:vAlign w:val="center"/>
          </w:tcPr>
          <w:p w14:paraId="3881A623">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红梅路站</w:t>
            </w:r>
          </w:p>
        </w:tc>
        <w:tc>
          <w:tcPr>
            <w:tcW w:w="1155" w:type="dxa"/>
            <w:noWrap w:val="0"/>
            <w:vAlign w:val="center"/>
          </w:tcPr>
          <w:p w14:paraId="2BB4862A">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浙C38930</w:t>
            </w:r>
          </w:p>
        </w:tc>
        <w:tc>
          <w:tcPr>
            <w:tcW w:w="1140" w:type="dxa"/>
            <w:noWrap w:val="0"/>
            <w:vAlign w:val="center"/>
          </w:tcPr>
          <w:p w14:paraId="1E940EBE">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13060</w:t>
            </w:r>
          </w:p>
        </w:tc>
        <w:tc>
          <w:tcPr>
            <w:tcW w:w="1110" w:type="dxa"/>
            <w:noWrap w:val="0"/>
            <w:vAlign w:val="center"/>
          </w:tcPr>
          <w:p w14:paraId="2387D90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4D97957A">
            <w:pPr>
              <w:jc w:val="center"/>
              <w:rPr>
                <w:rFonts w:ascii="Times New Roman" w:hAnsi="Times New Roman"/>
                <w:b w:val="0"/>
                <w:bCs w:val="0"/>
                <w:sz w:val="18"/>
                <w:szCs w:val="18"/>
                <w:highlight w:val="none"/>
              </w:rPr>
            </w:pPr>
          </w:p>
        </w:tc>
        <w:tc>
          <w:tcPr>
            <w:tcW w:w="1275" w:type="dxa"/>
            <w:noWrap w:val="0"/>
            <w:vAlign w:val="center"/>
          </w:tcPr>
          <w:p w14:paraId="09DB1A62">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2015-11-15</w:t>
            </w:r>
          </w:p>
        </w:tc>
        <w:tc>
          <w:tcPr>
            <w:tcW w:w="1573" w:type="dxa"/>
            <w:noWrap w:val="0"/>
            <w:vAlign w:val="center"/>
          </w:tcPr>
          <w:p w14:paraId="5FF20598">
            <w:pPr>
              <w:jc w:val="center"/>
              <w:rPr>
                <w:rFonts w:ascii="宋体" w:hAnsi="宋体" w:cs="宋体"/>
                <w:b w:val="0"/>
                <w:bCs w:val="0"/>
                <w:sz w:val="18"/>
                <w:szCs w:val="18"/>
                <w:highlight w:val="none"/>
              </w:rPr>
            </w:pPr>
            <w:r>
              <w:rPr>
                <w:rFonts w:hint="eastAsia" w:ascii="宋体" w:hAnsi="宋体" w:cs="宋体"/>
                <w:b w:val="0"/>
                <w:bCs w:val="0"/>
                <w:sz w:val="18"/>
                <w:szCs w:val="18"/>
                <w:highlight w:val="none"/>
              </w:rPr>
              <w:t>待报废</w:t>
            </w:r>
          </w:p>
        </w:tc>
      </w:tr>
      <w:tr w14:paraId="3E963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55" w:type="dxa"/>
            <w:noWrap w:val="0"/>
            <w:vAlign w:val="center"/>
          </w:tcPr>
          <w:p w14:paraId="75D41A1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41</w:t>
            </w:r>
          </w:p>
        </w:tc>
        <w:tc>
          <w:tcPr>
            <w:tcW w:w="1380" w:type="dxa"/>
            <w:noWrap w:val="0"/>
            <w:vAlign w:val="center"/>
          </w:tcPr>
          <w:p w14:paraId="16E3CD0F">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三垟中转站</w:t>
            </w:r>
          </w:p>
        </w:tc>
        <w:tc>
          <w:tcPr>
            <w:tcW w:w="1155" w:type="dxa"/>
            <w:noWrap w:val="0"/>
            <w:vAlign w:val="center"/>
          </w:tcPr>
          <w:p w14:paraId="334537FC">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浙C37259</w:t>
            </w:r>
          </w:p>
        </w:tc>
        <w:tc>
          <w:tcPr>
            <w:tcW w:w="1140" w:type="dxa"/>
            <w:noWrap w:val="0"/>
            <w:vAlign w:val="center"/>
          </w:tcPr>
          <w:p w14:paraId="1F58B864">
            <w:pPr>
              <w:keepNext w:val="0"/>
              <w:keepLines w:val="0"/>
              <w:widowControl/>
              <w:suppressLineNumbers w:val="0"/>
              <w:jc w:val="center"/>
              <w:textAlignment w:val="center"/>
              <w:rPr>
                <w:rFonts w:ascii="宋体" w:hAnsi="宋体" w:cs="宋体"/>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12875</w:t>
            </w:r>
          </w:p>
        </w:tc>
        <w:tc>
          <w:tcPr>
            <w:tcW w:w="1110" w:type="dxa"/>
            <w:noWrap w:val="0"/>
            <w:vAlign w:val="center"/>
          </w:tcPr>
          <w:p w14:paraId="550C1013">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东风天龙</w:t>
            </w:r>
          </w:p>
        </w:tc>
        <w:tc>
          <w:tcPr>
            <w:tcW w:w="1155" w:type="dxa"/>
            <w:noWrap w:val="0"/>
            <w:vAlign w:val="center"/>
          </w:tcPr>
          <w:p w14:paraId="231DEB02">
            <w:pPr>
              <w:jc w:val="center"/>
              <w:rPr>
                <w:rFonts w:ascii="Times New Roman" w:hAnsi="Times New Roman"/>
                <w:b w:val="0"/>
                <w:bCs w:val="0"/>
                <w:sz w:val="18"/>
                <w:szCs w:val="18"/>
                <w:highlight w:val="none"/>
              </w:rPr>
            </w:pPr>
          </w:p>
        </w:tc>
        <w:tc>
          <w:tcPr>
            <w:tcW w:w="1275" w:type="dxa"/>
            <w:noWrap w:val="0"/>
            <w:vAlign w:val="center"/>
          </w:tcPr>
          <w:p w14:paraId="78D7C236">
            <w:pPr>
              <w:keepNext w:val="0"/>
              <w:keepLines w:val="0"/>
              <w:widowControl/>
              <w:suppressLineNumbers w:val="0"/>
              <w:jc w:val="center"/>
              <w:textAlignment w:val="center"/>
              <w:rPr>
                <w:rFonts w:ascii="Times New Roman" w:hAnsi="Times New Roman"/>
                <w:b w:val="0"/>
                <w:bCs w:val="0"/>
                <w:sz w:val="18"/>
                <w:szCs w:val="18"/>
                <w:highlight w:val="none"/>
              </w:rPr>
            </w:pPr>
            <w:r>
              <w:rPr>
                <w:rFonts w:hint="eastAsia" w:ascii="宋体" w:hAnsi="宋体" w:eastAsia="宋体" w:cs="宋体"/>
                <w:b w:val="0"/>
                <w:bCs w:val="0"/>
                <w:i w:val="0"/>
                <w:iCs w:val="0"/>
                <w:color w:val="000000"/>
                <w:kern w:val="0"/>
                <w:sz w:val="18"/>
                <w:szCs w:val="18"/>
                <w:highlight w:val="none"/>
                <w:u w:val="none"/>
                <w:lang w:val="en-US" w:eastAsia="zh-CN" w:bidi="ar"/>
              </w:rPr>
              <w:t>2015-1-29</w:t>
            </w:r>
          </w:p>
        </w:tc>
        <w:tc>
          <w:tcPr>
            <w:tcW w:w="1573" w:type="dxa"/>
            <w:noWrap w:val="0"/>
            <w:vAlign w:val="center"/>
          </w:tcPr>
          <w:p w14:paraId="0B3B6D78">
            <w:pPr>
              <w:jc w:val="center"/>
              <w:rPr>
                <w:rFonts w:ascii="宋体" w:hAnsi="宋体" w:cs="宋体"/>
                <w:b w:val="0"/>
                <w:bCs w:val="0"/>
                <w:sz w:val="18"/>
                <w:szCs w:val="18"/>
                <w:highlight w:val="none"/>
              </w:rPr>
            </w:pPr>
            <w:r>
              <w:rPr>
                <w:rFonts w:hint="eastAsia" w:ascii="宋体" w:hAnsi="宋体" w:cs="宋体"/>
                <w:b w:val="0"/>
                <w:bCs w:val="0"/>
                <w:sz w:val="18"/>
                <w:szCs w:val="18"/>
                <w:highlight w:val="none"/>
              </w:rPr>
              <w:t>待报废</w:t>
            </w:r>
          </w:p>
        </w:tc>
      </w:tr>
      <w:tr w14:paraId="1573D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343" w:type="dxa"/>
            <w:gridSpan w:val="8"/>
            <w:noWrap w:val="0"/>
            <w:vAlign w:val="center"/>
          </w:tcPr>
          <w:p w14:paraId="4304BCE2">
            <w:pPr>
              <w:spacing w:line="360" w:lineRule="auto"/>
              <w:rPr>
                <w:rFonts w:hint="eastAsia" w:ascii="宋体" w:hAnsi="宋体" w:cs="宋体"/>
                <w:szCs w:val="21"/>
                <w:highlight w:val="none"/>
              </w:rPr>
            </w:pPr>
            <w:r>
              <w:rPr>
                <w:rFonts w:hint="eastAsia" w:ascii="宋体" w:hAnsi="宋体" w:cs="宋体"/>
                <w:szCs w:val="21"/>
                <w:highlight w:val="none"/>
              </w:rPr>
              <w:t>注：</w:t>
            </w:r>
          </w:p>
          <w:p w14:paraId="1378EFB7">
            <w:pPr>
              <w:spacing w:line="360" w:lineRule="auto"/>
              <w:ind w:firstLine="420"/>
              <w:rPr>
                <w:rFonts w:ascii="宋体" w:hAnsi="宋体" w:cs="宋体"/>
                <w:b/>
                <w:bCs/>
                <w:highlight w:val="none"/>
              </w:rPr>
            </w:pPr>
            <w:r>
              <w:rPr>
                <w:rFonts w:hint="eastAsia" w:ascii="宋体" w:hAnsi="宋体" w:cs="宋体"/>
                <w:b/>
                <w:bCs/>
                <w:highlight w:val="none"/>
              </w:rPr>
              <w:t>（1）垃圾转运车辆由中标供应商投保保险（含车身险、第三者责任险（第三者责任险须投保</w:t>
            </w:r>
            <w:r>
              <w:rPr>
                <w:rFonts w:hint="eastAsia" w:ascii="宋体" w:hAnsi="宋体" w:cs="宋体"/>
                <w:b/>
                <w:bCs/>
                <w:highlight w:val="none"/>
                <w:lang w:val="en-US" w:eastAsia="zh-CN"/>
              </w:rPr>
              <w:t>2</w:t>
            </w:r>
            <w:r>
              <w:rPr>
                <w:rFonts w:ascii="宋体" w:hAnsi="宋体" w:cs="宋体"/>
                <w:b/>
                <w:bCs/>
                <w:highlight w:val="none"/>
              </w:rPr>
              <w:t>00</w:t>
            </w:r>
            <w:r>
              <w:rPr>
                <w:rFonts w:hint="eastAsia" w:ascii="宋体" w:hAnsi="宋体" w:cs="宋体"/>
                <w:b/>
                <w:bCs/>
                <w:highlight w:val="none"/>
              </w:rPr>
              <w:t>万元以上</w:t>
            </w:r>
            <w:r>
              <w:rPr>
                <w:rFonts w:ascii="宋体" w:hAnsi="宋体" w:cs="宋体"/>
                <w:b/>
                <w:bCs/>
                <w:highlight w:val="none"/>
              </w:rPr>
              <w:t>/</w:t>
            </w:r>
            <w:r>
              <w:rPr>
                <w:rFonts w:hint="eastAsia" w:ascii="宋体" w:hAnsi="宋体" w:cs="宋体"/>
                <w:b/>
                <w:bCs/>
                <w:highlight w:val="none"/>
              </w:rPr>
              <w:t>辆）、交强险）；中标供应商须为转运车驾驶员购买雇主责任险（伤亡</w:t>
            </w:r>
            <w:r>
              <w:rPr>
                <w:rFonts w:ascii="宋体" w:hAnsi="宋体" w:cs="宋体"/>
                <w:b/>
                <w:bCs/>
                <w:highlight w:val="none"/>
              </w:rPr>
              <w:t>100</w:t>
            </w:r>
            <w:r>
              <w:rPr>
                <w:rFonts w:hint="eastAsia" w:ascii="宋体" w:hAnsi="宋体" w:cs="宋体"/>
                <w:b/>
                <w:bCs/>
                <w:highlight w:val="none"/>
              </w:rPr>
              <w:t>万元以上</w:t>
            </w:r>
            <w:r>
              <w:rPr>
                <w:rFonts w:ascii="宋体" w:hAnsi="宋体" w:cs="宋体"/>
                <w:b/>
                <w:bCs/>
                <w:highlight w:val="none"/>
              </w:rPr>
              <w:t>/</w:t>
            </w:r>
            <w:r>
              <w:rPr>
                <w:rFonts w:hint="eastAsia" w:ascii="宋体" w:hAnsi="宋体" w:cs="宋体"/>
                <w:b/>
                <w:bCs/>
                <w:highlight w:val="none"/>
              </w:rPr>
              <w:t>人、医疗险</w:t>
            </w:r>
            <w:r>
              <w:rPr>
                <w:rFonts w:ascii="宋体" w:hAnsi="宋体" w:cs="宋体"/>
                <w:b/>
                <w:bCs/>
                <w:highlight w:val="none"/>
              </w:rPr>
              <w:t>10</w:t>
            </w:r>
            <w:r>
              <w:rPr>
                <w:rFonts w:hint="eastAsia" w:ascii="宋体" w:hAnsi="宋体" w:cs="宋体"/>
                <w:b/>
                <w:bCs/>
                <w:highlight w:val="none"/>
              </w:rPr>
              <w:t>万元以上</w:t>
            </w:r>
            <w:r>
              <w:rPr>
                <w:rFonts w:ascii="宋体" w:hAnsi="宋体" w:cs="宋体"/>
                <w:b/>
                <w:bCs/>
                <w:highlight w:val="none"/>
              </w:rPr>
              <w:t>/</w:t>
            </w:r>
            <w:r>
              <w:rPr>
                <w:rFonts w:hint="eastAsia" w:ascii="宋体" w:hAnsi="宋体" w:cs="宋体"/>
                <w:b/>
                <w:bCs/>
                <w:highlight w:val="none"/>
              </w:rPr>
              <w:t>人），中标供应商签订合同后三十天内把车辆第三者责任险及雇主责任险报采购人备案，未备案的或保额不足的停止结算垃圾转运合同款。</w:t>
            </w:r>
          </w:p>
          <w:p w14:paraId="25BBEE11">
            <w:pPr>
              <w:spacing w:line="360" w:lineRule="auto"/>
              <w:ind w:firstLine="420"/>
              <w:rPr>
                <w:rFonts w:hint="eastAsia" w:ascii="宋体" w:hAnsi="宋体" w:cs="宋体"/>
                <w:b/>
                <w:bCs/>
                <w:highlight w:val="none"/>
              </w:rPr>
            </w:pPr>
            <w:r>
              <w:rPr>
                <w:rFonts w:hint="eastAsia" w:ascii="宋体" w:hAnsi="宋体" w:cs="宋体"/>
                <w:b/>
                <w:bCs/>
                <w:highlight w:val="none"/>
              </w:rPr>
              <w:t>（2）所有车辆，应安装GPS定位装置及视频摄像装置，并接入管理系统。</w:t>
            </w:r>
          </w:p>
          <w:p w14:paraId="06307DE8">
            <w:pPr>
              <w:pStyle w:val="11"/>
              <w:ind w:left="0" w:leftChars="0" w:firstLine="480"/>
              <w:rPr>
                <w:highlight w:val="none"/>
              </w:rPr>
            </w:pPr>
            <w:r>
              <w:rPr>
                <w:rFonts w:hint="eastAsia"/>
                <w:b/>
                <w:bCs/>
                <w:highlight w:val="none"/>
              </w:rPr>
              <w:t>（3）车辆使用情况以实际为准</w:t>
            </w:r>
          </w:p>
        </w:tc>
      </w:tr>
    </w:tbl>
    <w:p w14:paraId="5B136AFB">
      <w:pPr>
        <w:rPr>
          <w:rFonts w:hint="eastAsia" w:ascii="宋体" w:hAnsi="宋体" w:cs="宋体"/>
          <w:highlight w:val="none"/>
        </w:rPr>
      </w:pPr>
      <w:r>
        <w:rPr>
          <w:rFonts w:hint="eastAsia" w:ascii="宋体" w:hAnsi="宋体" w:cs="宋体"/>
          <w:highlight w:val="none"/>
        </w:rPr>
        <w:br w:type="page"/>
      </w:r>
    </w:p>
    <w:p w14:paraId="23B9A5ED">
      <w:pPr>
        <w:spacing w:line="360" w:lineRule="auto"/>
        <w:rPr>
          <w:rFonts w:hint="eastAsia" w:ascii="宋体" w:hAnsi="宋体" w:cs="宋体"/>
          <w:highlight w:val="none"/>
        </w:rPr>
      </w:pPr>
      <w:r>
        <w:rPr>
          <w:rFonts w:hint="eastAsia" w:ascii="宋体" w:hAnsi="宋体" w:cs="宋体"/>
          <w:highlight w:val="none"/>
        </w:rPr>
        <w:t>表2：</w:t>
      </w:r>
    </w:p>
    <w:tbl>
      <w:tblPr>
        <w:tblStyle w:val="24"/>
        <w:tblW w:w="949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1455"/>
        <w:gridCol w:w="1875"/>
        <w:gridCol w:w="1230"/>
        <w:gridCol w:w="1380"/>
        <w:gridCol w:w="1065"/>
        <w:gridCol w:w="1873"/>
      </w:tblGrid>
      <w:tr w14:paraId="1890AB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492" w:type="dxa"/>
            <w:gridSpan w:val="7"/>
            <w:noWrap w:val="0"/>
            <w:vAlign w:val="center"/>
          </w:tcPr>
          <w:p w14:paraId="34E8825B">
            <w:pPr>
              <w:spacing w:line="360" w:lineRule="auto"/>
              <w:jc w:val="center"/>
              <w:rPr>
                <w:rFonts w:hint="eastAsia" w:ascii="宋体" w:hAnsi="宋体" w:cs="宋体"/>
                <w:szCs w:val="21"/>
                <w:highlight w:val="none"/>
              </w:rPr>
            </w:pPr>
            <w:r>
              <w:rPr>
                <w:rFonts w:hint="eastAsia" w:ascii="宋体" w:hAnsi="宋体" w:cs="宋体"/>
                <w:szCs w:val="21"/>
                <w:highlight w:val="none"/>
              </w:rPr>
              <w:t>垃圾中转站垃圾箱体</w:t>
            </w:r>
            <w:r>
              <w:rPr>
                <w:rFonts w:hint="eastAsia" w:ascii="宋体" w:hAnsi="宋体" w:cs="宋体"/>
                <w:szCs w:val="21"/>
                <w:highlight w:val="none"/>
                <w:lang w:val="en-US" w:eastAsia="zh-CN"/>
              </w:rPr>
              <w:t>2年期</w:t>
            </w:r>
            <w:r>
              <w:rPr>
                <w:rFonts w:hint="eastAsia" w:ascii="宋体" w:hAnsi="宋体" w:cs="宋体"/>
                <w:szCs w:val="21"/>
                <w:highlight w:val="none"/>
              </w:rPr>
              <w:t>租赁权价值评估值情况</w:t>
            </w:r>
          </w:p>
        </w:tc>
      </w:tr>
      <w:tr w14:paraId="14C85B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614" w:type="dxa"/>
            <w:noWrap w:val="0"/>
            <w:vAlign w:val="center"/>
          </w:tcPr>
          <w:p w14:paraId="68B346F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455" w:type="dxa"/>
            <w:noWrap w:val="0"/>
            <w:vAlign w:val="center"/>
          </w:tcPr>
          <w:p w14:paraId="5F12574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中转站名称</w:t>
            </w:r>
          </w:p>
        </w:tc>
        <w:tc>
          <w:tcPr>
            <w:tcW w:w="1875" w:type="dxa"/>
            <w:noWrap w:val="0"/>
            <w:vAlign w:val="center"/>
          </w:tcPr>
          <w:p w14:paraId="60CFE73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设备名称</w:t>
            </w:r>
          </w:p>
          <w:p w14:paraId="57F1830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（类型）</w:t>
            </w:r>
          </w:p>
        </w:tc>
        <w:tc>
          <w:tcPr>
            <w:tcW w:w="1230" w:type="dxa"/>
            <w:noWrap w:val="0"/>
            <w:vAlign w:val="center"/>
          </w:tcPr>
          <w:p w14:paraId="3232304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规格型号</w:t>
            </w:r>
          </w:p>
        </w:tc>
        <w:tc>
          <w:tcPr>
            <w:tcW w:w="1380" w:type="dxa"/>
            <w:noWrap w:val="0"/>
            <w:vAlign w:val="center"/>
          </w:tcPr>
          <w:p w14:paraId="13C6C98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购置时间</w:t>
            </w:r>
          </w:p>
        </w:tc>
        <w:tc>
          <w:tcPr>
            <w:tcW w:w="1065" w:type="dxa"/>
            <w:noWrap w:val="0"/>
            <w:vAlign w:val="center"/>
          </w:tcPr>
          <w:p w14:paraId="5BB4760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数量(台)</w:t>
            </w:r>
          </w:p>
        </w:tc>
        <w:tc>
          <w:tcPr>
            <w:tcW w:w="1873" w:type="dxa"/>
            <w:noWrap w:val="0"/>
            <w:vAlign w:val="center"/>
          </w:tcPr>
          <w:p w14:paraId="09B4751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2年租赁权价值合计</w:t>
            </w:r>
          </w:p>
        </w:tc>
      </w:tr>
      <w:tr w14:paraId="02DB5F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14" w:type="dxa"/>
            <w:noWrap w:val="0"/>
            <w:vAlign w:val="center"/>
          </w:tcPr>
          <w:p w14:paraId="2FAE3F59">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55" w:type="dxa"/>
            <w:noWrap w:val="0"/>
            <w:vAlign w:val="center"/>
          </w:tcPr>
          <w:p w14:paraId="06BAA64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古岸头站</w:t>
            </w:r>
          </w:p>
        </w:tc>
        <w:tc>
          <w:tcPr>
            <w:tcW w:w="1875" w:type="dxa"/>
            <w:noWrap w:val="0"/>
            <w:vAlign w:val="center"/>
          </w:tcPr>
          <w:p w14:paraId="7A739E8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4347719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139E45A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30F0669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75A9FE5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299DCB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14" w:type="dxa"/>
            <w:noWrap w:val="0"/>
            <w:vAlign w:val="center"/>
          </w:tcPr>
          <w:p w14:paraId="04EABB54">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455" w:type="dxa"/>
            <w:noWrap w:val="0"/>
            <w:vAlign w:val="center"/>
          </w:tcPr>
          <w:p w14:paraId="10A5072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古岸头站</w:t>
            </w:r>
          </w:p>
        </w:tc>
        <w:tc>
          <w:tcPr>
            <w:tcW w:w="1875" w:type="dxa"/>
            <w:noWrap w:val="0"/>
            <w:vAlign w:val="center"/>
          </w:tcPr>
          <w:p w14:paraId="34C37F6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2A5E4B9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7559642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221088E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70E056F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52370.00</w:t>
            </w:r>
          </w:p>
        </w:tc>
      </w:tr>
      <w:tr w14:paraId="2A040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14" w:type="dxa"/>
            <w:noWrap w:val="0"/>
            <w:vAlign w:val="center"/>
          </w:tcPr>
          <w:p w14:paraId="49FF954B">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455" w:type="dxa"/>
            <w:noWrap w:val="0"/>
            <w:vAlign w:val="center"/>
          </w:tcPr>
          <w:p w14:paraId="5796B58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中心区站</w:t>
            </w:r>
          </w:p>
        </w:tc>
        <w:tc>
          <w:tcPr>
            <w:tcW w:w="1875" w:type="dxa"/>
            <w:noWrap w:val="0"/>
            <w:vAlign w:val="center"/>
          </w:tcPr>
          <w:p w14:paraId="66A022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海沃压缩大箱</w:t>
            </w:r>
          </w:p>
          <w:p w14:paraId="5B220A9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（含2台压缩设备）</w:t>
            </w:r>
          </w:p>
        </w:tc>
        <w:tc>
          <w:tcPr>
            <w:tcW w:w="1230" w:type="dxa"/>
            <w:noWrap w:val="0"/>
            <w:vAlign w:val="center"/>
          </w:tcPr>
          <w:p w14:paraId="6DD8C41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HM15/20</w:t>
            </w:r>
          </w:p>
        </w:tc>
        <w:tc>
          <w:tcPr>
            <w:tcW w:w="1380" w:type="dxa"/>
            <w:noWrap w:val="0"/>
            <w:vAlign w:val="center"/>
          </w:tcPr>
          <w:p w14:paraId="300C6C6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2018-9-1</w:t>
            </w:r>
          </w:p>
        </w:tc>
        <w:tc>
          <w:tcPr>
            <w:tcW w:w="1065" w:type="dxa"/>
            <w:noWrap w:val="0"/>
            <w:vAlign w:val="center"/>
          </w:tcPr>
          <w:p w14:paraId="072474D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4</w:t>
            </w:r>
          </w:p>
        </w:tc>
        <w:tc>
          <w:tcPr>
            <w:tcW w:w="1873" w:type="dxa"/>
            <w:noWrap w:val="0"/>
            <w:vAlign w:val="center"/>
          </w:tcPr>
          <w:p w14:paraId="48CF29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265620.00</w:t>
            </w:r>
          </w:p>
        </w:tc>
      </w:tr>
      <w:tr w14:paraId="067039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2564F23E">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455" w:type="dxa"/>
            <w:noWrap w:val="0"/>
            <w:vAlign w:val="center"/>
          </w:tcPr>
          <w:p w14:paraId="256FFF2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上汇站</w:t>
            </w:r>
          </w:p>
        </w:tc>
        <w:tc>
          <w:tcPr>
            <w:tcW w:w="1875" w:type="dxa"/>
            <w:noWrap w:val="0"/>
            <w:vAlign w:val="center"/>
          </w:tcPr>
          <w:p w14:paraId="556D697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43A0C84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4D51CCB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62594E0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0A6357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157110.00</w:t>
            </w:r>
          </w:p>
        </w:tc>
      </w:tr>
      <w:tr w14:paraId="57DFAC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2E2FA49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455" w:type="dxa"/>
            <w:noWrap w:val="0"/>
            <w:vAlign w:val="center"/>
          </w:tcPr>
          <w:p w14:paraId="5B2E046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红梅路站</w:t>
            </w:r>
          </w:p>
        </w:tc>
        <w:tc>
          <w:tcPr>
            <w:tcW w:w="1875" w:type="dxa"/>
            <w:noWrap w:val="0"/>
            <w:vAlign w:val="center"/>
          </w:tcPr>
          <w:p w14:paraId="6E591DE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6E0A2C3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24BDE7E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003AEE4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1FEBAF8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157110.00</w:t>
            </w:r>
          </w:p>
        </w:tc>
      </w:tr>
      <w:tr w14:paraId="1952CC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237935A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455" w:type="dxa"/>
            <w:noWrap w:val="0"/>
            <w:vAlign w:val="center"/>
          </w:tcPr>
          <w:p w14:paraId="16E9CEF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西经三路站</w:t>
            </w:r>
          </w:p>
        </w:tc>
        <w:tc>
          <w:tcPr>
            <w:tcW w:w="1875" w:type="dxa"/>
            <w:noWrap w:val="0"/>
            <w:vAlign w:val="center"/>
          </w:tcPr>
          <w:p w14:paraId="5C81C35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42DD14B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380957F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43E3249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0044E2F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157110.00</w:t>
            </w:r>
          </w:p>
        </w:tc>
      </w:tr>
      <w:tr w14:paraId="7FCADA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2D6831E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455" w:type="dxa"/>
            <w:noWrap w:val="0"/>
            <w:vAlign w:val="center"/>
          </w:tcPr>
          <w:p w14:paraId="6BD713B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南片工业区站</w:t>
            </w:r>
          </w:p>
        </w:tc>
        <w:tc>
          <w:tcPr>
            <w:tcW w:w="1875" w:type="dxa"/>
            <w:noWrap w:val="0"/>
            <w:vAlign w:val="center"/>
          </w:tcPr>
          <w:p w14:paraId="4D0223A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7A8F617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793E387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08B7145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6ED1082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157110.00</w:t>
            </w:r>
          </w:p>
        </w:tc>
      </w:tr>
      <w:tr w14:paraId="6F2DEB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1065C271">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455" w:type="dxa"/>
            <w:noWrap w:val="0"/>
            <w:vAlign w:val="center"/>
          </w:tcPr>
          <w:p w14:paraId="7EA8393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横塘站</w:t>
            </w:r>
          </w:p>
        </w:tc>
        <w:tc>
          <w:tcPr>
            <w:tcW w:w="1875" w:type="dxa"/>
            <w:noWrap w:val="0"/>
            <w:vAlign w:val="center"/>
          </w:tcPr>
          <w:p w14:paraId="7F56496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4E8EA2B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69B47A3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2641E3C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041A076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5B2BF7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1EA8546E">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455" w:type="dxa"/>
            <w:noWrap w:val="0"/>
            <w:vAlign w:val="center"/>
          </w:tcPr>
          <w:p w14:paraId="609158C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横塘站</w:t>
            </w:r>
          </w:p>
        </w:tc>
        <w:tc>
          <w:tcPr>
            <w:tcW w:w="1875" w:type="dxa"/>
            <w:noWrap w:val="0"/>
            <w:vAlign w:val="center"/>
          </w:tcPr>
          <w:p w14:paraId="2CE593B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5931119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6E30137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6C9C82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5D41B08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50760.00</w:t>
            </w:r>
          </w:p>
        </w:tc>
      </w:tr>
      <w:tr w14:paraId="455886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93F998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455" w:type="dxa"/>
            <w:noWrap w:val="0"/>
            <w:vAlign w:val="center"/>
          </w:tcPr>
          <w:p w14:paraId="658CBEB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焦下站</w:t>
            </w:r>
          </w:p>
        </w:tc>
        <w:tc>
          <w:tcPr>
            <w:tcW w:w="1875" w:type="dxa"/>
            <w:noWrap w:val="0"/>
            <w:vAlign w:val="center"/>
          </w:tcPr>
          <w:p w14:paraId="56472A5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福龙马挂桶大箱</w:t>
            </w:r>
          </w:p>
        </w:tc>
        <w:tc>
          <w:tcPr>
            <w:tcW w:w="1230" w:type="dxa"/>
            <w:noWrap w:val="0"/>
            <w:vAlign w:val="center"/>
          </w:tcPr>
          <w:p w14:paraId="64FBF20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ZTX18A</w:t>
            </w:r>
          </w:p>
        </w:tc>
        <w:tc>
          <w:tcPr>
            <w:tcW w:w="1380" w:type="dxa"/>
            <w:noWrap w:val="0"/>
            <w:vAlign w:val="center"/>
          </w:tcPr>
          <w:p w14:paraId="222164B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2022-7-8</w:t>
            </w:r>
          </w:p>
        </w:tc>
        <w:tc>
          <w:tcPr>
            <w:tcW w:w="1065" w:type="dxa"/>
            <w:noWrap w:val="0"/>
            <w:vAlign w:val="center"/>
          </w:tcPr>
          <w:p w14:paraId="16387F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w:t>
            </w:r>
          </w:p>
        </w:tc>
        <w:tc>
          <w:tcPr>
            <w:tcW w:w="1873" w:type="dxa"/>
            <w:noWrap w:val="0"/>
            <w:vAlign w:val="center"/>
          </w:tcPr>
          <w:p w14:paraId="688AD1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115220.00</w:t>
            </w:r>
          </w:p>
        </w:tc>
      </w:tr>
      <w:tr w14:paraId="620195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FD49915">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455" w:type="dxa"/>
            <w:noWrap w:val="0"/>
            <w:vAlign w:val="center"/>
          </w:tcPr>
          <w:p w14:paraId="14CC2E3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焦下站</w:t>
            </w:r>
          </w:p>
        </w:tc>
        <w:tc>
          <w:tcPr>
            <w:tcW w:w="1875" w:type="dxa"/>
            <w:noWrap w:val="0"/>
            <w:vAlign w:val="center"/>
          </w:tcPr>
          <w:p w14:paraId="267F7F2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环龙开口大箱</w:t>
            </w:r>
          </w:p>
        </w:tc>
        <w:tc>
          <w:tcPr>
            <w:tcW w:w="1230" w:type="dxa"/>
            <w:noWrap w:val="0"/>
            <w:vAlign w:val="center"/>
          </w:tcPr>
          <w:p w14:paraId="7777960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80" w:type="dxa"/>
            <w:noWrap w:val="0"/>
            <w:vAlign w:val="center"/>
          </w:tcPr>
          <w:p w14:paraId="7F426C4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65" w:type="dxa"/>
            <w:noWrap w:val="0"/>
            <w:vAlign w:val="center"/>
          </w:tcPr>
          <w:p w14:paraId="78E164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w:t>
            </w:r>
          </w:p>
        </w:tc>
        <w:tc>
          <w:tcPr>
            <w:tcW w:w="1873" w:type="dxa"/>
            <w:noWrap w:val="0"/>
            <w:vAlign w:val="center"/>
          </w:tcPr>
          <w:p w14:paraId="2B269DF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119940.00</w:t>
            </w:r>
          </w:p>
        </w:tc>
      </w:tr>
      <w:tr w14:paraId="27B1DE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480739C1">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455" w:type="dxa"/>
            <w:noWrap w:val="0"/>
            <w:vAlign w:val="center"/>
          </w:tcPr>
          <w:p w14:paraId="78E0304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陈岙临时点</w:t>
            </w:r>
          </w:p>
        </w:tc>
        <w:tc>
          <w:tcPr>
            <w:tcW w:w="1875" w:type="dxa"/>
            <w:noWrap w:val="0"/>
            <w:vAlign w:val="center"/>
          </w:tcPr>
          <w:p w14:paraId="635D8CF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福龙马挂桶大箱</w:t>
            </w:r>
          </w:p>
        </w:tc>
        <w:tc>
          <w:tcPr>
            <w:tcW w:w="1230" w:type="dxa"/>
            <w:noWrap w:val="0"/>
            <w:vAlign w:val="center"/>
          </w:tcPr>
          <w:p w14:paraId="359831D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ZTX18A</w:t>
            </w:r>
          </w:p>
        </w:tc>
        <w:tc>
          <w:tcPr>
            <w:tcW w:w="1380" w:type="dxa"/>
            <w:noWrap w:val="0"/>
            <w:vAlign w:val="center"/>
          </w:tcPr>
          <w:p w14:paraId="7542851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2022-7-8</w:t>
            </w:r>
          </w:p>
        </w:tc>
        <w:tc>
          <w:tcPr>
            <w:tcW w:w="1065" w:type="dxa"/>
            <w:noWrap w:val="0"/>
            <w:vAlign w:val="center"/>
          </w:tcPr>
          <w:p w14:paraId="11278C3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2D0585E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57610.00</w:t>
            </w:r>
          </w:p>
        </w:tc>
      </w:tr>
      <w:tr w14:paraId="1DD5B2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5E0CF81E">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455" w:type="dxa"/>
            <w:noWrap w:val="0"/>
            <w:vAlign w:val="center"/>
          </w:tcPr>
          <w:p w14:paraId="40C9739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红桥头站</w:t>
            </w:r>
          </w:p>
        </w:tc>
        <w:tc>
          <w:tcPr>
            <w:tcW w:w="1875" w:type="dxa"/>
            <w:noWrap w:val="0"/>
            <w:vAlign w:val="center"/>
          </w:tcPr>
          <w:p w14:paraId="69C27D2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023C68E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2C061AC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129A3B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53A134D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52370.00</w:t>
            </w:r>
          </w:p>
        </w:tc>
      </w:tr>
      <w:tr w14:paraId="3C70F3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445E6E74">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455" w:type="dxa"/>
            <w:noWrap w:val="0"/>
            <w:vAlign w:val="center"/>
          </w:tcPr>
          <w:p w14:paraId="74E6F46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红桥头站</w:t>
            </w:r>
          </w:p>
        </w:tc>
        <w:tc>
          <w:tcPr>
            <w:tcW w:w="1875" w:type="dxa"/>
            <w:noWrap w:val="0"/>
            <w:vAlign w:val="center"/>
          </w:tcPr>
          <w:p w14:paraId="3170BD7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17C9E0A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36A3113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1A7D371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04A1510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3785B3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756F39E6">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455" w:type="dxa"/>
            <w:noWrap w:val="0"/>
            <w:vAlign w:val="center"/>
          </w:tcPr>
          <w:p w14:paraId="2EE5473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梅园站</w:t>
            </w:r>
          </w:p>
        </w:tc>
        <w:tc>
          <w:tcPr>
            <w:tcW w:w="1875" w:type="dxa"/>
            <w:noWrap w:val="0"/>
            <w:vAlign w:val="center"/>
          </w:tcPr>
          <w:p w14:paraId="1DBAFBC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065FBFA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4DE5A60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552E8B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10689ED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52370.00</w:t>
            </w:r>
          </w:p>
        </w:tc>
      </w:tr>
      <w:tr w14:paraId="6B10B0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7E055525">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455" w:type="dxa"/>
            <w:noWrap w:val="0"/>
            <w:vAlign w:val="center"/>
          </w:tcPr>
          <w:p w14:paraId="3AA28DD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梅园站</w:t>
            </w:r>
          </w:p>
        </w:tc>
        <w:tc>
          <w:tcPr>
            <w:tcW w:w="1875" w:type="dxa"/>
            <w:noWrap w:val="0"/>
            <w:vAlign w:val="center"/>
          </w:tcPr>
          <w:p w14:paraId="303A8DF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福龙马挂桶大箱</w:t>
            </w:r>
          </w:p>
        </w:tc>
        <w:tc>
          <w:tcPr>
            <w:tcW w:w="1230" w:type="dxa"/>
            <w:noWrap w:val="0"/>
            <w:vAlign w:val="center"/>
          </w:tcPr>
          <w:p w14:paraId="562905B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ZTX18A</w:t>
            </w:r>
          </w:p>
        </w:tc>
        <w:tc>
          <w:tcPr>
            <w:tcW w:w="1380" w:type="dxa"/>
            <w:noWrap w:val="0"/>
            <w:vAlign w:val="center"/>
          </w:tcPr>
          <w:p w14:paraId="7F17DE5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2022-7-8</w:t>
            </w:r>
          </w:p>
        </w:tc>
        <w:tc>
          <w:tcPr>
            <w:tcW w:w="1065" w:type="dxa"/>
            <w:noWrap w:val="0"/>
            <w:vAlign w:val="center"/>
          </w:tcPr>
          <w:p w14:paraId="2B561BB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6</w:t>
            </w:r>
          </w:p>
        </w:tc>
        <w:tc>
          <w:tcPr>
            <w:tcW w:w="1873" w:type="dxa"/>
            <w:noWrap w:val="0"/>
            <w:vAlign w:val="center"/>
          </w:tcPr>
          <w:p w14:paraId="164D11A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345640.00</w:t>
            </w:r>
          </w:p>
        </w:tc>
      </w:tr>
      <w:tr w14:paraId="5F03D2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1405B33">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455" w:type="dxa"/>
            <w:noWrap w:val="0"/>
            <w:vAlign w:val="center"/>
          </w:tcPr>
          <w:p w14:paraId="6BA7EE8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大堡底站</w:t>
            </w:r>
          </w:p>
        </w:tc>
        <w:tc>
          <w:tcPr>
            <w:tcW w:w="1875" w:type="dxa"/>
            <w:noWrap w:val="0"/>
            <w:vAlign w:val="center"/>
          </w:tcPr>
          <w:p w14:paraId="39F2D6E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66EA64C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045BA4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6EEFDE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7852714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78CF77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318BBE05">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455" w:type="dxa"/>
            <w:noWrap w:val="0"/>
            <w:vAlign w:val="center"/>
          </w:tcPr>
          <w:p w14:paraId="6C26FC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大堡底站</w:t>
            </w:r>
          </w:p>
        </w:tc>
        <w:tc>
          <w:tcPr>
            <w:tcW w:w="1875" w:type="dxa"/>
            <w:noWrap w:val="0"/>
            <w:vAlign w:val="center"/>
          </w:tcPr>
          <w:p w14:paraId="52E4A42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20D1142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62D7B2A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43A44A9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6F34C84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52370.00</w:t>
            </w:r>
          </w:p>
        </w:tc>
      </w:tr>
      <w:tr w14:paraId="0018A3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54A2A880">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455" w:type="dxa"/>
            <w:noWrap w:val="0"/>
            <w:vAlign w:val="center"/>
          </w:tcPr>
          <w:p w14:paraId="73F49A0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三垟站</w:t>
            </w:r>
          </w:p>
        </w:tc>
        <w:tc>
          <w:tcPr>
            <w:tcW w:w="1875" w:type="dxa"/>
            <w:noWrap w:val="0"/>
            <w:vAlign w:val="center"/>
          </w:tcPr>
          <w:p w14:paraId="1CEBD52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13EA7E3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5B4AC5B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0D3F5A3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399C3BA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157110.00</w:t>
            </w:r>
          </w:p>
        </w:tc>
      </w:tr>
      <w:tr w14:paraId="4ED760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50B5F8FD">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455" w:type="dxa"/>
            <w:noWrap w:val="0"/>
            <w:vAlign w:val="center"/>
          </w:tcPr>
          <w:p w14:paraId="5B6DED2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茶山站</w:t>
            </w:r>
          </w:p>
        </w:tc>
        <w:tc>
          <w:tcPr>
            <w:tcW w:w="1875" w:type="dxa"/>
            <w:noWrap w:val="0"/>
            <w:vAlign w:val="center"/>
          </w:tcPr>
          <w:p w14:paraId="5E6BEB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7E1BD29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721BA5B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7708446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4</w:t>
            </w:r>
          </w:p>
        </w:tc>
        <w:tc>
          <w:tcPr>
            <w:tcW w:w="1873" w:type="dxa"/>
            <w:noWrap w:val="0"/>
            <w:vAlign w:val="center"/>
          </w:tcPr>
          <w:p w14:paraId="4B997C0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209470.00</w:t>
            </w:r>
          </w:p>
        </w:tc>
      </w:tr>
      <w:tr w14:paraId="19B7B6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6D0C08B">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455" w:type="dxa"/>
            <w:noWrap w:val="0"/>
            <w:vAlign w:val="center"/>
          </w:tcPr>
          <w:p w14:paraId="04C66DE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虎岩口站</w:t>
            </w:r>
          </w:p>
        </w:tc>
        <w:tc>
          <w:tcPr>
            <w:tcW w:w="1875" w:type="dxa"/>
            <w:noWrap w:val="0"/>
            <w:vAlign w:val="center"/>
          </w:tcPr>
          <w:p w14:paraId="39FEC78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2D8320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49A3D30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6DFAF5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w:t>
            </w:r>
          </w:p>
        </w:tc>
        <w:tc>
          <w:tcPr>
            <w:tcW w:w="1873" w:type="dxa"/>
            <w:noWrap w:val="0"/>
            <w:vAlign w:val="center"/>
          </w:tcPr>
          <w:p w14:paraId="483454F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104740.00</w:t>
            </w:r>
          </w:p>
        </w:tc>
      </w:tr>
      <w:tr w14:paraId="4B0146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FE05CB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455" w:type="dxa"/>
            <w:noWrap w:val="0"/>
            <w:vAlign w:val="center"/>
          </w:tcPr>
          <w:p w14:paraId="1B0EDAA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横港头站</w:t>
            </w:r>
          </w:p>
        </w:tc>
        <w:tc>
          <w:tcPr>
            <w:tcW w:w="1875" w:type="dxa"/>
            <w:noWrap w:val="0"/>
            <w:vAlign w:val="center"/>
          </w:tcPr>
          <w:p w14:paraId="76DF5F4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54A3B1D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669ED28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7A0660A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161C818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452398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2631646D">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1455" w:type="dxa"/>
            <w:noWrap w:val="0"/>
            <w:vAlign w:val="center"/>
          </w:tcPr>
          <w:p w14:paraId="674237C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下林站</w:t>
            </w:r>
          </w:p>
        </w:tc>
        <w:tc>
          <w:tcPr>
            <w:tcW w:w="1875" w:type="dxa"/>
            <w:noWrap w:val="0"/>
            <w:vAlign w:val="center"/>
          </w:tcPr>
          <w:p w14:paraId="109F0F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78D27AE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64569CC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18155A7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3AEA688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4AD70D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F9D44D8">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1455" w:type="dxa"/>
            <w:noWrap w:val="0"/>
            <w:vAlign w:val="center"/>
          </w:tcPr>
          <w:p w14:paraId="7AFBB9E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下林站</w:t>
            </w:r>
          </w:p>
        </w:tc>
        <w:tc>
          <w:tcPr>
            <w:tcW w:w="1875" w:type="dxa"/>
            <w:noWrap w:val="0"/>
            <w:vAlign w:val="center"/>
          </w:tcPr>
          <w:p w14:paraId="5C82B53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福龙马挂桶大箱</w:t>
            </w:r>
          </w:p>
        </w:tc>
        <w:tc>
          <w:tcPr>
            <w:tcW w:w="1230" w:type="dxa"/>
            <w:noWrap w:val="0"/>
            <w:vAlign w:val="center"/>
          </w:tcPr>
          <w:p w14:paraId="228292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ZTX18A</w:t>
            </w:r>
          </w:p>
        </w:tc>
        <w:tc>
          <w:tcPr>
            <w:tcW w:w="1380" w:type="dxa"/>
            <w:noWrap w:val="0"/>
            <w:vAlign w:val="center"/>
          </w:tcPr>
          <w:p w14:paraId="46326D6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2022-7-8</w:t>
            </w:r>
          </w:p>
        </w:tc>
        <w:tc>
          <w:tcPr>
            <w:tcW w:w="1065" w:type="dxa"/>
            <w:noWrap w:val="0"/>
            <w:vAlign w:val="center"/>
          </w:tcPr>
          <w:p w14:paraId="3C1D831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216E53F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57610.00</w:t>
            </w:r>
          </w:p>
        </w:tc>
      </w:tr>
      <w:tr w14:paraId="373C9F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6B2BD6F7">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455" w:type="dxa"/>
            <w:noWrap w:val="0"/>
            <w:vAlign w:val="center"/>
          </w:tcPr>
          <w:p w14:paraId="0B7AF2B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下林站</w:t>
            </w:r>
          </w:p>
        </w:tc>
        <w:tc>
          <w:tcPr>
            <w:tcW w:w="1875" w:type="dxa"/>
            <w:noWrap w:val="0"/>
            <w:vAlign w:val="center"/>
          </w:tcPr>
          <w:p w14:paraId="2FEFBE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203069B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632B0A1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3E7F9C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004A77B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50760.00</w:t>
            </w:r>
          </w:p>
        </w:tc>
      </w:tr>
      <w:tr w14:paraId="1CF9C7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010C1B3B">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455" w:type="dxa"/>
            <w:noWrap w:val="0"/>
            <w:vAlign w:val="center"/>
          </w:tcPr>
          <w:p w14:paraId="21CCDCE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前花</w:t>
            </w:r>
          </w:p>
        </w:tc>
        <w:tc>
          <w:tcPr>
            <w:tcW w:w="1875" w:type="dxa"/>
            <w:noWrap w:val="0"/>
            <w:vAlign w:val="center"/>
          </w:tcPr>
          <w:p w14:paraId="3C04072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中联挂桶大箱</w:t>
            </w:r>
          </w:p>
        </w:tc>
        <w:tc>
          <w:tcPr>
            <w:tcW w:w="1230" w:type="dxa"/>
            <w:noWrap w:val="0"/>
            <w:vAlign w:val="center"/>
          </w:tcPr>
          <w:p w14:paraId="66FD052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LYSZ1802</w:t>
            </w:r>
          </w:p>
        </w:tc>
        <w:tc>
          <w:tcPr>
            <w:tcW w:w="1380" w:type="dxa"/>
            <w:noWrap w:val="0"/>
            <w:vAlign w:val="center"/>
          </w:tcPr>
          <w:p w14:paraId="12F14FA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2021-12-8</w:t>
            </w:r>
          </w:p>
        </w:tc>
        <w:tc>
          <w:tcPr>
            <w:tcW w:w="1065" w:type="dxa"/>
            <w:noWrap w:val="0"/>
            <w:vAlign w:val="center"/>
          </w:tcPr>
          <w:p w14:paraId="2812ACC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3C62C64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176420.00</w:t>
            </w:r>
          </w:p>
        </w:tc>
      </w:tr>
      <w:tr w14:paraId="256BA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6323CA7F">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1455" w:type="dxa"/>
            <w:noWrap w:val="0"/>
            <w:vAlign w:val="center"/>
          </w:tcPr>
          <w:p w14:paraId="5FE41C0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山前</w:t>
            </w:r>
          </w:p>
        </w:tc>
        <w:tc>
          <w:tcPr>
            <w:tcW w:w="1875" w:type="dxa"/>
            <w:noWrap w:val="0"/>
            <w:vAlign w:val="center"/>
          </w:tcPr>
          <w:p w14:paraId="4BA473B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6F4B299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03047C6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1F6EA2F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4</w:t>
            </w:r>
          </w:p>
        </w:tc>
        <w:tc>
          <w:tcPr>
            <w:tcW w:w="1873" w:type="dxa"/>
            <w:noWrap w:val="0"/>
            <w:vAlign w:val="center"/>
          </w:tcPr>
          <w:p w14:paraId="330C92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209470.00</w:t>
            </w:r>
          </w:p>
        </w:tc>
      </w:tr>
      <w:tr w14:paraId="02AE3B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6D01B08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28</w:t>
            </w:r>
          </w:p>
        </w:tc>
        <w:tc>
          <w:tcPr>
            <w:tcW w:w="1455" w:type="dxa"/>
            <w:noWrap w:val="0"/>
            <w:vAlign w:val="center"/>
          </w:tcPr>
          <w:p w14:paraId="300FBBB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茶堂站</w:t>
            </w:r>
          </w:p>
        </w:tc>
        <w:tc>
          <w:tcPr>
            <w:tcW w:w="1875" w:type="dxa"/>
            <w:noWrap w:val="0"/>
            <w:vAlign w:val="center"/>
          </w:tcPr>
          <w:p w14:paraId="45943D8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福龙马挂桶大箱</w:t>
            </w:r>
          </w:p>
        </w:tc>
        <w:tc>
          <w:tcPr>
            <w:tcW w:w="1230" w:type="dxa"/>
            <w:noWrap w:val="0"/>
            <w:vAlign w:val="center"/>
          </w:tcPr>
          <w:p w14:paraId="1530D4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ZTX18A</w:t>
            </w:r>
          </w:p>
        </w:tc>
        <w:tc>
          <w:tcPr>
            <w:tcW w:w="1380" w:type="dxa"/>
            <w:noWrap w:val="0"/>
            <w:vAlign w:val="center"/>
          </w:tcPr>
          <w:p w14:paraId="7343CDC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2022-7-8</w:t>
            </w:r>
          </w:p>
        </w:tc>
        <w:tc>
          <w:tcPr>
            <w:tcW w:w="1065" w:type="dxa"/>
            <w:noWrap w:val="0"/>
            <w:vAlign w:val="center"/>
          </w:tcPr>
          <w:p w14:paraId="6EA840F3">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w:t>
            </w:r>
          </w:p>
        </w:tc>
        <w:tc>
          <w:tcPr>
            <w:tcW w:w="1873" w:type="dxa"/>
            <w:noWrap w:val="0"/>
            <w:vAlign w:val="center"/>
          </w:tcPr>
          <w:p w14:paraId="771991B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172830.00</w:t>
            </w:r>
          </w:p>
        </w:tc>
      </w:tr>
      <w:tr w14:paraId="5E04A9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2B921B5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29</w:t>
            </w:r>
          </w:p>
        </w:tc>
        <w:tc>
          <w:tcPr>
            <w:tcW w:w="1455" w:type="dxa"/>
            <w:noWrap w:val="0"/>
            <w:vAlign w:val="center"/>
          </w:tcPr>
          <w:p w14:paraId="41DBE8E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泽雅</w:t>
            </w:r>
          </w:p>
        </w:tc>
        <w:tc>
          <w:tcPr>
            <w:tcW w:w="1875" w:type="dxa"/>
            <w:noWrap w:val="0"/>
            <w:vAlign w:val="center"/>
          </w:tcPr>
          <w:p w14:paraId="23392EE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中汽挂桶大箱</w:t>
            </w:r>
          </w:p>
        </w:tc>
        <w:tc>
          <w:tcPr>
            <w:tcW w:w="1230" w:type="dxa"/>
            <w:noWrap w:val="0"/>
            <w:vAlign w:val="center"/>
          </w:tcPr>
          <w:p w14:paraId="033B01A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ZQ18LY-7</w:t>
            </w:r>
          </w:p>
        </w:tc>
        <w:tc>
          <w:tcPr>
            <w:tcW w:w="1380" w:type="dxa"/>
            <w:noWrap w:val="0"/>
            <w:vAlign w:val="center"/>
          </w:tcPr>
          <w:p w14:paraId="572B21C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2023-8-16</w:t>
            </w:r>
          </w:p>
        </w:tc>
        <w:tc>
          <w:tcPr>
            <w:tcW w:w="1065" w:type="dxa"/>
            <w:noWrap w:val="0"/>
            <w:vAlign w:val="center"/>
          </w:tcPr>
          <w:p w14:paraId="7634C96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w:t>
            </w:r>
          </w:p>
        </w:tc>
        <w:tc>
          <w:tcPr>
            <w:tcW w:w="1873" w:type="dxa"/>
            <w:noWrap w:val="0"/>
            <w:vAlign w:val="center"/>
          </w:tcPr>
          <w:p w14:paraId="02C3A70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52370.00</w:t>
            </w:r>
          </w:p>
        </w:tc>
      </w:tr>
      <w:tr w14:paraId="6FA371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614" w:type="dxa"/>
            <w:noWrap w:val="0"/>
            <w:vAlign w:val="center"/>
          </w:tcPr>
          <w:p w14:paraId="3A2AA16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30</w:t>
            </w:r>
          </w:p>
        </w:tc>
        <w:tc>
          <w:tcPr>
            <w:tcW w:w="1455" w:type="dxa"/>
            <w:noWrap w:val="0"/>
            <w:vAlign w:val="center"/>
          </w:tcPr>
          <w:p w14:paraId="18A01D4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泽雅</w:t>
            </w:r>
          </w:p>
        </w:tc>
        <w:tc>
          <w:tcPr>
            <w:tcW w:w="1875" w:type="dxa"/>
            <w:noWrap w:val="0"/>
            <w:vAlign w:val="center"/>
          </w:tcPr>
          <w:p w14:paraId="4C9DAC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环龙开口大箱</w:t>
            </w:r>
          </w:p>
        </w:tc>
        <w:tc>
          <w:tcPr>
            <w:tcW w:w="1230" w:type="dxa"/>
            <w:noWrap w:val="0"/>
            <w:vAlign w:val="center"/>
          </w:tcPr>
          <w:p w14:paraId="546C545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80" w:type="dxa"/>
            <w:noWrap w:val="0"/>
            <w:vAlign w:val="center"/>
          </w:tcPr>
          <w:p w14:paraId="778C858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p>
        </w:tc>
        <w:tc>
          <w:tcPr>
            <w:tcW w:w="1065" w:type="dxa"/>
            <w:noWrap w:val="0"/>
            <w:vAlign w:val="center"/>
          </w:tcPr>
          <w:p w14:paraId="305C299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2</w:t>
            </w:r>
          </w:p>
        </w:tc>
        <w:tc>
          <w:tcPr>
            <w:tcW w:w="1873" w:type="dxa"/>
            <w:noWrap w:val="0"/>
            <w:vAlign w:val="center"/>
          </w:tcPr>
          <w:p w14:paraId="534C02F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119940.00</w:t>
            </w:r>
          </w:p>
        </w:tc>
      </w:tr>
    </w:tbl>
    <w:p w14:paraId="3F135174">
      <w:pPr>
        <w:spacing w:line="360" w:lineRule="auto"/>
        <w:rPr>
          <w:rFonts w:hint="eastAsia" w:ascii="宋体" w:hAnsi="宋体" w:cs="宋体"/>
          <w:highlight w:val="none"/>
        </w:rPr>
      </w:pPr>
      <w:r>
        <w:rPr>
          <w:rFonts w:hint="eastAsia" w:ascii="宋体" w:hAnsi="宋体" w:cs="宋体"/>
          <w:highlight w:val="none"/>
        </w:rPr>
        <w:t>表</w:t>
      </w:r>
      <w:r>
        <w:rPr>
          <w:rFonts w:hint="eastAsia" w:ascii="宋体" w:hAnsi="宋体" w:cs="宋体"/>
          <w:highlight w:val="none"/>
          <w:lang w:val="en-US" w:eastAsia="zh-CN"/>
        </w:rPr>
        <w:t>3</w:t>
      </w:r>
      <w:r>
        <w:rPr>
          <w:rFonts w:hint="eastAsia" w:ascii="宋体" w:hAnsi="宋体" w:cs="宋体"/>
          <w:highlight w:val="none"/>
        </w:rPr>
        <w:t>：</w:t>
      </w:r>
    </w:p>
    <w:tbl>
      <w:tblPr>
        <w:tblStyle w:val="24"/>
        <w:tblW w:w="949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1410"/>
        <w:gridCol w:w="1920"/>
        <w:gridCol w:w="1245"/>
        <w:gridCol w:w="1365"/>
        <w:gridCol w:w="1065"/>
        <w:gridCol w:w="1873"/>
      </w:tblGrid>
      <w:tr w14:paraId="04D054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492" w:type="dxa"/>
            <w:gridSpan w:val="7"/>
            <w:noWrap w:val="0"/>
            <w:vAlign w:val="center"/>
          </w:tcPr>
          <w:p w14:paraId="73B12BF8">
            <w:pPr>
              <w:spacing w:line="360" w:lineRule="auto"/>
              <w:jc w:val="center"/>
              <w:rPr>
                <w:rFonts w:hint="eastAsia" w:ascii="宋体" w:hAnsi="宋体" w:cs="宋体"/>
                <w:szCs w:val="21"/>
                <w:highlight w:val="none"/>
              </w:rPr>
            </w:pPr>
            <w:r>
              <w:rPr>
                <w:rFonts w:hint="eastAsia" w:ascii="宋体" w:hAnsi="宋体" w:cs="宋体"/>
                <w:szCs w:val="21"/>
                <w:highlight w:val="none"/>
              </w:rPr>
              <w:t>垃圾中转站</w:t>
            </w:r>
            <w:r>
              <w:rPr>
                <w:rFonts w:hint="eastAsia" w:ascii="宋体" w:hAnsi="宋体" w:cs="宋体"/>
                <w:szCs w:val="21"/>
                <w:highlight w:val="none"/>
                <w:lang w:val="en-US" w:eastAsia="zh-CN"/>
              </w:rPr>
              <w:t>垃圾桶清洗设备2年期</w:t>
            </w:r>
            <w:r>
              <w:rPr>
                <w:rFonts w:hint="eastAsia" w:ascii="宋体" w:hAnsi="宋体" w:cs="宋体"/>
                <w:szCs w:val="21"/>
                <w:highlight w:val="none"/>
              </w:rPr>
              <w:t>租赁权价值评估值情况</w:t>
            </w:r>
          </w:p>
        </w:tc>
      </w:tr>
      <w:tr w14:paraId="031ADA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614" w:type="dxa"/>
            <w:noWrap w:val="0"/>
            <w:vAlign w:val="center"/>
          </w:tcPr>
          <w:p w14:paraId="2FFB465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序号</w:t>
            </w:r>
          </w:p>
        </w:tc>
        <w:tc>
          <w:tcPr>
            <w:tcW w:w="1410" w:type="dxa"/>
            <w:noWrap w:val="0"/>
            <w:vAlign w:val="center"/>
          </w:tcPr>
          <w:p w14:paraId="4FBD22D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中转站名称</w:t>
            </w:r>
          </w:p>
        </w:tc>
        <w:tc>
          <w:tcPr>
            <w:tcW w:w="1920" w:type="dxa"/>
            <w:noWrap w:val="0"/>
            <w:vAlign w:val="center"/>
          </w:tcPr>
          <w:p w14:paraId="5CE1CAA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设备名称</w:t>
            </w:r>
          </w:p>
          <w:p w14:paraId="7CB36B8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（类型）</w:t>
            </w:r>
          </w:p>
        </w:tc>
        <w:tc>
          <w:tcPr>
            <w:tcW w:w="1245" w:type="dxa"/>
            <w:noWrap w:val="0"/>
            <w:vAlign w:val="center"/>
          </w:tcPr>
          <w:p w14:paraId="0FF3EB6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规格型号</w:t>
            </w:r>
          </w:p>
        </w:tc>
        <w:tc>
          <w:tcPr>
            <w:tcW w:w="1365" w:type="dxa"/>
            <w:noWrap w:val="0"/>
            <w:vAlign w:val="center"/>
          </w:tcPr>
          <w:p w14:paraId="283E59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购置时间</w:t>
            </w:r>
          </w:p>
        </w:tc>
        <w:tc>
          <w:tcPr>
            <w:tcW w:w="1065" w:type="dxa"/>
            <w:noWrap w:val="0"/>
            <w:vAlign w:val="center"/>
          </w:tcPr>
          <w:p w14:paraId="4CB3D13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数量(台)</w:t>
            </w:r>
          </w:p>
        </w:tc>
        <w:tc>
          <w:tcPr>
            <w:tcW w:w="1873" w:type="dxa"/>
            <w:noWrap w:val="0"/>
            <w:vAlign w:val="center"/>
          </w:tcPr>
          <w:p w14:paraId="67F02F9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2年租赁权价值合计</w:t>
            </w:r>
          </w:p>
        </w:tc>
      </w:tr>
      <w:tr w14:paraId="144FA4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14" w:type="dxa"/>
            <w:noWrap w:val="0"/>
            <w:vAlign w:val="center"/>
          </w:tcPr>
          <w:p w14:paraId="2A9486B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0" w:type="dxa"/>
            <w:noWrap w:val="0"/>
            <w:vAlign w:val="center"/>
          </w:tcPr>
          <w:p w14:paraId="0CAFE93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下林站</w:t>
            </w:r>
          </w:p>
        </w:tc>
        <w:tc>
          <w:tcPr>
            <w:tcW w:w="1920" w:type="dxa"/>
            <w:noWrap w:val="0"/>
            <w:vAlign w:val="center"/>
          </w:tcPr>
          <w:p w14:paraId="0E0AD6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垃圾桶清洗设备</w:t>
            </w:r>
          </w:p>
        </w:tc>
        <w:tc>
          <w:tcPr>
            <w:tcW w:w="1245" w:type="dxa"/>
            <w:noWrap w:val="0"/>
            <w:vAlign w:val="top"/>
          </w:tcPr>
          <w:p w14:paraId="32834BA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65" w:type="dxa"/>
            <w:noWrap w:val="0"/>
            <w:vAlign w:val="top"/>
          </w:tcPr>
          <w:p w14:paraId="1229EEE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65" w:type="dxa"/>
            <w:noWrap w:val="0"/>
            <w:vAlign w:val="center"/>
          </w:tcPr>
          <w:p w14:paraId="0D7D677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 xml:space="preserve">1 </w:t>
            </w:r>
          </w:p>
        </w:tc>
        <w:tc>
          <w:tcPr>
            <w:tcW w:w="1873" w:type="dxa"/>
            <w:noWrap w:val="0"/>
            <w:vAlign w:val="top"/>
          </w:tcPr>
          <w:p w14:paraId="701734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 xml:space="preserve">35980.00 </w:t>
            </w:r>
          </w:p>
        </w:tc>
      </w:tr>
      <w:tr w14:paraId="51648D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14" w:type="dxa"/>
            <w:noWrap w:val="0"/>
            <w:vAlign w:val="center"/>
          </w:tcPr>
          <w:p w14:paraId="0238C1D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0" w:type="dxa"/>
            <w:noWrap w:val="0"/>
            <w:vAlign w:val="center"/>
          </w:tcPr>
          <w:p w14:paraId="66761AF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梅园站</w:t>
            </w:r>
          </w:p>
        </w:tc>
        <w:tc>
          <w:tcPr>
            <w:tcW w:w="1920" w:type="dxa"/>
            <w:noWrap w:val="0"/>
            <w:vAlign w:val="center"/>
          </w:tcPr>
          <w:p w14:paraId="507C42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垃圾桶清洗设备</w:t>
            </w:r>
          </w:p>
        </w:tc>
        <w:tc>
          <w:tcPr>
            <w:tcW w:w="1245" w:type="dxa"/>
            <w:noWrap w:val="0"/>
            <w:vAlign w:val="top"/>
          </w:tcPr>
          <w:p w14:paraId="7C16851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65" w:type="dxa"/>
            <w:noWrap w:val="0"/>
            <w:vAlign w:val="top"/>
          </w:tcPr>
          <w:p w14:paraId="1EC813D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65" w:type="dxa"/>
            <w:noWrap w:val="0"/>
            <w:vAlign w:val="center"/>
          </w:tcPr>
          <w:p w14:paraId="544B71C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 xml:space="preserve">1 </w:t>
            </w:r>
          </w:p>
        </w:tc>
        <w:tc>
          <w:tcPr>
            <w:tcW w:w="1873" w:type="dxa"/>
            <w:noWrap w:val="0"/>
            <w:vAlign w:val="top"/>
          </w:tcPr>
          <w:p w14:paraId="60B2CC0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t xml:space="preserve">35980.00 </w:t>
            </w:r>
          </w:p>
        </w:tc>
      </w:tr>
    </w:tbl>
    <w:p w14:paraId="42340215">
      <w:pPr>
        <w:pStyle w:val="11"/>
        <w:ind w:left="0" w:leftChars="0" w:firstLine="0" w:firstLineChars="0"/>
        <w:rPr>
          <w:rFonts w:hint="eastAsia"/>
          <w:highlight w:val="none"/>
        </w:rPr>
      </w:pPr>
    </w:p>
    <w:p w14:paraId="5A19356D">
      <w:pPr>
        <w:pStyle w:val="6"/>
        <w:tabs>
          <w:tab w:val="left" w:pos="840"/>
        </w:tabs>
        <w:spacing w:before="156" w:beforeLines="50" w:after="156" w:afterLines="50" w:line="360" w:lineRule="auto"/>
        <w:rPr>
          <w:rFonts w:ascii="Arial" w:hAnsi="Arial" w:eastAsia="宋体" w:cs="Arial"/>
          <w:sz w:val="24"/>
          <w:szCs w:val="24"/>
          <w:highlight w:val="none"/>
          <w:u w:val="single"/>
        </w:rPr>
      </w:pPr>
      <w:bookmarkStart w:id="133" w:name="_Toc92361054"/>
      <w:r>
        <w:rPr>
          <w:rFonts w:hint="eastAsia" w:ascii="Arial" w:hAnsi="Arial" w:eastAsia="宋体" w:cs="Arial"/>
          <w:sz w:val="24"/>
          <w:szCs w:val="24"/>
          <w:highlight w:val="none"/>
        </w:rPr>
        <w:t>四、</w:t>
      </w:r>
      <w:r>
        <w:rPr>
          <w:rFonts w:hint="eastAsia" w:ascii="Arial" w:hAnsi="Arial" w:eastAsia="宋体" w:cs="Arial"/>
          <w:sz w:val="24"/>
          <w:szCs w:val="24"/>
          <w:highlight w:val="none"/>
          <w:u w:val="single"/>
        </w:rPr>
        <w:t>服务要求</w:t>
      </w:r>
      <w:bookmarkEnd w:id="133"/>
    </w:p>
    <w:p w14:paraId="071B9DB9">
      <w:pPr>
        <w:spacing w:line="360" w:lineRule="auto"/>
        <w:ind w:firstLine="420" w:firstLineChars="200"/>
        <w:rPr>
          <w:rFonts w:hint="eastAsia" w:ascii="宋体" w:hAnsi="宋体" w:cs="宋体"/>
          <w:highlight w:val="none"/>
        </w:rPr>
      </w:pPr>
      <w:r>
        <w:rPr>
          <w:rFonts w:hint="eastAsia" w:ascii="宋体" w:hAnsi="宋体" w:cs="宋体"/>
          <w:highlight w:val="none"/>
        </w:rPr>
        <w:t>4.1中转站内外卫生</w:t>
      </w:r>
      <w:r>
        <w:rPr>
          <w:rFonts w:hint="eastAsia" w:ascii="宋体" w:hAnsi="宋体" w:cs="宋体"/>
          <w:highlight w:val="none"/>
        </w:rPr>
        <w:tab/>
      </w:r>
    </w:p>
    <w:p w14:paraId="605DC107">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中转站内外要保持干净、整洁、有序，卫生要达到地面无杂物、无积水、无淤泥、无堵塞窨井沟眼、无卫生死角，墙角无蜘蛛网，保持站内绿化带整洁。</w:t>
      </w:r>
    </w:p>
    <w:p w14:paraId="7864C08A">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站内厕所保持清洁，无污物，设施完好，门卫室、休息室、生产设施房等其他用房保持整洁。</w:t>
      </w:r>
    </w:p>
    <w:p w14:paraId="76589C47">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站内地面冲洗每天不少于3次。第一次必须在上午</w:t>
      </w:r>
      <w:r>
        <w:rPr>
          <w:rFonts w:ascii="宋体" w:hAnsi="宋体" w:cs="宋体"/>
          <w:highlight w:val="none"/>
        </w:rPr>
        <w:t>9</w:t>
      </w:r>
      <w:r>
        <w:rPr>
          <w:rFonts w:hint="eastAsia" w:ascii="宋体" w:hAnsi="宋体" w:cs="宋体"/>
          <w:highlight w:val="none"/>
        </w:rPr>
        <w:t>:00前完成。第二次结合各站的实际情况安排。第三次在晚上关门前完成。</w:t>
      </w:r>
    </w:p>
    <w:p w14:paraId="3E73181D">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机台周边地面冲洗每小时一次，排水沟必须每天清理，配合驾驶员做好站内污水抽运工作。</w:t>
      </w:r>
    </w:p>
    <w:p w14:paraId="071997D8">
      <w:pPr>
        <w:spacing w:line="360" w:lineRule="auto"/>
        <w:ind w:firstLine="420" w:firstLineChars="200"/>
        <w:rPr>
          <w:rFonts w:hint="eastAsia" w:ascii="宋体" w:hAnsi="宋体" w:cs="宋体"/>
          <w:highlight w:val="none"/>
        </w:rPr>
      </w:pPr>
      <w:r>
        <w:rPr>
          <w:rFonts w:hint="eastAsia" w:ascii="宋体" w:hAnsi="宋体" w:cs="宋体"/>
          <w:highlight w:val="none"/>
        </w:rPr>
        <w:t>4.2站内设备设施完好情况</w:t>
      </w:r>
    </w:p>
    <w:p w14:paraId="7C994541">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机台、车厢等设备及积渣池中沉淀物必须每车次冲洗清洁，确保垃圾水畅通。</w:t>
      </w:r>
    </w:p>
    <w:p w14:paraId="0346CE8E">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操作台、主机等设施应定期清洗保持外观清洁。</w:t>
      </w:r>
    </w:p>
    <w:p w14:paraId="170BC3B7">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机台周边及进料口内不得有垃圾滞留。</w:t>
      </w:r>
    </w:p>
    <w:p w14:paraId="3F101F58">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站内制度牌、警示牌、宣传栏、消防设施等保持完整清洁。</w:t>
      </w:r>
    </w:p>
    <w:p w14:paraId="0F679484">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保持站内设施完好。</w:t>
      </w:r>
    </w:p>
    <w:p w14:paraId="7FAD1AEF">
      <w:pPr>
        <w:spacing w:line="360" w:lineRule="auto"/>
        <w:ind w:firstLine="420" w:firstLineChars="200"/>
        <w:rPr>
          <w:rFonts w:hint="eastAsia" w:ascii="宋体" w:hAnsi="宋体" w:cs="宋体"/>
          <w:highlight w:val="none"/>
        </w:rPr>
      </w:pPr>
      <w:r>
        <w:rPr>
          <w:rFonts w:hint="eastAsia" w:ascii="宋体" w:hAnsi="宋体" w:cs="宋体"/>
          <w:highlight w:val="none"/>
        </w:rPr>
        <w:t>4.3站内外消杀除臭及环境监测</w:t>
      </w:r>
    </w:p>
    <w:p w14:paraId="225604D3">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安排专人按时对地面、排水沟、机台周边进行消杀除臭工作，并实时做好记录。</w:t>
      </w:r>
    </w:p>
    <w:p w14:paraId="706E1C47">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垃圾中转站工作人员应按规定切实做好消毒、灭鼠、灭蝇工作，消毒剂应妥善保管。谨防失窃，对有用余下的药液不能乱倒，清洗药具药水应选择安全地点妥善处理。</w:t>
      </w:r>
    </w:p>
    <w:p w14:paraId="4C866F0F">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消杀人员作业时须配戴必要的安全防护用具，并定期进行安全生产培训。</w:t>
      </w:r>
    </w:p>
    <w:p w14:paraId="62825473">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加强个人和周围环境卫生工作，严格保护好消毒器材，按照使用方法注意操作。</w:t>
      </w:r>
    </w:p>
    <w:p w14:paraId="127BBDC4">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每个季度对中转站内大气、污水处理排水口处进行监测，并提供</w:t>
      </w:r>
      <w:r>
        <w:rPr>
          <w:rFonts w:hint="eastAsia" w:ascii="宋体" w:hAnsi="宋体" w:cs="宋体"/>
          <w:highlight w:val="none"/>
          <w:lang w:val="en-US" w:eastAsia="zh-CN"/>
        </w:rPr>
        <w:t>由甲方指定的</w:t>
      </w:r>
      <w:r>
        <w:rPr>
          <w:rFonts w:hint="eastAsia" w:ascii="宋体" w:hAnsi="宋体" w:cs="宋体"/>
          <w:highlight w:val="none"/>
        </w:rPr>
        <w:t>具备相应资质的第三方检测机构出具检测合格报告。</w:t>
      </w:r>
    </w:p>
    <w:p w14:paraId="3D9184C4">
      <w:pPr>
        <w:spacing w:line="360" w:lineRule="auto"/>
        <w:ind w:firstLine="420" w:firstLineChars="200"/>
        <w:rPr>
          <w:rFonts w:hint="eastAsia" w:ascii="宋体" w:hAnsi="宋体" w:cs="宋体"/>
          <w:highlight w:val="none"/>
        </w:rPr>
      </w:pPr>
      <w:r>
        <w:rPr>
          <w:rFonts w:hint="eastAsia" w:ascii="宋体" w:hAnsi="宋体" w:cs="宋体"/>
          <w:highlight w:val="none"/>
        </w:rPr>
        <w:t>4.4安全生产运行规范</w:t>
      </w:r>
    </w:p>
    <w:p w14:paraId="71141F98">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lang w:val="en-US" w:eastAsia="zh-CN"/>
        </w:rPr>
        <w:t>所以工作</w:t>
      </w:r>
      <w:r>
        <w:rPr>
          <w:rFonts w:hint="eastAsia" w:ascii="宋体" w:hAnsi="宋体" w:cs="宋体"/>
          <w:highlight w:val="none"/>
        </w:rPr>
        <w:t>人员作业期间佩戴上岗证，穿工作服.</w:t>
      </w:r>
    </w:p>
    <w:p w14:paraId="6D0681E8">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在作业时间内，不聚众闲聊，不得玩手机，作业期间不做与作业无关的事。</w:t>
      </w:r>
    </w:p>
    <w:p w14:paraId="13769C29">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中转站必须按甲方规定时间开放和关闭，管理及操作人员必须满员在岗，中转站开放时间禁止一切无关人员（或车辆）进入，门卫室只准门卫居住使用，不得留宿其他人员。</w:t>
      </w:r>
    </w:p>
    <w:p w14:paraId="0A5D8FF6">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中转站内禁止使用明火、禁止私接电线，未经允许不得在中转站内对电瓶车进行充电。</w:t>
      </w:r>
    </w:p>
    <w:p w14:paraId="714724EA">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使用好垃圾压缩机械设备和掌握好安全生产知识，发现问题及时汇报。做到安全生产不违章操作，不延误垃圾压缩中转工作，做到人离、机停、电断。</w:t>
      </w:r>
    </w:p>
    <w:p w14:paraId="09993094">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禁止机台操作人员及环卫工人在机台周边翻捡废品。</w:t>
      </w:r>
    </w:p>
    <w:p w14:paraId="4E0E95CC">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公开、公平、公正的管理好清扫人员倾倒垃圾的秩序，应按顺序安排进行倾倒，杜绝一切建筑垃圾、工业垃圾、旧家具及其它大型垃圾进入机台压缩，做好垃圾分类工作。</w:t>
      </w:r>
    </w:p>
    <w:p w14:paraId="592BE447">
      <w:pPr>
        <w:spacing w:line="360" w:lineRule="auto"/>
        <w:ind w:firstLine="420" w:firstLineChars="20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中转站内禁止堆放可回收物等杂物。</w:t>
      </w:r>
    </w:p>
    <w:p w14:paraId="7520A5C3">
      <w:pPr>
        <w:spacing w:line="360" w:lineRule="auto"/>
        <w:ind w:firstLine="420" w:firstLineChars="20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须保证站内消防设施、器材等良好，运转正常。</w:t>
      </w:r>
    </w:p>
    <w:p w14:paraId="5886AC6D">
      <w:pPr>
        <w:spacing w:line="360" w:lineRule="auto"/>
        <w:ind w:firstLine="420" w:firstLineChars="20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前端垃圾分类运入中转站压缩的，须分类运至末端处置厂处置，分类运输车辆分类标识应完整清晰。</w:t>
      </w:r>
    </w:p>
    <w:p w14:paraId="4A948733">
      <w:pPr>
        <w:spacing w:line="360" w:lineRule="auto"/>
        <w:ind w:firstLine="420" w:firstLineChars="200"/>
        <w:rPr>
          <w:rFonts w:hint="eastAsia" w:ascii="宋体" w:hAnsi="宋体" w:cs="宋体"/>
          <w:highlight w:val="none"/>
        </w:rPr>
      </w:pPr>
      <w:r>
        <w:rPr>
          <w:rFonts w:hint="eastAsia" w:ascii="宋体" w:hAnsi="宋体" w:cs="宋体"/>
          <w:highlight w:val="none"/>
        </w:rPr>
        <w:t>4.5制度台账管理</w:t>
      </w:r>
    </w:p>
    <w:p w14:paraId="0E5FEE67">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机台操作人员要实时做好垃圾出车台账，要做到准确无误，真实有效；配合驾驶员做好中转站垃圾运输中转工作。</w:t>
      </w:r>
    </w:p>
    <w:p w14:paraId="018A168D">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供应商要建立各项规章制度、内部岗位责任制度、内部考核机制、完善的生产管理、定期安全培训等制度。</w:t>
      </w:r>
    </w:p>
    <w:p w14:paraId="29904F81">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供应商要建立完备的相关台账资料（包括不限于安全生产</w:t>
      </w:r>
      <w:r>
        <w:rPr>
          <w:rFonts w:hint="eastAsia" w:ascii="宋体" w:hAnsi="宋体" w:cs="宋体"/>
          <w:highlight w:val="none"/>
          <w:lang w:eastAsia="zh-CN"/>
        </w:rPr>
        <w:t>、</w:t>
      </w:r>
      <w:r>
        <w:rPr>
          <w:rFonts w:hint="eastAsia" w:ascii="宋体" w:hAnsi="宋体" w:cs="宋体"/>
          <w:highlight w:val="none"/>
          <w:lang w:val="en-US" w:eastAsia="zh-CN"/>
        </w:rPr>
        <w:t>运输记录</w:t>
      </w:r>
      <w:r>
        <w:rPr>
          <w:rFonts w:hint="eastAsia" w:ascii="宋体" w:hAnsi="宋体" w:cs="宋体"/>
          <w:highlight w:val="none"/>
        </w:rPr>
        <w:t>、设备维护、车辆保险、保险合同等）的登记、管理制度，制作的各类台账要规范、真实、清晰、准确。</w:t>
      </w:r>
    </w:p>
    <w:p w14:paraId="27547B4F">
      <w:pPr>
        <w:spacing w:line="360" w:lineRule="auto"/>
        <w:ind w:firstLine="420" w:firstLineChars="200"/>
        <w:rPr>
          <w:rFonts w:hint="eastAsia" w:ascii="宋体" w:hAnsi="宋体" w:cs="宋体"/>
          <w:highlight w:val="none"/>
        </w:rPr>
      </w:pPr>
      <w:r>
        <w:rPr>
          <w:rFonts w:hint="eastAsia" w:ascii="宋体" w:hAnsi="宋体" w:cs="宋体"/>
          <w:highlight w:val="none"/>
        </w:rPr>
        <w:t>4.6运输车的管理</w:t>
      </w:r>
    </w:p>
    <w:p w14:paraId="5B9A8CFE">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垃圾运输车保持车容车貌整洁，遵守相关法规、规范安全行车。</w:t>
      </w:r>
    </w:p>
    <w:p w14:paraId="2C11BFDA">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备用车辆须按甲方要求统一设置标志标识</w:t>
      </w:r>
      <w:r>
        <w:rPr>
          <w:rFonts w:hint="eastAsia" w:ascii="宋体" w:hAnsi="宋体" w:cs="宋体"/>
          <w:highlight w:val="none"/>
          <w:lang w:eastAsia="zh-CN"/>
        </w:rPr>
        <w:t>，</w:t>
      </w:r>
      <w:r>
        <w:rPr>
          <w:rFonts w:hint="eastAsia" w:ascii="宋体" w:hAnsi="宋体" w:cs="宋体"/>
          <w:highlight w:val="none"/>
        </w:rPr>
        <w:t>驾驶员统一着装。</w:t>
      </w:r>
    </w:p>
    <w:p w14:paraId="55E29D1F">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保持密闭运输，严禁运输途中发生“滴、洒、漏”等二次污染现象。</w:t>
      </w:r>
    </w:p>
    <w:p w14:paraId="6D900E37">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焚烧厂平台上，驾驶员须按焚烧厂的管理规范操作，规范倾倒垃圾，并遵守场内管理制度。</w:t>
      </w:r>
    </w:p>
    <w:p w14:paraId="6E1DD766">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垃圾中转运输车辆应在按规定的地点、路线收运垃圾，不得跨区域作业。</w:t>
      </w:r>
    </w:p>
    <w:p w14:paraId="6FA41F16">
      <w:pPr>
        <w:spacing w:line="360" w:lineRule="auto"/>
        <w:ind w:firstLine="420" w:firstLineChars="20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所有垃圾须转运至指定焚烧厂，不得乱倒。</w:t>
      </w:r>
    </w:p>
    <w:p w14:paraId="4FDF9742">
      <w:pPr>
        <w:spacing w:line="360" w:lineRule="auto"/>
        <w:ind w:firstLine="420" w:firstLineChars="200"/>
        <w:rPr>
          <w:rFonts w:hint="eastAsia" w:ascii="宋体" w:hAnsi="宋体" w:cs="宋体"/>
          <w:highlight w:val="none"/>
        </w:rPr>
      </w:pPr>
      <w:r>
        <w:rPr>
          <w:rFonts w:hint="eastAsia" w:ascii="宋体" w:hAnsi="宋体" w:cs="宋体"/>
          <w:highlight w:val="none"/>
        </w:rPr>
        <w:t>4.7其他</w:t>
      </w:r>
      <w:r>
        <w:rPr>
          <w:rFonts w:hint="eastAsia" w:ascii="宋体" w:hAnsi="宋体" w:cs="宋体"/>
          <w:highlight w:val="none"/>
        </w:rPr>
        <w:tab/>
      </w:r>
    </w:p>
    <w:p w14:paraId="5F6CB560">
      <w:pPr>
        <w:spacing w:line="360" w:lineRule="auto"/>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供应商应及时清理转运前端收集的生活垃圾</w:t>
      </w:r>
      <w:r>
        <w:rPr>
          <w:rFonts w:hint="eastAsia" w:ascii="宋体" w:hAnsi="宋体" w:cs="宋体"/>
          <w:highlight w:val="none"/>
          <w:lang w:eastAsia="zh-CN"/>
        </w:rPr>
        <w:t>，</w:t>
      </w:r>
      <w:r>
        <w:rPr>
          <w:rFonts w:hint="eastAsia" w:ascii="宋体" w:hAnsi="宋体" w:cs="宋体"/>
          <w:highlight w:val="none"/>
          <w:lang w:val="en-US" w:eastAsia="zh-CN"/>
        </w:rPr>
        <w:t>做好相关计量工作</w:t>
      </w:r>
      <w:r>
        <w:rPr>
          <w:rFonts w:hint="eastAsia" w:ascii="宋体" w:hAnsi="宋体" w:cs="宋体"/>
          <w:highlight w:val="none"/>
        </w:rPr>
        <w:t>，做到日产日清。</w:t>
      </w:r>
    </w:p>
    <w:p w14:paraId="69AECE1E">
      <w:pPr>
        <w:spacing w:line="360" w:lineRule="auto"/>
        <w:ind w:firstLine="42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按实施机构要求，中转站内外设置标识标牌标语、设备操作人员统一着装。</w:t>
      </w:r>
    </w:p>
    <w:p w14:paraId="3B5B9C7D">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遇有重大活动或突发事件，及时组织力量做好垃圾转运等保障工作，服从区综合行政执法局、属地镇街、开发区的安排管理，按规定及时完成下达的任务。</w:t>
      </w:r>
    </w:p>
    <w:p w14:paraId="3186B9C3">
      <w:pPr>
        <w:spacing w:line="360" w:lineRule="auto"/>
        <w:ind w:firstLine="42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接到数字城管、投诉电话和新闻舆论等举报投诉后，应在短时间内处理完毕，并报送区综合行政执法局、属地镇街、开发区，作好信息反馈。</w:t>
      </w:r>
    </w:p>
    <w:p w14:paraId="0A17E5DF">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接到区综合行政执法局、属地镇街、开发区的关于中转站问题的整改意见后，应快速及时落实整改，并作好整改结果的反馈。</w:t>
      </w:r>
    </w:p>
    <w:p w14:paraId="5054B014">
      <w:pPr>
        <w:spacing w:line="360" w:lineRule="auto"/>
        <w:ind w:firstLine="420" w:firstLineChars="20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严禁作业人员擅自向责任区内单位收取各种费用。</w:t>
      </w:r>
    </w:p>
    <w:p w14:paraId="50E5F980">
      <w:pPr>
        <w:spacing w:line="360" w:lineRule="auto"/>
        <w:ind w:firstLine="420" w:firstLineChars="20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投标承诺拟派的项目负责人、运维技术负责人、安全生产负责人及到场运维人员必须到位，实行考勤制度。按法定工作日计，若每月在岗天数不足（特殊情况经甲方同意例外）者，以缺勤处理。</w:t>
      </w:r>
    </w:p>
    <w:p w14:paraId="107630FE">
      <w:pPr>
        <w:spacing w:line="360" w:lineRule="auto"/>
        <w:ind w:firstLine="420" w:firstLineChars="200"/>
        <w:rPr>
          <w:rFonts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供应商对招标人要求以外的其他服务承诺等，可自行叙述。</w:t>
      </w:r>
    </w:p>
    <w:p w14:paraId="31FB5A44">
      <w:pPr>
        <w:pStyle w:val="6"/>
        <w:tabs>
          <w:tab w:val="left" w:pos="840"/>
        </w:tabs>
        <w:spacing w:before="156" w:beforeLines="50" w:after="156" w:afterLines="50" w:line="360" w:lineRule="auto"/>
        <w:rPr>
          <w:rFonts w:ascii="Arial" w:hAnsi="Arial" w:eastAsia="宋体" w:cs="Arial"/>
          <w:sz w:val="24"/>
          <w:szCs w:val="24"/>
          <w:highlight w:val="none"/>
        </w:rPr>
      </w:pPr>
      <w:bookmarkStart w:id="134" w:name="_Toc92361055"/>
      <w:r>
        <w:rPr>
          <w:rFonts w:hint="eastAsia" w:ascii="Arial" w:hAnsi="Arial" w:eastAsia="宋体" w:cs="Arial"/>
          <w:sz w:val="24"/>
          <w:szCs w:val="24"/>
          <w:highlight w:val="none"/>
        </w:rPr>
        <w:t>五、付款方式</w:t>
      </w:r>
      <w:bookmarkEnd w:id="134"/>
    </w:p>
    <w:p w14:paraId="28472FA6">
      <w:pPr>
        <w:spacing w:line="360" w:lineRule="auto"/>
        <w:ind w:firstLine="420" w:firstLineChars="200"/>
        <w:rPr>
          <w:rFonts w:ascii="Arial" w:hAnsi="Arial" w:cs="Arial"/>
          <w:b/>
          <w:szCs w:val="21"/>
          <w:highlight w:val="none"/>
        </w:rPr>
      </w:pPr>
      <w:r>
        <w:rPr>
          <w:rFonts w:hint="eastAsia" w:ascii="宋体" w:hAnsi="宋体" w:cs="宋体"/>
          <w:highlight w:val="none"/>
        </w:rPr>
        <w:t>中标单价结算转运费按月结算，按季付费，具体按合同执行。</w:t>
      </w:r>
    </w:p>
    <w:p w14:paraId="51BAE8EA">
      <w:pPr>
        <w:pStyle w:val="2"/>
        <w:ind w:firstLine="220"/>
        <w:rPr>
          <w:rFonts w:ascii="宋体" w:hAnsi="宋体" w:eastAsia="宋体" w:cs="宋体"/>
          <w:bCs/>
          <w:sz w:val="22"/>
          <w:szCs w:val="22"/>
          <w:highlight w:val="none"/>
        </w:rPr>
      </w:pPr>
    </w:p>
    <w:p w14:paraId="72C4DCD1">
      <w:pPr>
        <w:rPr>
          <w:rFonts w:ascii="宋体" w:hAnsi="宋体" w:eastAsia="宋体" w:cs="宋体"/>
          <w:highlight w:val="none"/>
        </w:rPr>
      </w:pPr>
      <w:r>
        <w:rPr>
          <w:rFonts w:ascii="宋体" w:hAnsi="宋体" w:eastAsia="宋体" w:cs="宋体"/>
          <w:highlight w:val="none"/>
        </w:rPr>
        <w:br w:type="page"/>
      </w:r>
    </w:p>
    <w:p w14:paraId="1AE8CA0E">
      <w:pPr>
        <w:pStyle w:val="8"/>
        <w:rPr>
          <w:highlight w:val="none"/>
        </w:rPr>
      </w:pPr>
    </w:p>
    <w:p w14:paraId="40762209">
      <w:pPr>
        <w:pStyle w:val="5"/>
        <w:numPr>
          <w:ilvl w:val="0"/>
          <w:numId w:val="17"/>
        </w:numPr>
        <w:bidi w:val="0"/>
        <w:spacing w:line="240" w:lineRule="auto"/>
        <w:jc w:val="center"/>
        <w:rPr>
          <w:sz w:val="32"/>
          <w:szCs w:val="32"/>
          <w:highlight w:val="none"/>
        </w:rPr>
      </w:pPr>
      <w:bookmarkStart w:id="135" w:name="_Toc22654"/>
      <w:r>
        <w:rPr>
          <w:rFonts w:hint="eastAsia"/>
          <w:sz w:val="32"/>
          <w:szCs w:val="32"/>
          <w:highlight w:val="none"/>
        </w:rPr>
        <w:t>评标原则及方法</w:t>
      </w:r>
      <w:bookmarkEnd w:id="135"/>
    </w:p>
    <w:p w14:paraId="42B0595D">
      <w:pPr>
        <w:pStyle w:val="3"/>
        <w:spacing w:line="360" w:lineRule="auto"/>
        <w:rPr>
          <w:rFonts w:ascii="宋体" w:hAnsi="宋体" w:eastAsia="宋体" w:cs="宋体"/>
          <w:highlight w:val="none"/>
        </w:rPr>
      </w:pPr>
    </w:p>
    <w:p w14:paraId="40618328">
      <w:pPr>
        <w:spacing w:line="360" w:lineRule="auto"/>
        <w:jc w:val="left"/>
        <w:rPr>
          <w:rFonts w:ascii="宋体" w:hAnsi="宋体" w:eastAsia="宋体" w:cs="宋体"/>
          <w:b/>
          <w:sz w:val="22"/>
          <w:szCs w:val="22"/>
          <w:highlight w:val="none"/>
        </w:rPr>
      </w:pPr>
      <w:r>
        <w:rPr>
          <w:rFonts w:hint="eastAsia" w:ascii="宋体" w:hAnsi="宋体" w:eastAsia="宋体" w:cs="宋体"/>
          <w:b/>
          <w:sz w:val="22"/>
          <w:szCs w:val="22"/>
          <w:highlight w:val="none"/>
        </w:rPr>
        <w:t>据《中华人民共和国政府采购法》等相关法规特制定以下评标办法。</w:t>
      </w:r>
    </w:p>
    <w:p w14:paraId="7B85E1AC">
      <w:pPr>
        <w:pStyle w:val="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一、 总  则</w:t>
      </w:r>
    </w:p>
    <w:p w14:paraId="6D32836A">
      <w:pPr>
        <w:spacing w:line="360" w:lineRule="auto"/>
        <w:ind w:left="439" w:leftChars="209"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评标工作遵循公平、公正、科学、择优原则和诚实、信誉、效率的服务原则。本着科学、严谨的态度，认真进行评标。择优选用，推进技术进步，确保项目质量，节约投资，最大限度的保护采购人权益。严格按照采购文件的商务、技术要求，对投标文件进行综合评定，提出优选方案，编写评标报告。对未中标单位，评委会不作任何解释。投标供应商不得以任何方式干扰招投标工作的进行，一经发现其投标文件将按无效标处理。</w:t>
      </w:r>
    </w:p>
    <w:p w14:paraId="20A12168">
      <w:pPr>
        <w:pStyle w:val="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二、评标组织</w:t>
      </w:r>
    </w:p>
    <w:p w14:paraId="373ABADB">
      <w:pPr>
        <w:spacing w:line="360" w:lineRule="auto"/>
        <w:ind w:firstLine="660" w:firstLineChars="300"/>
        <w:rPr>
          <w:rFonts w:ascii="宋体" w:hAnsi="宋体" w:eastAsia="宋体" w:cs="宋体"/>
          <w:sz w:val="22"/>
          <w:szCs w:val="22"/>
          <w:highlight w:val="none"/>
        </w:rPr>
      </w:pPr>
      <w:r>
        <w:rPr>
          <w:rFonts w:hint="eastAsia" w:ascii="宋体" w:hAnsi="宋体" w:eastAsia="宋体" w:cs="宋体"/>
          <w:sz w:val="22"/>
          <w:szCs w:val="22"/>
          <w:highlight w:val="none"/>
        </w:rPr>
        <w:t>评标工作由采购人依法组建的评标委员会负责，评标全过程由有关部门指导监督。</w:t>
      </w:r>
    </w:p>
    <w:p w14:paraId="5CF30CD4">
      <w:pPr>
        <w:pStyle w:val="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三、评标程序</w:t>
      </w:r>
    </w:p>
    <w:p w14:paraId="33EBCCA4">
      <w:pPr>
        <w:spacing w:line="360" w:lineRule="auto"/>
        <w:ind w:left="769" w:leftChars="209" w:hanging="330" w:hangingChars="150"/>
        <w:rPr>
          <w:rFonts w:ascii="宋体" w:hAnsi="宋体" w:eastAsia="宋体" w:cs="宋体"/>
          <w:sz w:val="22"/>
          <w:szCs w:val="22"/>
          <w:highlight w:val="none"/>
        </w:rPr>
      </w:pPr>
      <w:r>
        <w:rPr>
          <w:rFonts w:hint="eastAsia" w:ascii="宋体" w:hAnsi="宋体" w:eastAsia="宋体" w:cs="宋体"/>
          <w:sz w:val="22"/>
          <w:szCs w:val="22"/>
          <w:highlight w:val="none"/>
        </w:rPr>
        <w:t>1、采购人或代理机构对各投标供应商的投标资格进行审查；然后由评标委员会对合格投标供应商的技术标和商务标进行评审，根据综合评审结果，提交评审报告。</w:t>
      </w:r>
    </w:p>
    <w:p w14:paraId="09D9EFEE">
      <w:pPr>
        <w:spacing w:line="360" w:lineRule="auto"/>
        <w:ind w:left="769" w:leftChars="209" w:hanging="330" w:hangingChars="150"/>
        <w:rPr>
          <w:rFonts w:ascii="宋体" w:hAnsi="宋体" w:eastAsia="宋体" w:cs="宋体"/>
          <w:sz w:val="22"/>
          <w:szCs w:val="22"/>
          <w:highlight w:val="none"/>
        </w:rPr>
      </w:pPr>
      <w:r>
        <w:rPr>
          <w:rFonts w:hint="eastAsia" w:ascii="宋体" w:hAnsi="宋体" w:eastAsia="宋体" w:cs="宋体"/>
          <w:sz w:val="22"/>
          <w:szCs w:val="22"/>
          <w:highlight w:val="none"/>
        </w:rPr>
        <w:t>2、如有投标供应商投标报价超出最高限价，其投标文件作无效标处理。若所有投标供应商投标报价均超出最高限价，且采购人无法支付的，本项目做废标处理，重新组织采购工作。</w:t>
      </w:r>
    </w:p>
    <w:p w14:paraId="38E692E7">
      <w:pPr>
        <w:pStyle w:val="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四、评标办法</w:t>
      </w:r>
    </w:p>
    <w:p w14:paraId="7F0C5051">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本次采购采用百分制综合评分法，即投标供应商最大限度地满足采购文件实质性要求的基础上，按照采购文件的各项因素进行综合评审后，以最终得分最高的投标供应商作为第一中标候选人的评标方法。根据采购要求，总分设定为100分；其中资信技术分</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0分，商务分</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w:t>
      </w:r>
    </w:p>
    <w:p w14:paraId="3ED76861">
      <w:pPr>
        <w:pStyle w:val="3"/>
        <w:spacing w:beforeLines="50" w:afterLines="50"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五、评分细则</w:t>
      </w:r>
    </w:p>
    <w:p w14:paraId="13F70424">
      <w:pPr>
        <w:spacing w:line="360" w:lineRule="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1、技术资信分的评定（</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0分）</w:t>
      </w:r>
    </w:p>
    <w:p w14:paraId="2F2F09AE">
      <w:pPr>
        <w:pStyle w:val="38"/>
        <w:spacing w:line="360" w:lineRule="auto"/>
        <w:ind w:firstLine="420" w:firstLineChars="200"/>
        <w:rPr>
          <w:rFonts w:hint="eastAsia" w:ascii="宋体" w:hAnsi="宋体" w:cs="宋体"/>
          <w:highlight w:val="none"/>
        </w:rPr>
      </w:pPr>
      <w:r>
        <w:rPr>
          <w:rFonts w:hint="eastAsia" w:ascii="宋体" w:hAnsi="宋体" w:cs="宋体"/>
          <w:highlight w:val="none"/>
        </w:rPr>
        <w:t>各评委成员按下列评分项目进行评定，每人一张评分计算表，由评标委员会成员各自评定打分（保留一位小数）并记实名。如任何一张表的一项评分内容分值超过规定的范围，则该张表无效。评标委员会成员对各投标供应商的各项评分内容评分合计值的算术平均值为该投标供应商技术的最终得分（四舍五入，保留小数点后二位）。</w:t>
      </w:r>
    </w:p>
    <w:p w14:paraId="4DC54F6C">
      <w:pPr>
        <w:pStyle w:val="3"/>
        <w:rPr>
          <w:rFonts w:hint="eastAsia" w:ascii="宋体" w:hAnsi="宋体" w:cs="宋体"/>
          <w:highlight w:val="none"/>
        </w:rPr>
      </w:pPr>
    </w:p>
    <w:p w14:paraId="1CBAC3D5">
      <w:pPr>
        <w:pStyle w:val="2"/>
        <w:rPr>
          <w:rFonts w:hint="eastAsia" w:ascii="宋体" w:hAnsi="宋体" w:cs="宋体"/>
          <w:highlight w:val="none"/>
        </w:rPr>
      </w:pPr>
    </w:p>
    <w:p w14:paraId="5DFAD0C5">
      <w:pPr>
        <w:rPr>
          <w:rFonts w:hint="eastAsia" w:ascii="宋体" w:hAnsi="宋体" w:cs="宋体"/>
          <w:highlight w:val="none"/>
        </w:rPr>
      </w:pPr>
    </w:p>
    <w:p w14:paraId="331CC206">
      <w:pPr>
        <w:pStyle w:val="8"/>
        <w:rPr>
          <w:rFonts w:hint="eastAsia" w:ascii="宋体" w:hAnsi="宋体" w:cs="宋体"/>
          <w:highlight w:val="none"/>
        </w:rPr>
      </w:pPr>
    </w:p>
    <w:p w14:paraId="5CDFEEF3">
      <w:pPr>
        <w:pStyle w:val="20"/>
        <w:rPr>
          <w:rFonts w:hint="eastAsia" w:ascii="宋体" w:hAnsi="宋体" w:cs="宋体"/>
          <w:highlight w:val="none"/>
        </w:rPr>
      </w:pPr>
    </w:p>
    <w:p w14:paraId="22114AD6">
      <w:pPr>
        <w:rPr>
          <w:rFonts w:hint="eastAsia" w:ascii="宋体" w:hAnsi="宋体" w:cs="宋体"/>
          <w:highlight w:val="none"/>
        </w:rPr>
      </w:pPr>
    </w:p>
    <w:p w14:paraId="283ED9D0">
      <w:pPr>
        <w:pStyle w:val="8"/>
        <w:rPr>
          <w:rFonts w:hint="eastAsia" w:ascii="宋体" w:hAnsi="宋体" w:cs="宋体"/>
          <w:highlight w:val="none"/>
        </w:rPr>
      </w:pPr>
    </w:p>
    <w:p w14:paraId="384B47E3">
      <w:pPr>
        <w:pStyle w:val="20"/>
        <w:rPr>
          <w:highlight w:val="none"/>
        </w:rPr>
      </w:pPr>
    </w:p>
    <w:tbl>
      <w:tblPr>
        <w:tblStyle w:val="24"/>
        <w:tblpPr w:leftFromText="180" w:rightFromText="180" w:vertAnchor="text" w:horzAnchor="page" w:tblpXSpec="center" w:tblpY="407"/>
        <w:tblOverlap w:val="never"/>
        <w:tblW w:w="9969" w:type="dxa"/>
        <w:jc w:val="center"/>
        <w:tblLayout w:type="fixed"/>
        <w:tblCellMar>
          <w:top w:w="0" w:type="dxa"/>
          <w:left w:w="108" w:type="dxa"/>
          <w:bottom w:w="0" w:type="dxa"/>
          <w:right w:w="108" w:type="dxa"/>
        </w:tblCellMar>
      </w:tblPr>
      <w:tblGrid>
        <w:gridCol w:w="630"/>
        <w:gridCol w:w="1853"/>
        <w:gridCol w:w="675"/>
        <w:gridCol w:w="6811"/>
      </w:tblGrid>
      <w:tr w14:paraId="4DAC92DF">
        <w:tblPrEx>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20F0FF2">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3189F18">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F40FDA9">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分值</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61EA0C2C">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评审标准</w:t>
            </w:r>
          </w:p>
        </w:tc>
      </w:tr>
      <w:tr w14:paraId="3D326282">
        <w:tblPrEx>
          <w:tblCellMar>
            <w:top w:w="0" w:type="dxa"/>
            <w:left w:w="108" w:type="dxa"/>
            <w:bottom w:w="0" w:type="dxa"/>
            <w:right w:w="108" w:type="dxa"/>
          </w:tblCellMar>
        </w:tblPrEx>
        <w:trPr>
          <w:trHeight w:val="397"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77B783F">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一</w:t>
            </w:r>
          </w:p>
        </w:tc>
        <w:tc>
          <w:tcPr>
            <w:tcW w:w="9339" w:type="dxa"/>
            <w:gridSpan w:val="3"/>
            <w:tcBorders>
              <w:top w:val="single" w:color="000000" w:sz="4" w:space="0"/>
              <w:left w:val="single" w:color="000000" w:sz="4" w:space="0"/>
              <w:bottom w:val="single" w:color="000000" w:sz="4" w:space="0"/>
              <w:right w:val="single" w:color="000000" w:sz="4" w:space="0"/>
            </w:tcBorders>
            <w:noWrap/>
            <w:vAlign w:val="center"/>
          </w:tcPr>
          <w:p w14:paraId="71D746B8">
            <w:pPr>
              <w:widowControl/>
              <w:ind w:left="-50"/>
              <w:jc w:val="left"/>
              <w:rPr>
                <w:rFonts w:ascii="宋体" w:hAnsi="宋体" w:eastAsia="宋体" w:cs="宋体"/>
                <w:kern w:val="0"/>
                <w:szCs w:val="21"/>
                <w:highlight w:val="none"/>
              </w:rPr>
            </w:pPr>
            <w:r>
              <w:rPr>
                <w:rFonts w:hint="eastAsia" w:ascii="宋体" w:hAnsi="宋体" w:eastAsia="宋体" w:cs="宋体"/>
                <w:kern w:val="0"/>
                <w:szCs w:val="21"/>
                <w:highlight w:val="none"/>
              </w:rPr>
              <w:t>企业综合实力及业绩（</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分）</w:t>
            </w:r>
          </w:p>
        </w:tc>
      </w:tr>
      <w:tr w14:paraId="1F987A09">
        <w:tblPrEx>
          <w:tblCellMar>
            <w:top w:w="0" w:type="dxa"/>
            <w:left w:w="108" w:type="dxa"/>
            <w:bottom w:w="0" w:type="dxa"/>
            <w:right w:w="108" w:type="dxa"/>
          </w:tblCellMar>
        </w:tblPrEx>
        <w:trPr>
          <w:trHeight w:val="1213"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7F7D1142">
            <w:pPr>
              <w:adjustRightInd w:val="0"/>
              <w:snapToGrid w:val="0"/>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C65A310">
            <w:pPr>
              <w:adjustRightInd w:val="0"/>
              <w:snapToGrid w:val="0"/>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垃圾转运经营能力</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108F0AE">
            <w:pPr>
              <w:adjustRightInd w:val="0"/>
              <w:snapToGrid w:val="0"/>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0CE18E72">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企业具有行政主管部门颁发的城市生活垃圾经营性（含餐厨垃圾）收集、运输服务许可证的得4分。</w:t>
            </w:r>
          </w:p>
          <w:p w14:paraId="2E6F3A4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注：以提供的相关证书复印件，加盖单位公章为准，供应商或投标人控股子公司证书均可。</w:t>
            </w:r>
          </w:p>
        </w:tc>
      </w:tr>
      <w:tr w14:paraId="64EABD5C">
        <w:tblPrEx>
          <w:tblCellMar>
            <w:top w:w="0" w:type="dxa"/>
            <w:left w:w="108" w:type="dxa"/>
            <w:bottom w:w="0" w:type="dxa"/>
            <w:right w:w="108" w:type="dxa"/>
          </w:tblCellMar>
        </w:tblPrEx>
        <w:trPr>
          <w:trHeight w:val="1663"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147FEB0A">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38837F0">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kern w:val="0"/>
                <w:szCs w:val="21"/>
                <w:highlight w:val="none"/>
              </w:rPr>
              <w:t>企业认证体系</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9BF5A0D">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5E904819">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具有有效的质量管理体系认证证书、环境管理体系认证证书、职业健康管理体系认证证书，每提供一项得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3173A1E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 w:val="21"/>
                <w:szCs w:val="21"/>
                <w:highlight w:val="none"/>
                <w:lang w:val="en-US" w:eastAsia="zh-CN"/>
              </w:rPr>
              <w:t>须提供以上有效证书在全国认证认可信息公共服务平台(http://cx.cnca.cn/CertECloud/result/skipResultList?certItemOne)上证书状态为“有效”的查询结果网页截图打印件或复制件加盖公章，否则不得分</w:t>
            </w:r>
            <w:r>
              <w:rPr>
                <w:rFonts w:hint="eastAsia" w:ascii="宋体" w:hAnsi="宋体" w:eastAsia="宋体" w:cs="宋体"/>
                <w:color w:val="auto"/>
                <w:szCs w:val="21"/>
                <w:highlight w:val="none"/>
              </w:rPr>
              <w:t>。</w:t>
            </w:r>
          </w:p>
        </w:tc>
      </w:tr>
      <w:tr w14:paraId="26050B76">
        <w:tblPrEx>
          <w:tblCellMar>
            <w:top w:w="0" w:type="dxa"/>
            <w:left w:w="108" w:type="dxa"/>
            <w:bottom w:w="0" w:type="dxa"/>
            <w:right w:w="108" w:type="dxa"/>
          </w:tblCellMar>
        </w:tblPrEx>
        <w:trPr>
          <w:trHeight w:val="1925"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0F2F4C3">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0C2C6C1">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项目业绩</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F0A5F56">
            <w:pPr>
              <w:adjustRightInd w:val="0"/>
              <w:snapToGrid w:val="0"/>
              <w:spacing w:line="312"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7CD7FADF">
            <w:pPr>
              <w:adjustRightInd w:val="0"/>
              <w:snapToGrid w:val="0"/>
              <w:rPr>
                <w:rFonts w:ascii="宋体" w:hAnsi="宋体" w:eastAsia="宋体" w:cs="宋体"/>
                <w:szCs w:val="21"/>
                <w:highlight w:val="none"/>
              </w:rPr>
            </w:pPr>
            <w:r>
              <w:rPr>
                <w:rFonts w:hint="eastAsia" w:ascii="宋体" w:hAnsi="宋体" w:eastAsia="宋体" w:cs="宋体"/>
                <w:szCs w:val="21"/>
                <w:highlight w:val="none"/>
              </w:rPr>
              <w:t>投标供应商20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年1月1日以来有</w:t>
            </w:r>
            <w:r>
              <w:rPr>
                <w:rFonts w:hint="eastAsia" w:ascii="宋体" w:hAnsi="宋体" w:eastAsia="宋体" w:cs="宋体"/>
                <w:szCs w:val="21"/>
                <w:highlight w:val="none"/>
                <w:lang w:eastAsia="zh-CN"/>
              </w:rPr>
              <w:t>生活垃圾</w:t>
            </w:r>
            <w:r>
              <w:rPr>
                <w:rFonts w:hint="eastAsia" w:ascii="宋体" w:hAnsi="宋体" w:eastAsia="宋体" w:cs="宋体"/>
                <w:szCs w:val="21"/>
                <w:highlight w:val="none"/>
                <w:lang w:val="en-US" w:eastAsia="zh-CN"/>
              </w:rPr>
              <w:t>收</w:t>
            </w:r>
            <w:r>
              <w:rPr>
                <w:rFonts w:hint="eastAsia" w:ascii="宋体" w:hAnsi="宋体" w:eastAsia="宋体" w:cs="宋体"/>
                <w:szCs w:val="21"/>
                <w:highlight w:val="none"/>
                <w:lang w:eastAsia="zh-CN"/>
              </w:rPr>
              <w:t>运服务</w:t>
            </w:r>
            <w:r>
              <w:rPr>
                <w:rFonts w:hint="eastAsia" w:ascii="宋体" w:hAnsi="宋体" w:eastAsia="宋体" w:cs="宋体"/>
                <w:szCs w:val="21"/>
                <w:highlight w:val="none"/>
              </w:rPr>
              <w:t>业绩，每提供一项</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分，满分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7A9A97A2">
            <w:pPr>
              <w:adjustRightInd w:val="0"/>
              <w:snapToGrid w:val="0"/>
              <w:rPr>
                <w:rFonts w:ascii="宋体" w:hAnsi="宋体" w:eastAsia="宋体" w:cs="宋体"/>
                <w:b/>
                <w:bCs/>
                <w:szCs w:val="21"/>
                <w:highlight w:val="none"/>
              </w:rPr>
            </w:pPr>
            <w:r>
              <w:rPr>
                <w:rFonts w:hint="eastAsia" w:ascii="宋体" w:hAnsi="宋体" w:eastAsia="宋体" w:cs="宋体"/>
                <w:b/>
                <w:bCs/>
                <w:szCs w:val="21"/>
                <w:highlight w:val="none"/>
              </w:rPr>
              <w:t>备注：</w:t>
            </w:r>
          </w:p>
          <w:p w14:paraId="5B8FC707">
            <w:pPr>
              <w:adjustRightInd w:val="0"/>
              <w:snapToGrid w:val="0"/>
              <w:rPr>
                <w:rFonts w:ascii="宋体" w:hAnsi="宋体" w:eastAsia="宋体" w:cs="宋体"/>
                <w:szCs w:val="21"/>
                <w:highlight w:val="none"/>
              </w:rPr>
            </w:pPr>
            <w:r>
              <w:rPr>
                <w:rFonts w:hint="eastAsia" w:ascii="宋体" w:hAnsi="宋体" w:eastAsia="宋体" w:cs="宋体"/>
                <w:szCs w:val="21"/>
                <w:highlight w:val="none"/>
              </w:rPr>
              <w:t>业绩时间以合同时间签订时间为准，提供中标通知书和合同原件扫描件，</w:t>
            </w:r>
            <w:r>
              <w:rPr>
                <w:rFonts w:hint="eastAsia" w:ascii="宋体" w:hAnsi="宋体" w:eastAsia="宋体" w:cs="宋体"/>
                <w:color w:val="auto"/>
                <w:szCs w:val="21"/>
                <w:highlight w:val="none"/>
              </w:rPr>
              <w:t>否则不得分；同一中标通知书，签订多份合同的，以一个业绩计分。</w:t>
            </w:r>
            <w:r>
              <w:rPr>
                <w:rFonts w:hint="eastAsia" w:ascii="宋体" w:hAnsi="宋体" w:eastAsia="宋体" w:cs="宋体"/>
                <w:color w:val="auto"/>
                <w:szCs w:val="21"/>
                <w:highlight w:val="none"/>
                <w:lang w:val="en-US" w:eastAsia="zh-CN"/>
              </w:rPr>
              <w:t>以上资料需加盖公章，相关资料提供不全或未提供不得分。</w:t>
            </w:r>
          </w:p>
        </w:tc>
      </w:tr>
      <w:tr w14:paraId="28BF3FBD">
        <w:tblPrEx>
          <w:tblCellMar>
            <w:top w:w="0" w:type="dxa"/>
            <w:left w:w="108" w:type="dxa"/>
            <w:bottom w:w="0" w:type="dxa"/>
            <w:right w:w="108" w:type="dxa"/>
          </w:tblCellMar>
        </w:tblPrEx>
        <w:trPr>
          <w:trHeight w:val="427"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4EEA1AF">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二</w:t>
            </w:r>
          </w:p>
        </w:tc>
        <w:tc>
          <w:tcPr>
            <w:tcW w:w="9339" w:type="dxa"/>
            <w:gridSpan w:val="3"/>
            <w:tcBorders>
              <w:top w:val="single" w:color="000000" w:sz="4" w:space="0"/>
              <w:left w:val="single" w:color="000000" w:sz="4" w:space="0"/>
              <w:bottom w:val="single" w:color="000000" w:sz="4" w:space="0"/>
              <w:right w:val="single" w:color="000000" w:sz="4" w:space="0"/>
            </w:tcBorders>
            <w:noWrap/>
            <w:vAlign w:val="center"/>
          </w:tcPr>
          <w:p w14:paraId="42CD24E0">
            <w:pPr>
              <w:adjustRightInd w:val="0"/>
              <w:snapToGrid w:val="0"/>
              <w:rPr>
                <w:rFonts w:ascii="宋体" w:hAnsi="宋体" w:eastAsia="宋体" w:cs="宋体"/>
                <w:szCs w:val="21"/>
                <w:highlight w:val="none"/>
              </w:rPr>
            </w:pPr>
            <w:r>
              <w:rPr>
                <w:rFonts w:hint="eastAsia" w:ascii="宋体" w:hAnsi="宋体" w:eastAsia="宋体" w:cs="宋体"/>
                <w:kern w:val="0"/>
                <w:szCs w:val="21"/>
                <w:highlight w:val="none"/>
              </w:rPr>
              <w:t>人员及设施配备（</w:t>
            </w:r>
            <w:r>
              <w:rPr>
                <w:rFonts w:hint="eastAsia" w:ascii="宋体" w:hAnsi="宋体" w:eastAsia="宋体" w:cs="宋体"/>
                <w:kern w:val="0"/>
                <w:szCs w:val="21"/>
                <w:highlight w:val="none"/>
                <w:lang w:val="en-US" w:eastAsia="zh-CN"/>
              </w:rPr>
              <w:t>31</w:t>
            </w:r>
            <w:r>
              <w:rPr>
                <w:rFonts w:hint="eastAsia" w:ascii="宋体" w:hAnsi="宋体" w:eastAsia="宋体" w:cs="宋体"/>
                <w:kern w:val="0"/>
                <w:szCs w:val="21"/>
                <w:highlight w:val="none"/>
              </w:rPr>
              <w:t>分）</w:t>
            </w:r>
          </w:p>
        </w:tc>
      </w:tr>
      <w:tr w14:paraId="5085AD52">
        <w:tblPrEx>
          <w:tblCellMar>
            <w:top w:w="0" w:type="dxa"/>
            <w:left w:w="108" w:type="dxa"/>
            <w:bottom w:w="0" w:type="dxa"/>
            <w:right w:w="108" w:type="dxa"/>
          </w:tblCellMar>
        </w:tblPrEx>
        <w:trPr>
          <w:trHeight w:val="3522"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2E818ACE">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0F8A831">
            <w:pPr>
              <w:ind w:right="3" w:rightChars="0"/>
              <w:jc w:val="center"/>
              <w:rPr>
                <w:highlight w:val="none"/>
              </w:rPr>
            </w:pPr>
            <w:r>
              <w:rPr>
                <w:rFonts w:hint="eastAsia" w:ascii="宋体" w:hAnsi="宋体" w:cs="宋体"/>
                <w:szCs w:val="21"/>
                <w:highlight w:val="none"/>
              </w:rPr>
              <w:t>针对本项目拟投入主要机械、设备情况</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B940D8A">
            <w:pPr>
              <w:ind w:left="-50" w:leftChars="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0</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6B3D69D5">
            <w:pPr>
              <w:adjustRightInd w:val="0"/>
              <w:snapToGrid w:val="0"/>
              <w:jc w:val="left"/>
              <w:rPr>
                <w:rFonts w:hint="eastAsia"/>
                <w:highlight w:val="none"/>
              </w:rPr>
            </w:pPr>
            <w:r>
              <w:rPr>
                <w:rFonts w:hint="eastAsia"/>
                <w:highlight w:val="none"/>
              </w:rPr>
              <w:t>供应商具有适合本项目所用的垃圾运输车、移动式垃圾压缩车等设备，以满足应急需求：</w:t>
            </w:r>
          </w:p>
          <w:p w14:paraId="382CDCCE">
            <w:pPr>
              <w:adjustRightInd w:val="0"/>
              <w:snapToGrid w:val="0"/>
              <w:jc w:val="left"/>
              <w:rPr>
                <w:rFonts w:hint="eastAsia"/>
                <w:highlight w:val="none"/>
              </w:rPr>
            </w:pPr>
            <w:r>
              <w:rPr>
                <w:rFonts w:hint="eastAsia"/>
                <w:highlight w:val="none"/>
              </w:rPr>
              <w:t>1）每提供一辆垃圾运输车（核定载质量≥13000 Kg）得2分，最高得10分；</w:t>
            </w:r>
          </w:p>
          <w:p w14:paraId="46FBBC40">
            <w:pPr>
              <w:adjustRightInd w:val="0"/>
              <w:snapToGrid w:val="0"/>
              <w:jc w:val="left"/>
              <w:rPr>
                <w:rFonts w:hint="eastAsia" w:eastAsiaTheme="minorEastAsia"/>
                <w:highlight w:val="none"/>
                <w:lang w:eastAsia="zh-CN"/>
              </w:rPr>
            </w:pPr>
            <w:r>
              <w:rPr>
                <w:rFonts w:hint="eastAsia"/>
                <w:highlight w:val="none"/>
              </w:rPr>
              <w:t>2）每提供一辆移动式垃圾压缩车（核定载质量≥9000kg）得2分，满分</w:t>
            </w:r>
            <w:r>
              <w:rPr>
                <w:rFonts w:hint="eastAsia"/>
                <w:highlight w:val="none"/>
                <w:lang w:val="en-US" w:eastAsia="zh-CN"/>
              </w:rPr>
              <w:t>10</w:t>
            </w:r>
            <w:r>
              <w:rPr>
                <w:rFonts w:hint="eastAsia"/>
                <w:highlight w:val="none"/>
              </w:rPr>
              <w:t>分</w:t>
            </w:r>
            <w:r>
              <w:rPr>
                <w:rFonts w:hint="eastAsia"/>
                <w:highlight w:val="none"/>
                <w:lang w:eastAsia="zh-CN"/>
              </w:rPr>
              <w:t>。</w:t>
            </w:r>
          </w:p>
          <w:p w14:paraId="640D2FE3">
            <w:pPr>
              <w:adjustRightInd w:val="0"/>
              <w:snapToGrid w:val="0"/>
              <w:jc w:val="left"/>
              <w:rPr>
                <w:rFonts w:hint="eastAsia"/>
                <w:highlight w:val="none"/>
              </w:rPr>
            </w:pPr>
            <w:r>
              <w:rPr>
                <w:rFonts w:hint="eastAsia"/>
                <w:highlight w:val="none"/>
              </w:rPr>
              <w:t>备注：上述的车辆及设备必须为自有（产权属于供应商或其分公司或其控股子公司均可；如为子公司的，则要求提供能反映供应商控股子公司的公司章程；如为分公司的，则要求提供分公司营业执照），提供车辆行驶证、购买发票等证明材料，否则不予计分。</w:t>
            </w:r>
          </w:p>
        </w:tc>
      </w:tr>
      <w:tr w14:paraId="7E14F94A">
        <w:tblPrEx>
          <w:tblCellMar>
            <w:top w:w="0" w:type="dxa"/>
            <w:left w:w="108" w:type="dxa"/>
            <w:bottom w:w="0" w:type="dxa"/>
            <w:right w:w="108" w:type="dxa"/>
          </w:tblCellMar>
        </w:tblPrEx>
        <w:trPr>
          <w:trHeight w:val="2027"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6B94D0CD">
            <w:pPr>
              <w:adjustRightInd w:val="0"/>
              <w:snapToGrid w:val="0"/>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F5459AE">
            <w:pPr>
              <w:pStyle w:val="11"/>
              <w:ind w:left="0" w:leftChars="0" w:firstLine="0" w:firstLineChars="0"/>
              <w:jc w:val="center"/>
              <w:rPr>
                <w:rFonts w:hint="eastAsia"/>
                <w:highlight w:val="none"/>
              </w:rPr>
            </w:pPr>
            <w:r>
              <w:rPr>
                <w:rFonts w:hint="eastAsia" w:ascii="宋体" w:hAnsi="宋体" w:cs="宋体"/>
                <w:szCs w:val="21"/>
                <w:highlight w:val="none"/>
              </w:rPr>
              <w:t>针对本项目的渗滤液处理</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79AAD59">
            <w:pPr>
              <w:ind w:left="-50" w:leftChars="0"/>
              <w:jc w:val="center"/>
              <w:rPr>
                <w:rFonts w:hint="eastAsia" w:ascii="宋体" w:hAnsi="宋体" w:eastAsia="宋体" w:cs="宋体"/>
                <w:szCs w:val="21"/>
                <w:highlight w:val="none"/>
                <w:lang w:val="en-US" w:eastAsia="zh-CN"/>
              </w:rPr>
            </w:pPr>
            <w:r>
              <w:rPr>
                <w:rFonts w:hint="eastAsia" w:ascii="宋体" w:hAnsi="宋体" w:eastAsia="宋体" w:cs="宋体"/>
                <w:kern w:val="28"/>
                <w:szCs w:val="21"/>
                <w:highlight w:val="none"/>
                <w:lang w:val="en-US" w:eastAsia="zh-CN"/>
              </w:rPr>
              <w:t>3</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18DE11CB">
            <w:pPr>
              <w:adjustRightInd w:val="0"/>
              <w:snapToGrid w:val="0"/>
              <w:jc w:val="left"/>
              <w:rPr>
                <w:rFonts w:hint="eastAsia"/>
                <w:highlight w:val="none"/>
                <w:lang w:val="en-US" w:eastAsia="zh-CN"/>
              </w:rPr>
            </w:pPr>
            <w:r>
              <w:rPr>
                <w:rFonts w:hint="eastAsia"/>
                <w:highlight w:val="none"/>
              </w:rPr>
              <w:t>本项目中转站未配套渗滤液处理设施，如供应商承诺自行处置渗滤液，并提供有效的渗滤液接纳处置证明的，每提供1份</w:t>
            </w:r>
            <w:r>
              <w:rPr>
                <w:rFonts w:hint="eastAsia" w:asciiTheme="minorHAnsi" w:hAnsiTheme="minorHAnsi" w:eastAsiaTheme="minorEastAsia" w:cstheme="minorBidi"/>
                <w:b w:val="0"/>
                <w:bCs w:val="0"/>
                <w:kern w:val="2"/>
                <w:sz w:val="21"/>
                <w:szCs w:val="24"/>
                <w:highlight w:val="none"/>
                <w:lang w:val="en-US" w:eastAsia="zh-CN" w:bidi="ar-SA"/>
              </w:rPr>
              <w:t>，得</w:t>
            </w:r>
            <w:r>
              <w:rPr>
                <w:rFonts w:hint="eastAsia"/>
                <w:highlight w:val="none"/>
                <w:lang w:val="en-US" w:eastAsia="zh-CN"/>
              </w:rPr>
              <w:t>3</w:t>
            </w:r>
            <w:r>
              <w:rPr>
                <w:rFonts w:hint="eastAsia"/>
                <w:highlight w:val="none"/>
              </w:rPr>
              <w:t>分。需提供渗滤液接纳处置方出具的同意接纳处置渗滤液的证明。</w:t>
            </w:r>
          </w:p>
        </w:tc>
      </w:tr>
      <w:tr w14:paraId="1D6DF427">
        <w:tblPrEx>
          <w:tblCellMar>
            <w:top w:w="0" w:type="dxa"/>
            <w:left w:w="108" w:type="dxa"/>
            <w:bottom w:w="0" w:type="dxa"/>
            <w:right w:w="108" w:type="dxa"/>
          </w:tblCellMar>
        </w:tblPrEx>
        <w:trPr>
          <w:trHeight w:val="2634"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0E17BE0A">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A119145">
            <w:pPr>
              <w:adjustRightInd w:val="0"/>
              <w:snapToGrid w:val="0"/>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rPr>
              <w:t>智慧运输管理平台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54CD6F9">
            <w:pPr>
              <w:adjustRightInd w:val="0"/>
              <w:snapToGrid w:val="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2713ADE7">
            <w:pPr>
              <w:pStyle w:val="2"/>
              <w:ind w:left="0" w:leftChars="0" w:firstLine="0" w:firstLineChars="0"/>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供应商拥有运营的</w:t>
            </w:r>
            <w:r>
              <w:rPr>
                <w:rFonts w:hint="eastAsia" w:asciiTheme="minorHAnsi" w:hAnsiTheme="minorHAnsi" w:eastAsiaTheme="minorEastAsia" w:cstheme="minorBidi"/>
                <w:b w:val="0"/>
                <w:bCs w:val="0"/>
                <w:kern w:val="2"/>
                <w:sz w:val="21"/>
                <w:szCs w:val="24"/>
                <w:highlight w:val="none"/>
                <w:lang w:val="en-US" w:eastAsia="zh-CN" w:bidi="ar-SA"/>
              </w:rPr>
              <w:t>城市智慧环卫收运平台</w:t>
            </w:r>
            <w:r>
              <w:rPr>
                <w:rFonts w:hint="eastAsia" w:cstheme="minorBidi"/>
                <w:b w:val="0"/>
                <w:bCs w:val="0"/>
                <w:kern w:val="2"/>
                <w:sz w:val="21"/>
                <w:szCs w:val="24"/>
                <w:highlight w:val="none"/>
                <w:lang w:val="en-US" w:eastAsia="zh-CN" w:bidi="ar-SA"/>
              </w:rPr>
              <w:t>或接入市</w:t>
            </w:r>
            <w:r>
              <w:rPr>
                <w:rFonts w:hint="eastAsia" w:ascii="宋体" w:hAnsi="宋体" w:eastAsia="宋体" w:cs="宋体"/>
                <w:b w:val="0"/>
                <w:bCs w:val="0"/>
                <w:color w:val="auto"/>
                <w:sz w:val="21"/>
                <w:szCs w:val="21"/>
                <w:highlight w:val="none"/>
              </w:rPr>
              <w:t>环卫智慧监管平台</w:t>
            </w:r>
            <w:r>
              <w:rPr>
                <w:rFonts w:hint="eastAsia" w:ascii="宋体" w:hAnsi="宋体" w:eastAsia="宋体" w:cs="宋体"/>
                <w:b w:val="0"/>
                <w:bCs w:val="0"/>
                <w:color w:val="auto"/>
                <w:sz w:val="21"/>
                <w:szCs w:val="21"/>
                <w:highlight w:val="none"/>
                <w:lang w:val="en-US" w:eastAsia="zh-CN"/>
              </w:rPr>
              <w:t>的</w:t>
            </w:r>
            <w:r>
              <w:rPr>
                <w:rFonts w:hint="eastAsia" w:asciiTheme="minorHAnsi" w:hAnsiTheme="minorHAnsi" w:eastAsiaTheme="minorEastAsia" w:cstheme="minorBidi"/>
                <w:b w:val="0"/>
                <w:bCs w:val="0"/>
                <w:kern w:val="2"/>
                <w:sz w:val="21"/>
                <w:szCs w:val="24"/>
                <w:highlight w:val="none"/>
                <w:lang w:val="en-US" w:eastAsia="zh-CN" w:bidi="ar-SA"/>
              </w:rPr>
              <w:t>，平台可显示车辆位置、运行轨迹、到达站点时间等功能，得</w:t>
            </w:r>
            <w:r>
              <w:rPr>
                <w:rFonts w:hint="eastAsia" w:cstheme="minorBidi"/>
                <w:b w:val="0"/>
                <w:bCs w:val="0"/>
                <w:kern w:val="2"/>
                <w:sz w:val="21"/>
                <w:szCs w:val="24"/>
                <w:highlight w:val="none"/>
                <w:lang w:val="en-US" w:eastAsia="zh-CN" w:bidi="ar-SA"/>
              </w:rPr>
              <w:t>4</w:t>
            </w:r>
            <w:r>
              <w:rPr>
                <w:rFonts w:hint="eastAsia" w:asciiTheme="minorHAnsi" w:hAnsiTheme="minorHAnsi" w:eastAsiaTheme="minorEastAsia" w:cstheme="minorBidi"/>
                <w:b w:val="0"/>
                <w:bCs w:val="0"/>
                <w:kern w:val="2"/>
                <w:sz w:val="21"/>
                <w:szCs w:val="24"/>
                <w:highlight w:val="none"/>
                <w:lang w:val="en-US" w:eastAsia="zh-CN" w:bidi="ar-SA"/>
              </w:rPr>
              <w:t>分；没有则不得分。</w:t>
            </w:r>
          </w:p>
          <w:p w14:paraId="28D9D146">
            <w:pPr>
              <w:adjustRightInd w:val="0"/>
              <w:snapToGrid w:val="0"/>
              <w:ind w:left="0" w:leftChars="0" w:firstLine="0" w:firstLineChars="0"/>
              <w:jc w:val="left"/>
              <w:rPr>
                <w:rFonts w:hint="eastAsia"/>
                <w:highlight w:val="none"/>
              </w:rPr>
            </w:pPr>
            <w:r>
              <w:rPr>
                <w:rFonts w:hint="eastAsia" w:asciiTheme="minorHAnsi" w:hAnsiTheme="minorHAnsi" w:eastAsiaTheme="minorEastAsia" w:cstheme="minorBidi"/>
                <w:kern w:val="2"/>
                <w:sz w:val="21"/>
                <w:szCs w:val="24"/>
                <w:highlight w:val="none"/>
                <w:lang w:val="en-US" w:eastAsia="zh-CN" w:bidi="ar-SA"/>
              </w:rPr>
              <w:t>注：以提供平台截图为准。</w:t>
            </w:r>
          </w:p>
        </w:tc>
      </w:tr>
      <w:tr w14:paraId="6B0F8BDC">
        <w:tblPrEx>
          <w:tblCellMar>
            <w:top w:w="0" w:type="dxa"/>
            <w:left w:w="108" w:type="dxa"/>
            <w:bottom w:w="0" w:type="dxa"/>
            <w:right w:w="108" w:type="dxa"/>
          </w:tblCellMar>
        </w:tblPrEx>
        <w:trPr>
          <w:trHeight w:val="1695"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85E2D91">
            <w:pPr>
              <w:adjustRightInd w:val="0"/>
              <w:snapToGrid w:val="0"/>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6FE47A9">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项目负责人情况</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1D29CC6">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val="en-US" w:eastAsia="zh-CN"/>
              </w:rPr>
              <w:t>4</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6D77C1F0">
            <w:pPr>
              <w:adjustRightInd w:val="0"/>
              <w:snapToGrid w:val="0"/>
              <w:jc w:val="left"/>
              <w:rPr>
                <w:rFonts w:hint="eastAsia"/>
                <w:highlight w:val="none"/>
              </w:rPr>
            </w:pPr>
            <w:r>
              <w:rPr>
                <w:rFonts w:hint="eastAsia"/>
                <w:highlight w:val="none"/>
              </w:rPr>
              <w:t>供应商拟投入本项目负责人具有人力资源和社会保障部门颁发的高级及以上职称的得</w:t>
            </w:r>
            <w:r>
              <w:rPr>
                <w:rFonts w:hint="eastAsia"/>
                <w:highlight w:val="none"/>
                <w:lang w:val="en-US" w:eastAsia="zh-CN"/>
              </w:rPr>
              <w:t>4</w:t>
            </w:r>
            <w:r>
              <w:rPr>
                <w:rFonts w:hint="eastAsia"/>
                <w:highlight w:val="none"/>
              </w:rPr>
              <w:t>分，中级职称等</w:t>
            </w:r>
            <w:r>
              <w:rPr>
                <w:rFonts w:hint="eastAsia"/>
                <w:highlight w:val="none"/>
                <w:lang w:val="en-US" w:eastAsia="zh-CN"/>
              </w:rPr>
              <w:t>2</w:t>
            </w:r>
            <w:r>
              <w:rPr>
                <w:rFonts w:hint="eastAsia"/>
                <w:highlight w:val="none"/>
              </w:rPr>
              <w:t>分，以提供的职称证书为准，不累计得分，本项最高分得</w:t>
            </w:r>
            <w:r>
              <w:rPr>
                <w:rFonts w:hint="eastAsia"/>
                <w:highlight w:val="none"/>
                <w:lang w:val="en-US" w:eastAsia="zh-CN"/>
              </w:rPr>
              <w:t>4</w:t>
            </w:r>
            <w:r>
              <w:rPr>
                <w:rFonts w:hint="eastAsia"/>
                <w:highlight w:val="none"/>
              </w:rPr>
              <w:t>分。</w:t>
            </w:r>
          </w:p>
          <w:p w14:paraId="3E0F8E83">
            <w:pPr>
              <w:adjustRightInd w:val="0"/>
              <w:snapToGrid w:val="0"/>
              <w:jc w:val="left"/>
              <w:rPr>
                <w:rFonts w:hint="eastAsia"/>
                <w:highlight w:val="none"/>
                <w:lang w:val="en-US" w:eastAsia="zh-CN"/>
              </w:rPr>
            </w:pPr>
            <w:r>
              <w:rPr>
                <w:rFonts w:hint="eastAsia"/>
                <w:highlight w:val="none"/>
              </w:rPr>
              <w:t>备注：须提供职称证明或证书</w:t>
            </w:r>
            <w:r>
              <w:rPr>
                <w:rFonts w:hint="eastAsia"/>
                <w:highlight w:val="none"/>
                <w:lang w:val="en-US" w:eastAsia="zh-CN"/>
              </w:rPr>
              <w:t>复印件加盖公章</w:t>
            </w:r>
            <w:r>
              <w:rPr>
                <w:rFonts w:hint="eastAsia"/>
                <w:highlight w:val="none"/>
              </w:rPr>
              <w:t>，并提供近一个月的社保缴纳证明材料，人员社保必须为投标供应商或其分公司均可。</w:t>
            </w:r>
            <w:r>
              <w:rPr>
                <w:rFonts w:hint="eastAsia"/>
                <w:highlight w:val="none"/>
                <w:lang w:val="en-US" w:eastAsia="zh-CN"/>
              </w:rPr>
              <w:t>未提供不得分。</w:t>
            </w:r>
          </w:p>
        </w:tc>
      </w:tr>
      <w:tr w14:paraId="67E83411">
        <w:tblPrEx>
          <w:tblCellMar>
            <w:top w:w="0" w:type="dxa"/>
            <w:left w:w="108" w:type="dxa"/>
            <w:bottom w:w="0" w:type="dxa"/>
            <w:right w:w="108" w:type="dxa"/>
          </w:tblCellMar>
        </w:tblPrEx>
        <w:trPr>
          <w:trHeight w:val="397" w:hRule="exac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2F6C347E">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三</w:t>
            </w:r>
          </w:p>
        </w:tc>
        <w:tc>
          <w:tcPr>
            <w:tcW w:w="9339" w:type="dxa"/>
            <w:gridSpan w:val="3"/>
            <w:tcBorders>
              <w:top w:val="single" w:color="000000" w:sz="4" w:space="0"/>
              <w:left w:val="single" w:color="000000" w:sz="4" w:space="0"/>
              <w:bottom w:val="single" w:color="000000" w:sz="4" w:space="0"/>
              <w:right w:val="single" w:color="000000" w:sz="4" w:space="0"/>
            </w:tcBorders>
            <w:noWrap/>
            <w:vAlign w:val="center"/>
          </w:tcPr>
          <w:p w14:paraId="70F8115E">
            <w:pPr>
              <w:widowControl/>
              <w:ind w:left="-50"/>
              <w:jc w:val="left"/>
              <w:rPr>
                <w:rFonts w:ascii="宋体" w:hAnsi="宋体" w:eastAsia="宋体" w:cs="宋体"/>
                <w:kern w:val="0"/>
                <w:szCs w:val="21"/>
                <w:highlight w:val="none"/>
              </w:rPr>
            </w:pPr>
            <w:r>
              <w:rPr>
                <w:rFonts w:hint="eastAsia" w:ascii="宋体" w:hAnsi="宋体" w:eastAsia="宋体" w:cs="宋体"/>
                <w:kern w:val="0"/>
                <w:szCs w:val="21"/>
                <w:highlight w:val="none"/>
              </w:rPr>
              <w:t>服务方案（</w:t>
            </w:r>
            <w:r>
              <w:rPr>
                <w:rFonts w:hint="eastAsia" w:ascii="宋体" w:hAnsi="宋体" w:eastAsia="宋体" w:cs="宋体"/>
                <w:kern w:val="0"/>
                <w:szCs w:val="21"/>
                <w:highlight w:val="none"/>
                <w:lang w:val="en-US" w:eastAsia="zh-CN"/>
              </w:rPr>
              <w:t>29</w:t>
            </w:r>
            <w:r>
              <w:rPr>
                <w:rFonts w:hint="eastAsia" w:ascii="宋体" w:hAnsi="宋体" w:eastAsia="宋体" w:cs="宋体"/>
                <w:kern w:val="0"/>
                <w:szCs w:val="21"/>
                <w:highlight w:val="none"/>
              </w:rPr>
              <w:t>分）</w:t>
            </w:r>
          </w:p>
        </w:tc>
      </w:tr>
      <w:tr w14:paraId="111C5B8E">
        <w:tblPrEx>
          <w:tblCellMar>
            <w:top w:w="0" w:type="dxa"/>
            <w:left w:w="108" w:type="dxa"/>
            <w:bottom w:w="0" w:type="dxa"/>
            <w:right w:w="108" w:type="dxa"/>
          </w:tblCellMar>
        </w:tblPrEx>
        <w:trPr>
          <w:trHeight w:val="2725" w:hRule="exact"/>
          <w:jc w:val="center"/>
        </w:trPr>
        <w:tc>
          <w:tcPr>
            <w:tcW w:w="630" w:type="dxa"/>
            <w:tcBorders>
              <w:top w:val="single" w:color="000000" w:sz="4" w:space="0"/>
              <w:left w:val="single" w:color="000000" w:sz="4" w:space="0"/>
              <w:bottom w:val="single" w:color="auto" w:sz="4" w:space="0"/>
              <w:right w:val="single" w:color="000000" w:sz="4" w:space="0"/>
            </w:tcBorders>
            <w:noWrap/>
            <w:vAlign w:val="center"/>
          </w:tcPr>
          <w:p w14:paraId="0AD111E9">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1853" w:type="dxa"/>
            <w:tcBorders>
              <w:top w:val="single" w:color="000000" w:sz="4" w:space="0"/>
              <w:left w:val="single" w:color="000000" w:sz="4" w:space="0"/>
              <w:bottom w:val="single" w:color="auto" w:sz="4" w:space="0"/>
              <w:right w:val="single" w:color="000000" w:sz="4" w:space="0"/>
            </w:tcBorders>
            <w:noWrap/>
            <w:vAlign w:val="center"/>
          </w:tcPr>
          <w:p w14:paraId="6620C6F3">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kern w:val="0"/>
                <w:szCs w:val="21"/>
                <w:highlight w:val="none"/>
              </w:rPr>
              <w:t>本项目的现状、重点、难点分析及解决方案</w:t>
            </w:r>
          </w:p>
        </w:tc>
        <w:tc>
          <w:tcPr>
            <w:tcW w:w="675" w:type="dxa"/>
            <w:tcBorders>
              <w:top w:val="single" w:color="000000" w:sz="4" w:space="0"/>
              <w:left w:val="single" w:color="000000" w:sz="4" w:space="0"/>
              <w:bottom w:val="single" w:color="auto" w:sz="4" w:space="0"/>
              <w:right w:val="single" w:color="000000" w:sz="4" w:space="0"/>
            </w:tcBorders>
            <w:noWrap/>
            <w:vAlign w:val="center"/>
          </w:tcPr>
          <w:p w14:paraId="41AC1157">
            <w:pPr>
              <w:widowControl/>
              <w:spacing w:line="360" w:lineRule="auto"/>
              <w:ind w:left="-5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6811" w:type="dxa"/>
            <w:tcBorders>
              <w:top w:val="single" w:color="000000" w:sz="4" w:space="0"/>
              <w:left w:val="single" w:color="000000" w:sz="4" w:space="0"/>
              <w:bottom w:val="single" w:color="auto" w:sz="4" w:space="0"/>
              <w:right w:val="single" w:color="000000" w:sz="4" w:space="0"/>
            </w:tcBorders>
            <w:noWrap/>
            <w:vAlign w:val="center"/>
          </w:tcPr>
          <w:p w14:paraId="1953FBB7">
            <w:pPr>
              <w:widowControl/>
              <w:rPr>
                <w:highlight w:val="none"/>
              </w:rPr>
            </w:pPr>
            <w:r>
              <w:rPr>
                <w:rFonts w:hint="eastAsia"/>
                <w:highlight w:val="none"/>
              </w:rPr>
              <w:t>针对本项目的前期实际情况调查，提出的现状、重点、难点分析及解决方案，以上方案</w:t>
            </w:r>
            <w:r>
              <w:rPr>
                <w:rFonts w:hint="eastAsia"/>
                <w:highlight w:val="none"/>
                <w:lang w:eastAsia="zh-CN"/>
              </w:rPr>
              <w:t>优劣</w:t>
            </w:r>
            <w:r>
              <w:rPr>
                <w:rFonts w:hint="eastAsia"/>
                <w:highlight w:val="none"/>
              </w:rPr>
              <w:t>由评委进行</w:t>
            </w:r>
            <w:r>
              <w:rPr>
                <w:rFonts w:hint="eastAsia"/>
                <w:highlight w:val="none"/>
                <w:lang w:eastAsia="zh-CN"/>
              </w:rPr>
              <w:t>分档</w:t>
            </w:r>
            <w:r>
              <w:rPr>
                <w:rFonts w:hint="eastAsia"/>
                <w:highlight w:val="none"/>
              </w:rPr>
              <w:t>打分：</w:t>
            </w:r>
          </w:p>
          <w:p w14:paraId="2B8791E2">
            <w:pPr>
              <w:widowControl/>
              <w:rPr>
                <w:rFonts w:hint="default"/>
                <w:highlight w:val="none"/>
                <w:lang w:val="en-US" w:eastAsia="zh-CN"/>
              </w:rPr>
            </w:pPr>
            <w:r>
              <w:rPr>
                <w:rFonts w:hint="eastAsia"/>
                <w:highlight w:val="none"/>
                <w:lang w:val="en-US" w:eastAsia="zh-CN"/>
              </w:rPr>
              <w:t>1、</w:t>
            </w:r>
            <w:r>
              <w:rPr>
                <w:rFonts w:hint="eastAsia"/>
                <w:highlight w:val="none"/>
              </w:rPr>
              <w:t>对本项目的现状描述清晰，对难点、要点了解深入，论述完整，重点突出，解决方案科学、合理、可操作性强</w:t>
            </w:r>
            <w:r>
              <w:rPr>
                <w:rFonts w:hint="eastAsia"/>
                <w:highlight w:val="none"/>
                <w:lang w:eastAsia="zh-CN"/>
              </w:rPr>
              <w:t>，得</w:t>
            </w:r>
            <w:r>
              <w:rPr>
                <w:rFonts w:hint="eastAsia"/>
                <w:highlight w:val="none"/>
                <w:lang w:val="en-US" w:eastAsia="zh-CN"/>
              </w:rPr>
              <w:t>5分；</w:t>
            </w:r>
          </w:p>
          <w:p w14:paraId="5359C834">
            <w:pPr>
              <w:widowControl/>
              <w:jc w:val="left"/>
              <w:rPr>
                <w:highlight w:val="none"/>
              </w:rPr>
            </w:pPr>
            <w:r>
              <w:rPr>
                <w:rFonts w:hint="eastAsia"/>
                <w:highlight w:val="none"/>
                <w:lang w:val="en-US" w:eastAsia="zh-CN"/>
              </w:rPr>
              <w:t>2、</w:t>
            </w:r>
            <w:r>
              <w:rPr>
                <w:rFonts w:hint="eastAsia"/>
                <w:highlight w:val="none"/>
              </w:rPr>
              <w:t>对本项目的现状描述基本清晰，对难点、要点认识基本全面，论述基本完整，解决方案基本科学、具有一定的可操作性</w:t>
            </w:r>
            <w:r>
              <w:rPr>
                <w:rFonts w:hint="eastAsia"/>
                <w:highlight w:val="none"/>
                <w:lang w:eastAsia="zh-CN"/>
              </w:rPr>
              <w:t>，得</w:t>
            </w:r>
            <w:r>
              <w:rPr>
                <w:rFonts w:hint="eastAsia"/>
                <w:highlight w:val="none"/>
                <w:lang w:val="en-US" w:eastAsia="zh-CN"/>
              </w:rPr>
              <w:t>3</w:t>
            </w:r>
            <w:r>
              <w:rPr>
                <w:rFonts w:hint="eastAsia"/>
                <w:highlight w:val="none"/>
              </w:rPr>
              <w:t>分</w:t>
            </w:r>
            <w:r>
              <w:rPr>
                <w:rFonts w:hint="eastAsia"/>
                <w:highlight w:val="none"/>
                <w:lang w:eastAsia="zh-CN"/>
              </w:rPr>
              <w:t>；</w:t>
            </w:r>
          </w:p>
          <w:p w14:paraId="67058083">
            <w:pPr>
              <w:widowControl/>
              <w:jc w:val="left"/>
              <w:rPr>
                <w:rFonts w:hint="eastAsia"/>
                <w:highlight w:val="none"/>
                <w:lang w:eastAsia="zh-CN"/>
              </w:rPr>
            </w:pPr>
            <w:r>
              <w:rPr>
                <w:rFonts w:hint="eastAsia"/>
                <w:highlight w:val="none"/>
                <w:lang w:val="en-US" w:eastAsia="zh-CN"/>
              </w:rPr>
              <w:t>3、</w:t>
            </w:r>
            <w:r>
              <w:rPr>
                <w:rFonts w:hint="eastAsia"/>
                <w:highlight w:val="none"/>
              </w:rPr>
              <w:t>对本项目的现状、对重点、难点认识不全面，论述不完整清晰，或解决方案不科学、不具可操作性</w:t>
            </w:r>
            <w:r>
              <w:rPr>
                <w:rFonts w:hint="eastAsia"/>
                <w:highlight w:val="none"/>
                <w:lang w:eastAsia="zh-CN"/>
              </w:rPr>
              <w:t>，得</w:t>
            </w:r>
            <w:r>
              <w:rPr>
                <w:rFonts w:hint="eastAsia"/>
                <w:highlight w:val="none"/>
                <w:lang w:val="en-US" w:eastAsia="zh-CN"/>
              </w:rPr>
              <w:t>1</w:t>
            </w:r>
            <w:r>
              <w:rPr>
                <w:rFonts w:hint="eastAsia"/>
                <w:highlight w:val="none"/>
              </w:rPr>
              <w:t>分</w:t>
            </w:r>
            <w:r>
              <w:rPr>
                <w:rFonts w:hint="eastAsia"/>
                <w:highlight w:val="none"/>
                <w:lang w:eastAsia="zh-CN"/>
              </w:rPr>
              <w:t>；</w:t>
            </w:r>
          </w:p>
          <w:p w14:paraId="53C9E62F">
            <w:pPr>
              <w:widowControl/>
              <w:jc w:val="left"/>
              <w:rPr>
                <w:highlight w:val="none"/>
              </w:rPr>
            </w:pPr>
            <w:r>
              <w:rPr>
                <w:rFonts w:hint="eastAsia"/>
                <w:highlight w:val="none"/>
                <w:lang w:val="en-US" w:eastAsia="zh-CN"/>
              </w:rPr>
              <w:t>4、</w:t>
            </w:r>
            <w:r>
              <w:rPr>
                <w:rFonts w:hint="eastAsia"/>
                <w:highlight w:val="none"/>
                <w:lang w:eastAsia="zh-CN"/>
              </w:rPr>
              <w:t>未提交则不得</w:t>
            </w:r>
            <w:r>
              <w:rPr>
                <w:rFonts w:hint="eastAsia"/>
                <w:highlight w:val="none"/>
              </w:rPr>
              <w:t>分</w:t>
            </w:r>
            <w:r>
              <w:rPr>
                <w:rFonts w:hint="eastAsia"/>
                <w:highlight w:val="none"/>
                <w:lang w:eastAsia="zh-CN"/>
              </w:rPr>
              <w:t>。</w:t>
            </w:r>
          </w:p>
        </w:tc>
      </w:tr>
      <w:tr w14:paraId="415EE7B8">
        <w:tblPrEx>
          <w:tblCellMar>
            <w:top w:w="0" w:type="dxa"/>
            <w:left w:w="108" w:type="dxa"/>
            <w:bottom w:w="0" w:type="dxa"/>
            <w:right w:w="108" w:type="dxa"/>
          </w:tblCellMar>
        </w:tblPrEx>
        <w:trPr>
          <w:trHeight w:val="2483" w:hRule="exact"/>
          <w:jc w:val="center"/>
        </w:trPr>
        <w:tc>
          <w:tcPr>
            <w:tcW w:w="630" w:type="dxa"/>
            <w:tcBorders>
              <w:top w:val="single" w:color="auto" w:sz="4" w:space="0"/>
              <w:left w:val="single" w:color="auto" w:sz="4" w:space="0"/>
              <w:bottom w:val="single" w:color="auto" w:sz="4" w:space="0"/>
              <w:right w:val="single" w:color="auto" w:sz="4" w:space="0"/>
            </w:tcBorders>
            <w:noWrap/>
            <w:vAlign w:val="center"/>
          </w:tcPr>
          <w:p w14:paraId="492F30DA">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2</w:t>
            </w:r>
          </w:p>
        </w:tc>
        <w:tc>
          <w:tcPr>
            <w:tcW w:w="1853" w:type="dxa"/>
            <w:tcBorders>
              <w:top w:val="single" w:color="auto" w:sz="4" w:space="0"/>
              <w:left w:val="single" w:color="auto" w:sz="4" w:space="0"/>
              <w:bottom w:val="single" w:color="auto" w:sz="4" w:space="0"/>
              <w:right w:val="single" w:color="auto" w:sz="4" w:space="0"/>
            </w:tcBorders>
            <w:noWrap/>
            <w:vAlign w:val="center"/>
          </w:tcPr>
          <w:p w14:paraId="4CFDEA8E">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highlight w:val="none"/>
              </w:rPr>
              <w:t>项目实施方案</w:t>
            </w:r>
          </w:p>
        </w:tc>
        <w:tc>
          <w:tcPr>
            <w:tcW w:w="675" w:type="dxa"/>
            <w:tcBorders>
              <w:top w:val="single" w:color="auto" w:sz="4" w:space="0"/>
              <w:left w:val="single" w:color="auto" w:sz="4" w:space="0"/>
              <w:bottom w:val="single" w:color="auto" w:sz="4" w:space="0"/>
              <w:right w:val="single" w:color="auto" w:sz="4" w:space="0"/>
            </w:tcBorders>
            <w:noWrap/>
            <w:vAlign w:val="center"/>
          </w:tcPr>
          <w:p w14:paraId="426F6930">
            <w:pPr>
              <w:pStyle w:val="2"/>
              <w:ind w:firstLine="200"/>
              <w:rPr>
                <w:rFonts w:ascii="宋体" w:hAnsi="宋体" w:eastAsia="宋体" w:cs="宋体"/>
                <w:highlight w:val="none"/>
              </w:rPr>
            </w:pPr>
            <w:r>
              <w:rPr>
                <w:rFonts w:hint="eastAsia" w:ascii="宋体" w:hAnsi="宋体" w:eastAsia="宋体" w:cs="宋体"/>
                <w:szCs w:val="21"/>
                <w:highlight w:val="none"/>
                <w:lang w:val="en-US" w:eastAsia="zh-CN"/>
              </w:rPr>
              <w:t>5</w:t>
            </w:r>
          </w:p>
        </w:tc>
        <w:tc>
          <w:tcPr>
            <w:tcW w:w="6811" w:type="dxa"/>
            <w:tcBorders>
              <w:top w:val="single" w:color="auto" w:sz="4" w:space="0"/>
              <w:left w:val="single" w:color="auto" w:sz="4" w:space="0"/>
              <w:bottom w:val="single" w:color="auto" w:sz="4" w:space="0"/>
              <w:right w:val="single" w:color="auto" w:sz="4" w:space="0"/>
            </w:tcBorders>
            <w:noWrap/>
          </w:tcPr>
          <w:p w14:paraId="004ED2C3">
            <w:pPr>
              <w:widowControl/>
              <w:jc w:val="left"/>
              <w:rPr>
                <w:rFonts w:hint="eastAsia"/>
                <w:highlight w:val="none"/>
                <w:lang w:val="en-US" w:eastAsia="zh-CN"/>
              </w:rPr>
            </w:pPr>
            <w:r>
              <w:rPr>
                <w:rFonts w:hint="eastAsia"/>
                <w:highlight w:val="none"/>
                <w:lang w:val="en-US" w:eastAsia="zh-CN"/>
              </w:rPr>
              <w:t>针对本项目的岗位设置、人员配置</w:t>
            </w:r>
            <w:r>
              <w:rPr>
                <w:rFonts w:hint="eastAsia" w:ascii="宋体" w:hAnsi="宋体" w:eastAsia="宋体" w:cs="宋体"/>
                <w:color w:val="auto"/>
                <w:szCs w:val="21"/>
                <w:highlight w:val="none"/>
              </w:rPr>
              <w:t>、时间安排、投诉处理、内部考核、质量保证</w:t>
            </w:r>
            <w:r>
              <w:rPr>
                <w:rFonts w:hint="eastAsia"/>
                <w:highlight w:val="none"/>
                <w:lang w:val="en-US" w:eastAsia="zh-CN"/>
              </w:rPr>
              <w:t>等方案优劣由评委进行分档打分：</w:t>
            </w:r>
          </w:p>
          <w:p w14:paraId="5B88063B">
            <w:pPr>
              <w:widowControl/>
              <w:jc w:val="left"/>
              <w:rPr>
                <w:rFonts w:hint="eastAsia"/>
                <w:highlight w:val="none"/>
                <w:lang w:val="en-US" w:eastAsia="zh-CN"/>
              </w:rPr>
            </w:pPr>
            <w:r>
              <w:rPr>
                <w:rFonts w:hint="eastAsia"/>
                <w:highlight w:val="none"/>
                <w:lang w:val="en-US" w:eastAsia="zh-CN"/>
              </w:rPr>
              <w:t>1、实施方案内容全面合理、服务目标明确、针对性强，优势突出，利于项目实施，得5分；</w:t>
            </w:r>
          </w:p>
          <w:p w14:paraId="614565FF">
            <w:pPr>
              <w:widowControl/>
              <w:jc w:val="left"/>
              <w:rPr>
                <w:rFonts w:hint="eastAsia"/>
                <w:highlight w:val="none"/>
                <w:lang w:val="en-US" w:eastAsia="zh-CN"/>
              </w:rPr>
            </w:pPr>
            <w:r>
              <w:rPr>
                <w:rFonts w:hint="eastAsia"/>
                <w:highlight w:val="none"/>
                <w:lang w:val="en-US" w:eastAsia="zh-CN"/>
              </w:rPr>
              <w:t>2、实施方案内容描述基本清晰，设置基本科学合理，有一定的可操作性强，得3分；</w:t>
            </w:r>
          </w:p>
          <w:p w14:paraId="010C84A3">
            <w:pPr>
              <w:widowControl/>
              <w:jc w:val="left"/>
              <w:rPr>
                <w:rFonts w:hint="eastAsia"/>
                <w:highlight w:val="none"/>
                <w:lang w:val="en-US" w:eastAsia="zh-CN"/>
              </w:rPr>
            </w:pPr>
            <w:r>
              <w:rPr>
                <w:rFonts w:hint="eastAsia"/>
                <w:highlight w:val="none"/>
                <w:lang w:val="en-US" w:eastAsia="zh-CN"/>
              </w:rPr>
              <w:t>3、实施方案内容不全面或不具有针对性，或设置不科学合理，不具可操作性，得1分；</w:t>
            </w:r>
          </w:p>
          <w:p w14:paraId="0DD5338B">
            <w:pPr>
              <w:widowControl/>
              <w:jc w:val="left"/>
              <w:rPr>
                <w:rFonts w:hint="eastAsia"/>
                <w:highlight w:val="none"/>
                <w:lang w:val="en-US" w:eastAsia="zh-CN"/>
              </w:rPr>
            </w:pPr>
            <w:r>
              <w:rPr>
                <w:rFonts w:hint="eastAsia"/>
                <w:highlight w:val="none"/>
                <w:lang w:val="en-US" w:eastAsia="zh-CN"/>
              </w:rPr>
              <w:t>4、未提交则不得分。</w:t>
            </w:r>
          </w:p>
        </w:tc>
      </w:tr>
      <w:tr w14:paraId="7EE6665E">
        <w:tblPrEx>
          <w:tblCellMar>
            <w:top w:w="0" w:type="dxa"/>
            <w:left w:w="108" w:type="dxa"/>
            <w:bottom w:w="0" w:type="dxa"/>
            <w:right w:w="108" w:type="dxa"/>
          </w:tblCellMar>
        </w:tblPrEx>
        <w:trPr>
          <w:trHeight w:val="2217" w:hRule="exact"/>
          <w:jc w:val="center"/>
        </w:trPr>
        <w:tc>
          <w:tcPr>
            <w:tcW w:w="630" w:type="dxa"/>
            <w:tcBorders>
              <w:top w:val="single" w:color="auto" w:sz="4" w:space="0"/>
              <w:left w:val="single" w:color="000000" w:sz="4" w:space="0"/>
              <w:bottom w:val="single" w:color="000000" w:sz="4" w:space="0"/>
              <w:right w:val="single" w:color="000000" w:sz="4" w:space="0"/>
            </w:tcBorders>
            <w:noWrap/>
            <w:vAlign w:val="center"/>
          </w:tcPr>
          <w:p w14:paraId="06F58279">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3</w:t>
            </w:r>
          </w:p>
        </w:tc>
        <w:tc>
          <w:tcPr>
            <w:tcW w:w="1853" w:type="dxa"/>
            <w:tcBorders>
              <w:top w:val="single" w:color="auto" w:sz="4" w:space="0"/>
              <w:left w:val="single" w:color="000000" w:sz="4" w:space="0"/>
              <w:bottom w:val="single" w:color="000000" w:sz="4" w:space="0"/>
              <w:right w:val="single" w:color="000000" w:sz="4" w:space="0"/>
            </w:tcBorders>
            <w:noWrap/>
            <w:vAlign w:val="center"/>
          </w:tcPr>
          <w:p w14:paraId="17BE7624">
            <w:pPr>
              <w:adjustRightInd w:val="0"/>
              <w:snapToGrid w:val="0"/>
              <w:spacing w:line="400" w:lineRule="exact"/>
              <w:jc w:val="center"/>
              <w:rPr>
                <w:rFonts w:ascii="宋体" w:hAnsi="宋体" w:eastAsia="宋体" w:cs="宋体"/>
                <w:szCs w:val="21"/>
                <w:highlight w:val="none"/>
              </w:rPr>
            </w:pPr>
            <w:r>
              <w:rPr>
                <w:rFonts w:hint="eastAsia" w:ascii="宋体" w:hAnsi="宋体" w:eastAsia="宋体" w:cs="宋体"/>
                <w:szCs w:val="21"/>
                <w:highlight w:val="none"/>
              </w:rPr>
              <w:t>保证项目和项目完成的</w:t>
            </w:r>
            <w:r>
              <w:rPr>
                <w:rFonts w:hint="eastAsia" w:ascii="宋体" w:hAnsi="宋体" w:eastAsia="宋体" w:cs="宋体"/>
                <w:szCs w:val="21"/>
                <w:highlight w:val="none"/>
                <w:lang w:val="en-US" w:eastAsia="zh-CN"/>
              </w:rPr>
              <w:t>监管</w:t>
            </w:r>
            <w:r>
              <w:rPr>
                <w:rFonts w:hint="eastAsia" w:ascii="宋体" w:hAnsi="宋体" w:eastAsia="宋体" w:cs="宋体"/>
                <w:szCs w:val="21"/>
                <w:highlight w:val="none"/>
              </w:rPr>
              <w:t>方案</w:t>
            </w:r>
          </w:p>
        </w:tc>
        <w:tc>
          <w:tcPr>
            <w:tcW w:w="675" w:type="dxa"/>
            <w:tcBorders>
              <w:top w:val="single" w:color="auto" w:sz="4" w:space="0"/>
              <w:left w:val="single" w:color="000000" w:sz="4" w:space="0"/>
              <w:bottom w:val="single" w:color="000000" w:sz="4" w:space="0"/>
              <w:right w:val="single" w:color="000000" w:sz="4" w:space="0"/>
            </w:tcBorders>
            <w:noWrap/>
            <w:vAlign w:val="center"/>
          </w:tcPr>
          <w:p w14:paraId="123BCC23">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6811" w:type="dxa"/>
            <w:tcBorders>
              <w:top w:val="single" w:color="auto" w:sz="4" w:space="0"/>
              <w:left w:val="single" w:color="000000" w:sz="4" w:space="0"/>
              <w:bottom w:val="single" w:color="000000" w:sz="4" w:space="0"/>
              <w:right w:val="single" w:color="000000" w:sz="4" w:space="0"/>
            </w:tcBorders>
            <w:noWrap/>
          </w:tcPr>
          <w:p w14:paraId="7D6DAA63">
            <w:pPr>
              <w:widowControl/>
              <w:jc w:val="left"/>
              <w:rPr>
                <w:rFonts w:hint="eastAsia"/>
                <w:highlight w:val="none"/>
                <w:lang w:val="en-US" w:eastAsia="zh-CN"/>
              </w:rPr>
            </w:pPr>
            <w:r>
              <w:rPr>
                <w:rFonts w:hint="eastAsia"/>
                <w:highlight w:val="none"/>
                <w:lang w:val="en-US" w:eastAsia="zh-CN"/>
              </w:rPr>
              <w:t>针对项目</w:t>
            </w:r>
            <w:r>
              <w:rPr>
                <w:rFonts w:hint="eastAsia" w:ascii="宋体" w:hAnsi="宋体" w:eastAsia="宋体" w:cs="宋体"/>
                <w:color w:val="auto"/>
                <w:szCs w:val="21"/>
                <w:highlight w:val="none"/>
              </w:rPr>
              <w:t>服务监管</w:t>
            </w:r>
            <w:r>
              <w:rPr>
                <w:rFonts w:hint="eastAsia"/>
                <w:highlight w:val="none"/>
                <w:lang w:val="en-US" w:eastAsia="zh-CN"/>
              </w:rPr>
              <w:t>、考核内容执行、实际配合、违约责任等情况设置相应的监管方案，以上方案优劣由评委进行分档打分：</w:t>
            </w:r>
          </w:p>
          <w:p w14:paraId="66E9F828">
            <w:pPr>
              <w:widowControl/>
              <w:jc w:val="left"/>
              <w:rPr>
                <w:rFonts w:hint="eastAsia"/>
                <w:highlight w:val="none"/>
                <w:lang w:val="en-US" w:eastAsia="zh-CN"/>
              </w:rPr>
            </w:pPr>
            <w:r>
              <w:rPr>
                <w:rFonts w:hint="eastAsia"/>
                <w:highlight w:val="none"/>
                <w:lang w:val="en-US" w:eastAsia="zh-CN"/>
              </w:rPr>
              <w:t>1、整体安排合理，有明确的时间节点规划，工作任务明确、责任落实到位，得5分；</w:t>
            </w:r>
          </w:p>
          <w:p w14:paraId="019B67B2">
            <w:pPr>
              <w:widowControl/>
              <w:jc w:val="left"/>
              <w:rPr>
                <w:rFonts w:hint="eastAsia"/>
                <w:highlight w:val="none"/>
                <w:lang w:val="en-US" w:eastAsia="zh-CN"/>
              </w:rPr>
            </w:pPr>
            <w:r>
              <w:rPr>
                <w:rFonts w:hint="eastAsia"/>
                <w:highlight w:val="none"/>
                <w:lang w:val="en-US" w:eastAsia="zh-CN"/>
              </w:rPr>
              <w:t>2、整体安排基本合理，工作任务基本明确、有一定实施的空间，得3分；</w:t>
            </w:r>
          </w:p>
          <w:p w14:paraId="3E3F72A7">
            <w:pPr>
              <w:widowControl/>
              <w:jc w:val="left"/>
              <w:rPr>
                <w:rFonts w:hint="eastAsia"/>
                <w:highlight w:val="none"/>
                <w:lang w:val="en-US" w:eastAsia="zh-CN"/>
              </w:rPr>
            </w:pPr>
            <w:r>
              <w:rPr>
                <w:rFonts w:hint="eastAsia"/>
                <w:highlight w:val="none"/>
                <w:lang w:val="en-US" w:eastAsia="zh-CN"/>
              </w:rPr>
              <w:t>3、整体安排不合理，或没有有明确的实际方案，或工作任务不明确，得1分；</w:t>
            </w:r>
          </w:p>
          <w:p w14:paraId="3FF49D4F">
            <w:pPr>
              <w:widowControl/>
              <w:jc w:val="left"/>
              <w:rPr>
                <w:rFonts w:hint="eastAsia"/>
                <w:highlight w:val="none"/>
                <w:lang w:val="en-US" w:eastAsia="zh-CN"/>
              </w:rPr>
            </w:pPr>
            <w:r>
              <w:rPr>
                <w:rFonts w:hint="eastAsia"/>
                <w:highlight w:val="none"/>
                <w:lang w:val="en-US" w:eastAsia="zh-CN"/>
              </w:rPr>
              <w:t>4、未提交则不得分。</w:t>
            </w:r>
          </w:p>
          <w:p w14:paraId="583F968E">
            <w:pPr>
              <w:widowControl/>
              <w:jc w:val="left"/>
              <w:rPr>
                <w:rFonts w:hint="eastAsia"/>
                <w:highlight w:val="none"/>
                <w:lang w:val="en-US" w:eastAsia="zh-CN"/>
              </w:rPr>
            </w:pPr>
          </w:p>
        </w:tc>
      </w:tr>
      <w:tr w14:paraId="58C869A7">
        <w:tblPrEx>
          <w:tblCellMar>
            <w:top w:w="0" w:type="dxa"/>
            <w:left w:w="108" w:type="dxa"/>
            <w:bottom w:w="0" w:type="dxa"/>
            <w:right w:w="108" w:type="dxa"/>
          </w:tblCellMar>
        </w:tblPrEx>
        <w:trPr>
          <w:trHeight w:val="2004"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19C9E6D1">
            <w:pPr>
              <w:widowControl/>
              <w:ind w:left="-50"/>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04D8341">
            <w:pPr>
              <w:widowControl/>
              <w:jc w:val="center"/>
              <w:rPr>
                <w:rFonts w:ascii="宋体" w:hAnsi="宋体" w:eastAsia="宋体" w:cs="宋体"/>
                <w:szCs w:val="21"/>
                <w:highlight w:val="none"/>
              </w:rPr>
            </w:pPr>
            <w:r>
              <w:rPr>
                <w:rFonts w:hint="eastAsia" w:ascii="宋体" w:hAnsi="宋体" w:cs="宋体"/>
                <w:szCs w:val="21"/>
                <w:highlight w:val="none"/>
              </w:rPr>
              <w:t>针对本项目的车辆、设备维保方案及措施</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911914">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6811" w:type="dxa"/>
            <w:tcBorders>
              <w:top w:val="single" w:color="000000" w:sz="4" w:space="0"/>
              <w:left w:val="single" w:color="000000" w:sz="4" w:space="0"/>
              <w:bottom w:val="single" w:color="000000" w:sz="4" w:space="0"/>
              <w:right w:val="single" w:color="000000" w:sz="4" w:space="0"/>
            </w:tcBorders>
            <w:noWrap/>
          </w:tcPr>
          <w:p w14:paraId="52C726CB">
            <w:pPr>
              <w:widowControl/>
              <w:jc w:val="left"/>
              <w:rPr>
                <w:rFonts w:hint="eastAsia"/>
                <w:highlight w:val="none"/>
                <w:lang w:val="en-US" w:eastAsia="zh-CN"/>
              </w:rPr>
            </w:pPr>
            <w:r>
              <w:rPr>
                <w:rFonts w:hint="eastAsia"/>
                <w:highlight w:val="none"/>
                <w:lang w:val="en-US" w:eastAsia="zh-CN"/>
              </w:rPr>
              <w:t>车辆和设备维保的方案合理性进行打分，针对以上方案由评委进行分档打分：</w:t>
            </w:r>
          </w:p>
          <w:p w14:paraId="606C590D">
            <w:pPr>
              <w:widowControl/>
              <w:jc w:val="left"/>
              <w:rPr>
                <w:rFonts w:hint="eastAsia"/>
                <w:highlight w:val="none"/>
                <w:lang w:val="en-US" w:eastAsia="zh-CN"/>
              </w:rPr>
            </w:pPr>
            <w:r>
              <w:rPr>
                <w:rFonts w:hint="eastAsia"/>
                <w:highlight w:val="none"/>
                <w:lang w:val="en-US" w:eastAsia="zh-CN"/>
              </w:rPr>
              <w:t>1、车辆及设备维保方案规划合理，问题考虑充分，得5分；</w:t>
            </w:r>
          </w:p>
          <w:p w14:paraId="259D4764">
            <w:pPr>
              <w:widowControl/>
              <w:jc w:val="left"/>
              <w:rPr>
                <w:rFonts w:hint="eastAsia"/>
                <w:highlight w:val="none"/>
                <w:lang w:val="en-US" w:eastAsia="zh-CN"/>
              </w:rPr>
            </w:pPr>
            <w:r>
              <w:rPr>
                <w:rFonts w:hint="eastAsia"/>
                <w:highlight w:val="none"/>
                <w:lang w:val="en-US" w:eastAsia="zh-CN"/>
              </w:rPr>
              <w:t>2、车辆及设备维保方案规划基本合理，有较大的完善空间，得3分；</w:t>
            </w:r>
          </w:p>
          <w:p w14:paraId="637E5CDA">
            <w:pPr>
              <w:widowControl/>
              <w:jc w:val="left"/>
              <w:rPr>
                <w:rFonts w:hint="eastAsia"/>
                <w:highlight w:val="none"/>
                <w:lang w:val="en-US" w:eastAsia="zh-CN"/>
              </w:rPr>
            </w:pPr>
            <w:r>
              <w:rPr>
                <w:rFonts w:hint="eastAsia"/>
                <w:highlight w:val="none"/>
                <w:lang w:val="en-US" w:eastAsia="zh-CN"/>
              </w:rPr>
              <w:t>3、有车辆及设备维保方案，安排不合理或未对相细节情况进行分析阐述，得1分；</w:t>
            </w:r>
          </w:p>
          <w:p w14:paraId="4724270C">
            <w:pPr>
              <w:widowControl/>
              <w:jc w:val="left"/>
              <w:rPr>
                <w:rFonts w:hint="eastAsia"/>
                <w:highlight w:val="none"/>
                <w:lang w:val="en-US" w:eastAsia="zh-CN"/>
              </w:rPr>
            </w:pPr>
            <w:r>
              <w:rPr>
                <w:rFonts w:hint="eastAsia"/>
                <w:highlight w:val="none"/>
                <w:lang w:val="en-US" w:eastAsia="zh-CN"/>
              </w:rPr>
              <w:t>4、未提交则不得分。</w:t>
            </w:r>
          </w:p>
        </w:tc>
      </w:tr>
      <w:tr w14:paraId="072AD724">
        <w:tblPrEx>
          <w:tblCellMar>
            <w:top w:w="0" w:type="dxa"/>
            <w:left w:w="108" w:type="dxa"/>
            <w:bottom w:w="0" w:type="dxa"/>
            <w:right w:w="108" w:type="dxa"/>
          </w:tblCellMar>
        </w:tblPrEx>
        <w:trPr>
          <w:trHeight w:val="1832"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035CE6D">
            <w:pPr>
              <w:widowControl/>
              <w:ind w:left="-5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5</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659ABED">
            <w:pPr>
              <w:widowControl/>
              <w:jc w:val="center"/>
              <w:rPr>
                <w:rFonts w:ascii="宋体" w:hAnsi="宋体" w:eastAsia="宋体" w:cs="宋体"/>
                <w:kern w:val="28"/>
                <w:szCs w:val="21"/>
                <w:highlight w:val="none"/>
              </w:rPr>
            </w:pPr>
            <w:r>
              <w:rPr>
                <w:rFonts w:hint="eastAsia" w:ascii="宋体" w:hAnsi="宋体" w:eastAsia="宋体" w:cs="宋体"/>
                <w:kern w:val="28"/>
                <w:szCs w:val="21"/>
                <w:highlight w:val="none"/>
              </w:rPr>
              <w:t>针对本项目突发事件的响应、处理方案及处理能力</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91F061A">
            <w:pPr>
              <w:adjustRightInd w:val="0"/>
              <w:snapToGrid w:val="0"/>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6811" w:type="dxa"/>
            <w:tcBorders>
              <w:top w:val="single" w:color="000000" w:sz="4" w:space="0"/>
              <w:left w:val="single" w:color="000000" w:sz="4" w:space="0"/>
              <w:bottom w:val="single" w:color="000000" w:sz="4" w:space="0"/>
              <w:right w:val="single" w:color="000000" w:sz="4" w:space="0"/>
            </w:tcBorders>
            <w:noWrap/>
          </w:tcPr>
          <w:p w14:paraId="52223BE2">
            <w:pPr>
              <w:widowControl/>
              <w:jc w:val="left"/>
              <w:rPr>
                <w:rFonts w:hint="eastAsia"/>
                <w:highlight w:val="none"/>
                <w:lang w:val="en-US" w:eastAsia="zh-CN"/>
              </w:rPr>
            </w:pPr>
            <w:r>
              <w:rPr>
                <w:rFonts w:hint="eastAsia"/>
                <w:highlight w:val="none"/>
                <w:lang w:val="en-US" w:eastAsia="zh-CN"/>
              </w:rPr>
              <w:t>对突发事情（包括但不限于重大活动、</w:t>
            </w:r>
            <w:r>
              <w:rPr>
                <w:rFonts w:ascii="宋体" w:hAnsi="宋体" w:eastAsia="宋体" w:cs="宋体"/>
                <w:szCs w:val="21"/>
                <w:highlight w:val="none"/>
              </w:rPr>
              <w:t>公共卫生突发事件、</w:t>
            </w:r>
            <w:r>
              <w:rPr>
                <w:rFonts w:hint="eastAsia" w:ascii="宋体" w:hAnsi="宋体" w:eastAsia="宋体" w:cs="宋体"/>
                <w:szCs w:val="21"/>
                <w:highlight w:val="none"/>
              </w:rPr>
              <w:t>疫情病害、</w:t>
            </w:r>
            <w:r>
              <w:rPr>
                <w:rFonts w:hint="eastAsia" w:ascii="宋体" w:hAnsi="宋体" w:eastAsia="宋体" w:cs="宋体"/>
                <w:szCs w:val="21"/>
                <w:highlight w:val="none"/>
                <w:lang w:val="en-US" w:eastAsia="zh-CN"/>
              </w:rPr>
              <w:t>站点临时停运</w:t>
            </w:r>
            <w:r>
              <w:rPr>
                <w:rFonts w:hint="eastAsia"/>
                <w:highlight w:val="none"/>
                <w:lang w:val="en-US" w:eastAsia="zh-CN"/>
              </w:rPr>
              <w:t>、自然灾害、重大安全事故等）的响应及处理方案针对以上方案由评委进行分档打分：</w:t>
            </w:r>
          </w:p>
          <w:p w14:paraId="28AC6960">
            <w:pPr>
              <w:widowControl/>
              <w:jc w:val="left"/>
              <w:rPr>
                <w:rFonts w:hint="eastAsia"/>
                <w:highlight w:val="none"/>
                <w:lang w:val="en-US" w:eastAsia="zh-CN"/>
              </w:rPr>
            </w:pPr>
            <w:r>
              <w:rPr>
                <w:rFonts w:hint="eastAsia"/>
                <w:highlight w:val="none"/>
                <w:lang w:val="en-US" w:eastAsia="zh-CN"/>
              </w:rPr>
              <w:t>1、应急预案的内容全面、清晰，响应措施科学合理、可操作性强，得5分；</w:t>
            </w:r>
          </w:p>
          <w:p w14:paraId="596DE587">
            <w:pPr>
              <w:widowControl/>
              <w:jc w:val="left"/>
              <w:rPr>
                <w:rFonts w:hint="eastAsia"/>
                <w:highlight w:val="none"/>
                <w:lang w:val="en-US" w:eastAsia="zh-CN"/>
              </w:rPr>
            </w:pPr>
            <w:r>
              <w:rPr>
                <w:rFonts w:hint="eastAsia"/>
                <w:highlight w:val="none"/>
                <w:lang w:val="en-US" w:eastAsia="zh-CN"/>
              </w:rPr>
              <w:t>2、应急预案的内容基本全面、清晰，响应措施基本合理、具有一定的可操作性，得3分；</w:t>
            </w:r>
          </w:p>
          <w:p w14:paraId="2E3026B8">
            <w:pPr>
              <w:widowControl/>
              <w:jc w:val="left"/>
              <w:rPr>
                <w:rFonts w:hint="eastAsia"/>
                <w:highlight w:val="none"/>
                <w:lang w:val="en-US" w:eastAsia="zh-CN"/>
              </w:rPr>
            </w:pPr>
            <w:r>
              <w:rPr>
                <w:rFonts w:hint="eastAsia"/>
                <w:highlight w:val="none"/>
                <w:lang w:val="en-US" w:eastAsia="zh-CN"/>
              </w:rPr>
              <w:t>3、应急预案的内容不全面，或响应措施不合理、可操作性一般，得1分；</w:t>
            </w:r>
          </w:p>
          <w:p w14:paraId="2390EED1">
            <w:pPr>
              <w:widowControl/>
              <w:jc w:val="left"/>
              <w:rPr>
                <w:rFonts w:hint="eastAsia"/>
                <w:highlight w:val="none"/>
                <w:lang w:val="en-US" w:eastAsia="zh-CN"/>
              </w:rPr>
            </w:pPr>
            <w:r>
              <w:rPr>
                <w:rFonts w:hint="eastAsia"/>
                <w:highlight w:val="none"/>
                <w:lang w:val="en-US" w:eastAsia="zh-CN"/>
              </w:rPr>
              <w:t>4、未提交则不得分。</w:t>
            </w:r>
          </w:p>
        </w:tc>
      </w:tr>
      <w:tr w14:paraId="5AB0D6F5">
        <w:tblPrEx>
          <w:tblCellMar>
            <w:top w:w="0" w:type="dxa"/>
            <w:left w:w="108" w:type="dxa"/>
            <w:bottom w:w="0" w:type="dxa"/>
            <w:right w:w="108" w:type="dxa"/>
          </w:tblCellMar>
        </w:tblPrEx>
        <w:trPr>
          <w:trHeight w:val="3408"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5E37436">
            <w:pPr>
              <w:widowControl/>
              <w:ind w:left="-5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6</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1CB4E7C">
            <w:pPr>
              <w:widowControl/>
              <w:spacing w:line="340" w:lineRule="exact"/>
              <w:ind w:left="-5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后勤服务保障</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E92587D">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p>
        </w:tc>
        <w:tc>
          <w:tcPr>
            <w:tcW w:w="6811" w:type="dxa"/>
            <w:tcBorders>
              <w:top w:val="single" w:color="000000" w:sz="4" w:space="0"/>
              <w:left w:val="single" w:color="000000" w:sz="4" w:space="0"/>
              <w:bottom w:val="single" w:color="000000" w:sz="4" w:space="0"/>
              <w:right w:val="single" w:color="000000" w:sz="4" w:space="0"/>
            </w:tcBorders>
            <w:noWrap/>
            <w:vAlign w:val="center"/>
          </w:tcPr>
          <w:p w14:paraId="1826F1D8">
            <w:pPr>
              <w:widowControl/>
              <w:ind w:left="-50"/>
              <w:jc w:val="left"/>
              <w:rPr>
                <w:rFonts w:hint="eastAsia" w:ascii="宋体" w:hAnsi="宋体" w:eastAsia="宋体" w:cs="宋体"/>
                <w:kern w:val="28"/>
                <w:szCs w:val="21"/>
                <w:highlight w:val="none"/>
              </w:rPr>
            </w:pPr>
            <w:r>
              <w:rPr>
                <w:rFonts w:hint="eastAsia" w:ascii="宋体" w:hAnsi="宋体" w:eastAsia="宋体" w:cs="宋体"/>
                <w:kern w:val="0"/>
                <w:szCs w:val="21"/>
                <w:highlight w:val="none"/>
              </w:rPr>
              <w:t>后勤服务保障（包括</w:t>
            </w:r>
            <w:r>
              <w:rPr>
                <w:rFonts w:hint="eastAsia" w:ascii="宋体" w:hAnsi="宋体" w:eastAsia="宋体" w:cs="宋体"/>
                <w:kern w:val="0"/>
                <w:szCs w:val="21"/>
                <w:highlight w:val="none"/>
                <w:lang w:val="en-US" w:eastAsia="zh-CN"/>
              </w:rPr>
              <w:t>辖区划分方案、</w:t>
            </w:r>
            <w:r>
              <w:rPr>
                <w:rFonts w:hint="eastAsia" w:ascii="宋体" w:hAnsi="宋体" w:eastAsia="宋体" w:cs="宋体"/>
                <w:kern w:val="0"/>
                <w:szCs w:val="21"/>
                <w:highlight w:val="none"/>
              </w:rPr>
              <w:t>管理机构</w:t>
            </w:r>
            <w:r>
              <w:rPr>
                <w:rFonts w:hint="eastAsia" w:ascii="宋体" w:hAnsi="宋体" w:eastAsia="宋体" w:cs="宋体"/>
                <w:kern w:val="0"/>
                <w:szCs w:val="21"/>
                <w:highlight w:val="none"/>
                <w:lang w:val="en-US" w:eastAsia="zh-CN"/>
              </w:rPr>
              <w:t>设置</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后勤保障</w:t>
            </w:r>
            <w:r>
              <w:rPr>
                <w:rFonts w:hint="eastAsia" w:ascii="宋体" w:hAnsi="宋体" w:eastAsia="宋体" w:cs="宋体"/>
                <w:kern w:val="0"/>
                <w:szCs w:val="21"/>
                <w:highlight w:val="none"/>
                <w:lang w:eastAsia="zh-CN"/>
              </w:rPr>
              <w:t>、</w:t>
            </w:r>
            <w:r>
              <w:rPr>
                <w:rFonts w:ascii="Arial" w:hAnsi="Arial" w:eastAsia="宋体" w:cs="Arial"/>
                <w:b w:val="0"/>
                <w:bCs/>
                <w:color w:val="auto"/>
                <w:sz w:val="22"/>
                <w:szCs w:val="22"/>
                <w:highlight w:val="none"/>
              </w:rPr>
              <w:t>车辆维修</w:t>
            </w:r>
            <w:r>
              <w:rPr>
                <w:rFonts w:hint="eastAsia" w:ascii="Arial" w:hAnsi="Arial" w:eastAsia="宋体" w:cs="Arial"/>
                <w:b w:val="0"/>
                <w:bCs/>
                <w:color w:val="auto"/>
                <w:sz w:val="22"/>
                <w:szCs w:val="22"/>
                <w:highlight w:val="none"/>
                <w:lang w:val="en-US" w:eastAsia="zh-CN"/>
              </w:rPr>
              <w:t>安排</w:t>
            </w:r>
            <w:r>
              <w:rPr>
                <w:rFonts w:hint="eastAsia" w:ascii="宋体" w:hAnsi="宋体" w:eastAsia="宋体" w:cs="宋体"/>
                <w:kern w:val="0"/>
                <w:szCs w:val="21"/>
                <w:highlight w:val="none"/>
              </w:rPr>
              <w:t>等）</w:t>
            </w:r>
            <w:r>
              <w:rPr>
                <w:rFonts w:hint="eastAsia" w:ascii="宋体" w:hAnsi="宋体" w:eastAsia="宋体" w:cs="宋体"/>
                <w:kern w:val="0"/>
                <w:szCs w:val="21"/>
                <w:highlight w:val="none"/>
                <w:lang w:eastAsia="zh-CN"/>
              </w:rPr>
              <w:t>及后期管理的方案，</w:t>
            </w:r>
            <w:r>
              <w:rPr>
                <w:rFonts w:hint="eastAsia" w:ascii="宋体" w:hAnsi="宋体" w:eastAsia="宋体" w:cs="宋体"/>
                <w:kern w:val="28"/>
                <w:szCs w:val="21"/>
                <w:highlight w:val="none"/>
              </w:rPr>
              <w:t>由评委进行</w:t>
            </w:r>
            <w:r>
              <w:rPr>
                <w:rFonts w:hint="eastAsia" w:ascii="宋体" w:hAnsi="宋体" w:eastAsia="宋体" w:cs="宋体"/>
                <w:kern w:val="28"/>
                <w:szCs w:val="21"/>
                <w:highlight w:val="none"/>
                <w:lang w:eastAsia="zh-CN"/>
              </w:rPr>
              <w:t>分档</w:t>
            </w:r>
            <w:r>
              <w:rPr>
                <w:rFonts w:hint="eastAsia" w:ascii="宋体" w:hAnsi="宋体" w:eastAsia="宋体" w:cs="宋体"/>
                <w:kern w:val="28"/>
                <w:szCs w:val="21"/>
                <w:highlight w:val="none"/>
              </w:rPr>
              <w:t>打分：</w:t>
            </w:r>
          </w:p>
          <w:p w14:paraId="1E1236F9">
            <w:pPr>
              <w:widowControl/>
              <w:jc w:val="left"/>
              <w:rPr>
                <w:rFonts w:hint="eastAsia"/>
                <w:highlight w:val="none"/>
                <w:lang w:val="en-US" w:eastAsia="zh-CN"/>
              </w:rPr>
            </w:pPr>
            <w:r>
              <w:rPr>
                <w:rFonts w:hint="eastAsia"/>
                <w:highlight w:val="none"/>
                <w:lang w:val="en-US" w:eastAsia="zh-CN"/>
              </w:rPr>
              <w:t>1、</w:t>
            </w:r>
            <w:r>
              <w:rPr>
                <w:rFonts w:hint="eastAsia" w:ascii="宋体" w:hAnsi="宋体" w:eastAsia="宋体" w:cs="宋体"/>
                <w:kern w:val="0"/>
                <w:szCs w:val="21"/>
                <w:highlight w:val="none"/>
                <w:lang w:val="en-US" w:eastAsia="zh-CN"/>
              </w:rPr>
              <w:t>后勤保障全部落实到位</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能切实保障</w:t>
            </w:r>
            <w:r>
              <w:rPr>
                <w:rFonts w:hint="eastAsia" w:ascii="宋体" w:hAnsi="宋体" w:eastAsia="宋体" w:cs="宋体"/>
                <w:kern w:val="0"/>
                <w:szCs w:val="21"/>
                <w:highlight w:val="none"/>
              </w:rPr>
              <w:t>本服务的实施、管理</w:t>
            </w:r>
            <w:r>
              <w:rPr>
                <w:rFonts w:hint="eastAsia"/>
                <w:highlight w:val="none"/>
                <w:lang w:val="en-US" w:eastAsia="zh-CN"/>
              </w:rPr>
              <w:t>，得4分；</w:t>
            </w:r>
          </w:p>
          <w:p w14:paraId="057FE62A">
            <w:pPr>
              <w:widowControl/>
              <w:jc w:val="left"/>
              <w:rPr>
                <w:rFonts w:hint="eastAsia"/>
                <w:highlight w:val="none"/>
                <w:lang w:val="en-US" w:eastAsia="zh-CN"/>
              </w:rPr>
            </w:pPr>
            <w:r>
              <w:rPr>
                <w:rFonts w:hint="eastAsia"/>
                <w:highlight w:val="none"/>
                <w:lang w:val="en-US" w:eastAsia="zh-CN"/>
              </w:rPr>
              <w:t>2、</w:t>
            </w:r>
            <w:r>
              <w:rPr>
                <w:rFonts w:hint="eastAsia" w:ascii="宋体" w:hAnsi="宋体" w:eastAsia="宋体" w:cs="宋体"/>
                <w:kern w:val="0"/>
                <w:szCs w:val="21"/>
                <w:highlight w:val="none"/>
                <w:lang w:val="en-US" w:eastAsia="zh-CN"/>
              </w:rPr>
              <w:t>后勤保障落实较为全面</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能基本保障</w:t>
            </w:r>
            <w:r>
              <w:rPr>
                <w:rFonts w:hint="eastAsia" w:ascii="宋体" w:hAnsi="宋体" w:eastAsia="宋体" w:cs="宋体"/>
                <w:kern w:val="0"/>
                <w:szCs w:val="21"/>
                <w:highlight w:val="none"/>
              </w:rPr>
              <w:t>本服务的实施、管理</w:t>
            </w:r>
            <w:r>
              <w:rPr>
                <w:rFonts w:hint="eastAsia"/>
                <w:highlight w:val="none"/>
                <w:lang w:val="en-US" w:eastAsia="zh-CN"/>
              </w:rPr>
              <w:t>，得2.5分；3、</w:t>
            </w:r>
            <w:r>
              <w:rPr>
                <w:rFonts w:hint="eastAsia" w:ascii="宋体" w:hAnsi="宋体" w:eastAsia="宋体" w:cs="宋体"/>
                <w:kern w:val="0"/>
                <w:szCs w:val="21"/>
                <w:highlight w:val="none"/>
                <w:lang w:val="en-US" w:eastAsia="zh-CN"/>
              </w:rPr>
              <w:t>后勤保障较差或不够明确</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对</w:t>
            </w:r>
            <w:r>
              <w:rPr>
                <w:rFonts w:hint="eastAsia" w:ascii="宋体" w:hAnsi="宋体" w:eastAsia="宋体" w:cs="宋体"/>
                <w:kern w:val="0"/>
                <w:szCs w:val="21"/>
                <w:highlight w:val="none"/>
              </w:rPr>
              <w:t>本服务的实施、管理</w:t>
            </w:r>
            <w:r>
              <w:rPr>
                <w:rFonts w:hint="eastAsia" w:ascii="宋体" w:hAnsi="宋体" w:eastAsia="宋体" w:cs="宋体"/>
                <w:kern w:val="0"/>
                <w:szCs w:val="21"/>
                <w:highlight w:val="none"/>
                <w:lang w:val="en-US" w:eastAsia="zh-CN"/>
              </w:rPr>
              <w:t>较为模糊</w:t>
            </w:r>
            <w:r>
              <w:rPr>
                <w:rFonts w:hint="eastAsia"/>
                <w:highlight w:val="none"/>
                <w:lang w:val="en-US" w:eastAsia="zh-CN"/>
              </w:rPr>
              <w:t>，得1分；</w:t>
            </w:r>
          </w:p>
          <w:p w14:paraId="56B78453">
            <w:pPr>
              <w:widowControl/>
              <w:jc w:val="left"/>
              <w:rPr>
                <w:rFonts w:ascii="宋体" w:hAnsi="宋体" w:eastAsia="宋体" w:cs="宋体"/>
                <w:kern w:val="0"/>
                <w:szCs w:val="21"/>
                <w:highlight w:val="none"/>
              </w:rPr>
            </w:pPr>
            <w:r>
              <w:rPr>
                <w:rFonts w:hint="eastAsia"/>
                <w:highlight w:val="none"/>
                <w:lang w:val="en-US" w:eastAsia="zh-CN"/>
              </w:rPr>
              <w:t>4、未提交则不得分。</w:t>
            </w:r>
          </w:p>
          <w:p w14:paraId="02D909E2">
            <w:pPr>
              <w:widowControl/>
              <w:ind w:left="-50"/>
              <w:jc w:val="left"/>
              <w:rPr>
                <w:rFonts w:ascii="宋体" w:hAnsi="宋体" w:eastAsia="宋体" w:cs="宋体"/>
                <w:szCs w:val="21"/>
                <w:highlight w:val="none"/>
              </w:rPr>
            </w:pPr>
            <w:r>
              <w:rPr>
                <w:rFonts w:hint="eastAsia" w:ascii="宋体" w:hAnsi="宋体" w:eastAsia="宋体" w:cs="宋体"/>
                <w:b/>
                <w:bCs/>
                <w:kern w:val="0"/>
                <w:szCs w:val="21"/>
                <w:highlight w:val="none"/>
              </w:rPr>
              <w:t>备注：</w:t>
            </w:r>
            <w:r>
              <w:rPr>
                <w:rFonts w:hint="eastAsia" w:ascii="宋体" w:hAnsi="宋体" w:eastAsia="宋体" w:cs="宋体"/>
                <w:b w:val="0"/>
                <w:bCs w:val="0"/>
                <w:kern w:val="0"/>
                <w:szCs w:val="21"/>
                <w:highlight w:val="none"/>
                <w:lang w:val="en-US" w:eastAsia="zh-CN"/>
              </w:rPr>
              <w:t>可以是</w:t>
            </w:r>
            <w:r>
              <w:rPr>
                <w:rFonts w:ascii="Times New Roman" w:hAnsi="Times New Roman"/>
                <w:szCs w:val="21"/>
                <w:highlight w:val="none"/>
              </w:rPr>
              <w:t>已租赁场地租赁协议，</w:t>
            </w:r>
            <w:r>
              <w:rPr>
                <w:rFonts w:hint="eastAsia" w:ascii="Arial" w:hAnsi="Arial" w:eastAsia="宋体" w:cs="Arial"/>
                <w:b w:val="0"/>
                <w:bCs/>
                <w:color w:val="auto"/>
                <w:sz w:val="22"/>
                <w:szCs w:val="22"/>
                <w:highlight w:val="none"/>
              </w:rPr>
              <w:t>委托维修协议</w:t>
            </w:r>
            <w:r>
              <w:rPr>
                <w:rFonts w:hint="eastAsia" w:ascii="Arial" w:hAnsi="Arial" w:eastAsia="宋体" w:cs="Arial"/>
                <w:b w:val="0"/>
                <w:bCs/>
                <w:color w:val="auto"/>
                <w:sz w:val="22"/>
                <w:szCs w:val="22"/>
                <w:highlight w:val="none"/>
                <w:lang w:val="en-US" w:eastAsia="zh-CN"/>
              </w:rPr>
              <w:t>或自有维修能力相关</w:t>
            </w:r>
            <w:r>
              <w:rPr>
                <w:rFonts w:hint="eastAsia" w:ascii="Arial" w:hAnsi="Arial" w:eastAsia="宋体" w:cs="Arial"/>
                <w:b w:val="0"/>
                <w:bCs/>
                <w:color w:val="auto"/>
                <w:sz w:val="22"/>
                <w:szCs w:val="22"/>
                <w:highlight w:val="none"/>
              </w:rPr>
              <w:t>证明</w:t>
            </w:r>
            <w:r>
              <w:rPr>
                <w:rFonts w:ascii="Times New Roman" w:hAnsi="Times New Roman"/>
                <w:szCs w:val="21"/>
                <w:highlight w:val="none"/>
              </w:rPr>
              <w:t>；自有场地提供自有产权证明；意向租赁的，提供租赁意向协议、产权证</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允许使用现场照片或其他材料进行补充，</w:t>
            </w:r>
            <w:r>
              <w:rPr>
                <w:rFonts w:hint="eastAsia" w:ascii="宋体" w:hAnsi="宋体" w:eastAsia="宋体" w:cs="宋体"/>
                <w:kern w:val="0"/>
                <w:szCs w:val="21"/>
                <w:highlight w:val="none"/>
              </w:rPr>
              <w:t>以上证明材料提供原件扫描件并加盖公章。</w:t>
            </w:r>
          </w:p>
        </w:tc>
      </w:tr>
    </w:tbl>
    <w:p w14:paraId="1AC34D63">
      <w:pPr>
        <w:pStyle w:val="11"/>
        <w:ind w:left="0" w:leftChars="0" w:firstLine="0" w:firstLineChars="0"/>
        <w:rPr>
          <w:rFonts w:ascii="宋体" w:hAnsi="宋体" w:eastAsia="宋体" w:cs="宋体"/>
          <w:szCs w:val="21"/>
          <w:highlight w:val="none"/>
        </w:rPr>
      </w:pPr>
    </w:p>
    <w:p w14:paraId="50BB62B2">
      <w:pPr>
        <w:numPr>
          <w:ilvl w:val="0"/>
          <w:numId w:val="18"/>
        </w:numPr>
        <w:spacing w:line="360" w:lineRule="auto"/>
        <w:rPr>
          <w:rFonts w:ascii="宋体" w:hAnsi="宋体" w:eastAsia="宋体" w:cs="宋体"/>
          <w:szCs w:val="21"/>
          <w:highlight w:val="none"/>
        </w:rPr>
      </w:pPr>
      <w:r>
        <w:rPr>
          <w:rFonts w:hint="eastAsia" w:ascii="宋体" w:hAnsi="宋体" w:eastAsia="宋体" w:cs="宋体"/>
          <w:szCs w:val="21"/>
          <w:highlight w:val="none"/>
        </w:rPr>
        <w:t>商务评分（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w:t>
      </w:r>
    </w:p>
    <w:p w14:paraId="67707A33">
      <w:pPr>
        <w:spacing w:line="360" w:lineRule="auto"/>
        <w:ind w:firstLine="315" w:firstLineChars="150"/>
        <w:rPr>
          <w:rFonts w:ascii="宋体" w:hAnsi="宋体" w:eastAsia="宋体" w:cs="宋体"/>
          <w:szCs w:val="21"/>
          <w:highlight w:val="none"/>
        </w:rPr>
      </w:pPr>
      <w:r>
        <w:rPr>
          <w:rFonts w:hint="eastAsia" w:ascii="宋体" w:hAnsi="宋体" w:eastAsia="宋体" w:cs="宋体"/>
          <w:szCs w:val="21"/>
          <w:highlight w:val="none"/>
        </w:rPr>
        <w:t>评标基准价</w:t>
      </w:r>
    </w:p>
    <w:p w14:paraId="122A6A6D">
      <w:pPr>
        <w:spacing w:line="360" w:lineRule="auto"/>
        <w:ind w:firstLine="315" w:firstLineChars="150"/>
        <w:rPr>
          <w:rFonts w:ascii="宋体" w:hAnsi="宋体" w:eastAsia="宋体" w:cs="宋体"/>
          <w:szCs w:val="21"/>
          <w:highlight w:val="none"/>
        </w:rPr>
      </w:pPr>
      <w:r>
        <w:rPr>
          <w:rFonts w:hint="eastAsia" w:ascii="宋体" w:hAnsi="宋体" w:eastAsia="宋体" w:cs="宋体"/>
          <w:szCs w:val="21"/>
          <w:highlight w:val="none"/>
        </w:rPr>
        <w:t>满足采购文件要求且评标价格最低的投标报价为评标基准价。</w:t>
      </w:r>
    </w:p>
    <w:p w14:paraId="35B5DCCB">
      <w:pPr>
        <w:spacing w:line="360" w:lineRule="auto"/>
        <w:ind w:firstLine="315" w:firstLineChars="150"/>
        <w:rPr>
          <w:rFonts w:ascii="宋体" w:hAnsi="宋体" w:eastAsia="宋体" w:cs="宋体"/>
          <w:szCs w:val="21"/>
          <w:highlight w:val="none"/>
        </w:rPr>
      </w:pPr>
      <w:r>
        <w:rPr>
          <w:rFonts w:hint="eastAsia" w:ascii="宋体" w:hAnsi="宋体" w:eastAsia="宋体" w:cs="宋体"/>
          <w:szCs w:val="21"/>
          <w:highlight w:val="none"/>
        </w:rPr>
        <w:t>1）有效投标供应商的评标价等于评标基准价时，其商务报价评分值为满分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w:t>
      </w:r>
    </w:p>
    <w:p w14:paraId="5E601314">
      <w:pPr>
        <w:spacing w:line="360" w:lineRule="auto"/>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2）其他投标供应商的价格分按以下公式计算：</w:t>
      </w:r>
    </w:p>
    <w:p w14:paraId="6E678F9F">
      <w:pPr>
        <w:spacing w:line="360" w:lineRule="auto"/>
        <w:ind w:firstLine="735" w:firstLineChars="350"/>
        <w:rPr>
          <w:rFonts w:hint="eastAsia" w:ascii="宋体" w:hAnsi="宋体" w:eastAsia="宋体" w:cs="宋体"/>
          <w:szCs w:val="21"/>
          <w:highlight w:val="none"/>
        </w:rPr>
      </w:pPr>
      <w:r>
        <w:rPr>
          <w:rFonts w:hint="eastAsia" w:ascii="宋体" w:hAnsi="宋体" w:eastAsia="宋体" w:cs="宋体"/>
          <w:szCs w:val="21"/>
          <w:highlight w:val="none"/>
        </w:rPr>
        <w:t>商务分得分=（评标基准价/投标供应商投标报价）×价格权值×100（四舍五入后保留小数2位）</w:t>
      </w:r>
    </w:p>
    <w:p w14:paraId="3155F021">
      <w:pPr>
        <w:spacing w:line="360" w:lineRule="auto"/>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（价格权值为</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w:t>
      </w:r>
    </w:p>
    <w:p w14:paraId="3D693602">
      <w:pPr>
        <w:spacing w:line="360" w:lineRule="auto"/>
        <w:ind w:firstLine="315" w:firstLineChars="150"/>
        <w:rPr>
          <w:rFonts w:hint="eastAsia" w:ascii="宋体" w:hAnsi="宋体" w:eastAsia="宋体" w:cs="宋体"/>
          <w:szCs w:val="21"/>
          <w:highlight w:val="none"/>
        </w:rPr>
      </w:pPr>
      <w:r>
        <w:rPr>
          <w:rFonts w:hint="eastAsia" w:ascii="宋体" w:hAnsi="宋体" w:eastAsia="宋体" w:cs="宋体"/>
          <w:szCs w:val="21"/>
          <w:highlight w:val="none"/>
          <w:lang w:val="en-US" w:eastAsia="zh-CN"/>
        </w:rPr>
        <w:t>3）对不执行</w:t>
      </w:r>
      <w:r>
        <w:rPr>
          <w:rFonts w:ascii="Arial" w:hAnsi="Arial" w:cs="Arial"/>
          <w:snapToGrid w:val="0"/>
          <w:highlight w:val="none"/>
        </w:rPr>
        <w:t>专门面向中小企业采购</w:t>
      </w:r>
      <w:r>
        <w:rPr>
          <w:rFonts w:hint="eastAsia" w:ascii="Arial" w:hAnsi="Arial" w:cs="Arial"/>
          <w:snapToGrid w:val="0"/>
          <w:highlight w:val="none"/>
          <w:lang w:val="en-US" w:eastAsia="zh-CN"/>
        </w:rPr>
        <w:t>预留</w:t>
      </w:r>
      <w:r>
        <w:rPr>
          <w:rFonts w:ascii="Arial" w:hAnsi="Arial" w:cs="Arial"/>
          <w:snapToGrid w:val="0"/>
          <w:highlight w:val="none"/>
        </w:rPr>
        <w:t>的采购项目</w:t>
      </w:r>
      <w:r>
        <w:rPr>
          <w:rFonts w:hint="eastAsia" w:ascii="Arial" w:hAnsi="Arial" w:cs="Arial"/>
          <w:snapToGrid w:val="0"/>
          <w:highlight w:val="none"/>
          <w:lang w:eastAsia="zh-CN"/>
        </w:rPr>
        <w:t>，</w:t>
      </w:r>
      <w:r>
        <w:rPr>
          <w:rFonts w:ascii="Arial" w:hAnsi="Arial" w:cs="Arial"/>
          <w:snapToGrid w:val="0"/>
          <w:highlight w:val="none"/>
        </w:rPr>
        <w:t xml:space="preserve">对小微企业报价给予 </w:t>
      </w:r>
      <w:r>
        <w:rPr>
          <w:rFonts w:hint="eastAsia" w:ascii="Arial" w:hAnsi="Arial" w:cs="Arial"/>
          <w:snapToGrid w:val="0"/>
          <w:highlight w:val="none"/>
          <w:lang w:val="en-US" w:eastAsia="zh-CN"/>
        </w:rPr>
        <w:t>10</w:t>
      </w:r>
      <w:r>
        <w:rPr>
          <w:rFonts w:ascii="Arial" w:hAnsi="Arial" w:cs="Arial"/>
          <w:snapToGrid w:val="0"/>
          <w:highlight w:val="none"/>
        </w:rPr>
        <w:t>% 的扣除，用扣除后的价格参加评审。</w:t>
      </w:r>
    </w:p>
    <w:p w14:paraId="0ACD3F85">
      <w:pPr>
        <w:numPr>
          <w:ilvl w:val="0"/>
          <w:numId w:val="0"/>
        </w:numPr>
        <w:spacing w:line="360" w:lineRule="auto"/>
        <w:ind w:firstLine="315" w:firstLineChars="150"/>
        <w:rPr>
          <w:rFonts w:ascii="宋体" w:hAnsi="宋体" w:eastAsia="宋体" w:cs="宋体"/>
          <w:highlight w:val="none"/>
        </w:rPr>
      </w:pPr>
      <w:r>
        <w:rPr>
          <w:rFonts w:hint="eastAsia" w:ascii="宋体" w:hAnsi="宋体" w:eastAsia="宋体" w:cs="宋体"/>
          <w:kern w:val="2"/>
          <w:sz w:val="21"/>
          <w:szCs w:val="24"/>
          <w:highlight w:val="none"/>
          <w:lang w:val="en-US" w:eastAsia="zh-CN" w:bidi="ar-SA"/>
        </w:rPr>
        <w:t>4</w:t>
      </w:r>
      <w:r>
        <w:rPr>
          <w:rFonts w:ascii="宋体" w:hAnsi="宋体" w:eastAsia="宋体" w:cs="宋体"/>
          <w:kern w:val="2"/>
          <w:sz w:val="21"/>
          <w:szCs w:val="24"/>
          <w:highlight w:val="none"/>
          <w:lang w:val="en-US" w:eastAsia="zh-CN" w:bidi="ar-SA"/>
        </w:rPr>
        <w:t>）</w:t>
      </w:r>
      <w:r>
        <w:rPr>
          <w:rFonts w:hint="eastAsia" w:ascii="宋体" w:hAnsi="宋体" w:eastAsia="宋体" w:cs="宋体"/>
          <w:szCs w:val="21"/>
          <w:highlight w:val="none"/>
          <w:u w:val="single"/>
        </w:rPr>
        <w:t>▲如供应商报价超过最高限价，则其投标文件作无效标处理。所有供应商商务报价均超最高限价，重新组织招标。</w:t>
      </w:r>
    </w:p>
    <w:p w14:paraId="47532990">
      <w:pPr>
        <w:spacing w:line="360" w:lineRule="auto"/>
        <w:rPr>
          <w:rFonts w:ascii="宋体" w:hAnsi="宋体" w:eastAsia="宋体" w:cs="宋体"/>
          <w:szCs w:val="21"/>
          <w:highlight w:val="none"/>
        </w:rPr>
      </w:pPr>
      <w:r>
        <w:rPr>
          <w:rFonts w:hint="eastAsia" w:ascii="宋体" w:hAnsi="宋体" w:eastAsia="宋体" w:cs="宋体"/>
          <w:szCs w:val="21"/>
          <w:highlight w:val="none"/>
        </w:rPr>
        <w:t>3、有效投标供应商的综合得分为技术分和商务（报价）分的总和。</w:t>
      </w:r>
    </w:p>
    <w:p w14:paraId="7B07F1AA">
      <w:pPr>
        <w:pStyle w:val="3"/>
        <w:spacing w:beforeLines="50" w:afterLines="50" w:line="360" w:lineRule="auto"/>
        <w:rPr>
          <w:rFonts w:ascii="宋体" w:hAnsi="宋体" w:eastAsia="宋体" w:cs="宋体"/>
          <w:szCs w:val="21"/>
          <w:highlight w:val="none"/>
        </w:rPr>
      </w:pPr>
      <w:r>
        <w:rPr>
          <w:rFonts w:hint="eastAsia" w:ascii="宋体" w:hAnsi="宋体" w:eastAsia="宋体" w:cs="宋体"/>
          <w:szCs w:val="21"/>
          <w:highlight w:val="none"/>
        </w:rPr>
        <w:t>4、评标委员会按投标供应商的最终得分高低顺序排列，最终得分第一名的投标供应商作为第一中标候选人向采购人推荐，并提交评标报告。得分相同投标报价低的排序第一；得分且投标报价相同的，技术指标优的排序第一，得分报价技术标都相同的由采购人抽签决定。</w:t>
      </w:r>
    </w:p>
    <w:p w14:paraId="4D47C7FB">
      <w:pPr>
        <w:pStyle w:val="3"/>
        <w:spacing w:beforeLines="50" w:afterLines="50" w:line="360" w:lineRule="auto"/>
        <w:rPr>
          <w:rFonts w:ascii="宋体" w:hAnsi="宋体" w:eastAsia="宋体" w:cs="宋体"/>
          <w:b/>
          <w:szCs w:val="21"/>
          <w:highlight w:val="none"/>
        </w:rPr>
      </w:pPr>
      <w:r>
        <w:rPr>
          <w:rFonts w:hint="eastAsia" w:ascii="宋体" w:hAnsi="宋体" w:eastAsia="宋体" w:cs="宋体"/>
          <w:b/>
          <w:szCs w:val="21"/>
          <w:highlight w:val="none"/>
        </w:rPr>
        <w:t>六、定标办法</w:t>
      </w:r>
    </w:p>
    <w:p w14:paraId="7803FA77">
      <w:pPr>
        <w:pStyle w:val="3"/>
        <w:spacing w:beforeLines="50" w:afterLines="50"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次采购由评标委员会推荐一名中标候选人。如中标单位放弃中标、或因不可抗力提出不能履行合同；或未能在规定时间内与采购人签订合同的；或者经质疑，采购人审查后，确因排名第一的候选人在本次采购活动中存在违法违规行为或其他原因使质疑成立的，采购人重新组织采购工作。</w:t>
      </w:r>
    </w:p>
    <w:p w14:paraId="060D88C5">
      <w:pPr>
        <w:spacing w:line="360" w:lineRule="auto"/>
        <w:rPr>
          <w:rFonts w:ascii="宋体" w:hAnsi="宋体" w:eastAsia="宋体" w:cs="宋体"/>
          <w:b/>
          <w:sz w:val="22"/>
          <w:szCs w:val="22"/>
          <w:highlight w:val="none"/>
        </w:rPr>
      </w:pPr>
      <w:r>
        <w:rPr>
          <w:rFonts w:hint="eastAsia" w:ascii="宋体" w:hAnsi="宋体" w:eastAsia="宋体" w:cs="宋体"/>
          <w:b/>
          <w:sz w:val="22"/>
          <w:szCs w:val="22"/>
          <w:highlight w:val="none"/>
        </w:rPr>
        <w:t>七、 中标结果公告</w:t>
      </w:r>
    </w:p>
    <w:p w14:paraId="79652C5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中标投标供应商确定后，中标公告在</w:t>
      </w:r>
      <w:r>
        <w:rPr>
          <w:rFonts w:hint="eastAsia" w:ascii="宋体" w:hAnsi="宋体" w:eastAsia="宋体" w:cs="宋体"/>
          <w:szCs w:val="21"/>
          <w:highlight w:val="none"/>
          <w:lang w:val="zh-CN"/>
        </w:rPr>
        <w:t>“政采云”平台上</w:t>
      </w:r>
      <w:r>
        <w:rPr>
          <w:rFonts w:hint="eastAsia" w:ascii="宋体" w:hAnsi="宋体" w:eastAsia="宋体" w:cs="宋体"/>
          <w:szCs w:val="21"/>
          <w:highlight w:val="none"/>
        </w:rPr>
        <w:t xml:space="preserve">发布，在采购结果公示期结束后，采购人将向中标投标供应商发出中标通知书。中标通知书对采购人和中标投标供应商具有同等法律效力。   </w:t>
      </w:r>
    </w:p>
    <w:p w14:paraId="13C2E453">
      <w:pPr>
        <w:pStyle w:val="3"/>
        <w:spacing w:beforeLines="50" w:afterLines="50" w:line="360" w:lineRule="auto"/>
        <w:rPr>
          <w:rFonts w:ascii="宋体" w:hAnsi="宋体" w:eastAsia="宋体" w:cs="宋体"/>
          <w:b/>
          <w:szCs w:val="21"/>
          <w:highlight w:val="none"/>
        </w:rPr>
      </w:pPr>
      <w:r>
        <w:rPr>
          <w:rFonts w:hint="eastAsia" w:ascii="宋体" w:hAnsi="宋体" w:eastAsia="宋体" w:cs="宋体"/>
          <w:b/>
          <w:szCs w:val="21"/>
          <w:highlight w:val="none"/>
        </w:rPr>
        <w:t>八、投标供应商义务</w:t>
      </w:r>
    </w:p>
    <w:p w14:paraId="2636E123">
      <w:pPr>
        <w:spacing w:line="360" w:lineRule="auto"/>
        <w:ind w:firstLine="420" w:firstLineChars="200"/>
        <w:rPr>
          <w:rFonts w:ascii="宋体" w:hAnsi="宋体" w:eastAsia="宋体" w:cs="宋体"/>
          <w:szCs w:val="21"/>
          <w:highlight w:val="none"/>
        </w:rPr>
        <w:sectPr>
          <w:footerReference r:id="rId19" w:type="default"/>
          <w:type w:val="nextColumn"/>
          <w:pgSz w:w="11906" w:h="16838"/>
          <w:pgMar w:top="283" w:right="1134" w:bottom="788" w:left="1134" w:header="567" w:footer="567" w:gutter="0"/>
          <w:cols w:space="0" w:num="1"/>
          <w:docGrid w:linePitch="312" w:charSpace="0"/>
        </w:sectPr>
      </w:pPr>
      <w:r>
        <w:rPr>
          <w:rFonts w:hint="eastAsia" w:ascii="宋体" w:hAnsi="宋体" w:eastAsia="宋体" w:cs="宋体"/>
          <w:szCs w:val="21"/>
          <w:highlight w:val="none"/>
        </w:rPr>
        <w:t>投标供应商应随时接受评标委员会的询标，解答包括有关的商务、技术问题等。评标结束，所有评标资料存采购人备查。</w:t>
      </w:r>
    </w:p>
    <w:p w14:paraId="2F1E0701">
      <w:pPr>
        <w:pStyle w:val="5"/>
        <w:spacing w:line="360" w:lineRule="auto"/>
        <w:jc w:val="center"/>
        <w:rPr>
          <w:rFonts w:ascii="宋体" w:hAnsi="宋体" w:eastAsia="宋体" w:cs="宋体"/>
          <w:sz w:val="22"/>
          <w:szCs w:val="22"/>
          <w:highlight w:val="none"/>
        </w:rPr>
      </w:pPr>
      <w:bookmarkStart w:id="136" w:name="_Toc27047"/>
      <w:bookmarkStart w:id="137" w:name="_Toc25283"/>
      <w:bookmarkStart w:id="138" w:name="_Toc10599"/>
      <w:r>
        <w:rPr>
          <w:rFonts w:hint="eastAsia" w:ascii="宋体" w:hAnsi="宋体" w:eastAsia="宋体" w:cs="宋体"/>
          <w:sz w:val="36"/>
          <w:szCs w:val="36"/>
          <w:highlight w:val="none"/>
        </w:rPr>
        <w:t>第六部分 政府采购政策功能相关说明</w:t>
      </w:r>
      <w:bookmarkEnd w:id="136"/>
      <w:bookmarkEnd w:id="137"/>
      <w:bookmarkEnd w:id="138"/>
    </w:p>
    <w:p w14:paraId="71C138BF">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一、小、微企业（含监狱企业、残疾人福利性单位）扶持政策说明</w:t>
      </w:r>
    </w:p>
    <w:p w14:paraId="0F541EDE">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1、文件依据</w:t>
      </w:r>
    </w:p>
    <w:p w14:paraId="0F086008">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（1）关于印发《政府采购促进中小企业发展管理办法》的通知（财库〔2020〕46号）</w:t>
      </w:r>
    </w:p>
    <w:p w14:paraId="29C05B9B">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（2）关于印发《财政部关于进一步加大政府采购支持中小企业力度的通知》（财库〔2022〕19号）</w:t>
      </w:r>
    </w:p>
    <w:p w14:paraId="3244DA10">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（3）浙江省省财政厅《关于开展政府采购投标供应商网上注册登记和诚信管理工作的通知》（浙财采监〔2010〕8号）</w:t>
      </w:r>
    </w:p>
    <w:p w14:paraId="33A7E71C">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（4）《工业和信息化部、国家统计局、国家发展和改革委员会、财政部关于印发中小企业划型标准规定的通知》（工信部联企业〔2011〕300号）</w:t>
      </w:r>
    </w:p>
    <w:p w14:paraId="08130F99">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（5）财政部、司法部《关于政府采购支持监狱企业发展有关问题的通知》（财库〔2014〕68号）</w:t>
      </w:r>
    </w:p>
    <w:p w14:paraId="4E0CD376">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（6）《财政部 民政部 中国残疾人联合会关于促进残疾人就业政府采购政策的通知》（财库〔2017〕 141号）</w:t>
      </w:r>
    </w:p>
    <w:p w14:paraId="0ACAEB9F">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2、享受小微企业价格折扣应具备的条件与价格折扣比例</w:t>
      </w:r>
    </w:p>
    <w:p w14:paraId="203E6DA0">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（1）符合中小企业划分标准；</w:t>
      </w:r>
      <w:r>
        <w:rPr>
          <w:rFonts w:hint="eastAsia" w:ascii="宋体" w:hAnsi="宋体" w:eastAsia="宋体" w:cs="宋体"/>
          <w:sz w:val="22"/>
          <w:szCs w:val="22"/>
          <w:highlight w:val="none"/>
        </w:rPr>
        <w:br w:type="textWrapping"/>
      </w:r>
      <w:r>
        <w:rPr>
          <w:rFonts w:hint="eastAsia" w:ascii="宋体" w:hAnsi="宋体" w:eastAsia="宋体" w:cs="宋体"/>
          <w:sz w:val="22"/>
          <w:szCs w:val="22"/>
          <w:highlight w:val="none"/>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14:paraId="09FD812F">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3、享受小微企业价格折扣应提供以下证明材料：</w:t>
      </w:r>
    </w:p>
    <w:p w14:paraId="2A82B259">
      <w:pPr>
        <w:spacing w:line="360" w:lineRule="auto"/>
        <w:jc w:val="left"/>
        <w:rPr>
          <w:rFonts w:ascii="宋体" w:hAnsi="宋体" w:eastAsia="宋体" w:cs="宋体"/>
          <w:sz w:val="22"/>
          <w:szCs w:val="22"/>
          <w:highlight w:val="none"/>
        </w:rPr>
      </w:pPr>
      <w:r>
        <w:rPr>
          <w:rFonts w:hint="eastAsia" w:ascii="宋体" w:hAnsi="宋体" w:eastAsia="宋体" w:cs="宋体"/>
          <w:sz w:val="22"/>
          <w:szCs w:val="22"/>
          <w:highlight w:val="none"/>
        </w:rPr>
        <w:t>（1）《中小企业声明函》（见附件）</w:t>
      </w:r>
    </w:p>
    <w:p w14:paraId="2F12D140">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4、享受监狱企业价格折扣应提供以下证明材料（投标文件商务标中，不提供的不享受价格折扣）：</w:t>
      </w:r>
    </w:p>
    <w:p w14:paraId="18BA0550">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32E2BF85">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5、享受残疾人福利性单位格折扣应提供以下证明材料（投标文件商务的标中，不提供的不享受价格折扣）：</w:t>
      </w:r>
    </w:p>
    <w:p w14:paraId="20016734">
      <w:pPr>
        <w:spacing w:line="360" w:lineRule="auto"/>
        <w:jc w:val="left"/>
        <w:rPr>
          <w:rFonts w:ascii="宋体" w:hAnsi="宋体" w:eastAsia="宋体" w:cs="宋体"/>
          <w:bCs/>
          <w:sz w:val="22"/>
          <w:szCs w:val="22"/>
          <w:highlight w:val="none"/>
        </w:rPr>
      </w:pPr>
      <w:r>
        <w:rPr>
          <w:rFonts w:hint="eastAsia" w:ascii="宋体" w:hAnsi="宋体" w:eastAsia="宋体" w:cs="宋体"/>
          <w:bCs/>
          <w:sz w:val="22"/>
          <w:szCs w:val="22"/>
          <w:highlight w:val="none"/>
        </w:rPr>
        <w:t>（1）残疾人福利性单位声明函</w:t>
      </w:r>
      <w:r>
        <w:rPr>
          <w:rFonts w:hint="eastAsia" w:ascii="宋体" w:hAnsi="宋体" w:eastAsia="宋体" w:cs="宋体"/>
          <w:sz w:val="22"/>
          <w:szCs w:val="22"/>
          <w:highlight w:val="none"/>
        </w:rPr>
        <w:t>（见附件）</w:t>
      </w:r>
      <w:r>
        <w:rPr>
          <w:rFonts w:hint="eastAsia" w:ascii="宋体" w:hAnsi="宋体" w:eastAsia="宋体" w:cs="宋体"/>
          <w:bCs/>
          <w:sz w:val="22"/>
          <w:szCs w:val="22"/>
          <w:highlight w:val="none"/>
        </w:rPr>
        <w:t>；</w:t>
      </w:r>
    </w:p>
    <w:p w14:paraId="5D11738F">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A97FF4B">
      <w:pPr>
        <w:spacing w:line="360" w:lineRule="auto"/>
        <w:jc w:val="left"/>
        <w:rPr>
          <w:rFonts w:ascii="宋体" w:hAnsi="宋体" w:eastAsia="宋体" w:cs="宋体"/>
          <w:b/>
          <w:sz w:val="22"/>
          <w:highlight w:val="none"/>
        </w:rPr>
      </w:pPr>
      <w:r>
        <w:rPr>
          <w:rFonts w:hint="eastAsia" w:ascii="宋体" w:hAnsi="宋体" w:eastAsia="宋体" w:cs="宋体"/>
          <w:b/>
          <w:sz w:val="22"/>
          <w:highlight w:val="none"/>
        </w:rPr>
        <w:t>7、</w:t>
      </w:r>
      <w:r>
        <w:rPr>
          <w:rFonts w:hint="eastAsia" w:ascii="宋体" w:hAnsi="宋体" w:eastAsia="宋体" w:cs="宋体"/>
          <w:bCs/>
          <w:sz w:val="22"/>
          <w:highlight w:val="none"/>
        </w:rPr>
        <w:t>监狱企业、残疾人福利性单位参加投标，视为小型、微型企业，享受小微企业政策扶持，监狱企业、残疾人福利性单位属于小型、微型企业的，不重复享受政策。</w:t>
      </w:r>
    </w:p>
    <w:p w14:paraId="083652D2">
      <w:pPr>
        <w:spacing w:line="360" w:lineRule="auto"/>
        <w:jc w:val="left"/>
        <w:rPr>
          <w:rFonts w:ascii="宋体" w:hAnsi="宋体" w:eastAsia="宋体" w:cs="宋体"/>
          <w:b/>
          <w:bCs/>
          <w:spacing w:val="6"/>
          <w:szCs w:val="21"/>
          <w:highlight w:val="none"/>
        </w:rPr>
      </w:pPr>
    </w:p>
    <w:p w14:paraId="631D33EF">
      <w:pPr>
        <w:spacing w:line="400" w:lineRule="exact"/>
        <w:jc w:val="left"/>
        <w:rPr>
          <w:rFonts w:hint="eastAsia" w:ascii="宋体" w:hAnsi="宋体" w:cs="宋体"/>
          <w:b/>
          <w:bCs/>
          <w:color w:val="000000"/>
          <w:sz w:val="28"/>
          <w:szCs w:val="28"/>
          <w:highlight w:val="none"/>
          <w:u w:val="single"/>
        </w:rPr>
      </w:pPr>
      <w:r>
        <w:rPr>
          <w:rFonts w:hint="eastAsia" w:ascii="宋体" w:hAnsi="宋体" w:cs="宋体"/>
          <w:color w:val="000000"/>
          <w:szCs w:val="21"/>
          <w:highlight w:val="none"/>
        </w:rPr>
        <w:t>▲</w:t>
      </w:r>
      <w:r>
        <w:rPr>
          <w:rFonts w:hint="eastAsia" w:ascii="宋体" w:hAnsi="宋体" w:cs="宋体"/>
          <w:b/>
          <w:bCs/>
          <w:color w:val="000000"/>
          <w:sz w:val="28"/>
          <w:szCs w:val="28"/>
          <w:highlight w:val="none"/>
          <w:u w:val="single"/>
        </w:rPr>
        <w:t>说明：如为专门面向中小企业采购的项目或者标项，不再执行价格评审优惠的扶持政策。</w:t>
      </w:r>
    </w:p>
    <w:p w14:paraId="27177199">
      <w:pPr>
        <w:spacing w:line="360" w:lineRule="auto"/>
        <w:jc w:val="left"/>
        <w:rPr>
          <w:rFonts w:ascii="宋体" w:hAnsi="宋体" w:eastAsia="宋体" w:cs="宋体"/>
          <w:b/>
          <w:bCs/>
          <w:spacing w:val="6"/>
          <w:szCs w:val="21"/>
          <w:highlight w:val="none"/>
        </w:rPr>
      </w:pPr>
    </w:p>
    <w:p w14:paraId="473E4F23">
      <w:pPr>
        <w:spacing w:line="360" w:lineRule="auto"/>
        <w:jc w:val="left"/>
        <w:rPr>
          <w:rFonts w:ascii="宋体" w:hAnsi="宋体" w:eastAsia="宋体" w:cs="宋体"/>
          <w:b/>
          <w:bCs/>
          <w:spacing w:val="6"/>
          <w:szCs w:val="21"/>
          <w:highlight w:val="none"/>
        </w:rPr>
      </w:pPr>
    </w:p>
    <w:p w14:paraId="6A346409">
      <w:pPr>
        <w:spacing w:line="360" w:lineRule="auto"/>
        <w:jc w:val="left"/>
        <w:rPr>
          <w:rFonts w:ascii="宋体" w:hAnsi="宋体" w:eastAsia="宋体" w:cs="宋体"/>
          <w:b/>
          <w:bCs/>
          <w:spacing w:val="6"/>
          <w:szCs w:val="21"/>
          <w:highlight w:val="none"/>
        </w:rPr>
      </w:pPr>
    </w:p>
    <w:p w14:paraId="165283C0">
      <w:pPr>
        <w:spacing w:line="360" w:lineRule="auto"/>
        <w:jc w:val="left"/>
        <w:rPr>
          <w:rFonts w:ascii="宋体" w:hAnsi="宋体" w:eastAsia="宋体" w:cs="宋体"/>
          <w:b/>
          <w:bCs/>
          <w:spacing w:val="6"/>
          <w:szCs w:val="21"/>
          <w:highlight w:val="none"/>
        </w:rPr>
      </w:pPr>
    </w:p>
    <w:p w14:paraId="67C57473">
      <w:pPr>
        <w:pStyle w:val="15"/>
        <w:ind w:firstLine="542"/>
        <w:rPr>
          <w:highlight w:val="none"/>
        </w:rPr>
      </w:pPr>
      <w:r>
        <w:rPr>
          <w:highlight w:val="none"/>
        </w:rPr>
        <w:br w:type="page"/>
      </w:r>
    </w:p>
    <w:p w14:paraId="00A56899">
      <w:pPr>
        <w:spacing w:line="360" w:lineRule="auto"/>
        <w:jc w:val="left"/>
        <w:rPr>
          <w:rFonts w:ascii="宋体" w:hAnsi="宋体" w:eastAsia="宋体" w:cs="宋体"/>
          <w:spacing w:val="6"/>
          <w:szCs w:val="21"/>
          <w:highlight w:val="none"/>
        </w:rPr>
      </w:pPr>
      <w:r>
        <w:rPr>
          <w:rFonts w:hint="eastAsia" w:ascii="宋体" w:hAnsi="宋体" w:eastAsia="宋体" w:cs="宋体"/>
          <w:b/>
          <w:bCs/>
          <w:spacing w:val="6"/>
          <w:szCs w:val="21"/>
          <w:highlight w:val="none"/>
        </w:rPr>
        <w:t>附件1</w:t>
      </w:r>
    </w:p>
    <w:p w14:paraId="688C39A3">
      <w:pPr>
        <w:spacing w:line="588" w:lineRule="exact"/>
        <w:ind w:firstLine="586" w:firstLineChars="200"/>
        <w:jc w:val="center"/>
        <w:rPr>
          <w:rFonts w:ascii="宋体" w:hAnsi="宋体" w:eastAsia="宋体" w:cs="宋体"/>
          <w:b/>
          <w:bCs/>
          <w:spacing w:val="6"/>
          <w:sz w:val="28"/>
          <w:szCs w:val="28"/>
          <w:highlight w:val="none"/>
        </w:rPr>
      </w:pPr>
      <w:r>
        <w:rPr>
          <w:rFonts w:hint="eastAsia" w:ascii="宋体" w:hAnsi="宋体" w:eastAsia="宋体" w:cs="宋体"/>
          <w:b/>
          <w:bCs/>
          <w:spacing w:val="6"/>
          <w:sz w:val="28"/>
          <w:szCs w:val="28"/>
          <w:highlight w:val="none"/>
        </w:rPr>
        <w:t>中小企业声明函（服务）</w:t>
      </w:r>
    </w:p>
    <w:p w14:paraId="193BD7CC">
      <w:pPr>
        <w:spacing w:line="588" w:lineRule="exact"/>
        <w:ind w:firstLine="446" w:firstLineChars="200"/>
        <w:jc w:val="center"/>
        <w:rPr>
          <w:rFonts w:ascii="宋体" w:hAnsi="宋体" w:eastAsia="宋体" w:cs="宋体"/>
          <w:b/>
          <w:bCs/>
          <w:spacing w:val="6"/>
          <w:szCs w:val="21"/>
          <w:highlight w:val="none"/>
        </w:rPr>
      </w:pPr>
    </w:p>
    <w:p w14:paraId="764267EC">
      <w:pPr>
        <w:spacing w:line="500" w:lineRule="exact"/>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本公司（联合体）郑重声明，根据《政府采购促进中小企业发展管理办法》（财库﹝2020﹞46号）的规定，本公司（联合体）参加</w:t>
      </w:r>
      <w:r>
        <w:rPr>
          <w:rFonts w:hint="eastAsia" w:ascii="宋体" w:hAnsi="宋体" w:eastAsia="宋体" w:cs="宋体"/>
          <w:spacing w:val="6"/>
          <w:sz w:val="22"/>
          <w:szCs w:val="22"/>
          <w:highlight w:val="none"/>
          <w:u w:val="single"/>
        </w:rPr>
        <w:t>（单位名称）</w:t>
      </w:r>
      <w:r>
        <w:rPr>
          <w:rFonts w:hint="eastAsia" w:ascii="宋体" w:hAnsi="宋体" w:eastAsia="宋体" w:cs="宋体"/>
          <w:spacing w:val="6"/>
          <w:sz w:val="22"/>
          <w:szCs w:val="22"/>
          <w:highlight w:val="none"/>
        </w:rPr>
        <w:t>的</w:t>
      </w:r>
      <w:r>
        <w:rPr>
          <w:rFonts w:hint="eastAsia" w:ascii="宋体" w:hAnsi="宋体" w:eastAsia="宋体" w:cs="宋体"/>
          <w:spacing w:val="6"/>
          <w:sz w:val="22"/>
          <w:szCs w:val="22"/>
          <w:highlight w:val="none"/>
          <w:u w:val="single"/>
        </w:rPr>
        <w:t>（项目名称）</w:t>
      </w:r>
      <w:r>
        <w:rPr>
          <w:rFonts w:hint="eastAsia" w:ascii="宋体" w:hAnsi="宋体" w:eastAsia="宋体" w:cs="宋体"/>
          <w:spacing w:val="6"/>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 的具体情况如下：</w:t>
      </w:r>
    </w:p>
    <w:p w14:paraId="5AF4F6A9">
      <w:pPr>
        <w:spacing w:line="500" w:lineRule="exact"/>
        <w:ind w:firstLine="464" w:firstLineChars="200"/>
        <w:rPr>
          <w:rFonts w:ascii="宋体" w:hAnsi="宋体" w:eastAsia="宋体" w:cs="宋体"/>
          <w:spacing w:val="6"/>
          <w:sz w:val="22"/>
          <w:szCs w:val="22"/>
          <w:highlight w:val="none"/>
          <w:u w:val="single"/>
        </w:rPr>
      </w:pPr>
      <w:r>
        <w:rPr>
          <w:rFonts w:hint="eastAsia" w:ascii="宋体" w:hAnsi="宋体" w:eastAsia="宋体" w:cs="宋体"/>
          <w:spacing w:val="6"/>
          <w:sz w:val="22"/>
          <w:szCs w:val="22"/>
          <w:highlight w:val="none"/>
        </w:rPr>
        <w:t>1.</w:t>
      </w:r>
      <w:r>
        <w:rPr>
          <w:rFonts w:hint="eastAsia" w:ascii="宋体" w:hAnsi="宋体" w:eastAsia="宋体" w:cs="宋体"/>
          <w:spacing w:val="6"/>
          <w:sz w:val="22"/>
          <w:szCs w:val="22"/>
          <w:highlight w:val="none"/>
          <w:u w:val="single"/>
        </w:rPr>
        <w:t xml:space="preserve">（标的名称） </w:t>
      </w:r>
      <w:r>
        <w:rPr>
          <w:rFonts w:hint="eastAsia" w:ascii="宋体" w:hAnsi="宋体" w:eastAsia="宋体" w:cs="宋体"/>
          <w:spacing w:val="6"/>
          <w:sz w:val="22"/>
          <w:szCs w:val="22"/>
          <w:highlight w:val="none"/>
        </w:rPr>
        <w:t>，属于</w:t>
      </w:r>
      <w:r>
        <w:rPr>
          <w:rFonts w:hint="eastAsia" w:ascii="宋体" w:hAnsi="宋体" w:eastAsia="宋体" w:cs="宋体"/>
          <w:spacing w:val="6"/>
          <w:sz w:val="22"/>
          <w:szCs w:val="22"/>
          <w:highlight w:val="none"/>
          <w:u w:val="single"/>
        </w:rPr>
        <w:t>（采购文件中明确的所属行业）行业</w:t>
      </w:r>
      <w:r>
        <w:rPr>
          <w:rFonts w:hint="eastAsia" w:ascii="宋体" w:hAnsi="宋体" w:eastAsia="宋体" w:cs="宋体"/>
          <w:spacing w:val="6"/>
          <w:sz w:val="22"/>
          <w:szCs w:val="22"/>
          <w:highlight w:val="none"/>
        </w:rPr>
        <w:t>；承建（承接）企业为</w:t>
      </w:r>
      <w:r>
        <w:rPr>
          <w:rFonts w:hint="eastAsia" w:ascii="宋体" w:hAnsi="宋体" w:eastAsia="宋体" w:cs="宋体"/>
          <w:spacing w:val="6"/>
          <w:sz w:val="22"/>
          <w:szCs w:val="22"/>
          <w:highlight w:val="none"/>
          <w:u w:val="single"/>
        </w:rPr>
        <w:t>（企业名称）</w:t>
      </w:r>
      <w:r>
        <w:rPr>
          <w:rFonts w:hint="eastAsia" w:ascii="宋体" w:hAnsi="宋体" w:eastAsia="宋体" w:cs="宋体"/>
          <w:spacing w:val="6"/>
          <w:sz w:val="22"/>
          <w:szCs w:val="22"/>
          <w:highlight w:val="none"/>
        </w:rPr>
        <w:t>，从业人员人，营业收入为万元，资产总额为万元，属于</w:t>
      </w:r>
      <w:r>
        <w:rPr>
          <w:rFonts w:hint="eastAsia" w:ascii="宋体" w:hAnsi="宋体" w:eastAsia="宋体" w:cs="宋体"/>
          <w:spacing w:val="6"/>
          <w:sz w:val="22"/>
          <w:szCs w:val="22"/>
          <w:highlight w:val="none"/>
          <w:u w:val="single"/>
        </w:rPr>
        <w:t>（中型企业、小型企业、微型企业）；</w:t>
      </w:r>
    </w:p>
    <w:p w14:paraId="47164BA2">
      <w:pPr>
        <w:spacing w:line="500" w:lineRule="exact"/>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2.</w:t>
      </w:r>
      <w:r>
        <w:rPr>
          <w:rFonts w:hint="eastAsia" w:ascii="宋体" w:hAnsi="宋体" w:eastAsia="宋体" w:cs="宋体"/>
          <w:spacing w:val="6"/>
          <w:sz w:val="22"/>
          <w:szCs w:val="22"/>
          <w:highlight w:val="none"/>
          <w:u w:val="single"/>
        </w:rPr>
        <w:t xml:space="preserve"> （标的名称） </w:t>
      </w:r>
      <w:r>
        <w:rPr>
          <w:rFonts w:hint="eastAsia" w:ascii="宋体" w:hAnsi="宋体" w:eastAsia="宋体" w:cs="宋体"/>
          <w:spacing w:val="6"/>
          <w:sz w:val="22"/>
          <w:szCs w:val="22"/>
          <w:highlight w:val="none"/>
        </w:rPr>
        <w:t>，属于</w:t>
      </w:r>
      <w:r>
        <w:rPr>
          <w:rFonts w:hint="eastAsia" w:ascii="宋体" w:hAnsi="宋体" w:eastAsia="宋体" w:cs="宋体"/>
          <w:spacing w:val="6"/>
          <w:sz w:val="22"/>
          <w:szCs w:val="22"/>
          <w:highlight w:val="none"/>
          <w:u w:val="single"/>
        </w:rPr>
        <w:t>（采购文件中明确的所属行业）行业</w:t>
      </w:r>
      <w:r>
        <w:rPr>
          <w:rFonts w:hint="eastAsia" w:ascii="宋体" w:hAnsi="宋体" w:eastAsia="宋体" w:cs="宋体"/>
          <w:spacing w:val="6"/>
          <w:sz w:val="22"/>
          <w:szCs w:val="22"/>
          <w:highlight w:val="none"/>
        </w:rPr>
        <w:t>；承建（承接）企业为</w:t>
      </w:r>
      <w:r>
        <w:rPr>
          <w:rFonts w:hint="eastAsia" w:ascii="宋体" w:hAnsi="宋体" w:eastAsia="宋体" w:cs="宋体"/>
          <w:spacing w:val="6"/>
          <w:sz w:val="22"/>
          <w:szCs w:val="22"/>
          <w:highlight w:val="none"/>
          <w:u w:val="single"/>
        </w:rPr>
        <w:t>（企业名称）</w:t>
      </w:r>
      <w:r>
        <w:rPr>
          <w:rFonts w:hint="eastAsia" w:ascii="宋体" w:hAnsi="宋体" w:eastAsia="宋体" w:cs="宋体"/>
          <w:spacing w:val="6"/>
          <w:sz w:val="22"/>
          <w:szCs w:val="22"/>
          <w:highlight w:val="none"/>
        </w:rPr>
        <w:t>，从业人员人，营业收入为万元，资产总额为万元，属于</w:t>
      </w:r>
      <w:r>
        <w:rPr>
          <w:rFonts w:hint="eastAsia" w:ascii="宋体" w:hAnsi="宋体" w:eastAsia="宋体" w:cs="宋体"/>
          <w:spacing w:val="6"/>
          <w:sz w:val="22"/>
          <w:szCs w:val="22"/>
          <w:highlight w:val="none"/>
          <w:u w:val="single"/>
        </w:rPr>
        <w:t>（中型企业、小型企业、微型企业）；</w:t>
      </w:r>
      <w:r>
        <w:rPr>
          <w:rFonts w:hint="eastAsia" w:ascii="宋体" w:hAnsi="宋体" w:eastAsia="宋体" w:cs="宋体"/>
          <w:spacing w:val="6"/>
          <w:sz w:val="22"/>
          <w:szCs w:val="22"/>
          <w:highlight w:val="none"/>
          <w:u w:val="single"/>
        </w:rPr>
        <w:br w:type="textWrapping"/>
      </w:r>
      <w:r>
        <w:rPr>
          <w:rFonts w:hint="eastAsia" w:ascii="宋体" w:hAnsi="宋体" w:eastAsia="宋体" w:cs="宋体"/>
          <w:spacing w:val="6"/>
          <w:sz w:val="22"/>
          <w:szCs w:val="22"/>
          <w:highlight w:val="none"/>
        </w:rPr>
        <w:t xml:space="preserve">    ……</w:t>
      </w:r>
    </w:p>
    <w:p w14:paraId="37B02263">
      <w:pPr>
        <w:spacing w:line="500" w:lineRule="exact"/>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以上企业，不属于大企业的分支机构，不存在控股股东为大企业的情形，也不存在与大企业的负责人为同一人的情形。</w:t>
      </w:r>
    </w:p>
    <w:p w14:paraId="3BA6AA24">
      <w:pPr>
        <w:spacing w:line="500" w:lineRule="exact"/>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本公司对上述声明的真实性负责。如有虚假，将依法承担相应责任。</w:t>
      </w:r>
    </w:p>
    <w:p w14:paraId="3B6F3E00">
      <w:pPr>
        <w:spacing w:line="588" w:lineRule="exact"/>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企业名称（盖章）：                </w:t>
      </w:r>
    </w:p>
    <w:p w14:paraId="368268EC">
      <w:pPr>
        <w:spacing w:line="588" w:lineRule="exact"/>
        <w:ind w:left="334" w:leftChars="159" w:firstLine="116" w:firstLineChars="5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日期：                             　　　　　</w:t>
      </w:r>
    </w:p>
    <w:p w14:paraId="6D5E1F63">
      <w:pPr>
        <w:spacing w:line="588" w:lineRule="exact"/>
        <w:rPr>
          <w:rFonts w:ascii="宋体" w:hAnsi="宋体" w:eastAsia="宋体" w:cs="宋体"/>
          <w:b/>
          <w:bCs/>
          <w:spacing w:val="6"/>
          <w:sz w:val="22"/>
          <w:szCs w:val="22"/>
          <w:highlight w:val="none"/>
        </w:rPr>
      </w:pPr>
    </w:p>
    <w:p w14:paraId="3896700B">
      <w:pPr>
        <w:pStyle w:val="3"/>
        <w:rPr>
          <w:rFonts w:ascii="宋体" w:hAnsi="宋体" w:eastAsia="宋体" w:cs="宋体"/>
          <w:sz w:val="22"/>
          <w:szCs w:val="22"/>
          <w:highlight w:val="none"/>
        </w:rPr>
      </w:pPr>
    </w:p>
    <w:p w14:paraId="79460CBF">
      <w:pPr>
        <w:spacing w:line="500" w:lineRule="exact"/>
        <w:rPr>
          <w:rFonts w:ascii="宋体" w:hAnsi="宋体" w:eastAsia="宋体" w:cs="宋体"/>
          <w:b/>
          <w:bCs/>
          <w:spacing w:val="6"/>
          <w:sz w:val="22"/>
          <w:szCs w:val="22"/>
          <w:highlight w:val="none"/>
        </w:rPr>
      </w:pPr>
      <w:r>
        <w:rPr>
          <w:rFonts w:hint="eastAsia" w:ascii="宋体" w:hAnsi="宋体" w:eastAsia="宋体" w:cs="宋体"/>
          <w:b/>
          <w:bCs/>
          <w:spacing w:val="6"/>
          <w:sz w:val="22"/>
          <w:szCs w:val="22"/>
          <w:highlight w:val="none"/>
        </w:rPr>
        <w:t>备注：</w:t>
      </w:r>
    </w:p>
    <w:p w14:paraId="2EB045D3">
      <w:pPr>
        <w:pStyle w:val="3"/>
        <w:rPr>
          <w:rFonts w:ascii="宋体" w:hAnsi="宋体" w:eastAsia="宋体" w:cs="宋体"/>
          <w:sz w:val="22"/>
          <w:szCs w:val="22"/>
          <w:highlight w:val="none"/>
        </w:rPr>
      </w:pPr>
    </w:p>
    <w:p w14:paraId="40F63130">
      <w:pPr>
        <w:spacing w:line="360" w:lineRule="auto"/>
        <w:rPr>
          <w:rFonts w:ascii="宋体" w:hAnsi="宋体" w:eastAsia="宋体" w:cs="宋体"/>
          <w:b/>
          <w:bCs/>
          <w:spacing w:val="6"/>
          <w:sz w:val="22"/>
          <w:szCs w:val="22"/>
          <w:highlight w:val="none"/>
        </w:rPr>
      </w:pPr>
      <w:r>
        <w:rPr>
          <w:rFonts w:hint="eastAsia" w:ascii="宋体" w:hAnsi="宋体" w:eastAsia="宋体" w:cs="宋体"/>
          <w:b/>
          <w:bCs/>
          <w:spacing w:val="6"/>
          <w:sz w:val="22"/>
          <w:szCs w:val="22"/>
          <w:highlight w:val="none"/>
        </w:rPr>
        <w:t>1、从业人员、营业收入、资产总额填报上一年度数据，无上一年度数据的新成立企业可不填报。</w:t>
      </w:r>
    </w:p>
    <w:p w14:paraId="0DB992B5">
      <w:p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2、如中标供应商声明为小微企业，本声明函将随中标结果同时公告，接受社会监督。</w:t>
      </w:r>
    </w:p>
    <w:p w14:paraId="4DB1D491">
      <w:pPr>
        <w:pStyle w:val="3"/>
        <w:spacing w:line="360" w:lineRule="auto"/>
        <w:rPr>
          <w:rFonts w:ascii="宋体" w:hAnsi="宋体" w:eastAsia="宋体" w:cs="宋体"/>
          <w:sz w:val="22"/>
          <w:szCs w:val="22"/>
          <w:highlight w:val="none"/>
        </w:rPr>
      </w:pPr>
      <w:r>
        <w:rPr>
          <w:rFonts w:hint="eastAsia" w:ascii="宋体" w:hAnsi="宋体" w:eastAsia="宋体" w:cs="宋体"/>
          <w:b/>
          <w:bCs/>
          <w:sz w:val="22"/>
          <w:szCs w:val="22"/>
          <w:highlight w:val="none"/>
        </w:rPr>
        <w:t>3、投标供应商提供的《</w:t>
      </w:r>
      <w:r>
        <w:rPr>
          <w:rFonts w:hint="eastAsia" w:ascii="宋体" w:hAnsi="宋体" w:eastAsia="宋体" w:cs="宋体"/>
          <w:b/>
          <w:bCs/>
          <w:spacing w:val="6"/>
          <w:sz w:val="22"/>
          <w:szCs w:val="22"/>
          <w:highlight w:val="none"/>
        </w:rPr>
        <w:t>中小企业声明函</w:t>
      </w:r>
      <w:r>
        <w:rPr>
          <w:rFonts w:hint="eastAsia" w:ascii="宋体" w:hAnsi="宋体" w:eastAsia="宋体" w:cs="宋体"/>
          <w:b/>
          <w:bCs/>
          <w:sz w:val="22"/>
          <w:szCs w:val="22"/>
          <w:highlight w:val="none"/>
        </w:rPr>
        <w:t>》与事实不符的，属于提供虚假材料谋取中标，依照《政府采购法》相关规定追究法律责任。</w:t>
      </w:r>
    </w:p>
    <w:p w14:paraId="3B1D3FA2">
      <w:pPr>
        <w:spacing w:line="360" w:lineRule="auto"/>
        <w:ind w:left="334" w:leftChars="159" w:firstLine="111" w:firstLineChars="50"/>
        <w:rPr>
          <w:rFonts w:ascii="宋体" w:hAnsi="宋体" w:eastAsia="宋体" w:cs="宋体"/>
          <w:spacing w:val="6"/>
          <w:szCs w:val="21"/>
          <w:highlight w:val="none"/>
        </w:rPr>
      </w:pPr>
    </w:p>
    <w:p w14:paraId="1D175DC5">
      <w:pPr>
        <w:spacing w:line="360" w:lineRule="auto"/>
        <w:rPr>
          <w:rFonts w:ascii="宋体" w:hAnsi="宋体" w:eastAsia="宋体" w:cs="宋体"/>
          <w:b/>
          <w:szCs w:val="21"/>
          <w:highlight w:val="none"/>
        </w:rPr>
      </w:pPr>
    </w:p>
    <w:p w14:paraId="2A37D6F2">
      <w:pPr>
        <w:spacing w:line="360" w:lineRule="auto"/>
        <w:rPr>
          <w:rFonts w:ascii="宋体" w:hAnsi="宋体" w:eastAsia="宋体" w:cs="宋体"/>
          <w:b/>
          <w:szCs w:val="21"/>
          <w:highlight w:val="none"/>
        </w:rPr>
      </w:pPr>
      <w:r>
        <w:rPr>
          <w:rFonts w:hint="eastAsia" w:ascii="宋体" w:hAnsi="宋体" w:eastAsia="宋体" w:cs="宋体"/>
          <w:b/>
          <w:szCs w:val="21"/>
          <w:highlight w:val="none"/>
        </w:rPr>
        <w:br w:type="page"/>
      </w:r>
      <w:r>
        <w:rPr>
          <w:rFonts w:hint="eastAsia" w:ascii="宋体" w:hAnsi="宋体" w:eastAsia="宋体" w:cs="宋体"/>
          <w:b/>
          <w:szCs w:val="21"/>
          <w:highlight w:val="none"/>
        </w:rPr>
        <w:t>附件2</w:t>
      </w:r>
    </w:p>
    <w:p w14:paraId="33CEF810">
      <w:pPr>
        <w:spacing w:line="360" w:lineRule="auto"/>
        <w:jc w:val="center"/>
        <w:rPr>
          <w:rFonts w:ascii="宋体" w:hAnsi="宋体" w:eastAsia="宋体" w:cs="宋体"/>
          <w:b/>
          <w:bCs/>
          <w:spacing w:val="6"/>
          <w:sz w:val="28"/>
          <w:szCs w:val="28"/>
          <w:highlight w:val="none"/>
        </w:rPr>
      </w:pPr>
      <w:r>
        <w:rPr>
          <w:rFonts w:hint="eastAsia" w:ascii="宋体" w:hAnsi="宋体" w:eastAsia="宋体" w:cs="宋体"/>
          <w:b/>
          <w:bCs/>
          <w:spacing w:val="6"/>
          <w:sz w:val="28"/>
          <w:szCs w:val="28"/>
          <w:highlight w:val="none"/>
        </w:rPr>
        <w:t>残疾人福利性单位声明函</w:t>
      </w:r>
    </w:p>
    <w:p w14:paraId="6E0638CF">
      <w:pPr>
        <w:spacing w:line="360" w:lineRule="auto"/>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sz w:val="22"/>
          <w:szCs w:val="22"/>
          <w:highlight w:val="none"/>
        </w:rPr>
        <w:t>〔2017〕 141</w:t>
      </w:r>
      <w:r>
        <w:rPr>
          <w:rFonts w:hint="eastAsia" w:ascii="宋体" w:hAnsi="宋体" w:eastAsia="宋体" w:cs="宋体"/>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7C5A35">
      <w:pPr>
        <w:spacing w:line="360" w:lineRule="auto"/>
        <w:ind w:firstLine="464" w:firstLineChars="200"/>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本单位对上述声明的真实性负责。如有虚假，将依法承担相应责任。</w:t>
      </w:r>
    </w:p>
    <w:p w14:paraId="74D2611E">
      <w:pPr>
        <w:spacing w:line="360" w:lineRule="auto"/>
        <w:ind w:firstLine="464" w:firstLineChars="200"/>
        <w:rPr>
          <w:rFonts w:ascii="宋体" w:hAnsi="宋体" w:eastAsia="宋体" w:cs="宋体"/>
          <w:spacing w:val="6"/>
          <w:sz w:val="22"/>
          <w:szCs w:val="22"/>
          <w:highlight w:val="none"/>
        </w:rPr>
      </w:pPr>
    </w:p>
    <w:p w14:paraId="582C4CE1">
      <w:pPr>
        <w:tabs>
          <w:tab w:val="left" w:pos="4860"/>
        </w:tabs>
        <w:spacing w:line="360" w:lineRule="auto"/>
        <w:ind w:right="1560" w:firstLine="464" w:firstLineChars="200"/>
        <w:jc w:val="center"/>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 xml:space="preserve">               单位名称（盖章）：</w:t>
      </w:r>
    </w:p>
    <w:p w14:paraId="4AB93E17">
      <w:pPr>
        <w:tabs>
          <w:tab w:val="left" w:pos="4860"/>
        </w:tabs>
        <w:spacing w:line="360" w:lineRule="auto"/>
        <w:ind w:right="1560" w:firstLine="464" w:firstLineChars="200"/>
        <w:jc w:val="center"/>
        <w:rPr>
          <w:rFonts w:ascii="宋体" w:hAnsi="宋体" w:eastAsia="宋体" w:cs="宋体"/>
          <w:spacing w:val="6"/>
          <w:sz w:val="22"/>
          <w:szCs w:val="22"/>
          <w:highlight w:val="none"/>
        </w:rPr>
      </w:pPr>
      <w:r>
        <w:rPr>
          <w:rFonts w:hint="eastAsia" w:ascii="宋体" w:hAnsi="宋体" w:eastAsia="宋体" w:cs="宋体"/>
          <w:spacing w:val="6"/>
          <w:sz w:val="22"/>
          <w:szCs w:val="22"/>
          <w:highlight w:val="none"/>
        </w:rPr>
        <w:t xml:space="preserve">       日  期：</w:t>
      </w:r>
    </w:p>
    <w:p w14:paraId="2795D6D1">
      <w:pPr>
        <w:tabs>
          <w:tab w:val="left" w:pos="4860"/>
        </w:tabs>
        <w:spacing w:line="360" w:lineRule="auto"/>
        <w:ind w:right="1560"/>
        <w:rPr>
          <w:rFonts w:ascii="宋体" w:hAnsi="宋体" w:eastAsia="宋体" w:cs="宋体"/>
          <w:b/>
          <w:sz w:val="22"/>
          <w:szCs w:val="22"/>
          <w:highlight w:val="none"/>
        </w:rPr>
      </w:pPr>
      <w:r>
        <w:rPr>
          <w:rFonts w:hint="eastAsia" w:ascii="宋体" w:hAnsi="宋体" w:eastAsia="宋体" w:cs="宋体"/>
          <w:b/>
          <w:sz w:val="22"/>
          <w:szCs w:val="22"/>
          <w:highlight w:val="none"/>
        </w:rPr>
        <w:t>备注说明：</w:t>
      </w:r>
    </w:p>
    <w:p w14:paraId="22FEC672">
      <w:pPr>
        <w:tabs>
          <w:tab w:val="left" w:pos="4860"/>
        </w:tabs>
        <w:spacing w:line="360" w:lineRule="auto"/>
        <w:ind w:right="100"/>
        <w:rPr>
          <w:rFonts w:ascii="宋体" w:hAnsi="宋体" w:eastAsia="宋体" w:cs="宋体"/>
          <w:b/>
          <w:sz w:val="22"/>
          <w:szCs w:val="22"/>
          <w:highlight w:val="none"/>
        </w:rPr>
      </w:pPr>
      <w:r>
        <w:rPr>
          <w:rFonts w:hint="eastAsia" w:ascii="宋体" w:hAnsi="宋体" w:eastAsia="宋体" w:cs="宋体"/>
          <w:b/>
          <w:sz w:val="22"/>
          <w:szCs w:val="22"/>
          <w:highlight w:val="none"/>
        </w:rPr>
        <w:t>1、如中标，将在中标公示中将此残疾人福利性单位声明函予以公示，接受社会监督；</w:t>
      </w:r>
    </w:p>
    <w:p w14:paraId="720AFAF1">
      <w:pPr>
        <w:spacing w:line="360" w:lineRule="auto"/>
        <w:ind w:left="20" w:hanging="20" w:hangingChars="9"/>
        <w:rPr>
          <w:rFonts w:ascii="宋体" w:hAnsi="宋体" w:eastAsia="宋体" w:cs="宋体"/>
          <w:b/>
          <w:sz w:val="22"/>
          <w:szCs w:val="22"/>
          <w:highlight w:val="none"/>
        </w:rPr>
      </w:pPr>
      <w:r>
        <w:rPr>
          <w:rFonts w:hint="eastAsia" w:ascii="宋体" w:hAnsi="宋体" w:eastAsia="宋体" w:cs="宋体"/>
          <w:b/>
          <w:sz w:val="22"/>
          <w:szCs w:val="22"/>
          <w:highlight w:val="none"/>
        </w:rPr>
        <w:t>2、投标供应商提供的《残疾人福利性单位声明函》与事实不符的，依照《政府采购法》第七十七条第一款的规定追究法律责任。</w:t>
      </w:r>
    </w:p>
    <w:p w14:paraId="7ADEFCA2">
      <w:pPr>
        <w:pStyle w:val="15"/>
        <w:ind w:firstLine="542"/>
        <w:rPr>
          <w:highlight w:val="none"/>
        </w:rPr>
      </w:pPr>
      <w:r>
        <w:rPr>
          <w:highlight w:val="none"/>
        </w:rPr>
        <w:br w:type="page"/>
      </w:r>
    </w:p>
    <w:p w14:paraId="0E961A93">
      <w:pPr>
        <w:spacing w:line="360" w:lineRule="auto"/>
        <w:ind w:left="20" w:hanging="19" w:hangingChars="9"/>
        <w:rPr>
          <w:rFonts w:ascii="宋体" w:hAnsi="宋体" w:eastAsia="宋体" w:cs="宋体"/>
          <w:bCs/>
          <w:sz w:val="22"/>
          <w:szCs w:val="22"/>
          <w:highlight w:val="none"/>
        </w:rPr>
      </w:pPr>
    </w:p>
    <w:p w14:paraId="79D00637">
      <w:pPr>
        <w:spacing w:line="360" w:lineRule="auto"/>
        <w:rPr>
          <w:rFonts w:ascii="宋体" w:hAnsi="宋体" w:eastAsia="宋体" w:cs="宋体"/>
          <w:b/>
          <w:szCs w:val="21"/>
          <w:highlight w:val="none"/>
        </w:rPr>
      </w:pPr>
      <w:r>
        <w:rPr>
          <w:rFonts w:hint="eastAsia" w:ascii="宋体" w:hAnsi="宋体" w:eastAsia="宋体" w:cs="宋体"/>
          <w:b/>
          <w:szCs w:val="21"/>
          <w:highlight w:val="none"/>
        </w:rPr>
        <w:t>附件3</w:t>
      </w:r>
    </w:p>
    <w:p w14:paraId="6B1DED69">
      <w:pPr>
        <w:adjustRightInd w:val="0"/>
        <w:snapToGrid w:val="0"/>
        <w:spacing w:line="300" w:lineRule="auto"/>
        <w:jc w:val="center"/>
        <w:rPr>
          <w:rFonts w:ascii="宋体" w:cs="Arial"/>
          <w:color w:val="000000"/>
          <w:kern w:val="0"/>
          <w:sz w:val="22"/>
          <w:szCs w:val="22"/>
          <w:highlight w:val="none"/>
        </w:rPr>
      </w:pPr>
      <w:r>
        <w:rPr>
          <w:rFonts w:hint="eastAsia" w:ascii="宋体" w:hAnsi="宋体"/>
          <w:b/>
          <w:color w:val="000000"/>
          <w:spacing w:val="6"/>
          <w:sz w:val="22"/>
          <w:szCs w:val="22"/>
          <w:highlight w:val="none"/>
        </w:rPr>
        <w:t>监狱企业声明函</w:t>
      </w:r>
    </w:p>
    <w:p w14:paraId="10D37162">
      <w:pPr>
        <w:snapToGrid w:val="0"/>
        <w:spacing w:line="300" w:lineRule="auto"/>
        <w:ind w:firstLine="464" w:firstLineChars="200"/>
        <w:jc w:val="center"/>
        <w:rPr>
          <w:rFonts w:ascii="宋体" w:cs="Arial"/>
          <w:color w:val="000000"/>
          <w:spacing w:val="6"/>
          <w:sz w:val="22"/>
          <w:szCs w:val="22"/>
          <w:highlight w:val="none"/>
        </w:rPr>
      </w:pPr>
      <w:r>
        <w:rPr>
          <w:rFonts w:hint="eastAsia" w:ascii="宋体" w:hAnsi="宋体"/>
          <w:color w:val="000000"/>
          <w:spacing w:val="6"/>
          <w:sz w:val="22"/>
          <w:szCs w:val="22"/>
          <w:highlight w:val="none"/>
        </w:rPr>
        <w:t>【</w:t>
      </w:r>
      <w:r>
        <w:rPr>
          <w:rFonts w:hint="eastAsia" w:ascii="宋体" w:hAnsi="宋体" w:cs="Arial"/>
          <w:color w:val="000000"/>
          <w:spacing w:val="6"/>
          <w:sz w:val="22"/>
          <w:szCs w:val="22"/>
          <w:highlight w:val="none"/>
        </w:rPr>
        <w:t>非监狱企业不用提供】</w:t>
      </w:r>
    </w:p>
    <w:p w14:paraId="3FD81738">
      <w:pPr>
        <w:snapToGrid w:val="0"/>
        <w:spacing w:line="300" w:lineRule="auto"/>
        <w:ind w:firstLine="464" w:firstLineChars="200"/>
        <w:rPr>
          <w:rFonts w:ascii="宋体" w:cs="Arial"/>
          <w:color w:val="000000"/>
          <w:spacing w:val="6"/>
          <w:sz w:val="22"/>
          <w:szCs w:val="22"/>
          <w:highlight w:val="none"/>
        </w:rPr>
      </w:pPr>
      <w:r>
        <w:rPr>
          <w:rFonts w:hint="eastAsia" w:ascii="宋体" w:hAnsi="宋体" w:cs="Arial"/>
          <w:color w:val="000000"/>
          <w:spacing w:val="6"/>
          <w:sz w:val="22"/>
          <w:szCs w:val="22"/>
          <w:highlight w:val="none"/>
        </w:rPr>
        <w:t>本企业郑重声明，根据《关于政府采购支持监狱企业发展有关问题的通知》（财库</w:t>
      </w:r>
      <w:r>
        <w:rPr>
          <w:rFonts w:ascii="宋体" w:hAnsi="宋体" w:cs="Arial"/>
          <w:color w:val="000000"/>
          <w:spacing w:val="6"/>
          <w:sz w:val="22"/>
          <w:szCs w:val="22"/>
          <w:highlight w:val="none"/>
        </w:rPr>
        <w:t>[2014]68</w:t>
      </w:r>
      <w:r>
        <w:rPr>
          <w:rFonts w:hint="eastAsia" w:ascii="宋体" w:hAnsi="宋体" w:cs="Arial"/>
          <w:color w:val="000000"/>
          <w:spacing w:val="6"/>
          <w:sz w:val="22"/>
          <w:szCs w:val="22"/>
          <w:highlight w:val="none"/>
        </w:rPr>
        <w:t>号）的规定，本企业为监狱企业。</w:t>
      </w:r>
    </w:p>
    <w:p w14:paraId="03B0BDBB">
      <w:pPr>
        <w:snapToGrid w:val="0"/>
        <w:spacing w:line="300" w:lineRule="auto"/>
        <w:ind w:firstLine="464" w:firstLineChars="200"/>
        <w:rPr>
          <w:rFonts w:ascii="宋体" w:cs="Arial"/>
          <w:color w:val="000000"/>
          <w:spacing w:val="6"/>
          <w:sz w:val="22"/>
          <w:szCs w:val="22"/>
          <w:highlight w:val="none"/>
        </w:rPr>
      </w:pPr>
      <w:r>
        <w:rPr>
          <w:rFonts w:hint="eastAsia" w:ascii="宋体" w:hAnsi="宋体" w:cs="Arial"/>
          <w:color w:val="000000"/>
          <w:spacing w:val="6"/>
          <w:sz w:val="22"/>
          <w:szCs w:val="22"/>
          <w:highlight w:val="none"/>
        </w:rPr>
        <w:t>根据上述标准，我企业属于监狱企业的理由为：。</w:t>
      </w:r>
    </w:p>
    <w:p w14:paraId="5C4B7BE5">
      <w:pPr>
        <w:snapToGrid w:val="0"/>
        <w:spacing w:line="300" w:lineRule="auto"/>
        <w:ind w:firstLine="464" w:firstLineChars="200"/>
        <w:rPr>
          <w:rFonts w:ascii="宋体" w:cs="Arial"/>
          <w:color w:val="000000"/>
          <w:spacing w:val="6"/>
          <w:sz w:val="22"/>
          <w:szCs w:val="22"/>
          <w:highlight w:val="none"/>
        </w:rPr>
      </w:pPr>
      <w:r>
        <w:rPr>
          <w:rFonts w:hint="eastAsia" w:ascii="宋体" w:hAnsi="宋体" w:cs="Arial"/>
          <w:color w:val="000000"/>
          <w:spacing w:val="6"/>
          <w:sz w:val="22"/>
          <w:szCs w:val="22"/>
          <w:highlight w:val="none"/>
        </w:rPr>
        <w:t>本企业为参加（项目名称</w:t>
      </w:r>
      <w:r>
        <w:rPr>
          <w:rFonts w:hint="eastAsia" w:ascii="宋体" w:hAnsi="宋体" w:cs="Arial"/>
          <w:color w:val="000000"/>
          <w:spacing w:val="6"/>
          <w:sz w:val="22"/>
          <w:szCs w:val="22"/>
          <w:highlight w:val="none"/>
          <w:u w:val="single"/>
        </w:rPr>
        <w:t>：</w:t>
      </w:r>
      <w:r>
        <w:rPr>
          <w:rFonts w:hint="eastAsia" w:ascii="宋体" w:hAnsi="宋体" w:cs="Arial"/>
          <w:color w:val="000000"/>
          <w:spacing w:val="6"/>
          <w:sz w:val="22"/>
          <w:szCs w:val="22"/>
          <w:highlight w:val="none"/>
        </w:rPr>
        <w:t>）（项目编号</w:t>
      </w:r>
      <w:r>
        <w:rPr>
          <w:rFonts w:hint="eastAsia" w:ascii="宋体" w:hAnsi="宋体" w:cs="Arial"/>
          <w:color w:val="000000"/>
          <w:spacing w:val="6"/>
          <w:sz w:val="22"/>
          <w:szCs w:val="22"/>
          <w:highlight w:val="none"/>
          <w:u w:val="single"/>
        </w:rPr>
        <w:t>：</w:t>
      </w:r>
      <w:r>
        <w:rPr>
          <w:rFonts w:hint="eastAsia" w:ascii="宋体" w:hAnsi="宋体" w:cs="Arial"/>
          <w:color w:val="000000"/>
          <w:spacing w:val="6"/>
          <w:sz w:val="22"/>
          <w:szCs w:val="22"/>
          <w:highlight w:val="none"/>
        </w:rPr>
        <w:t>）采购活动并承担本工程。</w:t>
      </w:r>
    </w:p>
    <w:p w14:paraId="4852D7F8">
      <w:pPr>
        <w:snapToGrid w:val="0"/>
        <w:spacing w:line="300" w:lineRule="auto"/>
        <w:ind w:firstLine="464" w:firstLineChars="200"/>
        <w:rPr>
          <w:rFonts w:ascii="宋体" w:cs="Arial"/>
          <w:color w:val="000000"/>
          <w:spacing w:val="6"/>
          <w:sz w:val="22"/>
          <w:szCs w:val="22"/>
          <w:highlight w:val="none"/>
        </w:rPr>
      </w:pPr>
      <w:r>
        <w:rPr>
          <w:rFonts w:hint="eastAsia" w:ascii="宋体" w:hAnsi="宋体" w:cs="Arial"/>
          <w:color w:val="000000"/>
          <w:spacing w:val="6"/>
          <w:sz w:val="22"/>
          <w:szCs w:val="22"/>
          <w:highlight w:val="none"/>
        </w:rPr>
        <w:t>本企业对上述声明的真实性负责。如有虚假，将依法承担相应责任。</w:t>
      </w:r>
    </w:p>
    <w:p w14:paraId="37E1A1B8">
      <w:pPr>
        <w:tabs>
          <w:tab w:val="left" w:pos="4860"/>
        </w:tabs>
        <w:spacing w:line="588" w:lineRule="exact"/>
        <w:ind w:right="1560" w:firstLine="464" w:firstLineChars="200"/>
        <w:jc w:val="center"/>
        <w:rPr>
          <w:rFonts w:ascii="宋体"/>
          <w:color w:val="000000"/>
          <w:spacing w:val="6"/>
          <w:sz w:val="22"/>
          <w:szCs w:val="22"/>
          <w:highlight w:val="none"/>
        </w:rPr>
      </w:pPr>
    </w:p>
    <w:p w14:paraId="0DC71053">
      <w:pPr>
        <w:widowControl/>
        <w:adjustRightInd w:val="0"/>
        <w:snapToGrid w:val="0"/>
        <w:spacing w:line="400" w:lineRule="exact"/>
        <w:ind w:firstLine="3300" w:firstLineChars="1500"/>
        <w:jc w:val="left"/>
        <w:rPr>
          <w:rFonts w:ascii="宋体" w:hAnsi="宋体" w:cs="宋体"/>
          <w:color w:val="000000"/>
          <w:sz w:val="22"/>
          <w:szCs w:val="22"/>
          <w:highlight w:val="none"/>
        </w:rPr>
      </w:pPr>
      <w:r>
        <w:rPr>
          <w:rFonts w:hint="eastAsia" w:ascii="宋体" w:hAnsi="宋体" w:cs="宋体"/>
          <w:color w:val="000000"/>
          <w:sz w:val="22"/>
          <w:szCs w:val="22"/>
          <w:highlight w:val="none"/>
        </w:rPr>
        <w:t>供应商名称（盖章）：</w:t>
      </w:r>
    </w:p>
    <w:p w14:paraId="43127674">
      <w:pPr>
        <w:widowControl/>
        <w:adjustRightInd w:val="0"/>
        <w:snapToGrid w:val="0"/>
        <w:spacing w:line="400" w:lineRule="exact"/>
        <w:ind w:firstLine="3300" w:firstLineChars="1500"/>
        <w:jc w:val="left"/>
        <w:rPr>
          <w:rFonts w:ascii="宋体" w:hAnsi="宋体" w:cs="宋体"/>
          <w:color w:val="000000"/>
          <w:sz w:val="22"/>
          <w:szCs w:val="22"/>
          <w:highlight w:val="none"/>
        </w:rPr>
      </w:pPr>
      <w:r>
        <w:rPr>
          <w:rFonts w:hint="eastAsia" w:ascii="宋体" w:hAnsi="宋体" w:cs="宋体"/>
          <w:color w:val="000000"/>
          <w:sz w:val="22"/>
          <w:szCs w:val="22"/>
          <w:highlight w:val="none"/>
        </w:rPr>
        <w:t>日期：      年    月     日</w:t>
      </w:r>
    </w:p>
    <w:p w14:paraId="5E84C514">
      <w:pPr>
        <w:pStyle w:val="65"/>
        <w:rPr>
          <w:rFonts w:ascii="宋体" w:hAnsi="宋体" w:cs="宋体"/>
          <w:color w:val="000000"/>
          <w:sz w:val="22"/>
          <w:szCs w:val="22"/>
          <w:highlight w:val="none"/>
        </w:rPr>
      </w:pPr>
    </w:p>
    <w:p w14:paraId="1E7DB354">
      <w:pPr>
        <w:spacing w:line="360" w:lineRule="auto"/>
        <w:rPr>
          <w:rFonts w:ascii="宋体" w:hAnsi="宋体" w:eastAsia="宋体" w:cs="宋体"/>
          <w:highlight w:val="none"/>
        </w:rPr>
      </w:pPr>
    </w:p>
    <w:sectPr>
      <w:headerReference r:id="rId20" w:type="default"/>
      <w:footerReference r:id="rId21" w:type="default"/>
      <w:type w:val="nextColumn"/>
      <w:pgSz w:w="11906" w:h="16838"/>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hakuyoxingshu7000">
    <w:altName w:val="宋体"/>
    <w:panose1 w:val="02000600000000000000"/>
    <w:charset w:val="00"/>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E0F4">
    <w:pPr>
      <w:pStyle w:val="16"/>
      <w:ind w:right="360" w:firstLine="4410" w:firstLineChars="245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63CB">
    <w:pPr>
      <w:pStyle w:val="3"/>
      <w:kinsoku w:val="0"/>
      <w:overflowPunct w:val="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94BD2">
                          <w:pPr>
                            <w:pStyle w:val="16"/>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nFY3csBAACcAwAADgAAAGRycy9lMm9Eb2MueG1srVPNjtMwEL4j8Q6W&#10;79Rph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5xWN3LAQAAnAMAAA4AAAAAAAAAAQAgAAAAHgEAAGRycy9lMm9E&#10;b2MueG1sUEsFBgAAAAAGAAYAWQEAAFsFAAAAAA==&#10;">
              <v:fill on="f" focussize="0,0"/>
              <v:stroke on="f"/>
              <v:imagedata o:title=""/>
              <o:lock v:ext="edit" aspectratio="f"/>
              <v:textbox inset="0mm,0mm,0mm,0mm" style="mso-fit-shape-to-text:t;">
                <w:txbxContent>
                  <w:p w14:paraId="36094BD2">
                    <w:pPr>
                      <w:pStyle w:val="16"/>
                    </w:pPr>
                    <w:r>
                      <w:fldChar w:fldCharType="begin"/>
                    </w:r>
                    <w:r>
                      <w:instrText xml:space="preserve"> PAGE  \* MERGEFORMAT </w:instrText>
                    </w:r>
                    <w:r>
                      <w:fldChar w:fldCharType="separate"/>
                    </w:r>
                    <w:r>
                      <w:t>35</w:t>
                    </w:r>
                    <w:r>
                      <w:fldChar w:fldCharType="end"/>
                    </w:r>
                  </w:p>
                </w:txbxContent>
              </v:textbox>
            </v:shape>
          </w:pict>
        </mc:Fallback>
      </mc:AlternateContent>
    </w:r>
  </w:p>
  <w:p w14:paraId="009EB050">
    <w:pPr>
      <w:pStyle w:val="3"/>
      <w:kinsoku w:val="0"/>
      <w:overflowPunct w:val="0"/>
      <w:spacing w:line="14" w:lineRule="auto"/>
      <w:rPr>
        <w:sz w:val="20"/>
      </w:rPr>
    </w:pPr>
    <w:r>
      <w:rPr>
        <w:sz w:val="22"/>
      </w:rPr>
      <mc:AlternateContent>
        <mc:Choice Requires="wps">
          <w:drawing>
            <wp:anchor distT="0" distB="0" distL="114300" distR="114300" simplePos="0" relativeHeight="251660288" behindDoc="1" locked="0" layoutInCell="1" allowOverlap="1">
              <wp:simplePos x="0" y="0"/>
              <wp:positionH relativeFrom="page">
                <wp:posOffset>5455285</wp:posOffset>
              </wp:positionH>
              <wp:positionV relativeFrom="page">
                <wp:posOffset>10008870</wp:posOffset>
              </wp:positionV>
              <wp:extent cx="139700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w="9525">
                        <a:noFill/>
                      </a:ln>
                      <a:effectLst/>
                    </wps:spPr>
                    <wps:txbx>
                      <w:txbxContent>
                        <w:p w14:paraId="6D9C59D7">
                          <w:pPr>
                            <w:pStyle w:val="3"/>
                            <w:kinsoku w:val="0"/>
                            <w:overflowPunct w:val="0"/>
                            <w:spacing w:line="200"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429.55pt;margin-top:788.1pt;height:11pt;width:110pt;mso-position-horizontal-relative:page;mso-position-vertical-relative:page;z-index:-251656192;mso-width-relative:page;mso-height-relative:page;" filled="f" stroked="f" coordsize="21600,21600" o:gfxdata="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cyIndoAAAAOAQAADwAAAAAAAAABACAAAAAiAAAAZHJzL2Rvd25y&#10;ZXYueG1sUEsBAhQAFAAAAAgAh07iQEEtlwHDAQAAiQMAAA4AAAAAAAAAAQAgAAAAKQEAAGRycy9l&#10;Mm9Eb2MueG1sUEsFBgAAAAAGAAYAWQEAAF4FAAAAAA==&#10;">
              <v:fill on="f" focussize="0,0"/>
              <v:stroke on="f"/>
              <v:imagedata o:title=""/>
              <o:lock v:ext="edit" aspectratio="f"/>
              <v:textbox inset="0mm,0mm,0mm,0mm">
                <w:txbxContent>
                  <w:p w14:paraId="6D9C59D7">
                    <w:pPr>
                      <w:pStyle w:val="3"/>
                      <w:kinsoku w:val="0"/>
                      <w:overflowPunct w:val="0"/>
                      <w:spacing w:line="200" w:lineRule="exact"/>
                      <w:ind w:left="20"/>
                      <w:rPr>
                        <w:sz w:val="1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7457">
    <w:pPr>
      <w:pStyle w:val="3"/>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A7BC4E">
                          <w:pPr>
                            <w:pStyle w:val="16"/>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qy6swBAACcAwAADgAAAGRycy9lMm9Eb2MueG1srVPNjtMwEL4j7TtY&#10;vm+dViu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ZvKL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qyrLqzAEAAJwDAAAOAAAAAAAAAAEAIAAAAB4BAABkcnMvZTJv&#10;RG9jLnhtbFBLBQYAAAAABgAGAFkBAABcBQAAAAA=&#10;">
              <v:fill on="f" focussize="0,0"/>
              <v:stroke on="f"/>
              <v:imagedata o:title=""/>
              <o:lock v:ext="edit" aspectratio="f"/>
              <v:textbox inset="0mm,0mm,0mm,0mm" style="mso-fit-shape-to-text:t;">
                <w:txbxContent>
                  <w:p w14:paraId="5FA7BC4E">
                    <w:pPr>
                      <w:pStyle w:val="16"/>
                    </w:pPr>
                    <w:r>
                      <w:fldChar w:fldCharType="begin"/>
                    </w:r>
                    <w:r>
                      <w:instrText xml:space="preserve"> PAGE  \* MERGEFORMAT </w:instrText>
                    </w:r>
                    <w:r>
                      <w:fldChar w:fldCharType="separate"/>
                    </w:r>
                    <w:r>
                      <w:t>37</w:t>
                    </w:r>
                    <w:r>
                      <w:fldChar w:fldCharType="end"/>
                    </w:r>
                  </w:p>
                </w:txbxContent>
              </v:textbox>
            </v:shape>
          </w:pict>
        </mc:Fallback>
      </mc:AlternateContent>
    </w:r>
  </w:p>
  <w:p w14:paraId="15735C63">
    <w:pPr>
      <w:pStyle w:val="3"/>
      <w:kinsoku w:val="0"/>
      <w:overflowPunct w:val="0"/>
      <w:spacing w:line="14" w:lineRule="auto"/>
      <w:rPr>
        <w:sz w:val="20"/>
      </w:rPr>
    </w:pPr>
    <w:r>
      <w:rPr>
        <w:sz w:val="22"/>
      </w:rPr>
      <mc:AlternateContent>
        <mc:Choice Requires="wps">
          <w:drawing>
            <wp:anchor distT="0" distB="0" distL="114300" distR="114300" simplePos="0" relativeHeight="251661312" behindDoc="1" locked="0" layoutInCell="1" allowOverlap="1">
              <wp:simplePos x="0" y="0"/>
              <wp:positionH relativeFrom="page">
                <wp:posOffset>5455285</wp:posOffset>
              </wp:positionH>
              <wp:positionV relativeFrom="page">
                <wp:posOffset>10008870</wp:posOffset>
              </wp:positionV>
              <wp:extent cx="139700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w="9525">
                        <a:noFill/>
                      </a:ln>
                      <a:effectLst/>
                    </wps:spPr>
                    <wps:txbx>
                      <w:txbxContent>
                        <w:p w14:paraId="66C814F6">
                          <w:pPr>
                            <w:pStyle w:val="3"/>
                            <w:kinsoku w:val="0"/>
                            <w:overflowPunct w:val="0"/>
                            <w:spacing w:line="200"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429.55pt;margin-top:788.1pt;height:11pt;width:110pt;mso-position-horizontal-relative:page;mso-position-vertical-relative:page;z-index:-251655168;mso-width-relative:page;mso-height-relative:page;" filled="f" stroked="f" coordsize="21600,21600" o:gfxdata="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3MiJ3aAAAADgEAAA8AAAAAAAAAAQAgAAAAIgAAAGRycy9kb3du&#10;cmV2LnhtbFBLAQIUABQAAAAIAIdO4kB21sG5xAEAAIkDAAAOAAAAAAAAAAEAIAAAACkBAABkcnMv&#10;ZTJvRG9jLnhtbFBLBQYAAAAABgAGAFkBAABfBQAAAAA=&#10;">
              <v:fill on="f" focussize="0,0"/>
              <v:stroke on="f"/>
              <v:imagedata o:title=""/>
              <o:lock v:ext="edit" aspectratio="f"/>
              <v:textbox inset="0mm,0mm,0mm,0mm">
                <w:txbxContent>
                  <w:p w14:paraId="66C814F6">
                    <w:pPr>
                      <w:pStyle w:val="3"/>
                      <w:kinsoku w:val="0"/>
                      <w:overflowPunct w:val="0"/>
                      <w:spacing w:line="200" w:lineRule="exact"/>
                      <w:ind w:left="20"/>
                      <w:rPr>
                        <w:sz w:val="1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2292">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FC8C">
                          <w:pPr>
                            <w:pStyle w:val="16"/>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SnxcsBAACcAwAADgAAAGRycy9lMm9Eb2MueG1srVPNjtMwEL4j8Q6W&#10;79Rph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xkp8XLAQAAnAMAAA4AAAAAAAAAAQAgAAAAHgEAAGRycy9lMm9E&#10;b2MueG1sUEsFBgAAAAAGAAYAWQEAAFsFAAAAAA==&#10;">
              <v:fill on="f" focussize="0,0"/>
              <v:stroke on="f"/>
              <v:imagedata o:title=""/>
              <o:lock v:ext="edit" aspectratio="f"/>
              <v:textbox inset="0mm,0mm,0mm,0mm" style="mso-fit-shape-to-text:t;">
                <w:txbxContent>
                  <w:p w14:paraId="75DBFC8C">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BE42">
    <w:pPr>
      <w:pStyle w:val="16"/>
      <w:ind w:right="360" w:firstLine="4410" w:firstLineChars="245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0F3D4">
                          <w:pPr>
                            <w:pStyle w:val="16"/>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XF7skBAACdAwAADgAAAGRycy9lMm9Eb2MueG1srVNNrtMwEN4jcQfL&#10;e+q0E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1cXuyQEAAJ0DAAAOAAAAAAAAAAEAIAAAAB4BAABkcnMvZTJvRG9j&#10;LnhtbFBLBQYAAAAABgAGAFkBAABZBQAAAAA=&#10;">
              <v:fill on="f" focussize="0,0"/>
              <v:stroke on="f"/>
              <v:imagedata o:title=""/>
              <o:lock v:ext="edit" aspectratio="f"/>
              <v:textbox inset="0mm,0mm,0mm,0mm" style="mso-fit-shape-to-text:t;">
                <w:txbxContent>
                  <w:p w14:paraId="0610F3D4">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33EE">
    <w:pPr>
      <w:pStyle w:val="16"/>
      <w:framePr w:wrap="around" w:vAnchor="text" w:hAnchor="margin" w:xAlign="center" w:y="1"/>
      <w:rPr>
        <w:rStyle w:val="28"/>
      </w:rPr>
    </w:pPr>
    <w:r>
      <w:fldChar w:fldCharType="begin"/>
    </w:r>
    <w:r>
      <w:rPr>
        <w:rStyle w:val="28"/>
      </w:rPr>
      <w:instrText xml:space="preserve">PAGE  </w:instrText>
    </w:r>
    <w:r>
      <w:fldChar w:fldCharType="end"/>
    </w:r>
  </w:p>
  <w:p w14:paraId="7EAC5460">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975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5044">
    <w:pPr>
      <w:pStyle w:val="16"/>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0DBC">
    <w:pPr>
      <w:pStyle w:val="16"/>
      <w:framePr w:wrap="around" w:vAnchor="text" w:hAnchor="margin" w:xAlign="center" w:y="1"/>
      <w:rPr>
        <w:rStyle w:val="28"/>
      </w:rPr>
    </w:pPr>
    <w:r>
      <w:fldChar w:fldCharType="begin"/>
    </w:r>
    <w:r>
      <w:rPr>
        <w:rStyle w:val="28"/>
      </w:rPr>
      <w:instrText xml:space="preserve">PAGE  </w:instrText>
    </w:r>
    <w:r>
      <w:fldChar w:fldCharType="end"/>
    </w:r>
  </w:p>
  <w:p w14:paraId="055F6842">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6A380">
    <w:pPr>
      <w:pStyle w:val="16"/>
      <w:ind w:right="360"/>
      <w:jc w:val="center"/>
      <w:rPr>
        <w:rFonts w:ascii="Arial" w:hAnsi="Arial"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125F">
    <w:pPr>
      <w:pStyle w:val="16"/>
      <w:pBdr>
        <w:top w:val="single" w:color="auto" w:sz="4" w:space="1"/>
      </w:pBdr>
      <w:ind w:right="-82" w:rightChars="-39" w:firstLine="4410" w:firstLineChars="2450"/>
      <w:jc w:val="right"/>
      <w:rPr>
        <w:rFonts w:hint="eastAsia" w:ascii="宋体" w:hAnsi="宋体" w:eastAsia="宋体" w:cs="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36CBE4">
                          <w:pPr>
                            <w:pStyle w:val="1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OGPzbFAQAAmwMAAA4AAAAAAAAAAQAgAAAAHgEAAGRycy9lMm9Eb2MueG1s&#10;UEsFBgAAAAAGAAYAWQEAAFUFAAAAAA==&#10;">
              <v:fill on="f" focussize="0,0"/>
              <v:stroke on="f"/>
              <v:imagedata o:title=""/>
              <o:lock v:ext="edit" aspectratio="f"/>
              <v:textbox inset="0mm,0mm,0mm,0mm" style="mso-fit-shape-to-text:t;">
                <w:txbxContent>
                  <w:p w14:paraId="2C36CBE4">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温州百工工程咨询管理有限公司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2377E">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043A2">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fill on="f" focussize="0,0"/>
              <v:stroke on="f"/>
              <v:imagedata o:title=""/>
              <o:lock v:ext="edit" aspectratio="f"/>
              <v:textbox inset="0mm,0mm,0mm,0mm" style="mso-fit-shape-to-text:t;">
                <w:txbxContent>
                  <w:p w14:paraId="02C043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24C4">
    <w:pPr>
      <w:pStyle w:val="3"/>
      <w:kinsoku w:val="0"/>
      <w:overflowPunct w:val="0"/>
      <w:spacing w:line="14" w:lineRule="auto"/>
      <w:rPr>
        <w:sz w:val="20"/>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4321ED">
                          <w:pPr>
                            <w:pStyle w:val="16"/>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i68sBAACcAwAADgAAAGRycy9lMm9Eb2MueG1srVPNjtMwEL4j8Q6W&#10;79RpB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UW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PrIuvLAQAAnAMAAA4AAAAAAAAAAQAgAAAAHgEAAGRycy9lMm9E&#10;b2MueG1sUEsFBgAAAAAGAAYAWQEAAFsFAAAAAA==&#10;">
              <v:fill on="f" focussize="0,0"/>
              <v:stroke on="f"/>
              <v:imagedata o:title=""/>
              <o:lock v:ext="edit" aspectratio="f"/>
              <v:textbox inset="0mm,0mm,0mm,0mm" style="mso-fit-shape-to-text:t;">
                <w:txbxContent>
                  <w:p w14:paraId="794321ED">
                    <w:pPr>
                      <w:pStyle w:val="16"/>
                    </w:pPr>
                    <w:r>
                      <w:fldChar w:fldCharType="begin"/>
                    </w:r>
                    <w:r>
                      <w:instrText xml:space="preserve"> PAGE  \* MERGEFORMAT </w:instrText>
                    </w:r>
                    <w:r>
                      <w:fldChar w:fldCharType="separate"/>
                    </w:r>
                    <w:r>
                      <w:t>31</w:t>
                    </w:r>
                    <w:r>
                      <w:fldChar w:fldCharType="end"/>
                    </w:r>
                  </w:p>
                </w:txbxContent>
              </v:textbox>
            </v:shape>
          </w:pict>
        </mc:Fallback>
      </mc:AlternateContent>
    </w:r>
    <w:r>
      <w:rPr>
        <w:sz w:val="22"/>
      </w:rPr>
      <mc:AlternateContent>
        <mc:Choice Requires="wps">
          <w:drawing>
            <wp:anchor distT="0" distB="0" distL="114300" distR="114300" simplePos="0" relativeHeight="251659264" behindDoc="1" locked="0" layoutInCell="1" allowOverlap="1">
              <wp:simplePos x="0" y="0"/>
              <wp:positionH relativeFrom="page">
                <wp:posOffset>5455285</wp:posOffset>
              </wp:positionH>
              <wp:positionV relativeFrom="page">
                <wp:posOffset>10008870</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w="9525">
                        <a:noFill/>
                      </a:ln>
                      <a:effectLst/>
                    </wps:spPr>
                    <wps:txbx>
                      <w:txbxContent>
                        <w:p w14:paraId="3203074C">
                          <w:pPr>
                            <w:pStyle w:val="3"/>
                            <w:kinsoku w:val="0"/>
                            <w:overflowPunct w:val="0"/>
                            <w:spacing w:line="200"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429.55pt;margin-top:788.1pt;height:11pt;width:110pt;mso-position-horizontal-relative:page;mso-position-vertical-relative:page;z-index:-251657216;mso-width-relative:page;mso-height-relative:page;" filled="f" stroked="f" coordsize="21600,21600" o:gfxdata="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zIid2gAAAA4BAAAPAAAAAAAAAAEAIAAAACIAAABkcnMvZG93bnJl&#10;di54bWxQSwECFAAUAAAACACHTuJAzShSCMIBAACJAwAADgAAAAAAAAABACAAAAApAQAAZHJzL2Uy&#10;b0RvYy54bWxQSwUGAAAAAAYABgBZAQAAXQUAAAAA&#10;">
              <v:fill on="f" focussize="0,0"/>
              <v:stroke on="f"/>
              <v:imagedata o:title=""/>
              <o:lock v:ext="edit" aspectratio="f"/>
              <v:textbox inset="0mm,0mm,0mm,0mm">
                <w:txbxContent>
                  <w:p w14:paraId="3203074C">
                    <w:pPr>
                      <w:pStyle w:val="3"/>
                      <w:kinsoku w:val="0"/>
                      <w:overflowPunct w:val="0"/>
                      <w:spacing w:line="200"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F449">
    <w:pPr>
      <w:pStyle w:val="18"/>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AEB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0775">
    <w:pPr>
      <w:pStyle w:val="18"/>
      <w:pBdr>
        <w:bottom w:val="none" w:color="auto" w:sz="0" w:space="1"/>
      </w:pBdr>
      <w:ind w:left="3" w:leftChars="1" w:right="-82" w:rightChars="-39" w:hanging="1" w:hangingChars="1"/>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A163">
    <w:pPr>
      <w:pStyle w:val="18"/>
      <w:pBdr>
        <w:bottom w:val="none" w:color="auto" w:sz="0" w:space="0"/>
      </w:pBdr>
      <w:ind w:left="2" w:leftChars="1" w:right="-288" w:rightChars="-137" w:firstLine="90" w:firstLineChars="5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008B">
    <w:pPr>
      <w:pStyle w:val="18"/>
      <w:pBdr>
        <w:bottom w:val="none" w:color="auto" w:sz="0" w:space="1"/>
      </w:pBdr>
      <w:jc w:val="both"/>
      <w:rPr>
        <w:rFonts w:eastAsia="新宋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4891">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05C92"/>
    <w:multiLevelType w:val="singleLevel"/>
    <w:tmpl w:val="8D205C92"/>
    <w:lvl w:ilvl="0" w:tentative="0">
      <w:start w:val="1"/>
      <w:numFmt w:val="chineseCounting"/>
      <w:suff w:val="space"/>
      <w:lvlText w:val="第%1部分"/>
      <w:lvlJc w:val="left"/>
      <w:rPr>
        <w:rFonts w:hint="eastAsia"/>
      </w:rPr>
    </w:lvl>
  </w:abstractNum>
  <w:abstractNum w:abstractNumId="1">
    <w:nsid w:val="A806AAB7"/>
    <w:multiLevelType w:val="singleLevel"/>
    <w:tmpl w:val="A806AAB7"/>
    <w:lvl w:ilvl="0" w:tentative="0">
      <w:start w:val="3"/>
      <w:numFmt w:val="chineseCounting"/>
      <w:suff w:val="nothing"/>
      <w:lvlText w:val="%1、"/>
      <w:lvlJc w:val="left"/>
      <w:rPr>
        <w:rFonts w:hint="eastAsia"/>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D93C4F5E"/>
    <w:multiLevelType w:val="singleLevel"/>
    <w:tmpl w:val="D93C4F5E"/>
    <w:lvl w:ilvl="0" w:tentative="0">
      <w:start w:val="2"/>
      <w:numFmt w:val="decimal"/>
      <w:suff w:val="nothing"/>
      <w:lvlText w:val="（%1）"/>
      <w:lvlJc w:val="left"/>
    </w:lvl>
  </w:abstractNum>
  <w:abstractNum w:abstractNumId="4">
    <w:nsid w:val="F9F61C25"/>
    <w:multiLevelType w:val="singleLevel"/>
    <w:tmpl w:val="F9F61C25"/>
    <w:lvl w:ilvl="0" w:tentative="0">
      <w:start w:val="15"/>
      <w:numFmt w:val="decimal"/>
      <w:suff w:val="nothing"/>
      <w:lvlText w:val="%1、"/>
      <w:lvlJc w:val="left"/>
    </w:lvl>
  </w:abstractNum>
  <w:abstractNum w:abstractNumId="5">
    <w:nsid w:val="FB0F5EB6"/>
    <w:multiLevelType w:val="singleLevel"/>
    <w:tmpl w:val="FB0F5EB6"/>
    <w:lvl w:ilvl="0" w:tentative="0">
      <w:start w:val="1"/>
      <w:numFmt w:val="decimalEnclosedCircleChinese"/>
      <w:suff w:val="nothing"/>
      <w:lvlText w:val="%1　"/>
      <w:lvlJc w:val="left"/>
      <w:pPr>
        <w:ind w:left="0" w:firstLine="400"/>
      </w:pPr>
      <w:rPr>
        <w:rFonts w:hint="eastAsia"/>
      </w:rPr>
    </w:lvl>
  </w:abstractNum>
  <w:abstractNum w:abstractNumId="6">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9409215"/>
    <w:multiLevelType w:val="singleLevel"/>
    <w:tmpl w:val="09409215"/>
    <w:lvl w:ilvl="0" w:tentative="0">
      <w:start w:val="1"/>
      <w:numFmt w:val="chineseCounting"/>
      <w:suff w:val="nothing"/>
      <w:lvlText w:val="（%1）"/>
      <w:lvlJc w:val="left"/>
      <w:pPr>
        <w:ind w:left="0" w:firstLine="420"/>
      </w:pPr>
      <w:rPr>
        <w:rFonts w:hint="eastAsia"/>
      </w:rPr>
    </w:lvl>
  </w:abstractNum>
  <w:abstractNum w:abstractNumId="8">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8D077B"/>
    <w:multiLevelType w:val="singleLevel"/>
    <w:tmpl w:val="118D077B"/>
    <w:lvl w:ilvl="0" w:tentative="0">
      <w:start w:val="1"/>
      <w:numFmt w:val="decimal"/>
      <w:suff w:val="nothing"/>
      <w:lvlText w:val="%1．"/>
      <w:lvlJc w:val="left"/>
      <w:pPr>
        <w:ind w:left="0" w:firstLine="400"/>
      </w:pPr>
      <w:rPr>
        <w:rFonts w:hint="default"/>
      </w:rPr>
    </w:lvl>
  </w:abstractNum>
  <w:abstractNum w:abstractNumId="10">
    <w:nsid w:val="18EE9AD9"/>
    <w:multiLevelType w:val="singleLevel"/>
    <w:tmpl w:val="18EE9AD9"/>
    <w:lvl w:ilvl="0" w:tentative="0">
      <w:start w:val="1"/>
      <w:numFmt w:val="decimal"/>
      <w:suff w:val="nothing"/>
      <w:lvlText w:val="%1、"/>
      <w:lvlJc w:val="left"/>
    </w:lvl>
  </w:abstractNum>
  <w:abstractNum w:abstractNumId="11">
    <w:nsid w:val="23495306"/>
    <w:multiLevelType w:val="multilevel"/>
    <w:tmpl w:val="23495306"/>
    <w:lvl w:ilvl="0" w:tentative="0">
      <w:start w:val="12"/>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5B60898"/>
    <w:multiLevelType w:val="singleLevel"/>
    <w:tmpl w:val="25B60898"/>
    <w:lvl w:ilvl="0" w:tentative="0">
      <w:start w:val="1"/>
      <w:numFmt w:val="decimal"/>
      <w:suff w:val="nothing"/>
      <w:lvlText w:val="（%1）"/>
      <w:lvlJc w:val="left"/>
    </w:lvl>
  </w:abstractNum>
  <w:abstractNum w:abstractNumId="13">
    <w:nsid w:val="4CDC6723"/>
    <w:multiLevelType w:val="multilevel"/>
    <w:tmpl w:val="4CDC672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4F403B5"/>
    <w:multiLevelType w:val="singleLevel"/>
    <w:tmpl w:val="54F403B5"/>
    <w:lvl w:ilvl="0" w:tentative="0">
      <w:start w:val="1"/>
      <w:numFmt w:val="chineseCounting"/>
      <w:suff w:val="nothing"/>
      <w:lvlText w:val="%1、"/>
      <w:lvlJc w:val="left"/>
      <w:pPr>
        <w:ind w:left="0" w:firstLine="0"/>
      </w:pPr>
    </w:lvl>
  </w:abstractNum>
  <w:abstractNum w:abstractNumId="15">
    <w:nsid w:val="557FD3DA"/>
    <w:multiLevelType w:val="singleLevel"/>
    <w:tmpl w:val="557FD3DA"/>
    <w:lvl w:ilvl="0" w:tentative="0">
      <w:start w:val="3"/>
      <w:numFmt w:val="chineseCounting"/>
      <w:suff w:val="nothing"/>
      <w:lvlText w:val="%1、"/>
      <w:lvlJc w:val="left"/>
      <w:pPr>
        <w:ind w:left="0" w:firstLine="0"/>
      </w:pPr>
    </w:lvl>
  </w:abstractNum>
  <w:abstractNum w:abstractNumId="16">
    <w:nsid w:val="57826C07"/>
    <w:multiLevelType w:val="singleLevel"/>
    <w:tmpl w:val="57826C07"/>
    <w:lvl w:ilvl="0" w:tentative="0">
      <w:start w:val="2"/>
      <w:numFmt w:val="decimal"/>
      <w:suff w:val="nothing"/>
      <w:lvlText w:val="%1、"/>
      <w:lvlJc w:val="left"/>
    </w:lvl>
  </w:abstractNum>
  <w:abstractNum w:abstractNumId="17">
    <w:nsid w:val="737220C0"/>
    <w:multiLevelType w:val="singleLevel"/>
    <w:tmpl w:val="737220C0"/>
    <w:lvl w:ilvl="0" w:tentative="0">
      <w:start w:val="5"/>
      <w:numFmt w:val="chineseCounting"/>
      <w:suff w:val="space"/>
      <w:lvlText w:val="第%1部分"/>
      <w:lvlJc w:val="left"/>
      <w:rPr>
        <w:rFonts w:hint="eastAsia"/>
      </w:rPr>
    </w:lvl>
  </w:abstractNum>
  <w:num w:numId="1">
    <w:abstractNumId w:val="9"/>
  </w:num>
  <w:num w:numId="2">
    <w:abstractNumId w:val="1"/>
  </w:num>
  <w:num w:numId="3">
    <w:abstractNumId w:val="0"/>
  </w:num>
  <w:num w:numId="4">
    <w:abstractNumId w:val="12"/>
  </w:num>
  <w:num w:numId="5">
    <w:abstractNumId w:val="5"/>
  </w:num>
  <w:num w:numId="6">
    <w:abstractNumId w:val="2"/>
  </w:num>
  <w:num w:numId="7">
    <w:abstractNumId w:val="6"/>
  </w:num>
  <w:num w:numId="8">
    <w:abstractNumId w:val="11"/>
  </w:num>
  <w:num w:numId="9">
    <w:abstractNumId w:val="8"/>
  </w:num>
  <w:num w:numId="10">
    <w:abstractNumId w:val="7"/>
  </w:num>
  <w:num w:numId="11">
    <w:abstractNumId w:val="4"/>
  </w:num>
  <w:num w:numId="12">
    <w:abstractNumId w:val="3"/>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15"/>
    <w:lvlOverride w:ilvl="0">
      <w:startOverride w:val="3"/>
    </w:lvlOverride>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2Y4OTM3YzRjZjhmNzhjZGE1NGNiOWIyMzM0NzMifQ=="/>
  </w:docVars>
  <w:rsids>
    <w:rsidRoot w:val="64CE525F"/>
    <w:rsid w:val="000138F1"/>
    <w:rsid w:val="00044C8C"/>
    <w:rsid w:val="00093540"/>
    <w:rsid w:val="000C4C95"/>
    <w:rsid w:val="001332D5"/>
    <w:rsid w:val="0014277C"/>
    <w:rsid w:val="00156752"/>
    <w:rsid w:val="001A4394"/>
    <w:rsid w:val="001A4C1C"/>
    <w:rsid w:val="001A67F5"/>
    <w:rsid w:val="001F0938"/>
    <w:rsid w:val="001F19EC"/>
    <w:rsid w:val="002939A4"/>
    <w:rsid w:val="002C4484"/>
    <w:rsid w:val="002D1DEF"/>
    <w:rsid w:val="002D5D67"/>
    <w:rsid w:val="00341EAD"/>
    <w:rsid w:val="003B1F93"/>
    <w:rsid w:val="00401828"/>
    <w:rsid w:val="004449F8"/>
    <w:rsid w:val="0045352F"/>
    <w:rsid w:val="0050586C"/>
    <w:rsid w:val="00525414"/>
    <w:rsid w:val="00593940"/>
    <w:rsid w:val="005B2A81"/>
    <w:rsid w:val="005C45A3"/>
    <w:rsid w:val="005D5ECB"/>
    <w:rsid w:val="005D6099"/>
    <w:rsid w:val="005F125B"/>
    <w:rsid w:val="00670713"/>
    <w:rsid w:val="0067794C"/>
    <w:rsid w:val="0069002B"/>
    <w:rsid w:val="006911C2"/>
    <w:rsid w:val="0072364B"/>
    <w:rsid w:val="00774921"/>
    <w:rsid w:val="007B1B9F"/>
    <w:rsid w:val="0086552D"/>
    <w:rsid w:val="0089751D"/>
    <w:rsid w:val="008B7532"/>
    <w:rsid w:val="009424D0"/>
    <w:rsid w:val="00952D9B"/>
    <w:rsid w:val="009D1976"/>
    <w:rsid w:val="009F52A3"/>
    <w:rsid w:val="00A27B5A"/>
    <w:rsid w:val="00A8363B"/>
    <w:rsid w:val="00A840E7"/>
    <w:rsid w:val="00AA4436"/>
    <w:rsid w:val="00AD18D2"/>
    <w:rsid w:val="00B0580D"/>
    <w:rsid w:val="00B96040"/>
    <w:rsid w:val="00C16B7F"/>
    <w:rsid w:val="00CB2621"/>
    <w:rsid w:val="00D26225"/>
    <w:rsid w:val="00D30205"/>
    <w:rsid w:val="00D36F74"/>
    <w:rsid w:val="00D4731E"/>
    <w:rsid w:val="00DA78D3"/>
    <w:rsid w:val="00DB523D"/>
    <w:rsid w:val="00DC5F78"/>
    <w:rsid w:val="00DF1085"/>
    <w:rsid w:val="00E67BBC"/>
    <w:rsid w:val="00EB000F"/>
    <w:rsid w:val="00ED211C"/>
    <w:rsid w:val="00EF269A"/>
    <w:rsid w:val="00F018E0"/>
    <w:rsid w:val="00F61BFC"/>
    <w:rsid w:val="00F642BE"/>
    <w:rsid w:val="00F8635B"/>
    <w:rsid w:val="00FB36CE"/>
    <w:rsid w:val="00FC03F7"/>
    <w:rsid w:val="00FC3E35"/>
    <w:rsid w:val="01155EBA"/>
    <w:rsid w:val="011C5B64"/>
    <w:rsid w:val="0136557F"/>
    <w:rsid w:val="013F5EC0"/>
    <w:rsid w:val="01413E5F"/>
    <w:rsid w:val="01447891"/>
    <w:rsid w:val="01536978"/>
    <w:rsid w:val="01705E9A"/>
    <w:rsid w:val="01852063"/>
    <w:rsid w:val="019B3EE4"/>
    <w:rsid w:val="01A03B38"/>
    <w:rsid w:val="022C37CA"/>
    <w:rsid w:val="026C5261"/>
    <w:rsid w:val="027C0289"/>
    <w:rsid w:val="028D4321"/>
    <w:rsid w:val="029313DA"/>
    <w:rsid w:val="02A02C48"/>
    <w:rsid w:val="02F30036"/>
    <w:rsid w:val="03357A50"/>
    <w:rsid w:val="03530D0F"/>
    <w:rsid w:val="0360752A"/>
    <w:rsid w:val="03972E7A"/>
    <w:rsid w:val="039931C3"/>
    <w:rsid w:val="03C9092D"/>
    <w:rsid w:val="03DA58AD"/>
    <w:rsid w:val="03E51D33"/>
    <w:rsid w:val="03EF2503"/>
    <w:rsid w:val="040D447D"/>
    <w:rsid w:val="04180F6C"/>
    <w:rsid w:val="042700C4"/>
    <w:rsid w:val="04767D8B"/>
    <w:rsid w:val="04782ACC"/>
    <w:rsid w:val="04855BD6"/>
    <w:rsid w:val="04CD7368"/>
    <w:rsid w:val="04D170F5"/>
    <w:rsid w:val="04E70524"/>
    <w:rsid w:val="04FD47C8"/>
    <w:rsid w:val="051F188C"/>
    <w:rsid w:val="054F79CF"/>
    <w:rsid w:val="05586289"/>
    <w:rsid w:val="055F1F66"/>
    <w:rsid w:val="05637803"/>
    <w:rsid w:val="056C60A6"/>
    <w:rsid w:val="057913D5"/>
    <w:rsid w:val="05976809"/>
    <w:rsid w:val="05A03755"/>
    <w:rsid w:val="05A54AA3"/>
    <w:rsid w:val="05C66304"/>
    <w:rsid w:val="05D32408"/>
    <w:rsid w:val="062B5A5F"/>
    <w:rsid w:val="06360B11"/>
    <w:rsid w:val="063D42C3"/>
    <w:rsid w:val="064F2424"/>
    <w:rsid w:val="065A519C"/>
    <w:rsid w:val="067100B6"/>
    <w:rsid w:val="067D59FE"/>
    <w:rsid w:val="069523FE"/>
    <w:rsid w:val="06BA455D"/>
    <w:rsid w:val="06CD6B26"/>
    <w:rsid w:val="070A53AE"/>
    <w:rsid w:val="07427DAE"/>
    <w:rsid w:val="07521D1D"/>
    <w:rsid w:val="077C12EF"/>
    <w:rsid w:val="079A2FF5"/>
    <w:rsid w:val="07BE007D"/>
    <w:rsid w:val="07D258D6"/>
    <w:rsid w:val="08065067"/>
    <w:rsid w:val="083F774D"/>
    <w:rsid w:val="085A3F7E"/>
    <w:rsid w:val="08BF04A4"/>
    <w:rsid w:val="091D25F5"/>
    <w:rsid w:val="092806E1"/>
    <w:rsid w:val="09321A28"/>
    <w:rsid w:val="0963555A"/>
    <w:rsid w:val="09652F57"/>
    <w:rsid w:val="096D562A"/>
    <w:rsid w:val="09B2358B"/>
    <w:rsid w:val="09D528AF"/>
    <w:rsid w:val="09D75426"/>
    <w:rsid w:val="09DC0C8E"/>
    <w:rsid w:val="09EE4225"/>
    <w:rsid w:val="0A0F2B13"/>
    <w:rsid w:val="0A826DA6"/>
    <w:rsid w:val="0A9A5DF0"/>
    <w:rsid w:val="0AD54329"/>
    <w:rsid w:val="0AE56BED"/>
    <w:rsid w:val="0B010E35"/>
    <w:rsid w:val="0B0635A0"/>
    <w:rsid w:val="0B1D1A9F"/>
    <w:rsid w:val="0B7761EE"/>
    <w:rsid w:val="0B8C1448"/>
    <w:rsid w:val="0B9613C9"/>
    <w:rsid w:val="0BAE4FC0"/>
    <w:rsid w:val="0BCB720C"/>
    <w:rsid w:val="0BEE2909"/>
    <w:rsid w:val="0C2F2459"/>
    <w:rsid w:val="0C8447E8"/>
    <w:rsid w:val="0CA35867"/>
    <w:rsid w:val="0CC75C99"/>
    <w:rsid w:val="0CD820AB"/>
    <w:rsid w:val="0CFF716D"/>
    <w:rsid w:val="0D1D3A97"/>
    <w:rsid w:val="0D9C70C5"/>
    <w:rsid w:val="0DE6333E"/>
    <w:rsid w:val="0DE90D3C"/>
    <w:rsid w:val="0DF04DC3"/>
    <w:rsid w:val="0E296186"/>
    <w:rsid w:val="0E492D8F"/>
    <w:rsid w:val="0E503878"/>
    <w:rsid w:val="0E5C6886"/>
    <w:rsid w:val="0EB35D6B"/>
    <w:rsid w:val="0ECD619E"/>
    <w:rsid w:val="0F2117AD"/>
    <w:rsid w:val="0F2179CF"/>
    <w:rsid w:val="0F2E7AD0"/>
    <w:rsid w:val="0F801002"/>
    <w:rsid w:val="0F892B11"/>
    <w:rsid w:val="0F936369"/>
    <w:rsid w:val="0F987405"/>
    <w:rsid w:val="0FA0040E"/>
    <w:rsid w:val="0FE867ED"/>
    <w:rsid w:val="10AB2AFA"/>
    <w:rsid w:val="10B868F3"/>
    <w:rsid w:val="10C304B2"/>
    <w:rsid w:val="10FC5316"/>
    <w:rsid w:val="113659C2"/>
    <w:rsid w:val="114066EA"/>
    <w:rsid w:val="11915150"/>
    <w:rsid w:val="1193356B"/>
    <w:rsid w:val="11B75DF6"/>
    <w:rsid w:val="122A3DAD"/>
    <w:rsid w:val="12383BF4"/>
    <w:rsid w:val="124D2729"/>
    <w:rsid w:val="129251A0"/>
    <w:rsid w:val="12B96010"/>
    <w:rsid w:val="13121F3B"/>
    <w:rsid w:val="133D1120"/>
    <w:rsid w:val="13B33EE6"/>
    <w:rsid w:val="14146E4B"/>
    <w:rsid w:val="14877E44"/>
    <w:rsid w:val="14A16D5C"/>
    <w:rsid w:val="14AD3314"/>
    <w:rsid w:val="14BF3953"/>
    <w:rsid w:val="14E56942"/>
    <w:rsid w:val="14E97AA9"/>
    <w:rsid w:val="150160D5"/>
    <w:rsid w:val="15070E93"/>
    <w:rsid w:val="15497818"/>
    <w:rsid w:val="15AF2CB6"/>
    <w:rsid w:val="15E038B4"/>
    <w:rsid w:val="15F3759E"/>
    <w:rsid w:val="16042EC5"/>
    <w:rsid w:val="162564E3"/>
    <w:rsid w:val="16333B19"/>
    <w:rsid w:val="163C0BCE"/>
    <w:rsid w:val="164345A7"/>
    <w:rsid w:val="166B756E"/>
    <w:rsid w:val="16816E45"/>
    <w:rsid w:val="16960529"/>
    <w:rsid w:val="16A568EF"/>
    <w:rsid w:val="16F37B70"/>
    <w:rsid w:val="16F37B9A"/>
    <w:rsid w:val="17114B11"/>
    <w:rsid w:val="174B29D4"/>
    <w:rsid w:val="178367B8"/>
    <w:rsid w:val="178C3878"/>
    <w:rsid w:val="17CC2342"/>
    <w:rsid w:val="17EB495F"/>
    <w:rsid w:val="182A42BD"/>
    <w:rsid w:val="184B5D11"/>
    <w:rsid w:val="18A2487B"/>
    <w:rsid w:val="18CA0858"/>
    <w:rsid w:val="190E4E8A"/>
    <w:rsid w:val="190F01E2"/>
    <w:rsid w:val="195E521C"/>
    <w:rsid w:val="19895B12"/>
    <w:rsid w:val="19AE11B8"/>
    <w:rsid w:val="19B716C7"/>
    <w:rsid w:val="19BA57DD"/>
    <w:rsid w:val="19D77A2D"/>
    <w:rsid w:val="1A5A1E87"/>
    <w:rsid w:val="1AAA238A"/>
    <w:rsid w:val="1AB006BE"/>
    <w:rsid w:val="1AB8095B"/>
    <w:rsid w:val="1AF64AB5"/>
    <w:rsid w:val="1AFC168E"/>
    <w:rsid w:val="1B3903E4"/>
    <w:rsid w:val="1B434BF6"/>
    <w:rsid w:val="1B811A36"/>
    <w:rsid w:val="1B9E574C"/>
    <w:rsid w:val="1BA50C53"/>
    <w:rsid w:val="1BB72CA9"/>
    <w:rsid w:val="1C102CEA"/>
    <w:rsid w:val="1C3459F8"/>
    <w:rsid w:val="1C70209D"/>
    <w:rsid w:val="1C887D80"/>
    <w:rsid w:val="1C8E572E"/>
    <w:rsid w:val="1C9A10CA"/>
    <w:rsid w:val="1CA82D8E"/>
    <w:rsid w:val="1CD15E83"/>
    <w:rsid w:val="1CE8683A"/>
    <w:rsid w:val="1CEA4F5D"/>
    <w:rsid w:val="1D01226B"/>
    <w:rsid w:val="1D1959E4"/>
    <w:rsid w:val="1D4C3D7C"/>
    <w:rsid w:val="1D8E1F7F"/>
    <w:rsid w:val="1D9F0685"/>
    <w:rsid w:val="1DCF237D"/>
    <w:rsid w:val="1DE22268"/>
    <w:rsid w:val="1E016968"/>
    <w:rsid w:val="1E3B3D7D"/>
    <w:rsid w:val="1E5A41C3"/>
    <w:rsid w:val="1E5F722D"/>
    <w:rsid w:val="1E6443DA"/>
    <w:rsid w:val="1E65295C"/>
    <w:rsid w:val="1E7D3862"/>
    <w:rsid w:val="1E8C2760"/>
    <w:rsid w:val="1EBA7398"/>
    <w:rsid w:val="1F7D3D4F"/>
    <w:rsid w:val="20115A21"/>
    <w:rsid w:val="20165509"/>
    <w:rsid w:val="20851561"/>
    <w:rsid w:val="20B77336"/>
    <w:rsid w:val="21207A44"/>
    <w:rsid w:val="213F5724"/>
    <w:rsid w:val="21456673"/>
    <w:rsid w:val="21575734"/>
    <w:rsid w:val="215C6A18"/>
    <w:rsid w:val="21815F4B"/>
    <w:rsid w:val="21A77581"/>
    <w:rsid w:val="21D03374"/>
    <w:rsid w:val="21E0212B"/>
    <w:rsid w:val="22171F87"/>
    <w:rsid w:val="22411F11"/>
    <w:rsid w:val="22AD2D70"/>
    <w:rsid w:val="22C85CF0"/>
    <w:rsid w:val="230578C3"/>
    <w:rsid w:val="239B2D5F"/>
    <w:rsid w:val="23C538F5"/>
    <w:rsid w:val="2408109A"/>
    <w:rsid w:val="24487B98"/>
    <w:rsid w:val="24950704"/>
    <w:rsid w:val="24A24B56"/>
    <w:rsid w:val="24A84D43"/>
    <w:rsid w:val="24B00855"/>
    <w:rsid w:val="24CE6C32"/>
    <w:rsid w:val="250B0FF0"/>
    <w:rsid w:val="25406339"/>
    <w:rsid w:val="2550738F"/>
    <w:rsid w:val="256B4E59"/>
    <w:rsid w:val="25771D41"/>
    <w:rsid w:val="25AB02B6"/>
    <w:rsid w:val="25D67E6F"/>
    <w:rsid w:val="2603663F"/>
    <w:rsid w:val="261B18F8"/>
    <w:rsid w:val="264A4294"/>
    <w:rsid w:val="26637FDC"/>
    <w:rsid w:val="2694249F"/>
    <w:rsid w:val="26C62652"/>
    <w:rsid w:val="26E11187"/>
    <w:rsid w:val="26E621B8"/>
    <w:rsid w:val="27582B49"/>
    <w:rsid w:val="278529A1"/>
    <w:rsid w:val="27DA2C54"/>
    <w:rsid w:val="28142871"/>
    <w:rsid w:val="2873188A"/>
    <w:rsid w:val="287F282F"/>
    <w:rsid w:val="28950022"/>
    <w:rsid w:val="28AA09D8"/>
    <w:rsid w:val="28BF20DE"/>
    <w:rsid w:val="28C978F3"/>
    <w:rsid w:val="28F803D2"/>
    <w:rsid w:val="29337774"/>
    <w:rsid w:val="295F5558"/>
    <w:rsid w:val="29617D80"/>
    <w:rsid w:val="298E00CB"/>
    <w:rsid w:val="299B14DF"/>
    <w:rsid w:val="299E1BA9"/>
    <w:rsid w:val="29BE267D"/>
    <w:rsid w:val="2A505BBC"/>
    <w:rsid w:val="2A960359"/>
    <w:rsid w:val="2AA27A28"/>
    <w:rsid w:val="2ABD5517"/>
    <w:rsid w:val="2AC231B1"/>
    <w:rsid w:val="2B0464DF"/>
    <w:rsid w:val="2B403127"/>
    <w:rsid w:val="2B443E41"/>
    <w:rsid w:val="2B656077"/>
    <w:rsid w:val="2B810557"/>
    <w:rsid w:val="2BB6423E"/>
    <w:rsid w:val="2BCD07CF"/>
    <w:rsid w:val="2BEE3100"/>
    <w:rsid w:val="2C041108"/>
    <w:rsid w:val="2C24187F"/>
    <w:rsid w:val="2C35567F"/>
    <w:rsid w:val="2C89549D"/>
    <w:rsid w:val="2CAF2EEC"/>
    <w:rsid w:val="2D1F758D"/>
    <w:rsid w:val="2D3E057D"/>
    <w:rsid w:val="2D470074"/>
    <w:rsid w:val="2D6300A4"/>
    <w:rsid w:val="2D63085B"/>
    <w:rsid w:val="2D827954"/>
    <w:rsid w:val="2D8D4A2E"/>
    <w:rsid w:val="2D9F6550"/>
    <w:rsid w:val="2DA01E4F"/>
    <w:rsid w:val="2DC11ADE"/>
    <w:rsid w:val="2E2D76A3"/>
    <w:rsid w:val="2E2E593B"/>
    <w:rsid w:val="2E4C36BB"/>
    <w:rsid w:val="2E5A785B"/>
    <w:rsid w:val="2E7E13BC"/>
    <w:rsid w:val="2E936FC5"/>
    <w:rsid w:val="2EE8476B"/>
    <w:rsid w:val="2EF014AF"/>
    <w:rsid w:val="2F02126A"/>
    <w:rsid w:val="2F2C2BEF"/>
    <w:rsid w:val="2F30678B"/>
    <w:rsid w:val="2F4856B0"/>
    <w:rsid w:val="2F676F78"/>
    <w:rsid w:val="2FB338B1"/>
    <w:rsid w:val="2FD20FDF"/>
    <w:rsid w:val="2FEE19BC"/>
    <w:rsid w:val="2FFC4B00"/>
    <w:rsid w:val="30586A11"/>
    <w:rsid w:val="3069477A"/>
    <w:rsid w:val="308F7952"/>
    <w:rsid w:val="30A34E3C"/>
    <w:rsid w:val="30AD65E2"/>
    <w:rsid w:val="30BD4E03"/>
    <w:rsid w:val="30E41F09"/>
    <w:rsid w:val="30EC60E5"/>
    <w:rsid w:val="316270A6"/>
    <w:rsid w:val="31812C98"/>
    <w:rsid w:val="318E752B"/>
    <w:rsid w:val="31A65F68"/>
    <w:rsid w:val="31AB0563"/>
    <w:rsid w:val="31E257E5"/>
    <w:rsid w:val="320A27F5"/>
    <w:rsid w:val="320F7B52"/>
    <w:rsid w:val="32100A85"/>
    <w:rsid w:val="323F7E91"/>
    <w:rsid w:val="32470BCE"/>
    <w:rsid w:val="32A67EE9"/>
    <w:rsid w:val="32B476E4"/>
    <w:rsid w:val="32B76AF7"/>
    <w:rsid w:val="32BF0274"/>
    <w:rsid w:val="32D05030"/>
    <w:rsid w:val="32EA40D1"/>
    <w:rsid w:val="331F46A3"/>
    <w:rsid w:val="33386B0C"/>
    <w:rsid w:val="336254B1"/>
    <w:rsid w:val="33791E74"/>
    <w:rsid w:val="33BD2DF4"/>
    <w:rsid w:val="33DB1AE9"/>
    <w:rsid w:val="34116702"/>
    <w:rsid w:val="344A21CD"/>
    <w:rsid w:val="3473151A"/>
    <w:rsid w:val="354054CF"/>
    <w:rsid w:val="355A7CEB"/>
    <w:rsid w:val="357465EA"/>
    <w:rsid w:val="358E45A4"/>
    <w:rsid w:val="35A61FCC"/>
    <w:rsid w:val="35EF76C9"/>
    <w:rsid w:val="36007B1A"/>
    <w:rsid w:val="364D7C5C"/>
    <w:rsid w:val="36941BEC"/>
    <w:rsid w:val="36A95955"/>
    <w:rsid w:val="36C97A96"/>
    <w:rsid w:val="372375A0"/>
    <w:rsid w:val="372F4201"/>
    <w:rsid w:val="37824825"/>
    <w:rsid w:val="379E2C88"/>
    <w:rsid w:val="37D626E1"/>
    <w:rsid w:val="37E62B54"/>
    <w:rsid w:val="38047663"/>
    <w:rsid w:val="382B0567"/>
    <w:rsid w:val="384712AA"/>
    <w:rsid w:val="38540A2A"/>
    <w:rsid w:val="38DC271B"/>
    <w:rsid w:val="38F56C8E"/>
    <w:rsid w:val="391830B8"/>
    <w:rsid w:val="395A55A8"/>
    <w:rsid w:val="39671A73"/>
    <w:rsid w:val="39981C2C"/>
    <w:rsid w:val="39E70FEE"/>
    <w:rsid w:val="3A0762C7"/>
    <w:rsid w:val="3A474393"/>
    <w:rsid w:val="3A5531D9"/>
    <w:rsid w:val="3AB52165"/>
    <w:rsid w:val="3AB61104"/>
    <w:rsid w:val="3B42243C"/>
    <w:rsid w:val="3B6F3B9D"/>
    <w:rsid w:val="3B6F6E6E"/>
    <w:rsid w:val="3B8D0BEC"/>
    <w:rsid w:val="3B95199A"/>
    <w:rsid w:val="3BAF46C9"/>
    <w:rsid w:val="3BE421F5"/>
    <w:rsid w:val="3C61121E"/>
    <w:rsid w:val="3C916231"/>
    <w:rsid w:val="3CA80888"/>
    <w:rsid w:val="3CC63A75"/>
    <w:rsid w:val="3CC827D4"/>
    <w:rsid w:val="3CDE202A"/>
    <w:rsid w:val="3D37467C"/>
    <w:rsid w:val="3D9413FE"/>
    <w:rsid w:val="3DA112F2"/>
    <w:rsid w:val="3DD925EA"/>
    <w:rsid w:val="3DE86C7E"/>
    <w:rsid w:val="3DFF57C8"/>
    <w:rsid w:val="3E2A654E"/>
    <w:rsid w:val="3E594080"/>
    <w:rsid w:val="3E5C6811"/>
    <w:rsid w:val="3E841A9C"/>
    <w:rsid w:val="3E8B1BF7"/>
    <w:rsid w:val="3EE259C4"/>
    <w:rsid w:val="3F20694C"/>
    <w:rsid w:val="3F5E703E"/>
    <w:rsid w:val="3F6E2206"/>
    <w:rsid w:val="3FB16685"/>
    <w:rsid w:val="3FCE7FB1"/>
    <w:rsid w:val="406B50E4"/>
    <w:rsid w:val="40781F8D"/>
    <w:rsid w:val="407C108A"/>
    <w:rsid w:val="40987056"/>
    <w:rsid w:val="40D808D3"/>
    <w:rsid w:val="410332BF"/>
    <w:rsid w:val="414A7CB0"/>
    <w:rsid w:val="417D46C2"/>
    <w:rsid w:val="41BD015B"/>
    <w:rsid w:val="423A5F76"/>
    <w:rsid w:val="42405919"/>
    <w:rsid w:val="42854357"/>
    <w:rsid w:val="429C659F"/>
    <w:rsid w:val="42A51553"/>
    <w:rsid w:val="42B86E9B"/>
    <w:rsid w:val="42E95E20"/>
    <w:rsid w:val="42EA3981"/>
    <w:rsid w:val="430A33C7"/>
    <w:rsid w:val="43101C6C"/>
    <w:rsid w:val="432F370D"/>
    <w:rsid w:val="43743366"/>
    <w:rsid w:val="438C080E"/>
    <w:rsid w:val="439711A6"/>
    <w:rsid w:val="43D906C3"/>
    <w:rsid w:val="43E36AC0"/>
    <w:rsid w:val="43EE6FED"/>
    <w:rsid w:val="43FF57C3"/>
    <w:rsid w:val="442F69B8"/>
    <w:rsid w:val="44C95FB4"/>
    <w:rsid w:val="44FF61C8"/>
    <w:rsid w:val="45252F0E"/>
    <w:rsid w:val="457008CA"/>
    <w:rsid w:val="4589319B"/>
    <w:rsid w:val="45AF6246"/>
    <w:rsid w:val="465B295F"/>
    <w:rsid w:val="466D53F3"/>
    <w:rsid w:val="467734B2"/>
    <w:rsid w:val="46DC1209"/>
    <w:rsid w:val="46DE2BBC"/>
    <w:rsid w:val="46E15FF5"/>
    <w:rsid w:val="46F53A1E"/>
    <w:rsid w:val="4704276A"/>
    <w:rsid w:val="471C0767"/>
    <w:rsid w:val="47733D28"/>
    <w:rsid w:val="47743CD8"/>
    <w:rsid w:val="477C3F2D"/>
    <w:rsid w:val="479A46BF"/>
    <w:rsid w:val="47A52268"/>
    <w:rsid w:val="47C81961"/>
    <w:rsid w:val="47E9735A"/>
    <w:rsid w:val="47EE35BC"/>
    <w:rsid w:val="47F468CD"/>
    <w:rsid w:val="4849696C"/>
    <w:rsid w:val="486561AA"/>
    <w:rsid w:val="48B56357"/>
    <w:rsid w:val="48E135EC"/>
    <w:rsid w:val="490A0E3C"/>
    <w:rsid w:val="49135130"/>
    <w:rsid w:val="493C36E1"/>
    <w:rsid w:val="49516F85"/>
    <w:rsid w:val="498B70B7"/>
    <w:rsid w:val="4997099A"/>
    <w:rsid w:val="49AB52F9"/>
    <w:rsid w:val="49B170D1"/>
    <w:rsid w:val="49B43AD0"/>
    <w:rsid w:val="4A10382B"/>
    <w:rsid w:val="4A757768"/>
    <w:rsid w:val="4AFA07E5"/>
    <w:rsid w:val="4B047191"/>
    <w:rsid w:val="4B163E34"/>
    <w:rsid w:val="4B2A6102"/>
    <w:rsid w:val="4B2F2BD5"/>
    <w:rsid w:val="4B374CEB"/>
    <w:rsid w:val="4B5F24FA"/>
    <w:rsid w:val="4B5F5C3D"/>
    <w:rsid w:val="4B7A1338"/>
    <w:rsid w:val="4B8F0DD6"/>
    <w:rsid w:val="4B9E319C"/>
    <w:rsid w:val="4BA16DAB"/>
    <w:rsid w:val="4BD87F8B"/>
    <w:rsid w:val="4C904297"/>
    <w:rsid w:val="4C995D6A"/>
    <w:rsid w:val="4C9D782D"/>
    <w:rsid w:val="4CB13F18"/>
    <w:rsid w:val="4CB36DE4"/>
    <w:rsid w:val="4CB74AAB"/>
    <w:rsid w:val="4CE92875"/>
    <w:rsid w:val="4CF84A64"/>
    <w:rsid w:val="4CFA10FB"/>
    <w:rsid w:val="4D055B63"/>
    <w:rsid w:val="4D0F28BD"/>
    <w:rsid w:val="4D597930"/>
    <w:rsid w:val="4D7066CB"/>
    <w:rsid w:val="4DB501E6"/>
    <w:rsid w:val="4DD1746B"/>
    <w:rsid w:val="4DE638C5"/>
    <w:rsid w:val="4E1F6060"/>
    <w:rsid w:val="4E2319CB"/>
    <w:rsid w:val="4E320449"/>
    <w:rsid w:val="4E37780E"/>
    <w:rsid w:val="4E4A4427"/>
    <w:rsid w:val="4EB01AF7"/>
    <w:rsid w:val="4EB10D13"/>
    <w:rsid w:val="4EB1136E"/>
    <w:rsid w:val="4EC87E3D"/>
    <w:rsid w:val="4EEB47AC"/>
    <w:rsid w:val="4EF13E57"/>
    <w:rsid w:val="4F2D30A1"/>
    <w:rsid w:val="4F42290E"/>
    <w:rsid w:val="4F7C2E26"/>
    <w:rsid w:val="4F8C7647"/>
    <w:rsid w:val="4FB20BCB"/>
    <w:rsid w:val="4FB65AB2"/>
    <w:rsid w:val="4FED794F"/>
    <w:rsid w:val="5004541B"/>
    <w:rsid w:val="5023333C"/>
    <w:rsid w:val="505608EA"/>
    <w:rsid w:val="509147FD"/>
    <w:rsid w:val="50947B85"/>
    <w:rsid w:val="5101329F"/>
    <w:rsid w:val="510D6121"/>
    <w:rsid w:val="51103E0E"/>
    <w:rsid w:val="51181287"/>
    <w:rsid w:val="51284AA6"/>
    <w:rsid w:val="5161755A"/>
    <w:rsid w:val="5180327A"/>
    <w:rsid w:val="51845C9A"/>
    <w:rsid w:val="519A1679"/>
    <w:rsid w:val="519D5CA9"/>
    <w:rsid w:val="51A056CA"/>
    <w:rsid w:val="52214528"/>
    <w:rsid w:val="525F58AC"/>
    <w:rsid w:val="529C2921"/>
    <w:rsid w:val="52A23DBC"/>
    <w:rsid w:val="52B61D13"/>
    <w:rsid w:val="52DC0754"/>
    <w:rsid w:val="52E50CC2"/>
    <w:rsid w:val="530729D3"/>
    <w:rsid w:val="530F2B07"/>
    <w:rsid w:val="53335D76"/>
    <w:rsid w:val="535C782A"/>
    <w:rsid w:val="53B349C6"/>
    <w:rsid w:val="53CA2CE8"/>
    <w:rsid w:val="53E73A84"/>
    <w:rsid w:val="53EC1E2B"/>
    <w:rsid w:val="53F67E63"/>
    <w:rsid w:val="544640FA"/>
    <w:rsid w:val="54474236"/>
    <w:rsid w:val="54987278"/>
    <w:rsid w:val="54CF4DC4"/>
    <w:rsid w:val="54DD5A8E"/>
    <w:rsid w:val="54F1356B"/>
    <w:rsid w:val="54FF5E19"/>
    <w:rsid w:val="551F5BD2"/>
    <w:rsid w:val="557C6C22"/>
    <w:rsid w:val="55DD5AFE"/>
    <w:rsid w:val="55FF72E6"/>
    <w:rsid w:val="565C537D"/>
    <w:rsid w:val="56764B58"/>
    <w:rsid w:val="56886991"/>
    <w:rsid w:val="56CF5D51"/>
    <w:rsid w:val="56F30C37"/>
    <w:rsid w:val="570109B9"/>
    <w:rsid w:val="571F6551"/>
    <w:rsid w:val="57476D14"/>
    <w:rsid w:val="57651CD4"/>
    <w:rsid w:val="5784753E"/>
    <w:rsid w:val="5785756D"/>
    <w:rsid w:val="57A116C1"/>
    <w:rsid w:val="57D367F9"/>
    <w:rsid w:val="582A5F4D"/>
    <w:rsid w:val="5882708A"/>
    <w:rsid w:val="58A01BB9"/>
    <w:rsid w:val="58F44DC4"/>
    <w:rsid w:val="58F63D3B"/>
    <w:rsid w:val="58FC0010"/>
    <w:rsid w:val="58FC69CC"/>
    <w:rsid w:val="59061A05"/>
    <w:rsid w:val="59064CE8"/>
    <w:rsid w:val="590910B9"/>
    <w:rsid w:val="591F67C9"/>
    <w:rsid w:val="5934434F"/>
    <w:rsid w:val="593C2FD0"/>
    <w:rsid w:val="59582D1E"/>
    <w:rsid w:val="59A404FF"/>
    <w:rsid w:val="59A41EAE"/>
    <w:rsid w:val="59B27D50"/>
    <w:rsid w:val="59B42575"/>
    <w:rsid w:val="59EC1CF5"/>
    <w:rsid w:val="5AFE5961"/>
    <w:rsid w:val="5AFF6AB4"/>
    <w:rsid w:val="5B104C23"/>
    <w:rsid w:val="5B201AD2"/>
    <w:rsid w:val="5B44356A"/>
    <w:rsid w:val="5B6643A7"/>
    <w:rsid w:val="5B7E6E54"/>
    <w:rsid w:val="5B9266B2"/>
    <w:rsid w:val="5BA902A5"/>
    <w:rsid w:val="5BC666DE"/>
    <w:rsid w:val="5BCA1052"/>
    <w:rsid w:val="5BDA459C"/>
    <w:rsid w:val="5C2D5D6D"/>
    <w:rsid w:val="5C401F83"/>
    <w:rsid w:val="5C54172B"/>
    <w:rsid w:val="5CB14A48"/>
    <w:rsid w:val="5CB36FE0"/>
    <w:rsid w:val="5CCB19DB"/>
    <w:rsid w:val="5CD07D99"/>
    <w:rsid w:val="5CFA3096"/>
    <w:rsid w:val="5D5354BD"/>
    <w:rsid w:val="5D5B4221"/>
    <w:rsid w:val="5D725852"/>
    <w:rsid w:val="5D742103"/>
    <w:rsid w:val="5DCA1814"/>
    <w:rsid w:val="5DE05D8C"/>
    <w:rsid w:val="5E0B3508"/>
    <w:rsid w:val="5E3309FC"/>
    <w:rsid w:val="5E382FC7"/>
    <w:rsid w:val="5E850DC3"/>
    <w:rsid w:val="5EA144E4"/>
    <w:rsid w:val="5EC64CF9"/>
    <w:rsid w:val="5EF3433D"/>
    <w:rsid w:val="5F0625A3"/>
    <w:rsid w:val="5F3C6647"/>
    <w:rsid w:val="5F4227CC"/>
    <w:rsid w:val="5F4D6457"/>
    <w:rsid w:val="5F54725E"/>
    <w:rsid w:val="5FA72C8B"/>
    <w:rsid w:val="5FB33D91"/>
    <w:rsid w:val="5FCE798A"/>
    <w:rsid w:val="5FCF1F9D"/>
    <w:rsid w:val="5FE07ADD"/>
    <w:rsid w:val="600C0D96"/>
    <w:rsid w:val="60126860"/>
    <w:rsid w:val="602D10FF"/>
    <w:rsid w:val="60B16E66"/>
    <w:rsid w:val="60BE32ED"/>
    <w:rsid w:val="60D03445"/>
    <w:rsid w:val="60FB20EB"/>
    <w:rsid w:val="611E1B1E"/>
    <w:rsid w:val="61252BC5"/>
    <w:rsid w:val="61474C65"/>
    <w:rsid w:val="61641815"/>
    <w:rsid w:val="61782051"/>
    <w:rsid w:val="6195523D"/>
    <w:rsid w:val="61A46B11"/>
    <w:rsid w:val="61C6300A"/>
    <w:rsid w:val="61CF1F98"/>
    <w:rsid w:val="61DB6BD8"/>
    <w:rsid w:val="622361CE"/>
    <w:rsid w:val="62381A76"/>
    <w:rsid w:val="624577DD"/>
    <w:rsid w:val="624D1766"/>
    <w:rsid w:val="626031F6"/>
    <w:rsid w:val="62691DFC"/>
    <w:rsid w:val="62C369DE"/>
    <w:rsid w:val="62FA47FE"/>
    <w:rsid w:val="63202CAC"/>
    <w:rsid w:val="63754C4A"/>
    <w:rsid w:val="638906B4"/>
    <w:rsid w:val="63C1123C"/>
    <w:rsid w:val="63C50001"/>
    <w:rsid w:val="63C86E5C"/>
    <w:rsid w:val="63CC167D"/>
    <w:rsid w:val="64025D70"/>
    <w:rsid w:val="64232577"/>
    <w:rsid w:val="642870EF"/>
    <w:rsid w:val="643862FE"/>
    <w:rsid w:val="644D0064"/>
    <w:rsid w:val="64712D18"/>
    <w:rsid w:val="64721DE4"/>
    <w:rsid w:val="649D54C7"/>
    <w:rsid w:val="64CE525F"/>
    <w:rsid w:val="65174882"/>
    <w:rsid w:val="652C6491"/>
    <w:rsid w:val="65373EE4"/>
    <w:rsid w:val="65386821"/>
    <w:rsid w:val="656E24E3"/>
    <w:rsid w:val="657403DD"/>
    <w:rsid w:val="65957B7C"/>
    <w:rsid w:val="65994B7C"/>
    <w:rsid w:val="65BF28F9"/>
    <w:rsid w:val="65F61DC6"/>
    <w:rsid w:val="66876081"/>
    <w:rsid w:val="66986A62"/>
    <w:rsid w:val="669E4A07"/>
    <w:rsid w:val="66A67261"/>
    <w:rsid w:val="66BE6264"/>
    <w:rsid w:val="66E10C4D"/>
    <w:rsid w:val="66EA3716"/>
    <w:rsid w:val="6703445B"/>
    <w:rsid w:val="670960C5"/>
    <w:rsid w:val="670C68EF"/>
    <w:rsid w:val="6724435F"/>
    <w:rsid w:val="6775741E"/>
    <w:rsid w:val="679753E3"/>
    <w:rsid w:val="67CD6608"/>
    <w:rsid w:val="67F461EB"/>
    <w:rsid w:val="68317911"/>
    <w:rsid w:val="68343D4B"/>
    <w:rsid w:val="683F3ED4"/>
    <w:rsid w:val="68673347"/>
    <w:rsid w:val="688378C9"/>
    <w:rsid w:val="68A46208"/>
    <w:rsid w:val="68B65AA7"/>
    <w:rsid w:val="68B7639B"/>
    <w:rsid w:val="68FD1490"/>
    <w:rsid w:val="690A594E"/>
    <w:rsid w:val="690C1B6B"/>
    <w:rsid w:val="69202055"/>
    <w:rsid w:val="694F0658"/>
    <w:rsid w:val="69C24EC9"/>
    <w:rsid w:val="6A1F584C"/>
    <w:rsid w:val="6A215BE7"/>
    <w:rsid w:val="6A294057"/>
    <w:rsid w:val="6A4344FD"/>
    <w:rsid w:val="6A587E8B"/>
    <w:rsid w:val="6ABB696E"/>
    <w:rsid w:val="6AD07C32"/>
    <w:rsid w:val="6B2E3700"/>
    <w:rsid w:val="6B365419"/>
    <w:rsid w:val="6B8578CE"/>
    <w:rsid w:val="6BA1221E"/>
    <w:rsid w:val="6BDF2F20"/>
    <w:rsid w:val="6C086A0A"/>
    <w:rsid w:val="6C2C469A"/>
    <w:rsid w:val="6C5F635F"/>
    <w:rsid w:val="6C751CF7"/>
    <w:rsid w:val="6C826AF6"/>
    <w:rsid w:val="6CB30259"/>
    <w:rsid w:val="6CED3DF9"/>
    <w:rsid w:val="6D06668A"/>
    <w:rsid w:val="6D1A6D8E"/>
    <w:rsid w:val="6D1D21A8"/>
    <w:rsid w:val="6D2309E9"/>
    <w:rsid w:val="6D277AC2"/>
    <w:rsid w:val="6D4378C4"/>
    <w:rsid w:val="6D4461DE"/>
    <w:rsid w:val="6D6963BC"/>
    <w:rsid w:val="6DA06B28"/>
    <w:rsid w:val="6DA34592"/>
    <w:rsid w:val="6DD25E1D"/>
    <w:rsid w:val="6DD52199"/>
    <w:rsid w:val="6DDA035D"/>
    <w:rsid w:val="6E1502BF"/>
    <w:rsid w:val="6E184B0E"/>
    <w:rsid w:val="6E5813AF"/>
    <w:rsid w:val="6E6B3C7D"/>
    <w:rsid w:val="6E6E288C"/>
    <w:rsid w:val="6E8F26DB"/>
    <w:rsid w:val="6EA8008C"/>
    <w:rsid w:val="6EA946E4"/>
    <w:rsid w:val="6EBC36EB"/>
    <w:rsid w:val="6ECC6F00"/>
    <w:rsid w:val="6F477129"/>
    <w:rsid w:val="6F60604D"/>
    <w:rsid w:val="6F64631D"/>
    <w:rsid w:val="6F6726C9"/>
    <w:rsid w:val="6F7E494D"/>
    <w:rsid w:val="6FB65C17"/>
    <w:rsid w:val="6FBF2F01"/>
    <w:rsid w:val="6FDD626C"/>
    <w:rsid w:val="6FEF1B60"/>
    <w:rsid w:val="700D5EE0"/>
    <w:rsid w:val="70257E7D"/>
    <w:rsid w:val="70260806"/>
    <w:rsid w:val="706D0C8C"/>
    <w:rsid w:val="708679E7"/>
    <w:rsid w:val="708759CB"/>
    <w:rsid w:val="70954F1B"/>
    <w:rsid w:val="70C00B92"/>
    <w:rsid w:val="70D25448"/>
    <w:rsid w:val="70E70B67"/>
    <w:rsid w:val="71070737"/>
    <w:rsid w:val="714E043E"/>
    <w:rsid w:val="715C16D7"/>
    <w:rsid w:val="71685DAD"/>
    <w:rsid w:val="719515F5"/>
    <w:rsid w:val="71C57FBB"/>
    <w:rsid w:val="71F331AD"/>
    <w:rsid w:val="722967A7"/>
    <w:rsid w:val="72A60D0B"/>
    <w:rsid w:val="72DC4838"/>
    <w:rsid w:val="72E81D5A"/>
    <w:rsid w:val="73484EF6"/>
    <w:rsid w:val="73980FB1"/>
    <w:rsid w:val="73A302C6"/>
    <w:rsid w:val="73CA3085"/>
    <w:rsid w:val="73DE265A"/>
    <w:rsid w:val="73FF384F"/>
    <w:rsid w:val="740C56BF"/>
    <w:rsid w:val="743E1AA3"/>
    <w:rsid w:val="74A0720E"/>
    <w:rsid w:val="74DC00AE"/>
    <w:rsid w:val="74E80BB0"/>
    <w:rsid w:val="750C6A4F"/>
    <w:rsid w:val="751F0571"/>
    <w:rsid w:val="752918A9"/>
    <w:rsid w:val="7530738A"/>
    <w:rsid w:val="75316BB1"/>
    <w:rsid w:val="75535445"/>
    <w:rsid w:val="7557457E"/>
    <w:rsid w:val="755A717C"/>
    <w:rsid w:val="755E1157"/>
    <w:rsid w:val="757854DE"/>
    <w:rsid w:val="75802D3E"/>
    <w:rsid w:val="75A516E0"/>
    <w:rsid w:val="75CF6EAD"/>
    <w:rsid w:val="760C439B"/>
    <w:rsid w:val="76194C04"/>
    <w:rsid w:val="761E3F10"/>
    <w:rsid w:val="765A1D25"/>
    <w:rsid w:val="768D5C10"/>
    <w:rsid w:val="76A35970"/>
    <w:rsid w:val="76D16621"/>
    <w:rsid w:val="775E5A9D"/>
    <w:rsid w:val="77AB254F"/>
    <w:rsid w:val="77AB291C"/>
    <w:rsid w:val="77AB57FB"/>
    <w:rsid w:val="77C6620A"/>
    <w:rsid w:val="781B4536"/>
    <w:rsid w:val="78516ABF"/>
    <w:rsid w:val="785A034E"/>
    <w:rsid w:val="785A3DD4"/>
    <w:rsid w:val="78C84BA6"/>
    <w:rsid w:val="78CD26BE"/>
    <w:rsid w:val="78F13F3B"/>
    <w:rsid w:val="79081C74"/>
    <w:rsid w:val="7922653C"/>
    <w:rsid w:val="7927654D"/>
    <w:rsid w:val="79353059"/>
    <w:rsid w:val="793F26C8"/>
    <w:rsid w:val="795A422D"/>
    <w:rsid w:val="796A2C9C"/>
    <w:rsid w:val="797C18FB"/>
    <w:rsid w:val="799D206A"/>
    <w:rsid w:val="79C64B3B"/>
    <w:rsid w:val="79F77CCE"/>
    <w:rsid w:val="7A223798"/>
    <w:rsid w:val="7A3E3B4E"/>
    <w:rsid w:val="7A5E6E1E"/>
    <w:rsid w:val="7A6B4DD0"/>
    <w:rsid w:val="7A873792"/>
    <w:rsid w:val="7AFA0EEE"/>
    <w:rsid w:val="7B1A17C0"/>
    <w:rsid w:val="7B51132D"/>
    <w:rsid w:val="7B5D20B5"/>
    <w:rsid w:val="7BB41D4B"/>
    <w:rsid w:val="7BD32132"/>
    <w:rsid w:val="7C5B78CF"/>
    <w:rsid w:val="7C5D6CDE"/>
    <w:rsid w:val="7C790E18"/>
    <w:rsid w:val="7C9218CA"/>
    <w:rsid w:val="7CD2414A"/>
    <w:rsid w:val="7D73402C"/>
    <w:rsid w:val="7D981749"/>
    <w:rsid w:val="7DE6101D"/>
    <w:rsid w:val="7DEF005C"/>
    <w:rsid w:val="7E281589"/>
    <w:rsid w:val="7E8802AA"/>
    <w:rsid w:val="7ED6157A"/>
    <w:rsid w:val="7ED94A22"/>
    <w:rsid w:val="7EF8743D"/>
    <w:rsid w:val="7F621D76"/>
    <w:rsid w:val="7F927FB4"/>
    <w:rsid w:val="7FAC43B7"/>
    <w:rsid w:val="7FCE7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unhideWhenUsed/>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8"/>
    <w:autoRedefine/>
    <w:unhideWhenUsed/>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autoRedefine/>
    <w:qFormat/>
    <w:uiPriority w:val="0"/>
  </w:style>
  <w:style w:type="paragraph" w:styleId="4">
    <w:name w:val="toc 6"/>
    <w:basedOn w:val="1"/>
    <w:next w:val="1"/>
    <w:autoRedefine/>
    <w:qFormat/>
    <w:uiPriority w:val="39"/>
    <w:pPr>
      <w:adjustRightInd/>
      <w:ind w:left="1050"/>
      <w:jc w:val="left"/>
    </w:pPr>
    <w:rPr>
      <w:sz w:val="18"/>
      <w:szCs w:val="18"/>
    </w:rPr>
  </w:style>
  <w:style w:type="paragraph" w:styleId="8">
    <w:name w:val="Normal Indent"/>
    <w:basedOn w:val="1"/>
    <w:next w:val="1"/>
    <w:autoRedefine/>
    <w:qFormat/>
    <w:uiPriority w:val="0"/>
    <w:pPr>
      <w:adjustRightInd w:val="0"/>
      <w:spacing w:line="312" w:lineRule="atLeast"/>
      <w:ind w:firstLine="420"/>
      <w:textAlignment w:val="baseline"/>
    </w:pPr>
    <w:rPr>
      <w:kern w:val="0"/>
      <w:szCs w:val="20"/>
    </w:rPr>
  </w:style>
  <w:style w:type="paragraph" w:styleId="9">
    <w:name w:val="annotation text"/>
    <w:basedOn w:val="1"/>
    <w:autoRedefine/>
    <w:qFormat/>
    <w:uiPriority w:val="0"/>
    <w:pPr>
      <w:jc w:val="left"/>
    </w:pPr>
  </w:style>
  <w:style w:type="paragraph" w:styleId="10">
    <w:name w:val="Body Text Indent"/>
    <w:basedOn w:val="1"/>
    <w:next w:val="11"/>
    <w:autoRedefine/>
    <w:qFormat/>
    <w:uiPriority w:val="0"/>
    <w:pPr>
      <w:spacing w:after="120"/>
      <w:ind w:left="420"/>
    </w:pPr>
  </w:style>
  <w:style w:type="paragraph" w:styleId="11">
    <w:name w:val="Body Text First Indent 2"/>
    <w:basedOn w:val="10"/>
    <w:autoRedefine/>
    <w:unhideWhenUsed/>
    <w:qFormat/>
    <w:uiPriority w:val="99"/>
    <w:pPr>
      <w:ind w:firstLine="420" w:firstLineChars="200"/>
    </w:pPr>
  </w:style>
  <w:style w:type="paragraph" w:styleId="12">
    <w:name w:val="index 4"/>
    <w:basedOn w:val="1"/>
    <w:next w:val="1"/>
    <w:autoRedefine/>
    <w:qFormat/>
    <w:uiPriority w:val="99"/>
    <w:pPr>
      <w:ind w:left="600" w:leftChars="600"/>
    </w:pPr>
    <w:rPr>
      <w:rFonts w:ascii="Verdana" w:hAnsi="Verdana"/>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spacing w:line="440" w:lineRule="exact"/>
    </w:pPr>
    <w:rPr>
      <w:spacing w:val="12"/>
      <w:sz w:val="24"/>
      <w:szCs w:val="20"/>
    </w:rPr>
  </w:style>
  <w:style w:type="paragraph" w:styleId="15">
    <w:name w:val="Body Text Indent 2"/>
    <w:basedOn w:val="1"/>
    <w:autoRedefine/>
    <w:qFormat/>
    <w:uiPriority w:val="0"/>
    <w:pPr>
      <w:snapToGrid w:val="0"/>
      <w:ind w:firstLine="225" w:firstLineChars="225"/>
    </w:pPr>
    <w:rPr>
      <w:rFonts w:ascii="仿宋_GB2312" w:hAnsi="仿宋_GB2312"/>
      <w:b/>
      <w:bCs/>
      <w:color w:val="000000"/>
      <w:kern w:val="0"/>
      <w:sz w:val="24"/>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64"/>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spacing w:line="360" w:lineRule="exact"/>
      <w:ind w:left="-171" w:leftChars="-171" w:hanging="359" w:hangingChars="171"/>
    </w:pPr>
    <w:rPr>
      <w:rFonts w:ascii="Arial" w:hAnsi="Arial" w:eastAsia="楷体_GB2312" w:cs="Arial"/>
    </w:rPr>
  </w:style>
  <w:style w:type="paragraph" w:styleId="20">
    <w:name w:val="toc 4"/>
    <w:basedOn w:val="1"/>
    <w:next w:val="1"/>
    <w:autoRedefine/>
    <w:unhideWhenUsed/>
    <w:qFormat/>
    <w:uiPriority w:val="39"/>
    <w:pPr>
      <w:ind w:left="1260" w:leftChars="600"/>
    </w:p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Autospacing="1" w:afterAutospacing="1"/>
      <w:jc w:val="left"/>
    </w:pPr>
    <w:rPr>
      <w:rFonts w:cs="Times New Roman"/>
      <w:kern w:val="0"/>
      <w:sz w:val="24"/>
    </w:rPr>
  </w:style>
  <w:style w:type="paragraph" w:styleId="23">
    <w:name w:val="Title"/>
    <w:basedOn w:val="1"/>
    <w:autoRedefine/>
    <w:qFormat/>
    <w:uiPriority w:val="0"/>
    <w:pPr>
      <w:spacing w:before="240" w:after="60"/>
      <w:jc w:val="center"/>
      <w:outlineLvl w:val="0"/>
    </w:pPr>
    <w:rPr>
      <w:rFonts w:ascii="Arial" w:hAnsi="Arial" w:cs="Arial"/>
      <w:sz w:val="32"/>
      <w:szCs w:val="32"/>
    </w:rPr>
  </w:style>
  <w:style w:type="table" w:styleId="25">
    <w:name w:val="Table Grid"/>
    <w:basedOn w:val="24"/>
    <w:autoRedefine/>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basedOn w:val="26"/>
    <w:autoRedefine/>
    <w:qFormat/>
    <w:uiPriority w:val="0"/>
    <w:rPr>
      <w:color w:val="197AFF"/>
      <w:u w:val="none"/>
    </w:rPr>
  </w:style>
  <w:style w:type="character" w:styleId="30">
    <w:name w:val="HTML Definition"/>
    <w:basedOn w:val="26"/>
    <w:autoRedefine/>
    <w:qFormat/>
    <w:uiPriority w:val="0"/>
    <w:rPr>
      <w:i/>
    </w:rPr>
  </w:style>
  <w:style w:type="character" w:styleId="31">
    <w:name w:val="Hyperlink"/>
    <w:basedOn w:val="26"/>
    <w:autoRedefine/>
    <w:qFormat/>
    <w:uiPriority w:val="0"/>
    <w:rPr>
      <w:color w:val="000000"/>
      <w:u w:val="none"/>
    </w:rPr>
  </w:style>
  <w:style w:type="character" w:styleId="32">
    <w:name w:val="HTML Code"/>
    <w:basedOn w:val="26"/>
    <w:autoRedefine/>
    <w:qFormat/>
    <w:uiPriority w:val="0"/>
    <w:rPr>
      <w:rFonts w:ascii="Segoe UI" w:hAnsi="Segoe UI" w:eastAsia="Segoe UI" w:cs="Segoe UI"/>
      <w:sz w:val="21"/>
      <w:szCs w:val="21"/>
    </w:rPr>
  </w:style>
  <w:style w:type="character" w:styleId="33">
    <w:name w:val="HTML Keyboard"/>
    <w:basedOn w:val="26"/>
    <w:autoRedefine/>
    <w:qFormat/>
    <w:uiPriority w:val="0"/>
    <w:rPr>
      <w:rFonts w:hint="default" w:ascii="Segoe UI" w:hAnsi="Segoe UI" w:eastAsia="Segoe UI" w:cs="Segoe UI"/>
      <w:sz w:val="21"/>
      <w:szCs w:val="21"/>
    </w:rPr>
  </w:style>
  <w:style w:type="character" w:styleId="34">
    <w:name w:val="HTML Sample"/>
    <w:basedOn w:val="26"/>
    <w:autoRedefine/>
    <w:qFormat/>
    <w:uiPriority w:val="0"/>
    <w:rPr>
      <w:rFonts w:hint="default" w:ascii="Segoe UI" w:hAnsi="Segoe UI" w:eastAsia="Segoe UI" w:cs="Segoe UI"/>
      <w:sz w:val="21"/>
      <w:szCs w:val="21"/>
    </w:rPr>
  </w:style>
  <w:style w:type="paragraph" w:customStyle="1" w:styleId="35">
    <w:name w:val="样式 首行缩进:  2 字符"/>
    <w:basedOn w:val="1"/>
    <w:autoRedefine/>
    <w:qFormat/>
    <w:uiPriority w:val="0"/>
    <w:pPr>
      <w:spacing w:line="360" w:lineRule="auto"/>
      <w:ind w:firstLine="480" w:firstLineChars="200"/>
    </w:pPr>
    <w:rPr>
      <w:rFonts w:ascii="宋体" w:hAnsi="宋体" w:cs="宋体"/>
      <w:color w:val="000000"/>
      <w:sz w:val="24"/>
    </w:rPr>
  </w:style>
  <w:style w:type="paragraph" w:customStyle="1" w:styleId="36">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7">
    <w:name w:val="一级标题"/>
    <w:basedOn w:val="1"/>
    <w:next w:val="3"/>
    <w:autoRedefine/>
    <w:qFormat/>
    <w:uiPriority w:val="0"/>
    <w:pPr>
      <w:outlineLvl w:val="0"/>
    </w:pPr>
    <w:rPr>
      <w:bCs/>
      <w:sz w:val="32"/>
    </w:rPr>
  </w:style>
  <w:style w:type="paragraph" w:customStyle="1" w:styleId="38">
    <w:name w:val="表格文字"/>
    <w:basedOn w:val="1"/>
    <w:next w:val="3"/>
    <w:autoRedefine/>
    <w:qFormat/>
    <w:uiPriority w:val="0"/>
    <w:pPr>
      <w:adjustRightInd w:val="0"/>
      <w:spacing w:line="420" w:lineRule="atLeast"/>
      <w:jc w:val="left"/>
      <w:textAlignment w:val="baseline"/>
    </w:pPr>
    <w:rPr>
      <w:rFonts w:ascii="Times New Roman" w:hAnsi="Times New Roman" w:eastAsia="宋体"/>
    </w:rPr>
  </w:style>
  <w:style w:type="paragraph" w:customStyle="1" w:styleId="39">
    <w:name w:val="xl35"/>
    <w:basedOn w:val="1"/>
    <w:autoRedefine/>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 w:val="24"/>
    </w:rPr>
  </w:style>
  <w:style w:type="paragraph" w:customStyle="1" w:styleId="40">
    <w:name w:val="表内文字"/>
    <w:basedOn w:val="1"/>
    <w:autoRedefine/>
    <w:qFormat/>
    <w:uiPriority w:val="0"/>
    <w:pPr>
      <w:spacing w:line="240" w:lineRule="atLeast"/>
      <w:jc w:val="center"/>
    </w:pPr>
    <w:rPr>
      <w:rFonts w:ascii="Arial" w:hAnsi="Arial" w:cs="Arial"/>
      <w:b/>
      <w:bCs/>
    </w:rPr>
  </w:style>
  <w:style w:type="paragraph" w:customStyle="1" w:styleId="41">
    <w:name w:val="xl55"/>
    <w:basedOn w:val="1"/>
    <w:autoRedefine/>
    <w:qFormat/>
    <w:uiPriority w:val="0"/>
    <w:pPr>
      <w:widowControl/>
      <w:spacing w:beforeAutospacing="1" w:afterAutospacing="1"/>
      <w:jc w:val="center"/>
      <w:textAlignment w:val="center"/>
    </w:pPr>
    <w:rPr>
      <w:rFonts w:ascii="Arial Unicode MS" w:hAnsi="Arial Unicode MS"/>
      <w:kern w:val="0"/>
      <w:sz w:val="24"/>
    </w:rPr>
  </w:style>
  <w:style w:type="paragraph" w:customStyle="1" w:styleId="42">
    <w:name w:val="WPSOffice手动目录 1"/>
    <w:autoRedefine/>
    <w:qFormat/>
    <w:uiPriority w:val="0"/>
    <w:rPr>
      <w:rFonts w:asciiTheme="minorHAnsi" w:hAnsiTheme="minorHAnsi" w:eastAsiaTheme="minorEastAsia" w:cstheme="minorBidi"/>
      <w:lang w:val="en-US" w:eastAsia="zh-CN" w:bidi="ar-SA"/>
    </w:rPr>
  </w:style>
  <w:style w:type="paragraph" w:customStyle="1" w:styleId="4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44">
    <w:name w:val="[Normal]"/>
    <w:autoRedefine/>
    <w:qFormat/>
    <w:uiPriority w:val="0"/>
    <w:rPr>
      <w:rFonts w:ascii="宋体" w:hAnsi="宋体" w:eastAsia="宋体" w:cs="Times New Roman"/>
      <w:sz w:val="24"/>
      <w:szCs w:val="22"/>
      <w:lang w:val="zh-CN" w:eastAsia="zh-CN" w:bidi="ar-SA"/>
    </w:rPr>
  </w:style>
  <w:style w:type="paragraph" w:customStyle="1" w:styleId="45">
    <w:name w:val="纯文本2"/>
    <w:basedOn w:val="1"/>
    <w:autoRedefine/>
    <w:qFormat/>
    <w:uiPriority w:val="0"/>
    <w:pPr>
      <w:adjustRightInd w:val="0"/>
      <w:snapToGrid w:val="0"/>
      <w:spacing w:line="288" w:lineRule="auto"/>
      <w:ind w:firstLine="200" w:firstLineChars="200"/>
    </w:pPr>
    <w:rPr>
      <w:rFonts w:ascii="宋体" w:hAnsi="Courier New"/>
    </w:rPr>
  </w:style>
  <w:style w:type="paragraph" w:customStyle="1" w:styleId="4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7">
    <w:name w:val="List Paragraph"/>
    <w:basedOn w:val="1"/>
    <w:autoRedefine/>
    <w:qFormat/>
    <w:uiPriority w:val="34"/>
    <w:pPr>
      <w:ind w:firstLine="420" w:firstLineChars="200"/>
    </w:pPr>
  </w:style>
  <w:style w:type="paragraph" w:customStyle="1" w:styleId="48">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1"/>
    <w:basedOn w:val="50"/>
    <w:autoRedefine/>
    <w:qFormat/>
    <w:uiPriority w:val="0"/>
    <w:rPr>
      <w:rFonts w:ascii="宋体" w:hAnsi="Courier New" w:cs="Courier New"/>
      <w:szCs w:val="21"/>
    </w:rPr>
  </w:style>
  <w:style w:type="paragraph" w:customStyle="1" w:styleId="50">
    <w:name w:val="正文2"/>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1">
    <w:name w:val="列出段落1"/>
    <w:basedOn w:val="1"/>
    <w:autoRedefine/>
    <w:qFormat/>
    <w:uiPriority w:val="0"/>
    <w:pPr>
      <w:ind w:firstLine="420" w:firstLineChars="200"/>
    </w:pPr>
    <w:rPr>
      <w:rFonts w:ascii="Calibri" w:hAnsi="Calibri"/>
      <w:szCs w:val="22"/>
    </w:rPr>
  </w:style>
  <w:style w:type="paragraph" w:customStyle="1" w:styleId="52">
    <w:name w:val="Table Paragraph"/>
    <w:basedOn w:val="1"/>
    <w:autoRedefine/>
    <w:unhideWhenUsed/>
    <w:qFormat/>
    <w:uiPriority w:val="1"/>
    <w:rPr>
      <w:rFonts w:hint="eastAsia"/>
      <w:sz w:val="24"/>
    </w:rPr>
  </w:style>
  <w:style w:type="character" w:customStyle="1" w:styleId="53">
    <w:name w:val="old"/>
    <w:basedOn w:val="26"/>
    <w:autoRedefine/>
    <w:qFormat/>
    <w:uiPriority w:val="0"/>
    <w:rPr>
      <w:color w:val="999999"/>
    </w:rPr>
  </w:style>
  <w:style w:type="character" w:customStyle="1" w:styleId="54">
    <w:name w:val="hover9"/>
    <w:basedOn w:val="26"/>
    <w:autoRedefine/>
    <w:qFormat/>
    <w:uiPriority w:val="0"/>
    <w:rPr>
      <w:shd w:val="clear" w:color="auto" w:fill="EEEEEE"/>
    </w:rPr>
  </w:style>
  <w:style w:type="character" w:customStyle="1" w:styleId="55">
    <w:name w:val="hour_pm"/>
    <w:basedOn w:val="26"/>
    <w:autoRedefine/>
    <w:qFormat/>
    <w:uiPriority w:val="0"/>
  </w:style>
  <w:style w:type="character" w:customStyle="1" w:styleId="56">
    <w:name w:val="hour_am"/>
    <w:basedOn w:val="26"/>
    <w:autoRedefine/>
    <w:qFormat/>
    <w:uiPriority w:val="0"/>
  </w:style>
  <w:style w:type="character" w:customStyle="1" w:styleId="57">
    <w:name w:val="hover8"/>
    <w:basedOn w:val="26"/>
    <w:autoRedefine/>
    <w:qFormat/>
    <w:uiPriority w:val="0"/>
    <w:rPr>
      <w:shd w:val="clear" w:color="auto" w:fill="EEEEEE"/>
    </w:rPr>
  </w:style>
  <w:style w:type="paragraph" w:customStyle="1" w:styleId="58">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9">
    <w:name w:val="font61"/>
    <w:basedOn w:val="26"/>
    <w:autoRedefine/>
    <w:qFormat/>
    <w:uiPriority w:val="0"/>
    <w:rPr>
      <w:rFonts w:hint="default" w:ascii="楷体_GB2312" w:eastAsia="楷体_GB2312" w:cs="楷体_GB2312"/>
      <w:color w:val="000000"/>
      <w:sz w:val="22"/>
      <w:szCs w:val="22"/>
      <w:u w:val="none"/>
    </w:rPr>
  </w:style>
  <w:style w:type="character" w:customStyle="1" w:styleId="60">
    <w:name w:val="font21"/>
    <w:basedOn w:val="26"/>
    <w:autoRedefine/>
    <w:qFormat/>
    <w:uiPriority w:val="0"/>
    <w:rPr>
      <w:rFonts w:hint="eastAsia" w:ascii="宋体" w:hAnsi="宋体" w:eastAsia="宋体" w:cs="宋体"/>
      <w:color w:val="000000"/>
      <w:sz w:val="22"/>
      <w:szCs w:val="22"/>
      <w:u w:val="none"/>
    </w:rPr>
  </w:style>
  <w:style w:type="character" w:customStyle="1" w:styleId="61">
    <w:name w:val="font81"/>
    <w:basedOn w:val="26"/>
    <w:autoRedefine/>
    <w:qFormat/>
    <w:uiPriority w:val="0"/>
    <w:rPr>
      <w:rFonts w:hint="default" w:ascii="楷体_GB2312" w:eastAsia="楷体_GB2312" w:cs="楷体_GB2312"/>
      <w:color w:val="000000"/>
      <w:sz w:val="22"/>
      <w:szCs w:val="22"/>
      <w:u w:val="none"/>
    </w:rPr>
  </w:style>
  <w:style w:type="character" w:customStyle="1" w:styleId="62">
    <w:name w:val="font01"/>
    <w:basedOn w:val="26"/>
    <w:autoRedefine/>
    <w:qFormat/>
    <w:uiPriority w:val="0"/>
    <w:rPr>
      <w:rFonts w:hint="eastAsia" w:ascii="宋体" w:hAnsi="宋体" w:eastAsia="宋体" w:cs="宋体"/>
      <w:color w:val="000000"/>
      <w:sz w:val="22"/>
      <w:szCs w:val="22"/>
      <w:u w:val="none"/>
    </w:rPr>
  </w:style>
  <w:style w:type="paragraph" w:customStyle="1" w:styleId="63">
    <w:name w:val="章正文"/>
    <w:basedOn w:val="1"/>
    <w:autoRedefine/>
    <w:qFormat/>
    <w:uiPriority w:val="99"/>
    <w:pPr>
      <w:spacing w:beforeLines="50" w:after="120" w:line="300" w:lineRule="auto"/>
      <w:ind w:firstLine="480"/>
    </w:pPr>
    <w:rPr>
      <w:rFonts w:ascii="Helvetica" w:hAnsi="Helvetica" w:cs="Helvetica"/>
      <w:kern w:val="0"/>
      <w:sz w:val="24"/>
    </w:rPr>
  </w:style>
  <w:style w:type="character" w:customStyle="1" w:styleId="64">
    <w:name w:val="页眉 Char"/>
    <w:basedOn w:val="26"/>
    <w:link w:val="18"/>
    <w:autoRedefine/>
    <w:qFormat/>
    <w:uiPriority w:val="0"/>
    <w:rPr>
      <w:rFonts w:asciiTheme="minorHAnsi" w:hAnsiTheme="minorHAnsi" w:eastAsiaTheme="minorEastAsia" w:cstheme="minorBidi"/>
      <w:kern w:val="2"/>
      <w:sz w:val="18"/>
      <w:szCs w:val="18"/>
    </w:rPr>
  </w:style>
  <w:style w:type="paragraph" w:customStyle="1" w:styleId="6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table" w:customStyle="1" w:styleId="66">
    <w:name w:val="Table Normal"/>
    <w:autoRedefine/>
    <w:unhideWhenUsed/>
    <w:qFormat/>
    <w:uiPriority w:val="0"/>
    <w:tblPr>
      <w:tblCellMar>
        <w:top w:w="0" w:type="dxa"/>
        <w:left w:w="0" w:type="dxa"/>
        <w:bottom w:w="0" w:type="dxa"/>
        <w:right w:w="0" w:type="dxa"/>
      </w:tblCellMar>
    </w:tblPr>
  </w:style>
  <w:style w:type="character" w:customStyle="1" w:styleId="67">
    <w:name w:val="font11"/>
    <w:basedOn w:val="26"/>
    <w:qFormat/>
    <w:uiPriority w:val="0"/>
    <w:rPr>
      <w:rFonts w:hint="eastAsia" w:ascii="宋体" w:hAnsi="宋体" w:eastAsia="宋体" w:cs="宋体"/>
      <w:color w:val="000000"/>
      <w:sz w:val="21"/>
      <w:szCs w:val="21"/>
      <w:u w:val="none"/>
    </w:rPr>
  </w:style>
  <w:style w:type="character" w:customStyle="1" w:styleId="68">
    <w:name w:val="font41"/>
    <w:basedOn w:val="26"/>
    <w:qFormat/>
    <w:uiPriority w:val="0"/>
    <w:rPr>
      <w:rFonts w:ascii="宋体" w:hAnsi="宋体" w:eastAsia="宋体" w:cs="宋体"/>
      <w:color w:val="000000"/>
      <w:sz w:val="16"/>
      <w:szCs w:val="16"/>
      <w:u w:val="none"/>
    </w:rPr>
  </w:style>
  <w:style w:type="character" w:customStyle="1" w:styleId="69">
    <w:name w:val="font51"/>
    <w:basedOn w:val="26"/>
    <w:qFormat/>
    <w:uiPriority w:val="0"/>
    <w:rPr>
      <w:rFonts w:ascii="宋体" w:hAnsi="宋体" w:eastAsia="宋体" w:cs="宋体"/>
      <w:b/>
      <w:bCs/>
      <w:color w:val="000000"/>
      <w:sz w:val="16"/>
      <w:szCs w:val="16"/>
      <w:u w:val="none"/>
    </w:rPr>
  </w:style>
  <w:style w:type="character" w:customStyle="1" w:styleId="70">
    <w:name w:val="font71"/>
    <w:basedOn w:val="26"/>
    <w:qFormat/>
    <w:uiPriority w:val="0"/>
    <w:rPr>
      <w:rFonts w:ascii="宋体" w:hAnsi="宋体" w:eastAsia="宋体" w:cs="宋体"/>
      <w:b/>
      <w:bCs/>
      <w:color w:val="000000"/>
      <w:sz w:val="6"/>
      <w:szCs w:val="6"/>
      <w:u w:val="none"/>
    </w:rPr>
  </w:style>
  <w:style w:type="character" w:customStyle="1" w:styleId="71">
    <w:name w:val="font31"/>
    <w:basedOn w:val="26"/>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7454</Words>
  <Characters>8188</Characters>
  <Lines>258</Lines>
  <Paragraphs>72</Paragraphs>
  <TotalTime>34</TotalTime>
  <ScaleCrop>false</ScaleCrop>
  <LinksUpToDate>false</LinksUpToDate>
  <CharactersWithSpaces>8233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2017-12-11T09:10:00Z</dcterms:created>
  <dc:creator>Administrator</dc:creator>
  <cp:lastModifiedBy>栤橸</cp:lastModifiedBy>
  <cp:lastPrinted>2023-12-25T00:42:00Z</cp:lastPrinted>
  <dcterms:modified xsi:type="dcterms:W3CDTF">2025-01-24T02:06:39Z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0A09CDB29E8E4717AF0E41B015DD2637_13</vt:lpwstr>
  </property>
  <property fmtid="{D5CDD505-2E9C-101B-9397-08002B2CF9AE}" pid="4" name="KSOTemplateDocerSaveRecord">
    <vt:lpwstr>eyJoZGlkIjoiM2FiY2JkZjI1NjE3ZjM3YzgxMGVjYTAwNDg5YTg3ODkiLCJ1c2VySWQiOiIyNjA4MjY1MzkifQ==</vt:lpwstr>
  </property>
</Properties>
</file>