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b/>
          <w:bCs/>
          <w:color w:val="auto"/>
          <w:sz w:val="84"/>
          <w:szCs w:val="84"/>
          <w:highlight w:val="none"/>
        </w:rPr>
      </w:pPr>
      <w:r>
        <w:rPr>
          <w:rFonts w:hint="eastAsia" w:ascii="宋体" w:hAnsi="宋体"/>
          <w:b/>
          <w:bCs/>
          <w:color w:val="auto"/>
          <w:sz w:val="84"/>
          <w:szCs w:val="84"/>
          <w:highlight w:val="none"/>
          <w:lang w:val="en-US" w:eastAsia="zh-CN"/>
        </w:rPr>
        <w:t>温州市</w:t>
      </w:r>
      <w:r>
        <w:rPr>
          <w:rFonts w:hint="eastAsia" w:ascii="宋体" w:hAnsi="宋体"/>
          <w:b/>
          <w:bCs/>
          <w:color w:val="auto"/>
          <w:sz w:val="84"/>
          <w:szCs w:val="84"/>
          <w:highlight w:val="none"/>
        </w:rPr>
        <w:t>政府（分散）采购</w:t>
      </w:r>
    </w:p>
    <w:p>
      <w:pPr>
        <w:ind w:firstLine="2357" w:firstLineChars="235"/>
        <w:rPr>
          <w:rFonts w:ascii="宋体" w:hAnsi="宋体"/>
          <w:b/>
          <w:color w:val="auto"/>
          <w:spacing w:val="140"/>
          <w:sz w:val="72"/>
          <w:highlight w:val="none"/>
        </w:rPr>
      </w:pPr>
    </w:p>
    <w:p>
      <w:pPr>
        <w:ind w:firstLine="2357" w:firstLineChars="235"/>
        <w:rPr>
          <w:rFonts w:ascii="宋体" w:hAnsi="宋体"/>
          <w:b/>
          <w:color w:val="auto"/>
          <w:spacing w:val="140"/>
          <w:sz w:val="72"/>
          <w:highlight w:val="none"/>
        </w:rPr>
      </w:pPr>
    </w:p>
    <w:p>
      <w:pPr>
        <w:spacing w:line="360" w:lineRule="exact"/>
        <w:jc w:val="center"/>
        <w:rPr>
          <w:rFonts w:ascii="宋体" w:hAnsi="宋体"/>
          <w:b/>
          <w:color w:val="auto"/>
          <w:spacing w:val="140"/>
          <w:sz w:val="72"/>
          <w:highlight w:val="none"/>
        </w:rPr>
      </w:pPr>
    </w:p>
    <w:p>
      <w:pPr>
        <w:spacing w:line="360" w:lineRule="exact"/>
        <w:jc w:val="center"/>
        <w:rPr>
          <w:rFonts w:ascii="宋体" w:hAnsi="宋体"/>
          <w:b/>
          <w:color w:val="auto"/>
          <w:spacing w:val="140"/>
          <w:sz w:val="72"/>
          <w:highlight w:val="none"/>
        </w:rPr>
      </w:pPr>
    </w:p>
    <w:p>
      <w:pPr>
        <w:spacing w:line="900" w:lineRule="exact"/>
        <w:jc w:val="center"/>
        <w:rPr>
          <w:rFonts w:ascii="宋体" w:hAnsi="宋体"/>
          <w:b/>
          <w:color w:val="auto"/>
          <w:spacing w:val="140"/>
          <w:sz w:val="84"/>
          <w:szCs w:val="84"/>
          <w:highlight w:val="none"/>
        </w:rPr>
      </w:pPr>
      <w:r>
        <w:rPr>
          <w:rFonts w:hint="eastAsia" w:ascii="宋体" w:hAnsi="宋体"/>
          <w:b/>
          <w:color w:val="auto"/>
          <w:spacing w:val="140"/>
          <w:sz w:val="84"/>
          <w:szCs w:val="84"/>
          <w:highlight w:val="none"/>
        </w:rPr>
        <w:t>磋 商 文 件</w:t>
      </w:r>
    </w:p>
    <w:p>
      <w:pPr>
        <w:spacing w:line="400" w:lineRule="exact"/>
        <w:jc w:val="center"/>
        <w:rPr>
          <w:rFonts w:ascii="宋体" w:hAnsi="宋体"/>
          <w:b/>
          <w:color w:val="auto"/>
          <w:sz w:val="32"/>
          <w:highlight w:val="none"/>
        </w:rPr>
      </w:pPr>
    </w:p>
    <w:p>
      <w:pPr>
        <w:spacing w:line="900" w:lineRule="exact"/>
        <w:jc w:val="center"/>
        <w:rPr>
          <w:rFonts w:ascii="宋体" w:hAnsi="宋体"/>
          <w:b/>
          <w:color w:val="auto"/>
          <w:spacing w:val="140"/>
          <w:sz w:val="84"/>
          <w:szCs w:val="84"/>
          <w:highlight w:val="none"/>
        </w:rPr>
      </w:pPr>
      <w:r>
        <w:rPr>
          <w:rFonts w:hint="eastAsia" w:ascii="宋体" w:hAnsi="宋体"/>
          <w:b/>
          <w:color w:val="auto"/>
          <w:spacing w:val="140"/>
          <w:sz w:val="84"/>
          <w:szCs w:val="84"/>
          <w:highlight w:val="none"/>
        </w:rPr>
        <w:t>（电子投标）</w:t>
      </w: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spacing w:line="600" w:lineRule="exact"/>
        <w:ind w:left="420" w:firstLine="1800" w:firstLineChars="500"/>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项目编号：</w:t>
      </w:r>
      <w:r>
        <w:rPr>
          <w:rFonts w:hint="eastAsia" w:ascii="宋体" w:hAnsi="宋体" w:cs="宋体"/>
          <w:color w:val="auto"/>
          <w:spacing w:val="30"/>
          <w:sz w:val="30"/>
          <w:highlight w:val="none"/>
          <w:lang w:eastAsia="zh-CN"/>
        </w:rPr>
        <w:t>ZJKD-F202500306CWZ</w:t>
      </w:r>
    </w:p>
    <w:p>
      <w:pPr>
        <w:spacing w:line="600" w:lineRule="exact"/>
        <w:ind w:left="420" w:firstLine="1800" w:firstLineChars="500"/>
        <w:rPr>
          <w:rFonts w:hint="eastAsia" w:ascii="宋体" w:hAnsi="宋体" w:eastAsia="宋体"/>
          <w:color w:val="auto"/>
          <w:sz w:val="30"/>
          <w:highlight w:val="none"/>
          <w:lang w:eastAsia="zh-CN"/>
        </w:rPr>
      </w:pPr>
      <w:r>
        <w:rPr>
          <w:rFonts w:hint="eastAsia" w:ascii="宋体" w:hAnsi="宋体"/>
          <w:color w:val="auto"/>
          <w:spacing w:val="30"/>
          <w:sz w:val="30"/>
          <w:highlight w:val="none"/>
        </w:rPr>
        <w:t>项目名称：</w:t>
      </w:r>
      <w:r>
        <w:rPr>
          <w:rFonts w:hint="eastAsia" w:ascii="宋体" w:hAnsi="宋体"/>
          <w:color w:val="auto"/>
          <w:sz w:val="30"/>
          <w:highlight w:val="none"/>
          <w:lang w:eastAsia="zh-CN"/>
        </w:rPr>
        <w:t>瓯海区电镀行业新污染物全链条管控体系试点项目</w:t>
      </w:r>
    </w:p>
    <w:p>
      <w:pPr>
        <w:spacing w:line="600" w:lineRule="exact"/>
        <w:ind w:left="420" w:firstLine="1800" w:firstLineChars="500"/>
        <w:rPr>
          <w:rFonts w:ascii="宋体" w:hAnsi="宋体"/>
          <w:color w:val="auto"/>
          <w:spacing w:val="40"/>
          <w:sz w:val="30"/>
          <w:highlight w:val="none"/>
        </w:rPr>
      </w:pPr>
      <w:r>
        <w:rPr>
          <w:rFonts w:hint="eastAsia" w:ascii="宋体" w:hAnsi="宋体"/>
          <w:color w:val="auto"/>
          <w:spacing w:val="30"/>
          <w:sz w:val="30"/>
          <w:highlight w:val="none"/>
        </w:rPr>
        <w:t>采购方式：</w:t>
      </w:r>
      <w:r>
        <w:rPr>
          <w:rFonts w:hint="eastAsia" w:ascii="宋体" w:hAnsi="宋体"/>
          <w:color w:val="auto"/>
          <w:sz w:val="30"/>
          <w:highlight w:val="none"/>
        </w:rPr>
        <w:t>竞争性磋商</w:t>
      </w:r>
    </w:p>
    <w:p>
      <w:pPr>
        <w:spacing w:line="600" w:lineRule="exact"/>
        <w:ind w:firstLine="1140" w:firstLineChars="300"/>
        <w:rPr>
          <w:rFonts w:ascii="宋体" w:hAnsi="宋体"/>
          <w:color w:val="auto"/>
          <w:spacing w:val="40"/>
          <w:sz w:val="30"/>
          <w:highlight w:val="none"/>
        </w:rPr>
      </w:pPr>
    </w:p>
    <w:p>
      <w:pPr>
        <w:spacing w:line="600" w:lineRule="exact"/>
        <w:rPr>
          <w:rFonts w:ascii="宋体" w:hAnsi="宋体"/>
          <w:color w:val="auto"/>
          <w:spacing w:val="40"/>
          <w:sz w:val="30"/>
          <w:highlight w:val="none"/>
        </w:rPr>
      </w:pPr>
    </w:p>
    <w:p>
      <w:pPr>
        <w:spacing w:line="600" w:lineRule="exact"/>
        <w:rPr>
          <w:rFonts w:ascii="宋体" w:hAnsi="宋体"/>
          <w:color w:val="auto"/>
          <w:spacing w:val="40"/>
          <w:sz w:val="30"/>
          <w:highlight w:val="none"/>
        </w:rPr>
      </w:pPr>
    </w:p>
    <w:p>
      <w:pPr>
        <w:spacing w:line="600" w:lineRule="exact"/>
        <w:rPr>
          <w:rFonts w:ascii="宋体" w:hAnsi="宋体"/>
          <w:color w:val="auto"/>
          <w:spacing w:val="40"/>
          <w:sz w:val="30"/>
          <w:highlight w:val="none"/>
        </w:rPr>
      </w:pPr>
    </w:p>
    <w:p>
      <w:pPr>
        <w:pStyle w:val="16"/>
        <w:rPr>
          <w:color w:val="auto"/>
          <w:highlight w:val="none"/>
        </w:rPr>
      </w:pPr>
    </w:p>
    <w:p>
      <w:pPr>
        <w:spacing w:line="600" w:lineRule="exact"/>
        <w:jc w:val="center"/>
        <w:rPr>
          <w:rFonts w:hint="eastAsia" w:ascii="宋体" w:hAnsi="宋体" w:eastAsia="宋体"/>
          <w:b/>
          <w:color w:val="auto"/>
          <w:kern w:val="11"/>
          <w:sz w:val="30"/>
          <w:highlight w:val="none"/>
          <w:lang w:eastAsia="zh-CN"/>
        </w:rPr>
      </w:pPr>
      <w:r>
        <w:rPr>
          <w:rFonts w:hint="eastAsia" w:ascii="宋体" w:hAnsi="宋体"/>
          <w:b/>
          <w:color w:val="auto"/>
          <w:kern w:val="11"/>
          <w:sz w:val="30"/>
          <w:highlight w:val="none"/>
        </w:rPr>
        <w:t>采购人：</w:t>
      </w:r>
      <w:r>
        <w:rPr>
          <w:rFonts w:hint="eastAsia" w:ascii="宋体" w:hAnsi="宋体"/>
          <w:b/>
          <w:color w:val="auto"/>
          <w:kern w:val="11"/>
          <w:sz w:val="30"/>
          <w:highlight w:val="none"/>
          <w:lang w:eastAsia="zh-CN"/>
        </w:rPr>
        <w:t>温州市生态环境局瓯海分局</w:t>
      </w:r>
    </w:p>
    <w:p>
      <w:pPr>
        <w:spacing w:line="600" w:lineRule="exact"/>
        <w:jc w:val="center"/>
        <w:rPr>
          <w:rFonts w:hint="eastAsia" w:ascii="宋体" w:hAnsi="宋体" w:eastAsia="宋体"/>
          <w:b/>
          <w:color w:val="auto"/>
          <w:kern w:val="11"/>
          <w:sz w:val="30"/>
          <w:highlight w:val="none"/>
          <w:lang w:eastAsia="zh-CN"/>
        </w:rPr>
      </w:pPr>
      <w:r>
        <w:rPr>
          <w:rFonts w:hint="eastAsia" w:ascii="宋体" w:hAnsi="宋体"/>
          <w:b/>
          <w:color w:val="auto"/>
          <w:kern w:val="11"/>
          <w:sz w:val="30"/>
          <w:highlight w:val="none"/>
        </w:rPr>
        <w:t>采购代理机构：</w:t>
      </w:r>
      <w:r>
        <w:rPr>
          <w:rFonts w:hint="eastAsia" w:ascii="宋体" w:hAnsi="宋体"/>
          <w:b/>
          <w:color w:val="auto"/>
          <w:kern w:val="11"/>
          <w:sz w:val="30"/>
          <w:highlight w:val="none"/>
          <w:lang w:eastAsia="zh-CN"/>
        </w:rPr>
        <w:t>浙江科达工程项目管理有限公司</w:t>
      </w:r>
    </w:p>
    <w:p>
      <w:pPr>
        <w:rPr>
          <w:rFonts w:ascii="宋体" w:hAnsi="宋体"/>
          <w:b/>
          <w:color w:val="auto"/>
          <w:spacing w:val="40"/>
          <w:sz w:val="28"/>
          <w:highlight w:val="none"/>
        </w:rPr>
      </w:pPr>
    </w:p>
    <w:p>
      <w:pPr>
        <w:ind w:firstLine="3611" w:firstLineChars="1000"/>
        <w:rPr>
          <w:rFonts w:ascii="宋体" w:hAnsi="宋体"/>
          <w:b/>
          <w:color w:val="auto"/>
          <w:spacing w:val="40"/>
          <w:sz w:val="28"/>
          <w:highlight w:val="none"/>
        </w:rPr>
      </w:pPr>
      <w:r>
        <w:rPr>
          <w:rFonts w:hint="eastAsia" w:ascii="宋体" w:hAnsi="宋体"/>
          <w:b/>
          <w:color w:val="auto"/>
          <w:spacing w:val="40"/>
          <w:sz w:val="28"/>
          <w:highlight w:val="none"/>
        </w:rPr>
        <w:t>二〇二</w:t>
      </w:r>
      <w:r>
        <w:rPr>
          <w:rFonts w:hint="eastAsia" w:ascii="宋体" w:hAnsi="宋体"/>
          <w:b/>
          <w:color w:val="auto"/>
          <w:spacing w:val="40"/>
          <w:sz w:val="28"/>
          <w:highlight w:val="none"/>
          <w:lang w:val="en-US" w:eastAsia="zh-CN"/>
        </w:rPr>
        <w:t>五</w:t>
      </w:r>
      <w:r>
        <w:rPr>
          <w:rFonts w:hint="eastAsia" w:ascii="宋体" w:hAnsi="宋体"/>
          <w:b/>
          <w:color w:val="auto"/>
          <w:spacing w:val="40"/>
          <w:sz w:val="28"/>
          <w:highlight w:val="none"/>
        </w:rPr>
        <w:t>年</w:t>
      </w:r>
      <w:r>
        <w:rPr>
          <w:rFonts w:hint="eastAsia" w:ascii="宋体" w:hAnsi="宋体"/>
          <w:b/>
          <w:color w:val="auto"/>
          <w:spacing w:val="40"/>
          <w:sz w:val="28"/>
          <w:highlight w:val="none"/>
          <w:lang w:val="en-US" w:eastAsia="zh-CN"/>
        </w:rPr>
        <w:t>三</w:t>
      </w:r>
      <w:r>
        <w:rPr>
          <w:rFonts w:hint="eastAsia" w:ascii="宋体" w:hAnsi="宋体"/>
          <w:b/>
          <w:color w:val="auto"/>
          <w:spacing w:val="40"/>
          <w:sz w:val="28"/>
          <w:highlight w:val="none"/>
        </w:rPr>
        <w:t>月</w:t>
      </w:r>
    </w:p>
    <w:p>
      <w:pPr>
        <w:pStyle w:val="4"/>
        <w:spacing w:line="600" w:lineRule="exact"/>
        <w:jc w:val="center"/>
        <w:rPr>
          <w:rFonts w:ascii="黑体" w:hAnsi="黑体" w:eastAsia="黑体"/>
          <w:color w:val="auto"/>
          <w:sz w:val="36"/>
          <w:szCs w:val="36"/>
          <w:highlight w:val="none"/>
        </w:rPr>
        <w:sectPr>
          <w:headerReference r:id="rId3" w:type="default"/>
          <w:footerReference r:id="rId4" w:type="default"/>
          <w:footerReference r:id="rId5" w:type="even"/>
          <w:pgSz w:w="11906" w:h="16838"/>
          <w:pgMar w:top="1134" w:right="1134" w:bottom="1134" w:left="1134" w:header="851" w:footer="992" w:gutter="0"/>
          <w:pgNumType w:start="0"/>
          <w:cols w:space="720" w:num="1"/>
          <w:titlePg/>
          <w:docGrid w:linePitch="312" w:charSpace="0"/>
        </w:sectPr>
      </w:pPr>
    </w:p>
    <w:p>
      <w:pPr>
        <w:pStyle w:val="4"/>
        <w:spacing w:line="600" w:lineRule="exact"/>
        <w:jc w:val="center"/>
        <w:rPr>
          <w:rFonts w:ascii="黑体" w:hAnsi="黑体" w:eastAsia="黑体"/>
          <w:color w:val="auto"/>
          <w:sz w:val="36"/>
          <w:szCs w:val="36"/>
          <w:highlight w:val="none"/>
        </w:rPr>
      </w:pPr>
      <w:bookmarkStart w:id="0" w:name="_Toc26707"/>
      <w:bookmarkStart w:id="1" w:name="_Toc14821"/>
      <w:bookmarkStart w:id="2" w:name="_Toc11473"/>
      <w:bookmarkStart w:id="3" w:name="_Toc11635"/>
      <w:bookmarkStart w:id="4" w:name="_Toc29572"/>
      <w:r>
        <w:rPr>
          <w:rFonts w:hint="eastAsia" w:ascii="黑体" w:hAnsi="黑体" w:eastAsia="黑体"/>
          <w:color w:val="auto"/>
          <w:sz w:val="36"/>
          <w:szCs w:val="36"/>
          <w:highlight w:val="none"/>
        </w:rPr>
        <w:t>目   录</w:t>
      </w:r>
      <w:bookmarkEnd w:id="0"/>
      <w:bookmarkEnd w:id="1"/>
      <w:bookmarkEnd w:id="2"/>
      <w:bookmarkEnd w:id="3"/>
      <w:bookmarkEnd w:id="4"/>
    </w:p>
    <w:p>
      <w:pPr>
        <w:rPr>
          <w:rFonts w:ascii="宋体" w:hAnsi="宋体"/>
          <w:color w:val="auto"/>
          <w:highlight w:val="none"/>
        </w:rPr>
      </w:pPr>
    </w:p>
    <w:p>
      <w:pPr>
        <w:rPr>
          <w:rFonts w:ascii="宋体" w:hAnsi="宋体"/>
          <w:color w:val="auto"/>
          <w:highlight w:val="none"/>
        </w:rPr>
      </w:pPr>
    </w:p>
    <w:p>
      <w:pPr>
        <w:pStyle w:val="29"/>
        <w:tabs>
          <w:tab w:val="right" w:leader="dot" w:pos="9638"/>
        </w:tabs>
        <w:rPr>
          <w:highlight w:val="none"/>
        </w:rPr>
      </w:pPr>
      <w:r>
        <w:rPr>
          <w:rFonts w:ascii="宋体" w:hAnsi="宋体"/>
          <w:smallCaps/>
          <w:color w:val="auto"/>
          <w:spacing w:val="40"/>
          <w:sz w:val="22"/>
          <w:szCs w:val="22"/>
          <w:highlight w:val="none"/>
        </w:rPr>
        <w:fldChar w:fldCharType="begin"/>
      </w:r>
      <w:r>
        <w:rPr>
          <w:rFonts w:ascii="宋体" w:hAnsi="宋体"/>
          <w:smallCaps/>
          <w:color w:val="auto"/>
          <w:spacing w:val="40"/>
          <w:sz w:val="22"/>
          <w:szCs w:val="22"/>
          <w:highlight w:val="none"/>
        </w:rPr>
        <w:instrText xml:space="preserve"> TOC \o "1-3" \h \z \u </w:instrText>
      </w:r>
      <w:r>
        <w:rPr>
          <w:rFonts w:ascii="宋体" w:hAnsi="宋体"/>
          <w:smallCaps/>
          <w:color w:val="auto"/>
          <w:spacing w:val="40"/>
          <w:sz w:val="22"/>
          <w:szCs w:val="22"/>
          <w:highlight w:val="none"/>
        </w:rPr>
        <w:fldChar w:fldCharType="separate"/>
      </w: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_Toc29572 </w:instrText>
      </w:r>
      <w:r>
        <w:rPr>
          <w:rFonts w:ascii="宋体" w:hAnsi="宋体"/>
          <w:smallCaps/>
          <w:spacing w:val="40"/>
          <w:szCs w:val="22"/>
          <w:highlight w:val="none"/>
        </w:rPr>
        <w:fldChar w:fldCharType="separate"/>
      </w:r>
      <w:r>
        <w:rPr>
          <w:rFonts w:hint="eastAsia" w:ascii="黑体" w:hAnsi="黑体" w:eastAsia="黑体"/>
          <w:szCs w:val="36"/>
          <w:highlight w:val="none"/>
        </w:rPr>
        <w:t>目   录</w:t>
      </w:r>
      <w:r>
        <w:rPr>
          <w:highlight w:val="none"/>
        </w:rPr>
        <w:tab/>
      </w:r>
      <w:r>
        <w:rPr>
          <w:highlight w:val="none"/>
        </w:rPr>
        <w:fldChar w:fldCharType="begin"/>
      </w:r>
      <w:r>
        <w:rPr>
          <w:highlight w:val="none"/>
        </w:rPr>
        <w:instrText xml:space="preserve"> PAGEREF _Toc29572 \h </w:instrText>
      </w:r>
      <w:r>
        <w:rPr>
          <w:highlight w:val="none"/>
        </w:rPr>
        <w:fldChar w:fldCharType="separate"/>
      </w:r>
      <w:r>
        <w:rPr>
          <w:highlight w:val="none"/>
        </w:rPr>
        <w:t>1</w:t>
      </w:r>
      <w:r>
        <w:rPr>
          <w:highlight w:val="none"/>
        </w:rPr>
        <w:fldChar w:fldCharType="end"/>
      </w:r>
      <w:r>
        <w:rPr>
          <w:rFonts w:ascii="宋体" w:hAnsi="宋体"/>
          <w:smallCaps/>
          <w:color w:val="auto"/>
          <w:spacing w:val="40"/>
          <w:szCs w:val="22"/>
          <w:highlight w:val="none"/>
        </w:rPr>
        <w:fldChar w:fldCharType="end"/>
      </w:r>
    </w:p>
    <w:p>
      <w:pPr>
        <w:pStyle w:val="29"/>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_Toc31921 </w:instrText>
      </w:r>
      <w:r>
        <w:rPr>
          <w:rFonts w:ascii="宋体" w:hAnsi="宋体"/>
          <w:smallCaps/>
          <w:spacing w:val="40"/>
          <w:szCs w:val="22"/>
          <w:highlight w:val="none"/>
        </w:rPr>
        <w:fldChar w:fldCharType="separate"/>
      </w:r>
      <w:r>
        <w:rPr>
          <w:rFonts w:hint="eastAsia" w:ascii="黑体" w:hAnsi="黑体" w:eastAsia="黑体"/>
          <w:szCs w:val="36"/>
          <w:highlight w:val="none"/>
        </w:rPr>
        <w:t>第一部分   磋商公告</w:t>
      </w:r>
      <w:r>
        <w:rPr>
          <w:highlight w:val="none"/>
        </w:rPr>
        <w:tab/>
      </w:r>
      <w:r>
        <w:rPr>
          <w:highlight w:val="none"/>
        </w:rPr>
        <w:fldChar w:fldCharType="begin"/>
      </w:r>
      <w:r>
        <w:rPr>
          <w:highlight w:val="none"/>
        </w:rPr>
        <w:instrText xml:space="preserve"> PAGEREF _Toc31921 \h </w:instrText>
      </w:r>
      <w:r>
        <w:rPr>
          <w:highlight w:val="none"/>
        </w:rPr>
        <w:fldChar w:fldCharType="separate"/>
      </w:r>
      <w:r>
        <w:rPr>
          <w:highlight w:val="none"/>
        </w:rPr>
        <w:t>2</w:t>
      </w:r>
      <w:r>
        <w:rPr>
          <w:highlight w:val="none"/>
        </w:rPr>
        <w:fldChar w:fldCharType="end"/>
      </w:r>
      <w:r>
        <w:rPr>
          <w:rFonts w:ascii="宋体" w:hAnsi="宋体"/>
          <w:smallCaps/>
          <w:color w:val="auto"/>
          <w:spacing w:val="40"/>
          <w:szCs w:val="22"/>
          <w:highlight w:val="none"/>
        </w:rPr>
        <w:fldChar w:fldCharType="end"/>
      </w:r>
    </w:p>
    <w:p>
      <w:pPr>
        <w:pStyle w:val="29"/>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_Toc20880 </w:instrText>
      </w:r>
      <w:r>
        <w:rPr>
          <w:rFonts w:ascii="宋体" w:hAnsi="宋体"/>
          <w:smallCaps/>
          <w:spacing w:val="40"/>
          <w:szCs w:val="22"/>
          <w:highlight w:val="none"/>
        </w:rPr>
        <w:fldChar w:fldCharType="separate"/>
      </w:r>
      <w:r>
        <w:rPr>
          <w:rFonts w:hint="eastAsia" w:ascii="黑体" w:hAnsi="黑体" w:eastAsia="黑体"/>
          <w:szCs w:val="36"/>
          <w:highlight w:val="none"/>
        </w:rPr>
        <w:t>第二部分   磋商供应商须知</w:t>
      </w:r>
      <w:r>
        <w:rPr>
          <w:highlight w:val="none"/>
        </w:rPr>
        <w:tab/>
      </w:r>
      <w:r>
        <w:rPr>
          <w:highlight w:val="none"/>
        </w:rPr>
        <w:fldChar w:fldCharType="begin"/>
      </w:r>
      <w:r>
        <w:rPr>
          <w:highlight w:val="none"/>
        </w:rPr>
        <w:instrText xml:space="preserve"> PAGEREF _Toc20880 \h </w:instrText>
      </w:r>
      <w:r>
        <w:rPr>
          <w:highlight w:val="none"/>
        </w:rPr>
        <w:fldChar w:fldCharType="separate"/>
      </w:r>
      <w:r>
        <w:rPr>
          <w:highlight w:val="none"/>
        </w:rPr>
        <w:t>1</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_Toc29357 </w:instrText>
      </w:r>
      <w:r>
        <w:rPr>
          <w:rFonts w:ascii="宋体" w:hAnsi="宋体"/>
          <w:smallCaps/>
          <w:spacing w:val="40"/>
          <w:szCs w:val="22"/>
          <w:highlight w:val="none"/>
        </w:rPr>
        <w:fldChar w:fldCharType="separate"/>
      </w:r>
      <w:r>
        <w:rPr>
          <w:rFonts w:hint="eastAsia" w:ascii="宋体" w:hAnsi="宋体" w:eastAsia="宋体"/>
          <w:szCs w:val="28"/>
          <w:highlight w:val="none"/>
        </w:rPr>
        <w:t>磋商供应商须知前附表</w:t>
      </w:r>
      <w:r>
        <w:rPr>
          <w:highlight w:val="none"/>
        </w:rPr>
        <w:tab/>
      </w:r>
      <w:r>
        <w:rPr>
          <w:highlight w:val="none"/>
        </w:rPr>
        <w:fldChar w:fldCharType="begin"/>
      </w:r>
      <w:r>
        <w:rPr>
          <w:highlight w:val="none"/>
        </w:rPr>
        <w:instrText xml:space="preserve"> PAGEREF _Toc29357 \h </w:instrText>
      </w:r>
      <w:r>
        <w:rPr>
          <w:highlight w:val="none"/>
        </w:rPr>
        <w:fldChar w:fldCharType="separate"/>
      </w:r>
      <w:r>
        <w:rPr>
          <w:highlight w:val="none"/>
        </w:rPr>
        <w:t>1</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_Toc7512 </w:instrText>
      </w:r>
      <w:r>
        <w:rPr>
          <w:rFonts w:ascii="宋体" w:hAnsi="宋体"/>
          <w:smallCaps/>
          <w:spacing w:val="40"/>
          <w:szCs w:val="22"/>
          <w:highlight w:val="none"/>
        </w:rPr>
        <w:fldChar w:fldCharType="separate"/>
      </w:r>
      <w:r>
        <w:rPr>
          <w:rFonts w:hint="eastAsia"/>
          <w:szCs w:val="28"/>
          <w:highlight w:val="none"/>
        </w:rPr>
        <w:t>一、说    明</w:t>
      </w:r>
      <w:r>
        <w:rPr>
          <w:highlight w:val="none"/>
        </w:rPr>
        <w:tab/>
      </w:r>
      <w:r>
        <w:rPr>
          <w:highlight w:val="none"/>
        </w:rPr>
        <w:fldChar w:fldCharType="begin"/>
      </w:r>
      <w:r>
        <w:rPr>
          <w:highlight w:val="none"/>
        </w:rPr>
        <w:instrText xml:space="preserve"> PAGEREF _Toc7512 \h </w:instrText>
      </w:r>
      <w:r>
        <w:rPr>
          <w:highlight w:val="none"/>
        </w:rPr>
        <w:fldChar w:fldCharType="separate"/>
      </w:r>
      <w:r>
        <w:rPr>
          <w:highlight w:val="none"/>
        </w:rPr>
        <w:t>5</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_Toc27582 </w:instrText>
      </w:r>
      <w:r>
        <w:rPr>
          <w:rFonts w:ascii="宋体" w:hAnsi="宋体"/>
          <w:smallCaps/>
          <w:spacing w:val="40"/>
          <w:szCs w:val="22"/>
          <w:highlight w:val="none"/>
        </w:rPr>
        <w:fldChar w:fldCharType="separate"/>
      </w:r>
      <w:r>
        <w:rPr>
          <w:rFonts w:hint="eastAsia"/>
          <w:szCs w:val="28"/>
          <w:highlight w:val="none"/>
        </w:rPr>
        <w:t>二、磋商文件</w:t>
      </w:r>
      <w:r>
        <w:rPr>
          <w:highlight w:val="none"/>
        </w:rPr>
        <w:tab/>
      </w:r>
      <w:r>
        <w:rPr>
          <w:highlight w:val="none"/>
        </w:rPr>
        <w:fldChar w:fldCharType="begin"/>
      </w:r>
      <w:r>
        <w:rPr>
          <w:highlight w:val="none"/>
        </w:rPr>
        <w:instrText xml:space="preserve"> PAGEREF _Toc27582 \h </w:instrText>
      </w:r>
      <w:r>
        <w:rPr>
          <w:highlight w:val="none"/>
        </w:rPr>
        <w:fldChar w:fldCharType="separate"/>
      </w:r>
      <w:r>
        <w:rPr>
          <w:highlight w:val="none"/>
        </w:rPr>
        <w:t>9</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_Toc27658 </w:instrText>
      </w:r>
      <w:r>
        <w:rPr>
          <w:rFonts w:ascii="宋体" w:hAnsi="宋体"/>
          <w:smallCaps/>
          <w:spacing w:val="40"/>
          <w:szCs w:val="22"/>
          <w:highlight w:val="none"/>
        </w:rPr>
        <w:fldChar w:fldCharType="separate"/>
      </w:r>
      <w:r>
        <w:rPr>
          <w:rFonts w:hint="eastAsia"/>
          <w:szCs w:val="28"/>
          <w:highlight w:val="none"/>
        </w:rPr>
        <w:t>三、响应文件的编制</w:t>
      </w:r>
      <w:r>
        <w:rPr>
          <w:highlight w:val="none"/>
        </w:rPr>
        <w:tab/>
      </w:r>
      <w:r>
        <w:rPr>
          <w:highlight w:val="none"/>
        </w:rPr>
        <w:fldChar w:fldCharType="begin"/>
      </w:r>
      <w:r>
        <w:rPr>
          <w:highlight w:val="none"/>
        </w:rPr>
        <w:instrText xml:space="preserve"> PAGEREF _Toc27658 \h </w:instrText>
      </w:r>
      <w:r>
        <w:rPr>
          <w:highlight w:val="none"/>
        </w:rPr>
        <w:fldChar w:fldCharType="separate"/>
      </w:r>
      <w:r>
        <w:rPr>
          <w:highlight w:val="none"/>
        </w:rPr>
        <w:t>9</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_Toc25755 </w:instrText>
      </w:r>
      <w:r>
        <w:rPr>
          <w:rFonts w:ascii="宋体" w:hAnsi="宋体"/>
          <w:smallCaps/>
          <w:spacing w:val="40"/>
          <w:szCs w:val="22"/>
          <w:highlight w:val="none"/>
        </w:rPr>
        <w:fldChar w:fldCharType="separate"/>
      </w:r>
      <w:r>
        <w:rPr>
          <w:rFonts w:hint="eastAsia"/>
          <w:szCs w:val="28"/>
          <w:highlight w:val="none"/>
        </w:rPr>
        <w:t>四、响应文件的递交</w:t>
      </w:r>
      <w:r>
        <w:rPr>
          <w:highlight w:val="none"/>
        </w:rPr>
        <w:tab/>
      </w:r>
      <w:r>
        <w:rPr>
          <w:highlight w:val="none"/>
        </w:rPr>
        <w:fldChar w:fldCharType="begin"/>
      </w:r>
      <w:r>
        <w:rPr>
          <w:highlight w:val="none"/>
        </w:rPr>
        <w:instrText xml:space="preserve"> PAGEREF _Toc25755 \h </w:instrText>
      </w:r>
      <w:r>
        <w:rPr>
          <w:highlight w:val="none"/>
        </w:rPr>
        <w:fldChar w:fldCharType="separate"/>
      </w:r>
      <w:r>
        <w:rPr>
          <w:highlight w:val="none"/>
        </w:rPr>
        <w:t>12</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_Toc6842 </w:instrText>
      </w:r>
      <w:r>
        <w:rPr>
          <w:rFonts w:ascii="宋体" w:hAnsi="宋体"/>
          <w:smallCaps/>
          <w:spacing w:val="40"/>
          <w:szCs w:val="22"/>
          <w:highlight w:val="none"/>
        </w:rPr>
        <w:fldChar w:fldCharType="separate"/>
      </w:r>
      <w:r>
        <w:rPr>
          <w:rFonts w:hint="eastAsia"/>
          <w:szCs w:val="28"/>
          <w:highlight w:val="none"/>
        </w:rPr>
        <w:t>五、磋商和评审</w:t>
      </w:r>
      <w:r>
        <w:rPr>
          <w:highlight w:val="none"/>
        </w:rPr>
        <w:tab/>
      </w:r>
      <w:r>
        <w:rPr>
          <w:highlight w:val="none"/>
        </w:rPr>
        <w:fldChar w:fldCharType="begin"/>
      </w:r>
      <w:r>
        <w:rPr>
          <w:highlight w:val="none"/>
        </w:rPr>
        <w:instrText xml:space="preserve"> PAGEREF _Toc6842 \h </w:instrText>
      </w:r>
      <w:r>
        <w:rPr>
          <w:highlight w:val="none"/>
        </w:rPr>
        <w:fldChar w:fldCharType="separate"/>
      </w:r>
      <w:r>
        <w:rPr>
          <w:highlight w:val="none"/>
        </w:rPr>
        <w:t>12</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_Toc13403 </w:instrText>
      </w:r>
      <w:r>
        <w:rPr>
          <w:rFonts w:ascii="宋体" w:hAnsi="宋体"/>
          <w:smallCaps/>
          <w:spacing w:val="40"/>
          <w:szCs w:val="22"/>
          <w:highlight w:val="none"/>
        </w:rPr>
        <w:fldChar w:fldCharType="separate"/>
      </w:r>
      <w:r>
        <w:rPr>
          <w:rFonts w:hint="eastAsia"/>
          <w:szCs w:val="28"/>
          <w:highlight w:val="none"/>
        </w:rPr>
        <w:t>六、授予合同</w:t>
      </w:r>
      <w:r>
        <w:rPr>
          <w:highlight w:val="none"/>
        </w:rPr>
        <w:tab/>
      </w:r>
      <w:r>
        <w:rPr>
          <w:highlight w:val="none"/>
        </w:rPr>
        <w:fldChar w:fldCharType="begin"/>
      </w:r>
      <w:r>
        <w:rPr>
          <w:highlight w:val="none"/>
        </w:rPr>
        <w:instrText xml:space="preserve"> PAGEREF _Toc13403 \h </w:instrText>
      </w:r>
      <w:r>
        <w:rPr>
          <w:highlight w:val="none"/>
        </w:rPr>
        <w:fldChar w:fldCharType="separate"/>
      </w:r>
      <w:r>
        <w:rPr>
          <w:highlight w:val="none"/>
        </w:rPr>
        <w:t>15</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_Toc8491 </w:instrText>
      </w:r>
      <w:r>
        <w:rPr>
          <w:rFonts w:ascii="宋体" w:hAnsi="宋体"/>
          <w:smallCaps/>
          <w:spacing w:val="40"/>
          <w:szCs w:val="22"/>
          <w:highlight w:val="none"/>
        </w:rPr>
        <w:fldChar w:fldCharType="separate"/>
      </w:r>
      <w:r>
        <w:rPr>
          <w:rFonts w:hint="eastAsia"/>
          <w:szCs w:val="28"/>
          <w:highlight w:val="none"/>
        </w:rPr>
        <w:t>七、可中止电子交易活动的情形</w:t>
      </w:r>
      <w:r>
        <w:rPr>
          <w:highlight w:val="none"/>
        </w:rPr>
        <w:tab/>
      </w:r>
      <w:r>
        <w:rPr>
          <w:highlight w:val="none"/>
        </w:rPr>
        <w:fldChar w:fldCharType="begin"/>
      </w:r>
      <w:r>
        <w:rPr>
          <w:highlight w:val="none"/>
        </w:rPr>
        <w:instrText xml:space="preserve"> PAGEREF _Toc8491 \h </w:instrText>
      </w:r>
      <w:r>
        <w:rPr>
          <w:highlight w:val="none"/>
        </w:rPr>
        <w:fldChar w:fldCharType="separate"/>
      </w:r>
      <w:r>
        <w:rPr>
          <w:highlight w:val="none"/>
        </w:rPr>
        <w:t>16</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_Toc9368 </w:instrText>
      </w:r>
      <w:r>
        <w:rPr>
          <w:rFonts w:ascii="宋体" w:hAnsi="宋体"/>
          <w:smallCaps/>
          <w:spacing w:val="40"/>
          <w:szCs w:val="22"/>
          <w:highlight w:val="none"/>
        </w:rPr>
        <w:fldChar w:fldCharType="separate"/>
      </w:r>
      <w:r>
        <w:rPr>
          <w:rFonts w:hint="eastAsia" w:ascii="宋体" w:hAnsi="宋体" w:eastAsia="宋体" w:cs="宋体"/>
          <w:szCs w:val="28"/>
          <w:highlight w:val="none"/>
          <w:lang w:val="en-US" w:eastAsia="zh-CN"/>
        </w:rPr>
        <w:t>八、验  收</w:t>
      </w:r>
      <w:r>
        <w:rPr>
          <w:highlight w:val="none"/>
        </w:rPr>
        <w:tab/>
      </w:r>
      <w:r>
        <w:rPr>
          <w:highlight w:val="none"/>
        </w:rPr>
        <w:fldChar w:fldCharType="begin"/>
      </w:r>
      <w:r>
        <w:rPr>
          <w:highlight w:val="none"/>
        </w:rPr>
        <w:instrText xml:space="preserve"> PAGEREF _Toc9368 \h </w:instrText>
      </w:r>
      <w:r>
        <w:rPr>
          <w:highlight w:val="none"/>
        </w:rPr>
        <w:fldChar w:fldCharType="separate"/>
      </w:r>
      <w:r>
        <w:rPr>
          <w:highlight w:val="none"/>
        </w:rPr>
        <w:t>17</w:t>
      </w:r>
      <w:r>
        <w:rPr>
          <w:highlight w:val="none"/>
        </w:rPr>
        <w:fldChar w:fldCharType="end"/>
      </w:r>
      <w:r>
        <w:rPr>
          <w:rFonts w:ascii="宋体" w:hAnsi="宋体"/>
          <w:smallCaps/>
          <w:color w:val="auto"/>
          <w:spacing w:val="40"/>
          <w:szCs w:val="22"/>
          <w:highlight w:val="none"/>
        </w:rPr>
        <w:fldChar w:fldCharType="end"/>
      </w:r>
    </w:p>
    <w:p>
      <w:pPr>
        <w:pStyle w:val="29"/>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_Toc6120 </w:instrText>
      </w:r>
      <w:r>
        <w:rPr>
          <w:rFonts w:ascii="宋体" w:hAnsi="宋体"/>
          <w:smallCaps/>
          <w:spacing w:val="40"/>
          <w:szCs w:val="22"/>
          <w:highlight w:val="none"/>
        </w:rPr>
        <w:fldChar w:fldCharType="separate"/>
      </w:r>
      <w:r>
        <w:rPr>
          <w:rFonts w:hint="eastAsia" w:ascii="黑体" w:hAnsi="黑体" w:eastAsia="黑体"/>
          <w:szCs w:val="36"/>
          <w:highlight w:val="none"/>
        </w:rPr>
        <w:t>第三部分   主要合同条款</w:t>
      </w:r>
      <w:r>
        <w:rPr>
          <w:highlight w:val="none"/>
        </w:rPr>
        <w:tab/>
      </w:r>
      <w:r>
        <w:rPr>
          <w:highlight w:val="none"/>
        </w:rPr>
        <w:fldChar w:fldCharType="begin"/>
      </w:r>
      <w:r>
        <w:rPr>
          <w:highlight w:val="none"/>
        </w:rPr>
        <w:instrText xml:space="preserve"> PAGEREF _Toc6120 \h </w:instrText>
      </w:r>
      <w:r>
        <w:rPr>
          <w:highlight w:val="none"/>
        </w:rPr>
        <w:fldChar w:fldCharType="separate"/>
      </w:r>
      <w:r>
        <w:rPr>
          <w:highlight w:val="none"/>
        </w:rPr>
        <w:t>18</w:t>
      </w:r>
      <w:r>
        <w:rPr>
          <w:highlight w:val="none"/>
        </w:rPr>
        <w:fldChar w:fldCharType="end"/>
      </w:r>
      <w:r>
        <w:rPr>
          <w:rFonts w:ascii="宋体" w:hAnsi="宋体"/>
          <w:smallCaps/>
          <w:color w:val="auto"/>
          <w:spacing w:val="40"/>
          <w:szCs w:val="22"/>
          <w:highlight w:val="none"/>
        </w:rPr>
        <w:fldChar w:fldCharType="end"/>
      </w:r>
    </w:p>
    <w:p>
      <w:pPr>
        <w:pStyle w:val="29"/>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_Toc29760 </w:instrText>
      </w:r>
      <w:r>
        <w:rPr>
          <w:rFonts w:ascii="宋体" w:hAnsi="宋体"/>
          <w:smallCaps/>
          <w:spacing w:val="40"/>
          <w:szCs w:val="22"/>
          <w:highlight w:val="none"/>
        </w:rPr>
        <w:fldChar w:fldCharType="separate"/>
      </w:r>
      <w:r>
        <w:rPr>
          <w:rFonts w:hint="eastAsia" w:ascii="黑体" w:hAnsi="黑体" w:eastAsia="黑体"/>
          <w:bCs/>
          <w:kern w:val="44"/>
          <w:szCs w:val="36"/>
          <w:highlight w:val="none"/>
        </w:rPr>
        <w:t>第四部分   附件</w:t>
      </w:r>
      <w:r>
        <w:rPr>
          <w:highlight w:val="none"/>
        </w:rPr>
        <w:tab/>
      </w:r>
      <w:r>
        <w:rPr>
          <w:highlight w:val="none"/>
        </w:rPr>
        <w:fldChar w:fldCharType="begin"/>
      </w:r>
      <w:r>
        <w:rPr>
          <w:highlight w:val="none"/>
        </w:rPr>
        <w:instrText xml:space="preserve"> PAGEREF _Toc29760 \h </w:instrText>
      </w:r>
      <w:r>
        <w:rPr>
          <w:highlight w:val="none"/>
        </w:rPr>
        <w:fldChar w:fldCharType="separate"/>
      </w:r>
      <w:r>
        <w:rPr>
          <w:highlight w:val="none"/>
        </w:rPr>
        <w:t>24</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_Toc22790 </w:instrText>
      </w:r>
      <w:r>
        <w:rPr>
          <w:rFonts w:ascii="宋体" w:hAnsi="宋体"/>
          <w:smallCaps/>
          <w:spacing w:val="40"/>
          <w:szCs w:val="22"/>
          <w:highlight w:val="none"/>
        </w:rPr>
        <w:fldChar w:fldCharType="separate"/>
      </w:r>
      <w:r>
        <w:rPr>
          <w:rFonts w:hint="eastAsia" w:ascii="黑体" w:hAnsi="黑体"/>
          <w:szCs w:val="24"/>
          <w:highlight w:val="none"/>
        </w:rPr>
        <w:t>附件一  磋商响应函</w:t>
      </w:r>
      <w:r>
        <w:rPr>
          <w:highlight w:val="none"/>
        </w:rPr>
        <w:tab/>
      </w:r>
      <w:r>
        <w:rPr>
          <w:highlight w:val="none"/>
        </w:rPr>
        <w:fldChar w:fldCharType="begin"/>
      </w:r>
      <w:r>
        <w:rPr>
          <w:highlight w:val="none"/>
        </w:rPr>
        <w:instrText xml:space="preserve"> PAGEREF _Toc22790 \h </w:instrText>
      </w:r>
      <w:r>
        <w:rPr>
          <w:highlight w:val="none"/>
        </w:rPr>
        <w:fldChar w:fldCharType="separate"/>
      </w:r>
      <w:r>
        <w:rPr>
          <w:highlight w:val="none"/>
        </w:rPr>
        <w:t>24</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_Toc20689 </w:instrText>
      </w:r>
      <w:r>
        <w:rPr>
          <w:rFonts w:ascii="宋体" w:hAnsi="宋体"/>
          <w:smallCaps/>
          <w:spacing w:val="40"/>
          <w:szCs w:val="22"/>
          <w:highlight w:val="none"/>
        </w:rPr>
        <w:fldChar w:fldCharType="separate"/>
      </w:r>
      <w:r>
        <w:rPr>
          <w:rFonts w:hint="eastAsia" w:ascii="黑体" w:hAnsi="黑体"/>
          <w:szCs w:val="24"/>
          <w:highlight w:val="none"/>
        </w:rPr>
        <w:t>附件二  磋商报价一览表</w:t>
      </w:r>
      <w:r>
        <w:rPr>
          <w:highlight w:val="none"/>
        </w:rPr>
        <w:tab/>
      </w:r>
      <w:r>
        <w:rPr>
          <w:highlight w:val="none"/>
        </w:rPr>
        <w:fldChar w:fldCharType="begin"/>
      </w:r>
      <w:r>
        <w:rPr>
          <w:highlight w:val="none"/>
        </w:rPr>
        <w:instrText xml:space="preserve"> PAGEREF _Toc20689 \h </w:instrText>
      </w:r>
      <w:r>
        <w:rPr>
          <w:highlight w:val="none"/>
        </w:rPr>
        <w:fldChar w:fldCharType="separate"/>
      </w:r>
      <w:r>
        <w:rPr>
          <w:highlight w:val="none"/>
        </w:rPr>
        <w:t>25</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_Toc10376 </w:instrText>
      </w:r>
      <w:r>
        <w:rPr>
          <w:rFonts w:ascii="宋体" w:hAnsi="宋体"/>
          <w:smallCaps/>
          <w:spacing w:val="40"/>
          <w:szCs w:val="22"/>
          <w:highlight w:val="none"/>
        </w:rPr>
        <w:fldChar w:fldCharType="separate"/>
      </w:r>
      <w:r>
        <w:rPr>
          <w:rFonts w:hint="eastAsia" w:ascii="黑体" w:hAnsi="黑体"/>
          <w:szCs w:val="24"/>
          <w:highlight w:val="none"/>
        </w:rPr>
        <w:t>附件三  磋商分项报价表</w:t>
      </w:r>
      <w:r>
        <w:rPr>
          <w:highlight w:val="none"/>
        </w:rPr>
        <w:tab/>
      </w:r>
      <w:r>
        <w:rPr>
          <w:highlight w:val="none"/>
        </w:rPr>
        <w:fldChar w:fldCharType="begin"/>
      </w:r>
      <w:r>
        <w:rPr>
          <w:highlight w:val="none"/>
        </w:rPr>
        <w:instrText xml:space="preserve"> PAGEREF _Toc10376 \h </w:instrText>
      </w:r>
      <w:r>
        <w:rPr>
          <w:highlight w:val="none"/>
        </w:rPr>
        <w:fldChar w:fldCharType="separate"/>
      </w:r>
      <w:r>
        <w:rPr>
          <w:highlight w:val="none"/>
        </w:rPr>
        <w:t>26</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_Toc4045 </w:instrText>
      </w:r>
      <w:r>
        <w:rPr>
          <w:rFonts w:ascii="宋体" w:hAnsi="宋体"/>
          <w:smallCaps/>
          <w:spacing w:val="40"/>
          <w:szCs w:val="22"/>
          <w:highlight w:val="none"/>
        </w:rPr>
        <w:fldChar w:fldCharType="separate"/>
      </w:r>
      <w:r>
        <w:rPr>
          <w:rFonts w:hint="eastAsia" w:ascii="黑体" w:hAnsi="黑体"/>
          <w:szCs w:val="24"/>
          <w:highlight w:val="none"/>
        </w:rPr>
        <w:t>附件四  资格证明文件</w:t>
      </w:r>
      <w:r>
        <w:rPr>
          <w:highlight w:val="none"/>
        </w:rPr>
        <w:tab/>
      </w:r>
      <w:r>
        <w:rPr>
          <w:highlight w:val="none"/>
        </w:rPr>
        <w:fldChar w:fldCharType="begin"/>
      </w:r>
      <w:r>
        <w:rPr>
          <w:highlight w:val="none"/>
        </w:rPr>
        <w:instrText xml:space="preserve"> PAGEREF _Toc4045 \h </w:instrText>
      </w:r>
      <w:r>
        <w:rPr>
          <w:highlight w:val="none"/>
        </w:rPr>
        <w:fldChar w:fldCharType="separate"/>
      </w:r>
      <w:r>
        <w:rPr>
          <w:highlight w:val="none"/>
        </w:rPr>
        <w:t>27</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_Toc19375 </w:instrText>
      </w:r>
      <w:r>
        <w:rPr>
          <w:rFonts w:ascii="宋体" w:hAnsi="宋体"/>
          <w:smallCaps/>
          <w:spacing w:val="40"/>
          <w:szCs w:val="22"/>
          <w:highlight w:val="none"/>
        </w:rPr>
        <w:fldChar w:fldCharType="separate"/>
      </w:r>
      <w:r>
        <w:rPr>
          <w:rFonts w:hint="eastAsia" w:ascii="黑体" w:hAnsi="黑体"/>
          <w:szCs w:val="24"/>
          <w:highlight w:val="none"/>
        </w:rPr>
        <w:t>附件五  商务条款、技术规格偏离表</w:t>
      </w:r>
      <w:r>
        <w:rPr>
          <w:highlight w:val="none"/>
        </w:rPr>
        <w:tab/>
      </w:r>
      <w:r>
        <w:rPr>
          <w:highlight w:val="none"/>
        </w:rPr>
        <w:fldChar w:fldCharType="begin"/>
      </w:r>
      <w:r>
        <w:rPr>
          <w:highlight w:val="none"/>
        </w:rPr>
        <w:instrText xml:space="preserve"> PAGEREF _Toc19375 \h </w:instrText>
      </w:r>
      <w:r>
        <w:rPr>
          <w:highlight w:val="none"/>
        </w:rPr>
        <w:fldChar w:fldCharType="separate"/>
      </w:r>
      <w:r>
        <w:rPr>
          <w:highlight w:val="none"/>
        </w:rPr>
        <w:t>32</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_Toc19495 </w:instrText>
      </w:r>
      <w:r>
        <w:rPr>
          <w:rFonts w:ascii="宋体" w:hAnsi="宋体"/>
          <w:smallCaps/>
          <w:spacing w:val="40"/>
          <w:szCs w:val="22"/>
          <w:highlight w:val="none"/>
        </w:rPr>
        <w:fldChar w:fldCharType="separate"/>
      </w:r>
      <w:r>
        <w:rPr>
          <w:rFonts w:hint="eastAsia" w:ascii="黑体" w:hAnsi="黑体" w:cs="黑体"/>
          <w:szCs w:val="24"/>
          <w:highlight w:val="none"/>
        </w:rPr>
        <w:t>附件六  投入本项目团队情况表</w:t>
      </w:r>
      <w:r>
        <w:rPr>
          <w:highlight w:val="none"/>
        </w:rPr>
        <w:tab/>
      </w:r>
      <w:r>
        <w:rPr>
          <w:highlight w:val="none"/>
        </w:rPr>
        <w:fldChar w:fldCharType="begin"/>
      </w:r>
      <w:r>
        <w:rPr>
          <w:highlight w:val="none"/>
        </w:rPr>
        <w:instrText xml:space="preserve"> PAGEREF _Toc19495 \h </w:instrText>
      </w:r>
      <w:r>
        <w:rPr>
          <w:highlight w:val="none"/>
        </w:rPr>
        <w:fldChar w:fldCharType="separate"/>
      </w:r>
      <w:r>
        <w:rPr>
          <w:highlight w:val="none"/>
        </w:rPr>
        <w:t>33</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_Toc21206 </w:instrText>
      </w:r>
      <w:r>
        <w:rPr>
          <w:rFonts w:ascii="宋体" w:hAnsi="宋体"/>
          <w:smallCaps/>
          <w:spacing w:val="40"/>
          <w:szCs w:val="22"/>
          <w:highlight w:val="none"/>
        </w:rPr>
        <w:fldChar w:fldCharType="separate"/>
      </w:r>
      <w:r>
        <w:rPr>
          <w:rFonts w:hint="eastAsia" w:ascii="黑体" w:hAnsi="黑体"/>
          <w:szCs w:val="24"/>
          <w:highlight w:val="none"/>
        </w:rPr>
        <w:t>附件</w:t>
      </w:r>
      <w:r>
        <w:rPr>
          <w:rFonts w:hint="eastAsia" w:ascii="黑体" w:hAnsi="黑体"/>
          <w:szCs w:val="24"/>
          <w:highlight w:val="none"/>
          <w:lang w:val="en-US" w:eastAsia="zh-CN"/>
        </w:rPr>
        <w:t>七</w:t>
      </w:r>
      <w:r>
        <w:rPr>
          <w:rFonts w:hint="eastAsia" w:ascii="黑体" w:hAnsi="黑体"/>
          <w:szCs w:val="24"/>
          <w:highlight w:val="none"/>
        </w:rPr>
        <w:t xml:space="preserve">  岗位员工配置计划表</w:t>
      </w:r>
      <w:r>
        <w:rPr>
          <w:highlight w:val="none"/>
        </w:rPr>
        <w:tab/>
      </w:r>
      <w:r>
        <w:rPr>
          <w:highlight w:val="none"/>
        </w:rPr>
        <w:fldChar w:fldCharType="begin"/>
      </w:r>
      <w:r>
        <w:rPr>
          <w:highlight w:val="none"/>
        </w:rPr>
        <w:instrText xml:space="preserve"> PAGEREF _Toc21206 \h </w:instrText>
      </w:r>
      <w:r>
        <w:rPr>
          <w:highlight w:val="none"/>
        </w:rPr>
        <w:fldChar w:fldCharType="separate"/>
      </w:r>
      <w:r>
        <w:rPr>
          <w:highlight w:val="none"/>
        </w:rPr>
        <w:t>35</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_Toc31034 </w:instrText>
      </w:r>
      <w:r>
        <w:rPr>
          <w:rFonts w:ascii="宋体" w:hAnsi="宋体"/>
          <w:smallCaps/>
          <w:spacing w:val="40"/>
          <w:szCs w:val="22"/>
          <w:highlight w:val="none"/>
        </w:rPr>
        <w:fldChar w:fldCharType="separate"/>
      </w:r>
      <w:r>
        <w:rPr>
          <w:rFonts w:hint="eastAsia" w:ascii="黑体" w:hAnsi="黑体" w:cs="黑体"/>
          <w:szCs w:val="24"/>
          <w:highlight w:val="none"/>
        </w:rPr>
        <w:t>附件</w:t>
      </w:r>
      <w:r>
        <w:rPr>
          <w:rFonts w:hint="eastAsia" w:ascii="黑体" w:hAnsi="黑体" w:cs="黑体"/>
          <w:szCs w:val="24"/>
          <w:highlight w:val="none"/>
          <w:lang w:val="en-US" w:eastAsia="zh-CN"/>
        </w:rPr>
        <w:t>八</w:t>
      </w:r>
      <w:r>
        <w:rPr>
          <w:rFonts w:hint="eastAsia" w:ascii="黑体" w:hAnsi="黑体" w:cs="黑体"/>
          <w:szCs w:val="24"/>
          <w:highlight w:val="none"/>
        </w:rPr>
        <w:t xml:space="preserve">  同类项目业绩</w:t>
      </w:r>
      <w:r>
        <w:rPr>
          <w:highlight w:val="none"/>
        </w:rPr>
        <w:tab/>
      </w:r>
      <w:r>
        <w:rPr>
          <w:highlight w:val="none"/>
        </w:rPr>
        <w:fldChar w:fldCharType="begin"/>
      </w:r>
      <w:r>
        <w:rPr>
          <w:highlight w:val="none"/>
        </w:rPr>
        <w:instrText xml:space="preserve"> PAGEREF _Toc31034 \h </w:instrText>
      </w:r>
      <w:r>
        <w:rPr>
          <w:highlight w:val="none"/>
        </w:rPr>
        <w:fldChar w:fldCharType="separate"/>
      </w:r>
      <w:r>
        <w:rPr>
          <w:highlight w:val="none"/>
        </w:rPr>
        <w:t>36</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_Toc7850 </w:instrText>
      </w:r>
      <w:r>
        <w:rPr>
          <w:rFonts w:ascii="宋体" w:hAnsi="宋体"/>
          <w:smallCaps/>
          <w:spacing w:val="40"/>
          <w:szCs w:val="22"/>
          <w:highlight w:val="none"/>
        </w:rPr>
        <w:fldChar w:fldCharType="separate"/>
      </w:r>
      <w:r>
        <w:rPr>
          <w:rFonts w:hint="eastAsia" w:ascii="黑体" w:hAnsi="黑体" w:cs="黑体"/>
          <w:szCs w:val="24"/>
          <w:highlight w:val="none"/>
        </w:rPr>
        <w:t>附件</w:t>
      </w:r>
      <w:r>
        <w:rPr>
          <w:rFonts w:hint="eastAsia" w:ascii="黑体" w:hAnsi="黑体" w:cs="黑体"/>
          <w:szCs w:val="24"/>
          <w:highlight w:val="none"/>
          <w:lang w:val="en-US" w:eastAsia="zh-CN"/>
        </w:rPr>
        <w:t>九</w:t>
      </w:r>
      <w:r>
        <w:rPr>
          <w:rFonts w:hint="eastAsia" w:ascii="黑体" w:hAnsi="黑体" w:cs="黑体"/>
          <w:szCs w:val="24"/>
          <w:highlight w:val="none"/>
        </w:rPr>
        <w:t xml:space="preserve">  政府采购政策功能相关说明</w:t>
      </w:r>
      <w:r>
        <w:rPr>
          <w:highlight w:val="none"/>
        </w:rPr>
        <w:tab/>
      </w:r>
      <w:r>
        <w:rPr>
          <w:highlight w:val="none"/>
        </w:rPr>
        <w:fldChar w:fldCharType="begin"/>
      </w:r>
      <w:r>
        <w:rPr>
          <w:highlight w:val="none"/>
        </w:rPr>
        <w:instrText xml:space="preserve"> PAGEREF _Toc7850 \h </w:instrText>
      </w:r>
      <w:r>
        <w:rPr>
          <w:highlight w:val="none"/>
        </w:rPr>
        <w:fldChar w:fldCharType="separate"/>
      </w:r>
      <w:r>
        <w:rPr>
          <w:highlight w:val="none"/>
        </w:rPr>
        <w:t>37</w:t>
      </w:r>
      <w:r>
        <w:rPr>
          <w:highlight w:val="none"/>
        </w:rPr>
        <w:fldChar w:fldCharType="end"/>
      </w:r>
      <w:r>
        <w:rPr>
          <w:rFonts w:ascii="宋体" w:hAnsi="宋体"/>
          <w:smallCaps/>
          <w:color w:val="auto"/>
          <w:spacing w:val="40"/>
          <w:szCs w:val="22"/>
          <w:highlight w:val="none"/>
        </w:rPr>
        <w:fldChar w:fldCharType="end"/>
      </w:r>
    </w:p>
    <w:p>
      <w:pPr>
        <w:pStyle w:val="29"/>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_Toc19636 </w:instrText>
      </w:r>
      <w:r>
        <w:rPr>
          <w:rFonts w:ascii="宋体" w:hAnsi="宋体"/>
          <w:smallCaps/>
          <w:spacing w:val="40"/>
          <w:szCs w:val="22"/>
          <w:highlight w:val="none"/>
        </w:rPr>
        <w:fldChar w:fldCharType="separate"/>
      </w:r>
      <w:r>
        <w:rPr>
          <w:rFonts w:hint="eastAsia" w:ascii="黑体" w:hAnsi="黑体" w:eastAsia="黑体"/>
          <w:bCs/>
          <w:kern w:val="44"/>
          <w:szCs w:val="36"/>
          <w:highlight w:val="none"/>
        </w:rPr>
        <w:t>第五部分   采购内容及要求</w:t>
      </w:r>
      <w:r>
        <w:rPr>
          <w:highlight w:val="none"/>
        </w:rPr>
        <w:tab/>
      </w:r>
      <w:r>
        <w:rPr>
          <w:highlight w:val="none"/>
        </w:rPr>
        <w:fldChar w:fldCharType="begin"/>
      </w:r>
      <w:r>
        <w:rPr>
          <w:highlight w:val="none"/>
        </w:rPr>
        <w:instrText xml:space="preserve"> PAGEREF _Toc19636 \h </w:instrText>
      </w:r>
      <w:r>
        <w:rPr>
          <w:highlight w:val="none"/>
        </w:rPr>
        <w:fldChar w:fldCharType="separate"/>
      </w:r>
      <w:r>
        <w:rPr>
          <w:highlight w:val="none"/>
        </w:rPr>
        <w:t>40</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_Toc28404 </w:instrText>
      </w:r>
      <w:r>
        <w:rPr>
          <w:rFonts w:ascii="宋体" w:hAnsi="宋体"/>
          <w:smallCaps/>
          <w:spacing w:val="40"/>
          <w:szCs w:val="22"/>
          <w:highlight w:val="none"/>
        </w:rPr>
        <w:fldChar w:fldCharType="separate"/>
      </w:r>
      <w:r>
        <w:rPr>
          <w:rFonts w:hint="eastAsia" w:ascii="宋体" w:hAnsi="宋体" w:eastAsia="宋体" w:cs="宋体"/>
          <w:szCs w:val="28"/>
          <w:highlight w:val="none"/>
        </w:rPr>
        <w:t>一、概 述</w:t>
      </w:r>
      <w:r>
        <w:rPr>
          <w:highlight w:val="none"/>
        </w:rPr>
        <w:tab/>
      </w:r>
      <w:r>
        <w:rPr>
          <w:highlight w:val="none"/>
        </w:rPr>
        <w:fldChar w:fldCharType="begin"/>
      </w:r>
      <w:r>
        <w:rPr>
          <w:highlight w:val="none"/>
        </w:rPr>
        <w:instrText xml:space="preserve"> PAGEREF _Toc28404 \h </w:instrText>
      </w:r>
      <w:r>
        <w:rPr>
          <w:highlight w:val="none"/>
        </w:rPr>
        <w:fldChar w:fldCharType="separate"/>
      </w:r>
      <w:r>
        <w:rPr>
          <w:highlight w:val="none"/>
        </w:rPr>
        <w:t>40</w:t>
      </w:r>
      <w:r>
        <w:rPr>
          <w:highlight w:val="none"/>
        </w:rPr>
        <w:fldChar w:fldCharType="end"/>
      </w:r>
      <w:r>
        <w:rPr>
          <w:rFonts w:ascii="宋体" w:hAnsi="宋体"/>
          <w:smallCaps/>
          <w:color w:val="auto"/>
          <w:spacing w:val="40"/>
          <w:szCs w:val="22"/>
          <w:highlight w:val="none"/>
        </w:rPr>
        <w:fldChar w:fldCharType="end"/>
      </w:r>
    </w:p>
    <w:p>
      <w:pPr>
        <w:pStyle w:val="32"/>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_Toc11465 </w:instrText>
      </w:r>
      <w:r>
        <w:rPr>
          <w:rFonts w:ascii="宋体" w:hAnsi="宋体"/>
          <w:smallCaps/>
          <w:spacing w:val="40"/>
          <w:szCs w:val="22"/>
          <w:highlight w:val="none"/>
        </w:rPr>
        <w:fldChar w:fldCharType="separate"/>
      </w:r>
      <w:r>
        <w:rPr>
          <w:rFonts w:hint="eastAsia" w:ascii="宋体" w:hAnsi="宋体" w:eastAsia="宋体" w:cs="宋体"/>
          <w:szCs w:val="28"/>
          <w:highlight w:val="none"/>
        </w:rPr>
        <w:t>二、采购内容及要求</w:t>
      </w:r>
      <w:r>
        <w:rPr>
          <w:highlight w:val="none"/>
        </w:rPr>
        <w:tab/>
      </w:r>
      <w:r>
        <w:rPr>
          <w:highlight w:val="none"/>
        </w:rPr>
        <w:fldChar w:fldCharType="begin"/>
      </w:r>
      <w:r>
        <w:rPr>
          <w:highlight w:val="none"/>
        </w:rPr>
        <w:instrText xml:space="preserve"> PAGEREF _Toc11465 \h </w:instrText>
      </w:r>
      <w:r>
        <w:rPr>
          <w:highlight w:val="none"/>
        </w:rPr>
        <w:fldChar w:fldCharType="separate"/>
      </w:r>
      <w:r>
        <w:rPr>
          <w:highlight w:val="none"/>
        </w:rPr>
        <w:t>40</w:t>
      </w:r>
      <w:r>
        <w:rPr>
          <w:highlight w:val="none"/>
        </w:rPr>
        <w:fldChar w:fldCharType="end"/>
      </w:r>
      <w:r>
        <w:rPr>
          <w:rFonts w:ascii="宋体" w:hAnsi="宋体"/>
          <w:smallCaps/>
          <w:color w:val="auto"/>
          <w:spacing w:val="40"/>
          <w:szCs w:val="22"/>
          <w:highlight w:val="none"/>
        </w:rPr>
        <w:fldChar w:fldCharType="end"/>
      </w:r>
    </w:p>
    <w:p>
      <w:pPr>
        <w:pStyle w:val="29"/>
        <w:tabs>
          <w:tab w:val="right" w:leader="dot" w:pos="9638"/>
        </w:tabs>
        <w:rPr>
          <w:highlight w:val="none"/>
        </w:rPr>
      </w:pPr>
      <w:r>
        <w:rPr>
          <w:rFonts w:ascii="宋体" w:hAnsi="宋体"/>
          <w:smallCaps/>
          <w:color w:val="auto"/>
          <w:spacing w:val="40"/>
          <w:szCs w:val="22"/>
          <w:highlight w:val="none"/>
        </w:rPr>
        <w:fldChar w:fldCharType="begin"/>
      </w:r>
      <w:r>
        <w:rPr>
          <w:rFonts w:ascii="宋体" w:hAnsi="宋体"/>
          <w:smallCaps/>
          <w:spacing w:val="40"/>
          <w:szCs w:val="22"/>
          <w:highlight w:val="none"/>
        </w:rPr>
        <w:instrText xml:space="preserve"> HYPERLINK \l _Toc6357 </w:instrText>
      </w:r>
      <w:r>
        <w:rPr>
          <w:rFonts w:ascii="宋体" w:hAnsi="宋体"/>
          <w:smallCaps/>
          <w:spacing w:val="40"/>
          <w:szCs w:val="22"/>
          <w:highlight w:val="none"/>
        </w:rPr>
        <w:fldChar w:fldCharType="separate"/>
      </w:r>
      <w:r>
        <w:rPr>
          <w:rFonts w:hint="eastAsia" w:ascii="黑体" w:hAnsi="黑体" w:eastAsia="黑体"/>
          <w:bCs/>
          <w:kern w:val="44"/>
          <w:szCs w:val="36"/>
          <w:highlight w:val="none"/>
        </w:rPr>
        <w:t>第六部分   磋商原则及方法</w:t>
      </w:r>
      <w:r>
        <w:rPr>
          <w:highlight w:val="none"/>
        </w:rPr>
        <w:tab/>
      </w:r>
      <w:r>
        <w:rPr>
          <w:highlight w:val="none"/>
        </w:rPr>
        <w:fldChar w:fldCharType="begin"/>
      </w:r>
      <w:r>
        <w:rPr>
          <w:highlight w:val="none"/>
        </w:rPr>
        <w:instrText xml:space="preserve"> PAGEREF _Toc6357 \h </w:instrText>
      </w:r>
      <w:r>
        <w:rPr>
          <w:highlight w:val="none"/>
        </w:rPr>
        <w:fldChar w:fldCharType="separate"/>
      </w:r>
      <w:r>
        <w:rPr>
          <w:highlight w:val="none"/>
        </w:rPr>
        <w:t>43</w:t>
      </w:r>
      <w:r>
        <w:rPr>
          <w:highlight w:val="none"/>
        </w:rPr>
        <w:fldChar w:fldCharType="end"/>
      </w:r>
      <w:r>
        <w:rPr>
          <w:rFonts w:ascii="宋体" w:hAnsi="宋体"/>
          <w:smallCaps/>
          <w:color w:val="auto"/>
          <w:spacing w:val="40"/>
          <w:szCs w:val="22"/>
          <w:highlight w:val="none"/>
        </w:rPr>
        <w:fldChar w:fldCharType="end"/>
      </w:r>
    </w:p>
    <w:p>
      <w:pPr>
        <w:spacing w:line="440" w:lineRule="exact"/>
        <w:rPr>
          <w:rFonts w:ascii="宋体" w:hAnsi="宋体"/>
          <w:b/>
          <w:bCs/>
          <w:color w:val="auto"/>
          <w:sz w:val="22"/>
          <w:szCs w:val="22"/>
          <w:highlight w:val="none"/>
        </w:rPr>
      </w:pPr>
      <w:r>
        <w:rPr>
          <w:rFonts w:ascii="宋体" w:hAnsi="宋体"/>
          <w:smallCaps/>
          <w:color w:val="auto"/>
          <w:spacing w:val="40"/>
          <w:szCs w:val="22"/>
          <w:highlight w:val="none"/>
        </w:rPr>
        <w:fldChar w:fldCharType="end"/>
      </w:r>
      <w:r>
        <w:rPr>
          <w:rFonts w:hint="eastAsia" w:ascii="宋体" w:hAnsi="宋体"/>
          <w:b/>
          <w:bCs/>
          <w:color w:val="auto"/>
          <w:sz w:val="22"/>
          <w:szCs w:val="22"/>
          <w:highlight w:val="none"/>
        </w:rPr>
        <w:t>注：</w:t>
      </w:r>
      <w:r>
        <w:rPr>
          <w:rFonts w:hint="eastAsia" w:ascii="宋体" w:hAnsi="宋体"/>
          <w:b/>
          <w:bCs/>
          <w:color w:val="auto"/>
          <w:sz w:val="22"/>
          <w:szCs w:val="22"/>
          <w:highlight w:val="none"/>
          <w:u w:val="single"/>
        </w:rPr>
        <w:t>磋商文件中带“▲”并加下划线的内容为实质性条款或要求，加下划线或有深色底纹的部分为重要内容，提醒磋商供应商审慎阅读，因误读磋商文件而造成的后果，招标采购单位概不负责。</w:t>
      </w:r>
    </w:p>
    <w:p>
      <w:pPr>
        <w:spacing w:line="440" w:lineRule="exact"/>
        <w:rPr>
          <w:rFonts w:ascii="宋体" w:hAnsi="宋体"/>
          <w:color w:val="auto"/>
          <w:spacing w:val="40"/>
          <w:sz w:val="22"/>
          <w:szCs w:val="22"/>
          <w:highlight w:val="none"/>
        </w:rPr>
      </w:pPr>
    </w:p>
    <w:p>
      <w:pPr>
        <w:pStyle w:val="4"/>
        <w:spacing w:line="600" w:lineRule="exact"/>
        <w:jc w:val="center"/>
        <w:rPr>
          <w:rFonts w:ascii="黑体" w:hAnsi="黑体" w:eastAsia="黑体"/>
          <w:color w:val="auto"/>
          <w:sz w:val="36"/>
          <w:szCs w:val="36"/>
          <w:highlight w:val="none"/>
        </w:rPr>
      </w:pPr>
      <w:bookmarkStart w:id="5" w:name="_Toc195502576"/>
      <w:bookmarkStart w:id="6" w:name="_Toc195502486"/>
      <w:bookmarkStart w:id="7" w:name="_Toc202085286"/>
      <w:r>
        <w:rPr>
          <w:rFonts w:ascii="黑体" w:hAnsi="黑体" w:eastAsia="黑体"/>
          <w:color w:val="auto"/>
          <w:sz w:val="36"/>
          <w:szCs w:val="36"/>
          <w:highlight w:val="none"/>
        </w:rPr>
        <w:br w:type="page"/>
      </w:r>
      <w:bookmarkEnd w:id="5"/>
      <w:bookmarkEnd w:id="6"/>
      <w:bookmarkEnd w:id="7"/>
      <w:bookmarkStart w:id="8" w:name="_Toc49280896"/>
      <w:bookmarkStart w:id="9" w:name="_Toc23224"/>
      <w:bookmarkStart w:id="10" w:name="_Toc31921"/>
      <w:bookmarkStart w:id="11" w:name="_Toc26637"/>
      <w:bookmarkStart w:id="12" w:name="_Toc13719"/>
      <w:bookmarkStart w:id="13" w:name="_Toc23510"/>
      <w:r>
        <w:rPr>
          <w:rFonts w:hint="eastAsia" w:ascii="黑体" w:hAnsi="黑体" w:eastAsia="黑体"/>
          <w:color w:val="auto"/>
          <w:sz w:val="36"/>
          <w:szCs w:val="36"/>
          <w:highlight w:val="none"/>
        </w:rPr>
        <w:t>第一部分   磋商公告</w:t>
      </w:r>
      <w:bookmarkEnd w:id="8"/>
      <w:bookmarkEnd w:id="9"/>
      <w:bookmarkEnd w:id="10"/>
      <w:bookmarkEnd w:id="11"/>
      <w:bookmarkEnd w:id="12"/>
      <w:bookmarkEnd w:id="13"/>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 项目概况</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w:t>
            </w:r>
            <w:r>
              <w:rPr>
                <w:rFonts w:hint="eastAsia" w:ascii="宋体" w:hAnsi="宋体" w:cs="宋体"/>
                <w:color w:val="auto"/>
                <w:kern w:val="0"/>
                <w:sz w:val="22"/>
                <w:szCs w:val="22"/>
                <w:highlight w:val="none"/>
                <w:lang w:val="en-US" w:eastAsia="zh-CN" w:bidi="ar"/>
              </w:rPr>
              <w:t xml:space="preserve">   </w:t>
            </w:r>
            <w:r>
              <w:rPr>
                <w:rFonts w:hint="eastAsia" w:ascii="宋体" w:hAnsi="宋体" w:cs="宋体"/>
                <w:color w:val="auto"/>
                <w:kern w:val="0"/>
                <w:sz w:val="22"/>
                <w:szCs w:val="22"/>
                <w:highlight w:val="none"/>
                <w:u w:val="single"/>
                <w:lang w:eastAsia="zh-CN" w:bidi="ar"/>
              </w:rPr>
              <w:t>瓯海区电镀行业新污染物全链条管控体系试点项目</w:t>
            </w:r>
            <w:r>
              <w:rPr>
                <w:rFonts w:hint="eastAsia" w:ascii="宋体" w:hAnsi="宋体" w:cs="宋体"/>
                <w:color w:val="auto"/>
                <w:kern w:val="0"/>
                <w:sz w:val="22"/>
                <w:szCs w:val="22"/>
                <w:highlight w:val="none"/>
                <w:u w:val="none"/>
                <w:lang w:val="en-US" w:eastAsia="zh-CN" w:bidi="ar"/>
              </w:rPr>
              <w:t>采购</w:t>
            </w:r>
            <w:r>
              <w:rPr>
                <w:rFonts w:hint="eastAsia" w:ascii="宋体" w:hAnsi="宋体" w:cs="宋体"/>
                <w:color w:val="auto"/>
                <w:kern w:val="0"/>
                <w:sz w:val="22"/>
                <w:szCs w:val="22"/>
                <w:highlight w:val="none"/>
                <w:lang w:bidi="ar"/>
              </w:rPr>
              <w:t>项目的潜在供应商应在</w:t>
            </w:r>
            <w:r>
              <w:rPr>
                <w:rFonts w:hint="eastAsia" w:ascii="宋体" w:hAnsi="宋体" w:cs="宋体"/>
                <w:color w:val="auto"/>
                <w:szCs w:val="22"/>
                <w:highlight w:val="none"/>
              </w:rPr>
              <w:t>政采云平台（https://www.zcygov.cn）</w:t>
            </w:r>
            <w:r>
              <w:rPr>
                <w:rFonts w:hint="eastAsia" w:ascii="宋体" w:hAnsi="宋体" w:cs="宋体"/>
                <w:color w:val="auto"/>
                <w:kern w:val="0"/>
                <w:sz w:val="22"/>
                <w:szCs w:val="22"/>
                <w:highlight w:val="none"/>
                <w:lang w:bidi="ar"/>
              </w:rPr>
              <w:t>获取（下载）采购文件，并于</w:t>
            </w:r>
            <w:r>
              <w:rPr>
                <w:rFonts w:hint="eastAsia" w:ascii="宋体" w:hAnsi="宋体" w:cs="宋体"/>
                <w:color w:val="auto"/>
                <w:kern w:val="0"/>
                <w:sz w:val="22"/>
                <w:szCs w:val="22"/>
                <w:highlight w:val="none"/>
                <w:u w:val="single"/>
                <w:lang w:val="en-US" w:eastAsia="zh-CN" w:bidi="ar"/>
              </w:rPr>
              <w:t>2025</w:t>
            </w:r>
            <w:r>
              <w:rPr>
                <w:rFonts w:hint="eastAsia" w:ascii="宋体" w:hAnsi="宋体" w:cs="宋体"/>
                <w:color w:val="auto"/>
                <w:kern w:val="0"/>
                <w:sz w:val="22"/>
                <w:szCs w:val="22"/>
                <w:highlight w:val="none"/>
                <w:lang w:bidi="ar"/>
              </w:rPr>
              <w:t>年</w:t>
            </w:r>
            <w:r>
              <w:rPr>
                <w:rFonts w:hint="eastAsia" w:ascii="宋体" w:hAnsi="宋体" w:cs="宋体"/>
                <w:color w:val="auto"/>
                <w:kern w:val="0"/>
                <w:sz w:val="22"/>
                <w:szCs w:val="22"/>
                <w:highlight w:val="none"/>
                <w:u w:val="single"/>
                <w:lang w:val="en-US" w:eastAsia="zh-CN" w:bidi="ar"/>
              </w:rPr>
              <w:t>3</w:t>
            </w:r>
            <w:r>
              <w:rPr>
                <w:rFonts w:hint="eastAsia" w:ascii="宋体" w:hAnsi="宋体" w:cs="宋体"/>
                <w:color w:val="auto"/>
                <w:kern w:val="0"/>
                <w:sz w:val="22"/>
                <w:szCs w:val="22"/>
                <w:highlight w:val="none"/>
                <w:lang w:bidi="ar"/>
              </w:rPr>
              <w:t>月</w:t>
            </w:r>
            <w:r>
              <w:rPr>
                <w:rFonts w:hint="eastAsia" w:ascii="宋体" w:hAnsi="宋体" w:cs="宋体"/>
                <w:color w:val="auto"/>
                <w:kern w:val="0"/>
                <w:sz w:val="22"/>
                <w:szCs w:val="22"/>
                <w:highlight w:val="none"/>
                <w:u w:val="single"/>
                <w:lang w:val="en-US" w:eastAsia="zh-CN" w:bidi="ar"/>
              </w:rPr>
              <w:t>18</w:t>
            </w:r>
            <w:r>
              <w:rPr>
                <w:rFonts w:hint="eastAsia" w:ascii="宋体" w:hAnsi="宋体" w:cs="宋体"/>
                <w:color w:val="auto"/>
                <w:kern w:val="0"/>
                <w:sz w:val="22"/>
                <w:szCs w:val="22"/>
                <w:highlight w:val="none"/>
                <w:lang w:bidi="ar"/>
              </w:rPr>
              <w:t>日</w:t>
            </w:r>
            <w:r>
              <w:rPr>
                <w:rFonts w:hint="eastAsia" w:ascii="宋体" w:hAnsi="宋体" w:cs="宋体"/>
                <w:color w:val="auto"/>
                <w:kern w:val="0"/>
                <w:sz w:val="22"/>
                <w:szCs w:val="22"/>
                <w:highlight w:val="none"/>
                <w:lang w:val="en-US" w:eastAsia="zh-CN" w:bidi="ar"/>
              </w:rPr>
              <w:t>14</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bidi="ar"/>
              </w:rPr>
              <w:t>0（北京时间）前提交（上传）响应文件。 </w:t>
            </w:r>
          </w:p>
        </w:tc>
      </w:tr>
    </w:tbl>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w:t>
      </w:r>
      <w:bookmarkStart w:id="14" w:name="_Hlk47794015"/>
      <w:r>
        <w:rPr>
          <w:rFonts w:hint="eastAsia" w:ascii="宋体" w:hAnsi="宋体" w:cs="宋体"/>
          <w:color w:val="auto"/>
          <w:kern w:val="0"/>
          <w:sz w:val="22"/>
          <w:szCs w:val="22"/>
          <w:highlight w:val="none"/>
          <w:lang w:bidi="ar"/>
        </w:rPr>
        <w:t xml:space="preserve"> </w:t>
      </w:r>
      <w:r>
        <w:rPr>
          <w:rFonts w:hint="eastAsia" w:ascii="宋体" w:hAnsi="宋体" w:cs="宋体"/>
          <w:b/>
          <w:color w:val="auto"/>
          <w:kern w:val="0"/>
          <w:sz w:val="22"/>
          <w:szCs w:val="22"/>
          <w:highlight w:val="none"/>
          <w:lang w:bidi="ar"/>
        </w:rPr>
        <w:t>一、项目基本情况</w:t>
      </w:r>
      <w:bookmarkEnd w:id="14"/>
    </w:p>
    <w:p>
      <w:pPr>
        <w:widowControl/>
        <w:spacing w:line="440" w:lineRule="exact"/>
        <w:jc w:val="left"/>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项目编号：</w:t>
      </w:r>
      <w:r>
        <w:rPr>
          <w:rFonts w:hint="eastAsia" w:ascii="宋体" w:hAnsi="宋体" w:cs="宋体"/>
          <w:color w:val="auto"/>
          <w:kern w:val="0"/>
          <w:sz w:val="22"/>
          <w:szCs w:val="22"/>
          <w:highlight w:val="none"/>
          <w:lang w:eastAsia="zh-CN" w:bidi="ar"/>
        </w:rPr>
        <w:t>ZJKD-F202500306CWZ</w:t>
      </w:r>
    </w:p>
    <w:p>
      <w:pPr>
        <w:widowControl/>
        <w:spacing w:line="440" w:lineRule="exact"/>
        <w:jc w:val="left"/>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项目名称：</w:t>
      </w:r>
      <w:r>
        <w:rPr>
          <w:rFonts w:hint="eastAsia" w:ascii="宋体" w:hAnsi="宋体" w:cs="宋体"/>
          <w:color w:val="auto"/>
          <w:kern w:val="0"/>
          <w:sz w:val="22"/>
          <w:szCs w:val="22"/>
          <w:highlight w:val="none"/>
          <w:lang w:eastAsia="zh-CN" w:bidi="ar"/>
        </w:rPr>
        <w:t>瓯海区电镀行业新污染物全链条管控体系试点项目</w:t>
      </w:r>
    </w:p>
    <w:p>
      <w:pPr>
        <w:widowControl/>
        <w:spacing w:line="440" w:lineRule="exact"/>
        <w:jc w:val="left"/>
        <w:rPr>
          <w:rFonts w:hint="default" w:ascii="宋体" w:hAnsi="宋体" w:eastAsia="宋体" w:cs="宋体"/>
          <w:color w:val="auto"/>
          <w:kern w:val="0"/>
          <w:sz w:val="22"/>
          <w:szCs w:val="22"/>
          <w:highlight w:val="none"/>
          <w:shd w:val="clear" w:fill="FFFF00"/>
          <w:lang w:val="en-US" w:eastAsia="zh-CN" w:bidi="ar"/>
        </w:rPr>
      </w:pPr>
      <w:r>
        <w:rPr>
          <w:rFonts w:hint="eastAsia" w:ascii="宋体" w:hAnsi="宋体" w:cs="宋体"/>
          <w:color w:val="auto"/>
          <w:kern w:val="0"/>
          <w:sz w:val="22"/>
          <w:szCs w:val="22"/>
          <w:highlight w:val="none"/>
          <w:lang w:bidi="ar"/>
        </w:rPr>
        <w:t>    预算金额（元）：</w:t>
      </w:r>
      <w:r>
        <w:rPr>
          <w:rFonts w:hint="eastAsia" w:ascii="宋体" w:hAnsi="宋体" w:cs="宋体"/>
          <w:color w:val="auto"/>
          <w:kern w:val="0"/>
          <w:sz w:val="22"/>
          <w:szCs w:val="22"/>
          <w:highlight w:val="none"/>
          <w:lang w:val="en-US" w:eastAsia="zh-CN" w:bidi="ar"/>
        </w:rPr>
        <w:t>700000</w:t>
      </w:r>
    </w:p>
    <w:p>
      <w:pPr>
        <w:widowControl/>
        <w:spacing w:line="440" w:lineRule="exact"/>
        <w:jc w:val="left"/>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    最高限价（元）：</w:t>
      </w:r>
      <w:r>
        <w:rPr>
          <w:rFonts w:hint="eastAsia" w:ascii="宋体" w:hAnsi="宋体" w:cs="宋体"/>
          <w:color w:val="auto"/>
          <w:kern w:val="0"/>
          <w:sz w:val="22"/>
          <w:szCs w:val="22"/>
          <w:highlight w:val="none"/>
          <w:lang w:val="en-US" w:eastAsia="zh-CN" w:bidi="ar"/>
        </w:rPr>
        <w:t>700000</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采购需求：</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标项一</w:t>
      </w:r>
    </w:p>
    <w:p>
      <w:pPr>
        <w:widowControl/>
        <w:spacing w:line="440" w:lineRule="exact"/>
        <w:jc w:val="left"/>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数量：1 </w:t>
      </w:r>
    </w:p>
    <w:p>
      <w:pPr>
        <w:widowControl/>
        <w:spacing w:line="440" w:lineRule="exact"/>
        <w:jc w:val="left"/>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    预算金额（元）：</w:t>
      </w:r>
      <w:r>
        <w:rPr>
          <w:rFonts w:hint="eastAsia" w:ascii="宋体" w:hAnsi="宋体" w:cs="宋体"/>
          <w:color w:val="auto"/>
          <w:kern w:val="0"/>
          <w:sz w:val="22"/>
          <w:szCs w:val="22"/>
          <w:highlight w:val="none"/>
          <w:lang w:val="en-US" w:eastAsia="zh-CN"/>
        </w:rPr>
        <w:t>700000</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单位：项 </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简要规格描述：</w:t>
      </w:r>
      <w:r>
        <w:rPr>
          <w:rFonts w:hint="eastAsia" w:ascii="宋体" w:hAnsi="宋体" w:cs="宋体"/>
          <w:color w:val="auto"/>
          <w:kern w:val="0"/>
          <w:sz w:val="22"/>
          <w:szCs w:val="22"/>
          <w:highlight w:val="none"/>
          <w:lang w:val="en-US" w:eastAsia="zh-CN" w:bidi="ar"/>
        </w:rPr>
        <w:t>温州市生态环境局瓯海分局瓯海区电镀行业新污染物全链条管控体系试点项目，</w:t>
      </w:r>
      <w:r>
        <w:rPr>
          <w:rFonts w:hint="eastAsia" w:ascii="宋体" w:hAnsi="宋体" w:cs="宋体"/>
          <w:color w:val="auto"/>
          <w:kern w:val="0"/>
          <w:sz w:val="22"/>
          <w:szCs w:val="22"/>
          <w:highlight w:val="none"/>
          <w:lang w:bidi="ar"/>
        </w:rPr>
        <w:t>详见磋商文件第五部分。</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备注：无</w:t>
      </w:r>
    </w:p>
    <w:p>
      <w:pPr>
        <w:widowControl/>
        <w:spacing w:line="440" w:lineRule="exact"/>
        <w:ind w:firstLine="660"/>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合同履约期限：</w:t>
      </w:r>
      <w:r>
        <w:rPr>
          <w:rFonts w:hint="eastAsia" w:ascii="宋体" w:hAnsi="宋体" w:cs="宋体"/>
          <w:color w:val="auto"/>
          <w:kern w:val="0"/>
          <w:sz w:val="22"/>
          <w:szCs w:val="22"/>
          <w:highlight w:val="none"/>
          <w:lang w:val="en-US" w:eastAsia="zh-CN" w:bidi="ar"/>
        </w:rPr>
        <w:t>详见磋商文件</w:t>
      </w:r>
      <w:r>
        <w:rPr>
          <w:rFonts w:hint="eastAsia" w:ascii="宋体" w:hAnsi="宋体" w:cs="宋体"/>
          <w:color w:val="auto"/>
          <w:kern w:val="0"/>
          <w:sz w:val="22"/>
          <w:szCs w:val="22"/>
          <w:highlight w:val="none"/>
          <w:lang w:bidi="ar"/>
        </w:rPr>
        <w:t>。</w:t>
      </w:r>
    </w:p>
    <w:p>
      <w:pPr>
        <w:widowControl/>
        <w:spacing w:line="440" w:lineRule="exact"/>
        <w:ind w:firstLine="660"/>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本项目（</w:t>
      </w:r>
      <w:r>
        <w:rPr>
          <w:rFonts w:hint="eastAsia" w:ascii="宋体" w:hAnsi="宋体" w:cs="宋体"/>
          <w:color w:val="auto"/>
          <w:kern w:val="0"/>
          <w:sz w:val="22"/>
          <w:szCs w:val="22"/>
          <w:highlight w:val="none"/>
          <w:lang w:val="en-US" w:eastAsia="zh-CN" w:bidi="ar"/>
        </w:rPr>
        <w:t>是</w:t>
      </w:r>
      <w:r>
        <w:rPr>
          <w:rFonts w:hint="eastAsia" w:ascii="宋体" w:hAnsi="宋体" w:cs="宋体"/>
          <w:color w:val="auto"/>
          <w:kern w:val="0"/>
          <w:sz w:val="22"/>
          <w:szCs w:val="22"/>
          <w:highlight w:val="none"/>
          <w:lang w:bidi="ar"/>
        </w:rPr>
        <w:t>）接受联合体投标。</w:t>
      </w:r>
    </w:p>
    <w:p>
      <w:pPr>
        <w:widowControl/>
        <w:spacing w:line="440" w:lineRule="exact"/>
        <w:rPr>
          <w:rFonts w:ascii="宋体" w:hAnsi="宋体" w:cs="宋体"/>
          <w:color w:val="auto"/>
          <w:kern w:val="0"/>
          <w:sz w:val="22"/>
          <w:szCs w:val="22"/>
          <w:highlight w:val="none"/>
          <w:lang w:bidi="ar"/>
        </w:rPr>
      </w:pPr>
      <w:bookmarkStart w:id="15" w:name="_Hlk47794000"/>
      <w:r>
        <w:rPr>
          <w:rFonts w:hint="eastAsia" w:ascii="宋体" w:hAnsi="宋体" w:cs="宋体"/>
          <w:b/>
          <w:color w:val="auto"/>
          <w:kern w:val="0"/>
          <w:sz w:val="22"/>
          <w:szCs w:val="22"/>
          <w:highlight w:val="none"/>
          <w:lang w:bidi="ar"/>
        </w:rPr>
        <w:t>二、申请人的资格要求：</w:t>
      </w:r>
    </w:p>
    <w:bookmarkEnd w:id="15"/>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1.满足《中华人民共和国政府采购法》第二十二条规定</w:t>
      </w:r>
      <w:r>
        <w:rPr>
          <w:rFonts w:hint="eastAsia" w:ascii="宋体" w:hAnsi="宋体"/>
          <w:color w:val="auto"/>
          <w:sz w:val="22"/>
          <w:szCs w:val="22"/>
          <w:highlight w:val="none"/>
        </w:rPr>
        <w:t>，未被“信用中国”（www.creditchina.gov.cn)、中国政府采购网（www.ccgp.gov.cn）列入失信被执行人、重大税收违法案件当事人名单、政府采购严重违法失信行为记录名单；</w:t>
      </w:r>
    </w:p>
    <w:p>
      <w:pPr>
        <w:widowControl/>
        <w:spacing w:line="440" w:lineRule="exact"/>
        <w:jc w:val="left"/>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2.落实政府采购政策需满足的资格要求：</w:t>
      </w:r>
      <w:r>
        <w:rPr>
          <w:rFonts w:hint="eastAsia" w:ascii="宋体" w:hAnsi="宋体" w:cs="宋体"/>
          <w:color w:val="auto"/>
          <w:kern w:val="0"/>
          <w:sz w:val="22"/>
          <w:szCs w:val="22"/>
          <w:highlight w:val="none"/>
          <w:lang w:val="en-US" w:eastAsia="zh-CN" w:bidi="ar"/>
        </w:rPr>
        <w:t>/</w:t>
      </w:r>
    </w:p>
    <w:p>
      <w:pPr>
        <w:widowControl/>
        <w:spacing w:line="440" w:lineRule="exact"/>
        <w:ind w:firstLine="660"/>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3.本项目的特定资格要求：</w:t>
      </w:r>
      <w:r>
        <w:rPr>
          <w:rFonts w:hint="eastAsia" w:ascii="宋体" w:hAnsi="宋体" w:cs="宋体"/>
          <w:color w:val="auto"/>
          <w:sz w:val="22"/>
          <w:szCs w:val="22"/>
          <w:highlight w:val="none"/>
          <w:lang w:val="en-US" w:eastAsia="zh-CN"/>
        </w:rPr>
        <w:t>/</w:t>
      </w:r>
      <w:r>
        <w:rPr>
          <w:rFonts w:hint="eastAsia" w:ascii="宋体" w:hAnsi="宋体" w:cs="宋体"/>
          <w:color w:val="auto"/>
          <w:kern w:val="0"/>
          <w:sz w:val="22"/>
          <w:szCs w:val="22"/>
          <w:highlight w:val="none"/>
          <w:lang w:bidi="ar"/>
        </w:rPr>
        <w:t>。</w:t>
      </w:r>
    </w:p>
    <w:p>
      <w:pPr>
        <w:widowControl/>
        <w:spacing w:line="440" w:lineRule="exact"/>
        <w:jc w:val="left"/>
        <w:rPr>
          <w:rFonts w:hint="eastAsia" w:ascii="宋体" w:hAnsi="宋体" w:eastAsia="宋体" w:cs="宋体"/>
          <w:color w:val="auto"/>
          <w:kern w:val="0"/>
          <w:sz w:val="22"/>
          <w:szCs w:val="22"/>
          <w:highlight w:val="none"/>
          <w:lang w:bidi="ar"/>
        </w:rPr>
      </w:pPr>
      <w:bookmarkStart w:id="16" w:name="_Hlk47793996"/>
      <w:r>
        <w:rPr>
          <w:rFonts w:hint="eastAsia" w:ascii="宋体" w:hAnsi="宋体" w:eastAsia="宋体" w:cs="宋体"/>
          <w:color w:val="auto"/>
          <w:kern w:val="0"/>
          <w:sz w:val="22"/>
          <w:szCs w:val="22"/>
          <w:highlight w:val="none"/>
          <w:lang w:bidi="ar"/>
        </w:rPr>
        <w:t>（1）单位负责人为同一人或者存在直接控股、管理关系的不同供应商，不得参加同一合同项下的政府采购活动；</w:t>
      </w:r>
    </w:p>
    <w:p>
      <w:pPr>
        <w:widowControl/>
        <w:spacing w:line="440" w:lineRule="exact"/>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2）供应商未被列入“信用中国”网(www.creditchina.gov.cn)和“中国政府采购网”（www.ccgp.gov.cn）失信被执行人、重大税收违法案件当事人名单、政府采购严重违法失信行为记录名单且尚处于禁止参加政府采购活动期内</w:t>
      </w:r>
      <w:r>
        <w:rPr>
          <w:rFonts w:hint="eastAsia" w:ascii="宋体" w:hAnsi="宋体" w:cs="宋体"/>
          <w:color w:val="auto"/>
          <w:kern w:val="0"/>
          <w:sz w:val="22"/>
          <w:szCs w:val="22"/>
          <w:highlight w:val="none"/>
          <w:lang w:eastAsia="zh-CN" w:bidi="ar"/>
        </w:rPr>
        <w:t>。</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b/>
          <w:color w:val="auto"/>
          <w:kern w:val="0"/>
          <w:sz w:val="22"/>
          <w:szCs w:val="22"/>
          <w:highlight w:val="none"/>
          <w:lang w:bidi="ar"/>
        </w:rPr>
        <w:t>三、获取（下载）采购文件</w:t>
      </w:r>
    </w:p>
    <w:bookmarkEnd w:id="16"/>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时间：采购公告发布之日至磋商响应截止时间为止，每天上午00:00至12:00，下午12:00至23:59（北京时间，线上获取法定节假日均可，线下获取文件法定节假日除外）</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地点（网址）：</w:t>
      </w:r>
      <w:r>
        <w:rPr>
          <w:rFonts w:hint="eastAsia" w:ascii="宋体" w:hAnsi="宋体" w:cs="宋体"/>
          <w:color w:val="auto"/>
          <w:szCs w:val="22"/>
          <w:highlight w:val="none"/>
        </w:rPr>
        <w:t>政采云平台（https://www.zcygov.cn）</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方式：供应商登录政采云平台https://www.zcygov.cn/在线申请获取采购文件（进入“项目采购”应用，在获取采购文件菜单中选择项目，申请获取采购文件）</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售价（元）：0 </w:t>
      </w:r>
    </w:p>
    <w:p>
      <w:pPr>
        <w:widowControl/>
        <w:spacing w:line="440" w:lineRule="exact"/>
        <w:rPr>
          <w:rFonts w:ascii="宋体" w:hAnsi="宋体" w:cs="宋体"/>
          <w:color w:val="auto"/>
          <w:kern w:val="0"/>
          <w:sz w:val="22"/>
          <w:szCs w:val="22"/>
          <w:highlight w:val="none"/>
          <w:lang w:bidi="ar"/>
        </w:rPr>
      </w:pPr>
      <w:bookmarkStart w:id="17" w:name="_Hlk47793832"/>
      <w:r>
        <w:rPr>
          <w:rFonts w:hint="eastAsia" w:ascii="宋体" w:hAnsi="宋体" w:cs="宋体"/>
          <w:b/>
          <w:color w:val="auto"/>
          <w:kern w:val="0"/>
          <w:sz w:val="22"/>
          <w:szCs w:val="22"/>
          <w:highlight w:val="none"/>
          <w:lang w:bidi="ar"/>
        </w:rPr>
        <w:t>四、响应文件提交（上传）</w:t>
      </w:r>
      <w:r>
        <w:rPr>
          <w:rFonts w:hint="eastAsia" w:ascii="宋体" w:hAnsi="宋体" w:cs="宋体"/>
          <w:color w:val="auto"/>
          <w:kern w:val="0"/>
          <w:sz w:val="22"/>
          <w:szCs w:val="22"/>
          <w:highlight w:val="none"/>
          <w:lang w:bidi="ar"/>
        </w:rPr>
        <w:t> </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截止时间：</w:t>
      </w:r>
      <w:r>
        <w:rPr>
          <w:rFonts w:hint="eastAsia" w:ascii="宋体" w:hAnsi="宋体" w:cs="宋体"/>
          <w:color w:val="auto"/>
          <w:kern w:val="0"/>
          <w:sz w:val="22"/>
          <w:szCs w:val="22"/>
          <w:highlight w:val="none"/>
          <w:lang w:eastAsia="zh-CN" w:bidi="ar"/>
        </w:rPr>
        <w:t>2025</w:t>
      </w:r>
      <w:r>
        <w:rPr>
          <w:rFonts w:hint="eastAsia" w:ascii="宋体" w:hAnsi="宋体" w:cs="宋体"/>
          <w:color w:val="auto"/>
          <w:kern w:val="0"/>
          <w:sz w:val="22"/>
          <w:szCs w:val="22"/>
          <w:highlight w:val="none"/>
          <w:lang w:bidi="ar"/>
        </w:rPr>
        <w:t>年</w:t>
      </w:r>
      <w:r>
        <w:rPr>
          <w:rFonts w:hint="eastAsia" w:ascii="宋体" w:hAnsi="宋体" w:cs="宋体"/>
          <w:color w:val="auto"/>
          <w:kern w:val="0"/>
          <w:sz w:val="22"/>
          <w:szCs w:val="22"/>
          <w:highlight w:val="none"/>
          <w:u w:val="single"/>
          <w:lang w:val="en-US" w:eastAsia="zh-CN" w:bidi="ar"/>
        </w:rPr>
        <w:t xml:space="preserve"> 3</w:t>
      </w:r>
      <w:r>
        <w:rPr>
          <w:rFonts w:hint="eastAsia" w:ascii="宋体" w:hAnsi="宋体" w:cs="宋体"/>
          <w:color w:val="auto"/>
          <w:kern w:val="0"/>
          <w:sz w:val="22"/>
          <w:szCs w:val="22"/>
          <w:highlight w:val="none"/>
          <w:lang w:bidi="ar"/>
        </w:rPr>
        <w:t>月</w:t>
      </w:r>
      <w:r>
        <w:rPr>
          <w:rFonts w:hint="eastAsia" w:ascii="宋体" w:hAnsi="宋体" w:cs="宋体"/>
          <w:color w:val="auto"/>
          <w:kern w:val="0"/>
          <w:sz w:val="22"/>
          <w:szCs w:val="22"/>
          <w:highlight w:val="none"/>
          <w:u w:val="single"/>
          <w:lang w:val="en-US" w:eastAsia="zh-CN" w:bidi="ar"/>
        </w:rPr>
        <w:t xml:space="preserve">18 </w:t>
      </w:r>
      <w:r>
        <w:rPr>
          <w:rFonts w:hint="eastAsia" w:ascii="宋体" w:hAnsi="宋体" w:cs="宋体"/>
          <w:color w:val="auto"/>
          <w:kern w:val="0"/>
          <w:sz w:val="22"/>
          <w:szCs w:val="22"/>
          <w:highlight w:val="none"/>
          <w:lang w:bidi="ar"/>
        </w:rPr>
        <w:t>日</w:t>
      </w:r>
      <w:r>
        <w:rPr>
          <w:rFonts w:hint="eastAsia" w:ascii="宋体" w:hAnsi="宋体" w:cs="宋体"/>
          <w:color w:val="auto"/>
          <w:kern w:val="0"/>
          <w:sz w:val="22"/>
          <w:szCs w:val="22"/>
          <w:highlight w:val="none"/>
          <w:lang w:val="en-US" w:eastAsia="zh-CN" w:bidi="ar"/>
        </w:rPr>
        <w:t>14</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bidi="ar"/>
        </w:rPr>
        <w:t>0（北京时间）</w:t>
      </w:r>
    </w:p>
    <w:p>
      <w:pPr>
        <w:widowControl/>
        <w:spacing w:line="440" w:lineRule="exact"/>
        <w:jc w:val="left"/>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地点（网址）：政采云平台（https://www.zcygov.cn）在线递交</w:t>
      </w:r>
      <w:r>
        <w:rPr>
          <w:rFonts w:hint="eastAsia" w:ascii="宋体" w:hAnsi="宋体" w:cs="宋体"/>
          <w:color w:val="auto"/>
          <w:kern w:val="0"/>
          <w:sz w:val="22"/>
          <w:szCs w:val="22"/>
          <w:highlight w:val="none"/>
          <w:lang w:eastAsia="zh-CN" w:bidi="ar"/>
        </w:rPr>
        <w:t>。</w:t>
      </w:r>
    </w:p>
    <w:p>
      <w:pPr>
        <w:widowControl/>
        <w:spacing w:line="440" w:lineRule="exact"/>
        <w:rPr>
          <w:rFonts w:ascii="宋体" w:hAnsi="宋体" w:cs="宋体"/>
          <w:color w:val="auto"/>
          <w:kern w:val="0"/>
          <w:sz w:val="22"/>
          <w:szCs w:val="22"/>
          <w:highlight w:val="none"/>
          <w:lang w:bidi="ar"/>
        </w:rPr>
      </w:pPr>
      <w:r>
        <w:rPr>
          <w:rFonts w:hint="eastAsia" w:ascii="宋体" w:hAnsi="宋体" w:cs="宋体"/>
          <w:b/>
          <w:color w:val="auto"/>
          <w:kern w:val="0"/>
          <w:sz w:val="22"/>
          <w:szCs w:val="22"/>
          <w:highlight w:val="none"/>
          <w:lang w:bidi="ar"/>
        </w:rPr>
        <w:t>五、响应文件开启</w:t>
      </w:r>
      <w:r>
        <w:rPr>
          <w:rFonts w:hint="eastAsia" w:ascii="宋体" w:hAnsi="宋体" w:cs="宋体"/>
          <w:color w:val="auto"/>
          <w:kern w:val="0"/>
          <w:sz w:val="22"/>
          <w:szCs w:val="22"/>
          <w:highlight w:val="none"/>
          <w:lang w:bidi="ar"/>
        </w:rPr>
        <w:t> </w:t>
      </w:r>
    </w:p>
    <w:p>
      <w:pPr>
        <w:widowControl/>
        <w:spacing w:line="440" w:lineRule="exact"/>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开启时间：</w:t>
      </w:r>
      <w:r>
        <w:rPr>
          <w:rFonts w:hint="eastAsia" w:ascii="宋体" w:hAnsi="宋体" w:cs="宋体"/>
          <w:color w:val="auto"/>
          <w:kern w:val="0"/>
          <w:sz w:val="22"/>
          <w:szCs w:val="22"/>
          <w:highlight w:val="none"/>
          <w:lang w:eastAsia="zh-CN" w:bidi="ar"/>
        </w:rPr>
        <w:t>2025</w:t>
      </w:r>
      <w:r>
        <w:rPr>
          <w:rFonts w:hint="eastAsia" w:ascii="宋体" w:hAnsi="宋体" w:cs="宋体"/>
          <w:color w:val="auto"/>
          <w:kern w:val="0"/>
          <w:sz w:val="22"/>
          <w:szCs w:val="22"/>
          <w:highlight w:val="none"/>
          <w:lang w:bidi="ar"/>
        </w:rPr>
        <w:t>年</w:t>
      </w:r>
      <w:r>
        <w:rPr>
          <w:rFonts w:hint="eastAsia" w:ascii="宋体" w:hAnsi="宋体" w:cs="宋体"/>
          <w:color w:val="auto"/>
          <w:kern w:val="0"/>
          <w:sz w:val="22"/>
          <w:szCs w:val="22"/>
          <w:highlight w:val="none"/>
          <w:u w:val="single"/>
          <w:lang w:val="en-US" w:eastAsia="zh-CN" w:bidi="ar"/>
        </w:rPr>
        <w:t>3</w:t>
      </w:r>
      <w:r>
        <w:rPr>
          <w:rFonts w:hint="eastAsia" w:ascii="宋体" w:hAnsi="宋体" w:cs="宋体"/>
          <w:color w:val="auto"/>
          <w:kern w:val="0"/>
          <w:sz w:val="22"/>
          <w:szCs w:val="22"/>
          <w:highlight w:val="none"/>
          <w:lang w:bidi="ar"/>
        </w:rPr>
        <w:t>月</w:t>
      </w:r>
      <w:r>
        <w:rPr>
          <w:rFonts w:hint="eastAsia" w:ascii="宋体" w:hAnsi="宋体" w:cs="宋体"/>
          <w:color w:val="auto"/>
          <w:kern w:val="0"/>
          <w:sz w:val="22"/>
          <w:szCs w:val="22"/>
          <w:highlight w:val="none"/>
          <w:u w:val="single"/>
          <w:lang w:val="en-US" w:eastAsia="zh-CN" w:bidi="ar"/>
        </w:rPr>
        <w:t xml:space="preserve"> 18 </w:t>
      </w:r>
      <w:r>
        <w:rPr>
          <w:rFonts w:hint="eastAsia" w:ascii="宋体" w:hAnsi="宋体" w:cs="宋体"/>
          <w:color w:val="auto"/>
          <w:kern w:val="0"/>
          <w:sz w:val="22"/>
          <w:szCs w:val="22"/>
          <w:highlight w:val="none"/>
          <w:lang w:bidi="ar"/>
        </w:rPr>
        <w:t>日</w:t>
      </w:r>
      <w:r>
        <w:rPr>
          <w:rFonts w:hint="eastAsia" w:ascii="宋体" w:hAnsi="宋体" w:cs="宋体"/>
          <w:color w:val="auto"/>
          <w:kern w:val="0"/>
          <w:sz w:val="22"/>
          <w:szCs w:val="22"/>
          <w:highlight w:val="none"/>
          <w:lang w:val="en-US" w:eastAsia="zh-CN" w:bidi="ar"/>
        </w:rPr>
        <w:t>14</w:t>
      </w:r>
      <w:r>
        <w:rPr>
          <w:rFonts w:hint="eastAsia" w:ascii="宋体" w:hAnsi="宋体" w:cs="宋体"/>
          <w:color w:val="auto"/>
          <w:kern w:val="0"/>
          <w:sz w:val="22"/>
          <w:szCs w:val="22"/>
          <w:highlight w:val="none"/>
          <w:lang w:bidi="ar"/>
        </w:rPr>
        <w:t>:</w:t>
      </w:r>
      <w:r>
        <w:rPr>
          <w:rFonts w:ascii="宋体" w:hAnsi="宋体" w:cs="宋体"/>
          <w:color w:val="auto"/>
          <w:kern w:val="0"/>
          <w:sz w:val="22"/>
          <w:szCs w:val="22"/>
          <w:highlight w:val="none"/>
          <w:lang w:bidi="ar"/>
        </w:rPr>
        <w:t>3</w:t>
      </w:r>
      <w:r>
        <w:rPr>
          <w:rFonts w:hint="eastAsia" w:ascii="宋体" w:hAnsi="宋体" w:cs="宋体"/>
          <w:color w:val="auto"/>
          <w:kern w:val="0"/>
          <w:sz w:val="22"/>
          <w:szCs w:val="22"/>
          <w:highlight w:val="none"/>
          <w:lang w:bidi="ar"/>
        </w:rPr>
        <w:t>0（北京时间）</w:t>
      </w:r>
    </w:p>
    <w:p>
      <w:pPr>
        <w:widowControl/>
        <w:spacing w:line="440" w:lineRule="exact"/>
        <w:jc w:val="left"/>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地点（网址）：</w:t>
      </w:r>
      <w:r>
        <w:rPr>
          <w:rFonts w:hint="eastAsia" w:ascii="宋体" w:hAnsi="宋体" w:cs="宋体"/>
          <w:color w:val="auto"/>
          <w:kern w:val="0"/>
          <w:sz w:val="22"/>
          <w:highlight w:val="none"/>
          <w:lang w:bidi="ar"/>
        </w:rPr>
        <w:t>政采云平台（https://www.zcygov.cn）在线开标</w:t>
      </w:r>
      <w:r>
        <w:rPr>
          <w:rFonts w:hint="eastAsia" w:ascii="宋体" w:hAnsi="宋体" w:cs="宋体"/>
          <w:color w:val="auto"/>
          <w:sz w:val="22"/>
          <w:highlight w:val="none"/>
          <w:lang w:eastAsia="zh-CN"/>
        </w:rPr>
        <w:t>。</w:t>
      </w:r>
    </w:p>
    <w:bookmarkEnd w:id="17"/>
    <w:p>
      <w:pPr>
        <w:widowControl/>
        <w:spacing w:line="440" w:lineRule="exact"/>
        <w:rPr>
          <w:rFonts w:ascii="宋体" w:hAnsi="宋体" w:cs="宋体"/>
          <w:color w:val="auto"/>
          <w:kern w:val="0"/>
          <w:sz w:val="22"/>
          <w:szCs w:val="22"/>
          <w:highlight w:val="none"/>
          <w:lang w:bidi="ar"/>
        </w:rPr>
      </w:pPr>
      <w:bookmarkStart w:id="18" w:name="_Hlk47793842"/>
      <w:r>
        <w:rPr>
          <w:rFonts w:hint="eastAsia" w:ascii="宋体" w:hAnsi="宋体" w:cs="宋体"/>
          <w:b/>
          <w:color w:val="auto"/>
          <w:kern w:val="0"/>
          <w:sz w:val="22"/>
          <w:szCs w:val="22"/>
          <w:highlight w:val="none"/>
          <w:lang w:bidi="ar"/>
        </w:rPr>
        <w:t>六、公告期限</w:t>
      </w:r>
    </w:p>
    <w:p>
      <w:pPr>
        <w:widowControl/>
        <w:spacing w:line="440" w:lineRule="exact"/>
        <w:ind w:firstLine="420"/>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自本公告发布之日起3个工作日。</w:t>
      </w:r>
    </w:p>
    <w:p>
      <w:pPr>
        <w:widowControl/>
        <w:spacing w:line="440" w:lineRule="exact"/>
        <w:rPr>
          <w:rFonts w:ascii="宋体" w:hAnsi="宋体" w:cs="宋体"/>
          <w:color w:val="auto"/>
          <w:kern w:val="0"/>
          <w:sz w:val="22"/>
          <w:szCs w:val="22"/>
          <w:highlight w:val="none"/>
          <w:lang w:bidi="ar"/>
        </w:rPr>
      </w:pPr>
      <w:r>
        <w:rPr>
          <w:rFonts w:hint="eastAsia" w:ascii="宋体" w:hAnsi="宋体" w:cs="宋体"/>
          <w:b/>
          <w:color w:val="auto"/>
          <w:kern w:val="0"/>
          <w:sz w:val="22"/>
          <w:szCs w:val="22"/>
          <w:highlight w:val="none"/>
          <w:lang w:bidi="ar"/>
        </w:rPr>
        <w:t>七、其他补充事宜</w:t>
      </w:r>
    </w:p>
    <w:p>
      <w:pPr>
        <w:widowControl/>
        <w:spacing w:line="440" w:lineRule="exact"/>
        <w:ind w:firstLine="660"/>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供应商认为竞争性磋商文件使自己的权益受到损害的，可以自获取竞争性磋商文件之日（提供期限截止日之后收到竞争性磋商文件的，以提供期限截止日为准）或者竞争性磋商文件公告期限届满之日（公告发布后的第5个工作日）起7个工作日内，以书面形式向采购人（或采购代理机构）提出质疑。质疑供应商对采购人（或采购代理机构）的答复不满意或者采购人（或采购代理机构）未在规定的时间内作出答复的，可以在答复期满后十五个工作日内向同级政府采购监督管理部门投诉。质疑函范本、投诉书范本请到浙江政府采购网下载专区下载。</w:t>
      </w:r>
    </w:p>
    <w:p>
      <w:pPr>
        <w:widowControl/>
        <w:spacing w:line="440" w:lineRule="exact"/>
        <w:ind w:firstLine="660"/>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竞争性磋商文件提供期限时间之后有潜在供应商提出要求获取竞争性磋商文件的，将允许其获取，但该供应商如对竞争性磋商文件有异议的，应于自竞争性磋商文件提供期限满之日起七个工作日内以书面形式向采购代理机构提出。</w:t>
      </w:r>
    </w:p>
    <w:p>
      <w:pPr>
        <w:widowControl/>
        <w:spacing w:line="440" w:lineRule="exact"/>
        <w:ind w:firstLine="660"/>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3.潜在供应商应当按照规定方式获取竞争性磋商文件，未按照规定方式获取竞争性磋商文件的，不得对竞争性磋商文件提起质疑投诉。</w:t>
      </w:r>
    </w:p>
    <w:p>
      <w:pPr>
        <w:widowControl/>
        <w:spacing w:line="440" w:lineRule="exact"/>
        <w:ind w:firstLine="660"/>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供应商须在法定质疑期内一次性提出针对同一采购程序环节的质疑，供应商质疑应当有明确的请求和必要的证明材料；采购人及采购代理机构按《政府采购质疑和投诉办法》进行处理供应商质疑事项。质疑函范本、投诉书范本请到浙江政府采购网下载专区下载。</w:t>
      </w:r>
    </w:p>
    <w:p>
      <w:pPr>
        <w:widowControl/>
        <w:spacing w:line="440" w:lineRule="exact"/>
        <w:ind w:firstLine="660"/>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5．采购项目需要落实的政府采购政策</w:t>
      </w:r>
    </w:p>
    <w:p>
      <w:pPr>
        <w:widowControl/>
        <w:spacing w:line="440" w:lineRule="exact"/>
        <w:ind w:firstLine="660"/>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本项目对符合财政扶持政策的中小企业（小型、微型）、监狱企业、残疾人福利性单位给予价格优惠扶持，执行节能产品政府强制采购和优先采购政策，执行环境标志产品政府优先采购政策，详见竞争性磋商文件相关政府采购相关政策说明部分。 </w:t>
      </w:r>
    </w:p>
    <w:bookmarkEnd w:id="18"/>
    <w:p>
      <w:pPr>
        <w:widowControl/>
        <w:spacing w:line="440" w:lineRule="exact"/>
        <w:rPr>
          <w:rFonts w:ascii="宋体" w:hAnsi="宋体" w:cs="宋体"/>
          <w:color w:val="auto"/>
          <w:kern w:val="0"/>
          <w:sz w:val="22"/>
          <w:szCs w:val="22"/>
          <w:highlight w:val="none"/>
          <w:lang w:bidi="ar"/>
        </w:rPr>
      </w:pPr>
      <w:bookmarkStart w:id="19" w:name="_Hlk47793939"/>
      <w:r>
        <w:rPr>
          <w:rFonts w:hint="eastAsia" w:ascii="宋体" w:hAnsi="宋体" w:cs="宋体"/>
          <w:b/>
          <w:color w:val="auto"/>
          <w:kern w:val="0"/>
          <w:sz w:val="22"/>
          <w:szCs w:val="22"/>
          <w:highlight w:val="none"/>
          <w:lang w:bidi="ar"/>
        </w:rPr>
        <w:t>八、凡对本次采购提出询问、质疑、投诉，请按以下方式联系</w:t>
      </w:r>
    </w:p>
    <w:bookmarkEnd w:id="19"/>
    <w:p>
      <w:pPr>
        <w:adjustRightInd w:val="0"/>
        <w:snapToGrid w:val="0"/>
        <w:spacing w:line="440" w:lineRule="exac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1.采购人信息</w:t>
      </w:r>
    </w:p>
    <w:p>
      <w:pPr>
        <w:adjustRightInd w:val="0"/>
        <w:snapToGrid w:val="0"/>
        <w:spacing w:line="440" w:lineRule="exact"/>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    名    称：</w:t>
      </w:r>
      <w:r>
        <w:rPr>
          <w:rFonts w:hint="eastAsia" w:ascii="宋体" w:hAnsi="宋体" w:cs="宋体"/>
          <w:color w:val="auto"/>
          <w:kern w:val="0"/>
          <w:sz w:val="22"/>
          <w:szCs w:val="22"/>
          <w:highlight w:val="none"/>
          <w:lang w:eastAsia="zh-CN" w:bidi="ar"/>
        </w:rPr>
        <w:t>温州市生态环境局瓯海分局</w:t>
      </w:r>
    </w:p>
    <w:p>
      <w:pPr>
        <w:adjustRightInd w:val="0"/>
        <w:snapToGrid w:val="0"/>
        <w:spacing w:line="440" w:lineRule="exact"/>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    地    址：浙江省温州市瓯海区</w:t>
      </w:r>
      <w:r>
        <w:rPr>
          <w:rFonts w:hint="eastAsia" w:ascii="宋体" w:hAnsi="宋体" w:cs="宋体"/>
          <w:color w:val="auto"/>
          <w:kern w:val="0"/>
          <w:sz w:val="22"/>
          <w:szCs w:val="22"/>
          <w:highlight w:val="none"/>
          <w:lang w:val="en-US" w:eastAsia="zh-CN" w:bidi="ar"/>
        </w:rPr>
        <w:t>行政中心2号楼8楼</w:t>
      </w:r>
    </w:p>
    <w:p>
      <w:pPr>
        <w:adjustRightInd w:val="0"/>
        <w:snapToGrid w:val="0"/>
        <w:spacing w:line="440" w:lineRule="exact"/>
        <w:ind w:firstLine="660" w:firstLineChars="300"/>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项目联系人（询问）：</w:t>
      </w:r>
      <w:r>
        <w:rPr>
          <w:rFonts w:hint="eastAsia" w:ascii="宋体" w:hAnsi="宋体" w:cs="宋体"/>
          <w:color w:val="auto"/>
          <w:kern w:val="0"/>
          <w:sz w:val="22"/>
          <w:szCs w:val="22"/>
          <w:highlight w:val="none"/>
          <w:lang w:val="en-US" w:eastAsia="zh-CN" w:bidi="ar"/>
        </w:rPr>
        <w:t xml:space="preserve">潘先生 </w:t>
      </w:r>
    </w:p>
    <w:p>
      <w:pPr>
        <w:adjustRightInd w:val="0"/>
        <w:snapToGrid w:val="0"/>
        <w:spacing w:line="440" w:lineRule="exac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项目联系方式（询问）： 0577-</w:t>
      </w:r>
      <w:r>
        <w:rPr>
          <w:rFonts w:hint="eastAsia" w:ascii="宋体" w:hAnsi="宋体" w:cs="宋体"/>
          <w:color w:val="auto"/>
          <w:kern w:val="0"/>
          <w:sz w:val="22"/>
          <w:szCs w:val="22"/>
          <w:highlight w:val="none"/>
          <w:lang w:val="en-US" w:eastAsia="zh-CN" w:bidi="ar"/>
        </w:rPr>
        <w:t>85250817</w:t>
      </w:r>
    </w:p>
    <w:p>
      <w:pPr>
        <w:adjustRightInd w:val="0"/>
        <w:snapToGrid w:val="0"/>
        <w:spacing w:line="440" w:lineRule="exact"/>
        <w:ind w:firstLine="660" w:firstLineChars="30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质疑联系人： </w:t>
      </w:r>
      <w:r>
        <w:rPr>
          <w:rFonts w:hint="eastAsia" w:ascii="宋体" w:hAnsi="宋体" w:cs="宋体"/>
          <w:color w:val="auto"/>
          <w:kern w:val="0"/>
          <w:sz w:val="22"/>
          <w:szCs w:val="22"/>
          <w:highlight w:val="none"/>
          <w:lang w:val="en-US" w:eastAsia="zh-CN" w:bidi="ar"/>
        </w:rPr>
        <w:t>潘</w:t>
      </w:r>
      <w:r>
        <w:rPr>
          <w:rFonts w:hint="eastAsia" w:ascii="宋体" w:hAnsi="宋体" w:cs="宋体"/>
          <w:color w:val="auto"/>
          <w:kern w:val="0"/>
          <w:sz w:val="22"/>
          <w:szCs w:val="22"/>
          <w:highlight w:val="none"/>
          <w:lang w:bidi="ar"/>
        </w:rPr>
        <w:t>先生</w:t>
      </w:r>
    </w:p>
    <w:p>
      <w:pPr>
        <w:adjustRightInd w:val="0"/>
        <w:snapToGrid w:val="0"/>
        <w:spacing w:line="440" w:lineRule="exact"/>
        <w:ind w:firstLine="660" w:firstLineChars="30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质疑联系方式：0577-</w:t>
      </w:r>
      <w:r>
        <w:rPr>
          <w:rFonts w:hint="eastAsia" w:ascii="宋体" w:hAnsi="宋体" w:cs="宋体"/>
          <w:color w:val="auto"/>
          <w:kern w:val="0"/>
          <w:sz w:val="22"/>
          <w:szCs w:val="22"/>
          <w:highlight w:val="none"/>
          <w:lang w:val="en-US" w:eastAsia="zh-CN" w:bidi="ar"/>
        </w:rPr>
        <w:t xml:space="preserve"> 85250817</w:t>
      </w:r>
      <w:r>
        <w:rPr>
          <w:rFonts w:hint="eastAsia" w:ascii="宋体" w:hAnsi="宋体" w:cs="宋体"/>
          <w:color w:val="auto"/>
          <w:kern w:val="0"/>
          <w:sz w:val="22"/>
          <w:szCs w:val="22"/>
          <w:highlight w:val="none"/>
          <w:lang w:bidi="ar"/>
        </w:rPr>
        <w:t xml:space="preserve"> </w:t>
      </w:r>
    </w:p>
    <w:p>
      <w:pPr>
        <w:adjustRightInd w:val="0"/>
        <w:snapToGrid w:val="0"/>
        <w:spacing w:line="440" w:lineRule="exac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2.采购代理机构信息</w:t>
      </w:r>
    </w:p>
    <w:p>
      <w:pPr>
        <w:adjustRightInd w:val="0"/>
        <w:snapToGrid w:val="0"/>
        <w:spacing w:line="440" w:lineRule="exac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名    称：浙江科达工程项目管理有限公司</w:t>
      </w:r>
    </w:p>
    <w:p>
      <w:pPr>
        <w:adjustRightInd w:val="0"/>
        <w:snapToGrid w:val="0"/>
        <w:spacing w:line="440" w:lineRule="exact"/>
        <w:ind w:firstLine="660" w:firstLineChars="300"/>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地    址：</w:t>
      </w:r>
      <w:r>
        <w:rPr>
          <w:rFonts w:hint="eastAsia" w:ascii="宋体" w:hAnsi="宋体" w:cs="宋体"/>
          <w:color w:val="auto"/>
          <w:kern w:val="0"/>
          <w:sz w:val="22"/>
          <w:szCs w:val="22"/>
          <w:highlight w:val="none"/>
          <w:lang w:eastAsia="zh-CN" w:bidi="ar"/>
        </w:rPr>
        <w:t>温州市瓯海新桥牛山广场2号楼804室</w:t>
      </w:r>
    </w:p>
    <w:p>
      <w:pPr>
        <w:adjustRightInd w:val="0"/>
        <w:snapToGrid w:val="0"/>
        <w:spacing w:line="440" w:lineRule="exact"/>
        <w:ind w:firstLine="660" w:firstLineChars="300"/>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电话： 0577-88668010 1</w:t>
      </w:r>
      <w:r>
        <w:rPr>
          <w:rFonts w:hint="eastAsia" w:ascii="宋体" w:hAnsi="宋体" w:cs="宋体"/>
          <w:color w:val="auto"/>
          <w:kern w:val="0"/>
          <w:sz w:val="22"/>
          <w:szCs w:val="22"/>
          <w:highlight w:val="none"/>
          <w:lang w:val="en-US" w:eastAsia="zh-CN" w:bidi="ar"/>
        </w:rPr>
        <w:t>5988779323</w:t>
      </w:r>
    </w:p>
    <w:p>
      <w:pPr>
        <w:adjustRightInd w:val="0"/>
        <w:snapToGrid w:val="0"/>
        <w:spacing w:line="440" w:lineRule="exact"/>
        <w:ind w:firstLine="660" w:firstLineChars="300"/>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联系人：</w:t>
      </w:r>
      <w:r>
        <w:rPr>
          <w:rFonts w:hint="eastAsia" w:ascii="宋体" w:hAnsi="宋体" w:cs="宋体"/>
          <w:color w:val="auto"/>
          <w:kern w:val="0"/>
          <w:sz w:val="22"/>
          <w:szCs w:val="22"/>
          <w:highlight w:val="none"/>
          <w:lang w:val="en-US" w:eastAsia="zh-CN" w:bidi="ar"/>
        </w:rPr>
        <w:t>鲍先生</w:t>
      </w:r>
    </w:p>
    <w:p>
      <w:pPr>
        <w:adjustRightInd w:val="0"/>
        <w:snapToGrid w:val="0"/>
        <w:spacing w:line="440" w:lineRule="exac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质疑联系人：吴先生</w:t>
      </w:r>
    </w:p>
    <w:p>
      <w:pPr>
        <w:adjustRightInd w:val="0"/>
        <w:snapToGrid w:val="0"/>
        <w:spacing w:line="440" w:lineRule="exact"/>
        <w:rPr>
          <w:color w:val="auto"/>
          <w:highlight w:val="none"/>
        </w:rPr>
      </w:pPr>
      <w:r>
        <w:rPr>
          <w:rFonts w:hint="eastAsia" w:ascii="宋体" w:hAnsi="宋体" w:cs="宋体"/>
          <w:color w:val="auto"/>
          <w:kern w:val="0"/>
          <w:sz w:val="22"/>
          <w:szCs w:val="22"/>
          <w:highlight w:val="none"/>
          <w:lang w:bidi="ar"/>
        </w:rPr>
        <w:t>    质疑联系方式：18968849896</w:t>
      </w:r>
    </w:p>
    <w:p>
      <w:pPr>
        <w:widowControl/>
        <w:spacing w:line="44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pPr>
        <w:adjustRightInd w:val="0"/>
        <w:snapToGrid w:val="0"/>
        <w:spacing w:line="440" w:lineRule="exact"/>
        <w:rPr>
          <w:rFonts w:hint="eastAsia" w:ascii="宋体" w:hAnsi="宋体" w:cs="宋体"/>
          <w:color w:val="auto"/>
          <w:sz w:val="22"/>
          <w:szCs w:val="24"/>
          <w:highlight w:val="none"/>
          <w:lang w:bidi="ar"/>
        </w:rPr>
      </w:pPr>
      <w:r>
        <w:rPr>
          <w:rFonts w:hint="eastAsia" w:ascii="宋体" w:hAnsi="宋体" w:cs="宋体"/>
          <w:color w:val="auto"/>
          <w:szCs w:val="22"/>
          <w:highlight w:val="none"/>
          <w:lang w:bidi="ar"/>
        </w:rPr>
        <w:t>   </w:t>
      </w:r>
      <w:r>
        <w:rPr>
          <w:rFonts w:hint="eastAsia" w:ascii="宋体" w:hAnsi="宋体" w:cs="宋体"/>
          <w:color w:val="auto"/>
          <w:sz w:val="22"/>
          <w:szCs w:val="24"/>
          <w:highlight w:val="none"/>
          <w:lang w:bidi="ar"/>
        </w:rPr>
        <w:t xml:space="preserve"> 名    称：温州市瓯海区财政局 　</w:t>
      </w:r>
    </w:p>
    <w:p>
      <w:pPr>
        <w:adjustRightInd w:val="0"/>
        <w:snapToGrid w:val="0"/>
        <w:spacing w:line="440" w:lineRule="exact"/>
        <w:ind w:firstLine="660" w:firstLineChars="300"/>
        <w:rPr>
          <w:rFonts w:hint="eastAsia" w:ascii="宋体" w:hAnsi="宋体" w:cs="宋体"/>
          <w:color w:val="auto"/>
          <w:sz w:val="22"/>
          <w:szCs w:val="24"/>
          <w:highlight w:val="none"/>
          <w:lang w:bidi="ar"/>
        </w:rPr>
      </w:pPr>
      <w:r>
        <w:rPr>
          <w:rFonts w:hint="eastAsia" w:ascii="宋体" w:hAnsi="宋体" w:cs="宋体"/>
          <w:color w:val="auto"/>
          <w:sz w:val="22"/>
          <w:szCs w:val="24"/>
          <w:highlight w:val="none"/>
          <w:lang w:bidi="ar"/>
        </w:rPr>
        <w:t>地    址：瓯海行政中心1号楼6楼 </w:t>
      </w:r>
    </w:p>
    <w:p>
      <w:pPr>
        <w:adjustRightInd w:val="0"/>
        <w:snapToGrid w:val="0"/>
        <w:spacing w:line="440" w:lineRule="exact"/>
        <w:ind w:firstLine="660" w:firstLineChars="300"/>
        <w:rPr>
          <w:rFonts w:hint="eastAsia" w:ascii="宋体" w:hAnsi="宋体" w:cs="宋体"/>
          <w:color w:val="auto"/>
          <w:sz w:val="22"/>
          <w:szCs w:val="24"/>
          <w:highlight w:val="none"/>
          <w:lang w:bidi="ar"/>
        </w:rPr>
      </w:pPr>
      <w:r>
        <w:rPr>
          <w:rFonts w:hint="eastAsia" w:ascii="宋体" w:hAnsi="宋体" w:cs="宋体"/>
          <w:color w:val="auto"/>
          <w:sz w:val="22"/>
          <w:szCs w:val="24"/>
          <w:highlight w:val="none"/>
          <w:lang w:bidi="ar"/>
        </w:rPr>
        <w:t>联 系 人：徐先生   </w:t>
      </w:r>
    </w:p>
    <w:p>
      <w:pPr>
        <w:adjustRightInd w:val="0"/>
        <w:snapToGrid w:val="0"/>
        <w:spacing w:line="440" w:lineRule="exact"/>
        <w:ind w:firstLine="660" w:firstLineChars="300"/>
        <w:rPr>
          <w:rFonts w:hint="eastAsia" w:ascii="宋体" w:hAnsi="宋体" w:cs="宋体"/>
          <w:color w:val="auto"/>
          <w:sz w:val="22"/>
          <w:szCs w:val="24"/>
          <w:highlight w:val="none"/>
          <w:lang w:bidi="ar"/>
        </w:rPr>
      </w:pPr>
      <w:r>
        <w:rPr>
          <w:rFonts w:hint="eastAsia" w:ascii="宋体" w:hAnsi="宋体" w:cs="宋体"/>
          <w:color w:val="auto"/>
          <w:sz w:val="22"/>
          <w:szCs w:val="24"/>
          <w:highlight w:val="none"/>
          <w:lang w:bidi="ar"/>
        </w:rPr>
        <w:t>监督投诉电话：0577-88534479</w:t>
      </w:r>
    </w:p>
    <w:p>
      <w:pPr>
        <w:adjustRightInd w:val="0"/>
        <w:snapToGrid w:val="0"/>
        <w:spacing w:line="440" w:lineRule="exact"/>
        <w:rPr>
          <w:rFonts w:hint="eastAsia" w:ascii="宋体" w:hAnsi="宋体" w:eastAsia="宋体" w:cs="宋体"/>
          <w:color w:val="auto"/>
          <w:kern w:val="0"/>
          <w:sz w:val="22"/>
          <w:szCs w:val="22"/>
          <w:highlight w:val="none"/>
          <w:lang w:bidi="ar"/>
        </w:rPr>
      </w:pPr>
    </w:p>
    <w:p>
      <w:pPr>
        <w:rPr>
          <w:color w:val="auto"/>
          <w:highlight w:val="none"/>
        </w:rPr>
      </w:pPr>
    </w:p>
    <w:p>
      <w:pPr>
        <w:spacing w:line="440" w:lineRule="exact"/>
        <w:ind w:right="440" w:firstLine="440" w:firstLineChars="200"/>
        <w:jc w:val="left"/>
        <w:rPr>
          <w:rFonts w:ascii="宋体" w:hAnsi="宋体"/>
          <w:color w:val="auto"/>
          <w:sz w:val="22"/>
          <w:szCs w:val="22"/>
          <w:highlight w:val="none"/>
        </w:rPr>
      </w:pPr>
      <w:r>
        <w:rPr>
          <w:rFonts w:hint="eastAsia" w:ascii="宋体" w:hAnsi="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       </w:t>
      </w:r>
    </w:p>
    <w:p>
      <w:pPr>
        <w:spacing w:line="440" w:lineRule="exact"/>
        <w:ind w:right="440"/>
        <w:jc w:val="left"/>
        <w:rPr>
          <w:rFonts w:hint="eastAsia" w:ascii="宋体" w:hAnsi="宋体"/>
          <w:color w:val="auto"/>
          <w:sz w:val="22"/>
          <w:szCs w:val="22"/>
          <w:highlight w:val="none"/>
        </w:rPr>
      </w:pPr>
      <w:r>
        <w:rPr>
          <w:rFonts w:hint="eastAsia" w:ascii="宋体" w:hAnsi="宋体"/>
          <w:color w:val="auto"/>
          <w:sz w:val="22"/>
          <w:szCs w:val="22"/>
          <w:highlight w:val="none"/>
        </w:rPr>
        <w:t>CA问题联系电话（人工）：汇信CA 400-888-4636；天谷CA 400-087-8198。</w:t>
      </w:r>
    </w:p>
    <w:p>
      <w:pPr>
        <w:outlineLvl w:val="9"/>
        <w:rPr>
          <w:color w:val="auto"/>
          <w:highlight w:val="none"/>
        </w:rPr>
      </w:pPr>
    </w:p>
    <w:p>
      <w:pPr>
        <w:pStyle w:val="25"/>
        <w:rPr>
          <w:color w:val="auto"/>
          <w:highlight w:val="none"/>
        </w:rPr>
      </w:pPr>
    </w:p>
    <w:p>
      <w:pPr>
        <w:spacing w:line="440" w:lineRule="exact"/>
        <w:ind w:right="440" w:firstLine="440" w:firstLineChars="200"/>
        <w:jc w:val="right"/>
        <w:rPr>
          <w:rFonts w:ascii="宋体" w:hAnsi="宋体"/>
          <w:color w:val="auto"/>
          <w:sz w:val="22"/>
          <w:szCs w:val="22"/>
          <w:highlight w:val="none"/>
        </w:rPr>
      </w:pPr>
      <w:r>
        <w:rPr>
          <w:rFonts w:hint="eastAsia" w:ascii="宋体" w:hAnsi="宋体" w:cs="宋体"/>
          <w:color w:val="auto"/>
          <w:kern w:val="0"/>
          <w:sz w:val="22"/>
          <w:szCs w:val="22"/>
          <w:highlight w:val="none"/>
          <w:lang w:bidi="ar"/>
        </w:rPr>
        <w:t xml:space="preserve">                                                   </w:t>
      </w:r>
    </w:p>
    <w:p>
      <w:pPr>
        <w:pStyle w:val="4"/>
        <w:spacing w:line="600" w:lineRule="exact"/>
        <w:jc w:val="center"/>
        <w:rPr>
          <w:rFonts w:hint="eastAsia" w:ascii="黑体" w:hAnsi="黑体" w:eastAsia="黑体"/>
          <w:color w:val="auto"/>
          <w:sz w:val="36"/>
          <w:szCs w:val="36"/>
          <w:highlight w:val="none"/>
        </w:rPr>
        <w:sectPr>
          <w:footerReference r:id="rId7" w:type="first"/>
          <w:footerReference r:id="rId6" w:type="default"/>
          <w:pgSz w:w="11906" w:h="16838"/>
          <w:pgMar w:top="1134" w:right="1134" w:bottom="1134" w:left="1134" w:header="851" w:footer="992" w:gutter="0"/>
          <w:pgNumType w:start="1"/>
          <w:cols w:space="720" w:num="1"/>
          <w:docGrid w:linePitch="312" w:charSpace="0"/>
        </w:sectPr>
      </w:pPr>
      <w:bookmarkStart w:id="20" w:name="_Toc21189"/>
      <w:bookmarkStart w:id="21" w:name="_Toc202085287"/>
      <w:bookmarkStart w:id="22" w:name="_Toc14490"/>
      <w:bookmarkStart w:id="23" w:name="_Toc18841"/>
      <w:bookmarkStart w:id="24" w:name="_Toc20880"/>
      <w:bookmarkStart w:id="25" w:name="_Toc8921"/>
      <w:bookmarkStart w:id="26" w:name="_Toc195502577"/>
      <w:bookmarkStart w:id="27" w:name="_Toc195502487"/>
    </w:p>
    <w:p>
      <w:pPr>
        <w:pStyle w:val="4"/>
        <w:spacing w:line="60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第二部分   磋商供应商须知</w:t>
      </w:r>
      <w:bookmarkEnd w:id="20"/>
      <w:bookmarkEnd w:id="21"/>
      <w:bookmarkEnd w:id="22"/>
      <w:bookmarkEnd w:id="23"/>
      <w:bookmarkEnd w:id="24"/>
      <w:bookmarkEnd w:id="25"/>
      <w:bookmarkEnd w:id="26"/>
      <w:bookmarkEnd w:id="27"/>
    </w:p>
    <w:p>
      <w:pPr>
        <w:pStyle w:val="5"/>
        <w:spacing w:line="680" w:lineRule="exact"/>
        <w:jc w:val="center"/>
        <w:rPr>
          <w:rFonts w:ascii="宋体" w:hAnsi="宋体" w:eastAsia="宋体"/>
          <w:color w:val="auto"/>
          <w:sz w:val="28"/>
          <w:szCs w:val="28"/>
          <w:highlight w:val="none"/>
        </w:rPr>
      </w:pPr>
      <w:bookmarkStart w:id="28" w:name="_Toc28213"/>
      <w:bookmarkStart w:id="29" w:name="_Toc31579"/>
      <w:bookmarkStart w:id="30" w:name="_Toc29357"/>
      <w:bookmarkStart w:id="31" w:name="_Toc486600281"/>
      <w:bookmarkStart w:id="32" w:name="_Toc525993250"/>
      <w:bookmarkStart w:id="33" w:name="_Toc5560"/>
      <w:bookmarkStart w:id="34" w:name="_Toc24872"/>
      <w:r>
        <w:rPr>
          <w:rFonts w:hint="eastAsia" w:ascii="宋体" w:hAnsi="宋体" w:eastAsia="宋体"/>
          <w:color w:val="auto"/>
          <w:sz w:val="28"/>
          <w:szCs w:val="28"/>
          <w:highlight w:val="none"/>
        </w:rPr>
        <w:t>磋商供应商须知前附表</w:t>
      </w:r>
      <w:bookmarkEnd w:id="28"/>
      <w:bookmarkEnd w:id="29"/>
      <w:bookmarkEnd w:id="30"/>
      <w:bookmarkEnd w:id="31"/>
      <w:bookmarkEnd w:id="32"/>
      <w:bookmarkEnd w:id="33"/>
      <w:bookmarkEnd w:id="34"/>
    </w:p>
    <w:tbl>
      <w:tblPr>
        <w:tblStyle w:val="38"/>
        <w:tblW w:w="9958" w:type="dxa"/>
        <w:tblInd w:w="0" w:type="dxa"/>
        <w:tblLayout w:type="fixed"/>
        <w:tblCellMar>
          <w:top w:w="0" w:type="dxa"/>
          <w:left w:w="108" w:type="dxa"/>
          <w:bottom w:w="0" w:type="dxa"/>
          <w:right w:w="108" w:type="dxa"/>
        </w:tblCellMar>
      </w:tblPr>
      <w:tblGrid>
        <w:gridCol w:w="996"/>
        <w:gridCol w:w="1703"/>
        <w:gridCol w:w="7259"/>
      </w:tblGrid>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tblPrEx>
          <w:tblCellMar>
            <w:top w:w="0" w:type="dxa"/>
            <w:left w:w="108" w:type="dxa"/>
            <w:bottom w:w="0" w:type="dxa"/>
            <w:right w:w="108" w:type="dxa"/>
          </w:tblCellMar>
        </w:tblPrEx>
        <w:trPr>
          <w:trHeight w:val="425"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项目名称、编号</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见第一部分“磋商公告”</w:t>
            </w:r>
          </w:p>
        </w:tc>
      </w:tr>
      <w:tr>
        <w:tblPrEx>
          <w:tblCellMar>
            <w:top w:w="0" w:type="dxa"/>
            <w:left w:w="108" w:type="dxa"/>
            <w:bottom w:w="0" w:type="dxa"/>
            <w:right w:w="108" w:type="dxa"/>
          </w:tblCellMar>
        </w:tblPrEx>
        <w:trPr>
          <w:trHeight w:val="470"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采购内容</w:t>
            </w:r>
          </w:p>
        </w:tc>
        <w:tc>
          <w:tcPr>
            <w:tcW w:w="72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采购预算及最高限价</w:t>
            </w:r>
          </w:p>
        </w:tc>
        <w:tc>
          <w:tcPr>
            <w:tcW w:w="72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napToGrid w:val="0"/>
                <w:color w:val="auto"/>
                <w:sz w:val="22"/>
                <w:szCs w:val="22"/>
                <w:highlight w:val="none"/>
              </w:rPr>
            </w:pPr>
            <w:r>
              <w:rPr>
                <w:rFonts w:hint="eastAsia" w:ascii="宋体" w:hAnsi="宋体" w:cs="宋体"/>
                <w:color w:val="auto"/>
                <w:kern w:val="0"/>
                <w:sz w:val="22"/>
                <w:szCs w:val="22"/>
                <w:highlight w:val="none"/>
              </w:rPr>
              <w:t>见第一部分“磋商公告”</w:t>
            </w:r>
          </w:p>
          <w:p>
            <w:pPr>
              <w:autoSpaceDE w:val="0"/>
              <w:autoSpaceDN w:val="0"/>
              <w:adjustRightInd w:val="0"/>
              <w:spacing w:line="360" w:lineRule="exact"/>
              <w:rPr>
                <w:rFonts w:ascii="宋体" w:hAnsi="宋体" w:cs="宋体"/>
                <w:color w:val="auto"/>
                <w:sz w:val="22"/>
                <w:szCs w:val="22"/>
                <w:highlight w:val="none"/>
              </w:rPr>
            </w:pPr>
            <w:r>
              <w:rPr>
                <w:rFonts w:hint="eastAsia" w:ascii="宋体" w:hAnsi="宋体" w:cs="宋体"/>
                <w:snapToGrid w:val="0"/>
                <w:color w:val="auto"/>
                <w:sz w:val="22"/>
                <w:szCs w:val="22"/>
                <w:highlight w:val="none"/>
              </w:rPr>
              <w:t>资金来源：财政性资金。</w:t>
            </w:r>
          </w:p>
        </w:tc>
      </w:tr>
      <w:tr>
        <w:tblPrEx>
          <w:tblCellMar>
            <w:top w:w="0" w:type="dxa"/>
            <w:left w:w="108" w:type="dxa"/>
            <w:bottom w:w="0" w:type="dxa"/>
            <w:right w:w="108" w:type="dxa"/>
          </w:tblCellMar>
        </w:tblPrEx>
        <w:trPr>
          <w:trHeight w:val="485"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服务期限</w:t>
            </w:r>
          </w:p>
        </w:tc>
        <w:tc>
          <w:tcPr>
            <w:tcW w:w="72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napToGrid w:val="0"/>
                <w:color w:val="auto"/>
                <w:sz w:val="22"/>
                <w:szCs w:val="22"/>
                <w:highlight w:val="none"/>
              </w:rPr>
            </w:pPr>
            <w:r>
              <w:rPr>
                <w:rFonts w:hint="eastAsia" w:ascii="宋体" w:hAnsi="宋体" w:cs="宋体"/>
                <w:color w:val="auto"/>
                <w:kern w:val="0"/>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磋商供应商资格要求</w:t>
            </w:r>
          </w:p>
        </w:tc>
        <w:tc>
          <w:tcPr>
            <w:tcW w:w="72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b/>
                <w:color w:val="auto"/>
                <w:sz w:val="22"/>
                <w:szCs w:val="22"/>
                <w:highlight w:val="none"/>
              </w:rPr>
            </w:pPr>
            <w:r>
              <w:rPr>
                <w:rFonts w:hint="eastAsia" w:ascii="宋体" w:hAnsi="宋体" w:cs="宋体"/>
                <w:color w:val="auto"/>
                <w:kern w:val="0"/>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是否接受联合体投标</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bCs/>
                <w:snapToGrid w:val="0"/>
                <w:color w:val="auto"/>
                <w:sz w:val="22"/>
                <w:szCs w:val="22"/>
                <w:highlight w:val="none"/>
              </w:rPr>
              <w:sym w:font="Wingdings" w:char="00A8"/>
            </w:r>
            <w:r>
              <w:rPr>
                <w:rFonts w:hint="eastAsia" w:ascii="宋体" w:hAnsi="宋体" w:cs="宋体"/>
                <w:color w:val="auto"/>
                <w:kern w:val="0"/>
                <w:sz w:val="22"/>
                <w:szCs w:val="22"/>
                <w:highlight w:val="none"/>
              </w:rPr>
              <w:t>不接受</w:t>
            </w:r>
          </w:p>
          <w:p>
            <w:pPr>
              <w:spacing w:line="360" w:lineRule="exact"/>
              <w:rPr>
                <w:rFonts w:ascii="宋体" w:hAnsi="宋体" w:cs="宋体"/>
                <w:color w:val="auto"/>
                <w:kern w:val="0"/>
                <w:sz w:val="22"/>
                <w:szCs w:val="22"/>
                <w:highlight w:val="none"/>
              </w:rPr>
            </w:pPr>
            <w:r>
              <w:rPr>
                <w:rFonts w:hint="eastAsia" w:ascii="宋体" w:hAnsi="宋体" w:cs="宋体"/>
                <w:bCs/>
                <w:snapToGrid w:val="0"/>
                <w:color w:val="auto"/>
                <w:sz w:val="22"/>
                <w:szCs w:val="22"/>
                <w:highlight w:val="none"/>
              </w:rPr>
              <w:sym w:font="Wingdings" w:char="00FE"/>
            </w:r>
            <w:r>
              <w:rPr>
                <w:rFonts w:hint="eastAsia" w:ascii="宋体" w:hAnsi="宋体" w:cs="宋体"/>
                <w:color w:val="auto"/>
                <w:kern w:val="0"/>
                <w:sz w:val="22"/>
                <w:szCs w:val="22"/>
                <w:highlight w:val="none"/>
              </w:rPr>
              <w:t>接受，应满足下列要求：</w:t>
            </w:r>
            <w:r>
              <w:rPr>
                <w:rFonts w:hint="eastAsia" w:ascii="宋体" w:hAnsi="宋体" w:cs="宋体"/>
                <w:color w:val="auto"/>
                <w:kern w:val="0"/>
                <w:sz w:val="22"/>
                <w:szCs w:val="22"/>
                <w:highlight w:val="none"/>
                <w:lang w:val="en-US" w:eastAsia="zh-CN"/>
              </w:rPr>
              <w:t>联合体各方均应具备相应的资质</w:t>
            </w:r>
            <w:r>
              <w:rPr>
                <w:rFonts w:hint="eastAsia" w:ascii="宋体" w:hAnsi="宋体" w:cs="宋体"/>
                <w:color w:val="auto"/>
                <w:kern w:val="0"/>
                <w:sz w:val="22"/>
                <w:szCs w:val="22"/>
                <w:highlight w:val="none"/>
              </w:rPr>
              <w:t>。</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□组织，</w:t>
            </w:r>
            <w:r>
              <w:rPr>
                <w:rFonts w:hint="eastAsia" w:ascii="宋体" w:hAnsi="宋体" w:cs="宋体"/>
                <w:color w:val="auto"/>
                <w:kern w:val="0"/>
                <w:sz w:val="22"/>
                <w:szCs w:val="22"/>
                <w:highlight w:val="none"/>
              </w:rPr>
              <w:t>时间：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,地点：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，联系方式</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pPr>
              <w:spacing w:line="360" w:lineRule="exact"/>
              <w:rPr>
                <w:rFonts w:hint="eastAsia" w:ascii="宋体" w:hAnsi="宋体" w:eastAsia="宋体" w:cs="宋体"/>
                <w:color w:val="auto"/>
                <w:kern w:val="0"/>
                <w:sz w:val="22"/>
                <w:szCs w:val="22"/>
                <w:highlight w:val="none"/>
                <w:lang w:eastAsia="zh-CN"/>
              </w:rPr>
            </w:pPr>
            <w:r>
              <w:rPr>
                <w:rFonts w:hint="eastAsia" w:ascii="宋体" w:hAnsi="宋体" w:cs="宋体"/>
                <w:bCs/>
                <w:snapToGrid w:val="0"/>
                <w:color w:val="auto"/>
                <w:sz w:val="22"/>
                <w:szCs w:val="22"/>
                <w:highlight w:val="none"/>
              </w:rPr>
              <w:sym w:font="Wingdings" w:char="00FE"/>
            </w:r>
            <w:r>
              <w:rPr>
                <w:rFonts w:hint="eastAsia" w:ascii="宋体" w:hAnsi="宋体" w:cs="宋体"/>
                <w:color w:val="auto"/>
                <w:sz w:val="22"/>
                <w:szCs w:val="22"/>
                <w:highlight w:val="none"/>
              </w:rPr>
              <w:t>不组织</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如需勘察，</w:t>
            </w:r>
            <w:r>
              <w:rPr>
                <w:rFonts w:hint="eastAsia" w:ascii="宋体" w:hAnsi="宋体" w:cs="宋体"/>
                <w:color w:val="auto"/>
                <w:sz w:val="22"/>
                <w:szCs w:val="22"/>
                <w:highlight w:val="none"/>
                <w:lang w:val="en-US" w:eastAsia="zh-CN"/>
              </w:rPr>
              <w:t>请自行前往</w:t>
            </w:r>
            <w:r>
              <w:rPr>
                <w:rFonts w:hint="eastAsia" w:ascii="宋体" w:hAnsi="宋体" w:cs="宋体"/>
                <w:color w:val="auto"/>
                <w:sz w:val="22"/>
                <w:szCs w:val="22"/>
                <w:highlight w:val="none"/>
              </w:rPr>
              <w:t>往。</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pPr>
              <w:spacing w:line="360" w:lineRule="exact"/>
              <w:rPr>
                <w:rFonts w:ascii="宋体" w:hAnsi="宋体" w:cs="宋体"/>
                <w:color w:val="auto"/>
                <w:kern w:val="0"/>
                <w:sz w:val="22"/>
                <w:szCs w:val="22"/>
                <w:highlight w:val="none"/>
              </w:rPr>
            </w:pPr>
            <w:r>
              <w:rPr>
                <w:rFonts w:hint="eastAsia" w:ascii="宋体" w:hAnsi="宋体" w:cs="宋体"/>
                <w:bCs/>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bCs/>
                <w:color w:val="auto"/>
                <w:sz w:val="22"/>
                <w:szCs w:val="22"/>
                <w:highlight w:val="none"/>
              </w:rPr>
              <w:t>分包与转包</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（1）分包：</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 xml:space="preserve"> 同意将非主体、非关键性的工作分包。</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不同意分包。</w:t>
            </w:r>
          </w:p>
          <w:p>
            <w:pPr>
              <w:spacing w:line="36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（2）转包：本项目不允许转包。</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snapToGrid w:val="0"/>
                <w:color w:val="auto"/>
                <w:sz w:val="22"/>
                <w:szCs w:val="22"/>
                <w:highlight w:val="none"/>
              </w:rPr>
              <w:t>报价要求</w:t>
            </w:r>
          </w:p>
        </w:tc>
        <w:tc>
          <w:tcPr>
            <w:tcW w:w="7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本项目采用人民币报价</w:t>
            </w:r>
          </w:p>
          <w:p>
            <w:pPr>
              <w:adjustRightInd w:val="0"/>
              <w:snapToGrid w:val="0"/>
              <w:spacing w:line="360" w:lineRule="exact"/>
              <w:rPr>
                <w:rFonts w:ascii="宋体" w:hAnsi="宋体" w:cs="宋体"/>
                <w:color w:val="auto"/>
                <w:sz w:val="22"/>
                <w:szCs w:val="22"/>
                <w:highlight w:val="none"/>
              </w:rPr>
            </w:pPr>
            <w:r>
              <w:rPr>
                <w:rFonts w:hint="eastAsia" w:ascii="宋体" w:hAnsi="宋体" w:cs="宋体"/>
                <w:snapToGrid w:val="0"/>
                <w:color w:val="auto"/>
                <w:sz w:val="22"/>
                <w:szCs w:val="22"/>
                <w:highlight w:val="none"/>
              </w:rPr>
              <w:t>客户端填写的报价与以pdf格式上传文件中的报价不一致的，应以pdf格式上传文件中的报价为准。</w:t>
            </w:r>
          </w:p>
          <w:p>
            <w:pPr>
              <w:adjustRightInd w:val="0"/>
              <w:snapToGrid w:val="0"/>
              <w:spacing w:line="360" w:lineRule="exact"/>
              <w:rPr>
                <w:rFonts w:ascii="宋体" w:hAnsi="宋体" w:cs="宋体"/>
                <w:color w:val="auto"/>
                <w:sz w:val="22"/>
                <w:szCs w:val="22"/>
                <w:highlight w:val="none"/>
              </w:rPr>
            </w:pPr>
            <w:r>
              <w:rPr>
                <w:rFonts w:hint="eastAsia" w:ascii="宋体" w:hAnsi="宋体" w:cs="宋体"/>
                <w:snapToGrid w:val="0"/>
                <w:color w:val="auto"/>
                <w:sz w:val="22"/>
                <w:szCs w:val="22"/>
                <w:highlight w:val="none"/>
              </w:rPr>
              <w:t>竞争性磋商以最后报价为合同价。</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磋商小组判断，细微偏差要求磋商供应商在评标结束前予以澄清、说明或补正，不接受要求进行的，磋商小组有权做无效标处理，详见磋商原则及方法。</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磋商有效期</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磋商响应文件自磋商截止时间起生效，有效期60天。</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合同签订时间</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成交通知书发出之日起30天内与采购人签订合同。</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递交磋商响应</w:t>
            </w:r>
          </w:p>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文件地点</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磋商时间和地点</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响应文件的编制</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详见第二部分“磋商供应商须知”第三款</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7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响应文件形式、制作及组成</w:t>
            </w:r>
          </w:p>
        </w:tc>
        <w:tc>
          <w:tcPr>
            <w:tcW w:w="7259"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rPr>
                <w:rFonts w:hAnsi="宋体" w:cs="宋体"/>
                <w:b/>
                <w:bCs/>
                <w:color w:val="auto"/>
                <w:sz w:val="22"/>
                <w:szCs w:val="22"/>
                <w:highlight w:val="none"/>
              </w:rPr>
            </w:pPr>
            <w:r>
              <w:rPr>
                <w:rFonts w:hint="eastAsia" w:hAnsi="宋体" w:cs="宋体"/>
                <w:b/>
                <w:bCs/>
                <w:color w:val="auto"/>
                <w:sz w:val="22"/>
                <w:szCs w:val="22"/>
                <w:highlight w:val="none"/>
              </w:rPr>
              <w:t>本项目实行网上电子投标。</w:t>
            </w:r>
          </w:p>
          <w:p>
            <w:pPr>
              <w:pStyle w:val="21"/>
              <w:snapToGrid w:val="0"/>
              <w:spacing w:line="360" w:lineRule="exact"/>
              <w:rPr>
                <w:rFonts w:hAnsi="宋体" w:cs="宋体"/>
                <w:b/>
                <w:bCs/>
                <w:color w:val="auto"/>
                <w:sz w:val="22"/>
                <w:szCs w:val="22"/>
                <w:highlight w:val="none"/>
              </w:rPr>
            </w:pPr>
            <w:r>
              <w:rPr>
                <w:rFonts w:hint="eastAsia" w:hAnsi="宋体" w:cs="宋体"/>
                <w:b/>
                <w:bCs/>
                <w:color w:val="auto"/>
                <w:sz w:val="22"/>
                <w:szCs w:val="22"/>
                <w:highlight w:val="none"/>
              </w:rPr>
              <w:t>供应商应准备电子响应文件、以介质存储的数据电文形式的备份响应文件二类：</w:t>
            </w:r>
          </w:p>
          <w:p>
            <w:pPr>
              <w:pStyle w:val="21"/>
              <w:snapToGrid w:val="0"/>
              <w:spacing w:line="360" w:lineRule="exact"/>
              <w:ind w:firstLine="221" w:firstLineChars="100"/>
              <w:rPr>
                <w:rFonts w:hAnsi="宋体" w:cs="宋体"/>
                <w:b/>
                <w:bCs/>
                <w:color w:val="auto"/>
                <w:sz w:val="22"/>
                <w:szCs w:val="22"/>
                <w:highlight w:val="none"/>
              </w:rPr>
            </w:pPr>
            <w:r>
              <w:rPr>
                <w:rFonts w:hint="eastAsia" w:hAnsi="宋体" w:cs="宋体"/>
                <w:b/>
                <w:bCs/>
                <w:color w:val="auto"/>
                <w:sz w:val="22"/>
                <w:szCs w:val="22"/>
                <w:highlight w:val="none"/>
              </w:rPr>
              <w:t>(1)电子响应文件：通过政采云电子交易客户端（政采云投标客户端）完成响应文件编制后生成并加密的数据电文形式的响应文件（文件扩展名为.jmbs）</w:t>
            </w:r>
            <w:r>
              <w:rPr>
                <w:rFonts w:hint="eastAsia" w:hAnsi="宋体" w:cs="宋体"/>
                <w:b/>
                <w:bCs/>
                <w:color w:val="auto"/>
                <w:sz w:val="22"/>
                <w:szCs w:val="22"/>
                <w:highlight w:val="none"/>
                <w:lang w:val="zh-CN"/>
              </w:rPr>
              <w:t>。</w:t>
            </w:r>
          </w:p>
          <w:p>
            <w:pPr>
              <w:spacing w:line="360" w:lineRule="exact"/>
              <w:ind w:firstLine="221" w:firstLineChars="100"/>
              <w:rPr>
                <w:rStyle w:val="41"/>
                <w:rFonts w:ascii="宋体" w:hAnsi="宋体" w:cs="宋体"/>
                <w:bCs/>
                <w:color w:val="auto"/>
                <w:sz w:val="22"/>
                <w:szCs w:val="22"/>
                <w:highlight w:val="none"/>
              </w:rPr>
            </w:pPr>
            <w:r>
              <w:rPr>
                <w:rFonts w:hint="eastAsia" w:ascii="宋体" w:hAnsi="宋体" w:cs="宋体"/>
                <w:b/>
                <w:bCs/>
                <w:color w:val="auto"/>
                <w:sz w:val="22"/>
                <w:szCs w:val="22"/>
                <w:highlight w:val="none"/>
              </w:rPr>
              <w:t>(2)以介质存储的数据电文形式的备份响应文件：</w:t>
            </w:r>
            <w:r>
              <w:rPr>
                <w:rStyle w:val="41"/>
                <w:rFonts w:hint="eastAsia" w:ascii="宋体" w:hAnsi="宋体" w:cs="宋体"/>
                <w:bCs/>
                <w:color w:val="auto"/>
                <w:sz w:val="22"/>
                <w:szCs w:val="22"/>
                <w:highlight w:val="none"/>
              </w:rPr>
              <w:t>与“电子响应文件”同时生成的数据电文形式的备份响应文件(文件扩展名为.bfbs)</w:t>
            </w:r>
            <w:r>
              <w:rPr>
                <w:rFonts w:hint="eastAsia" w:ascii="宋体" w:hAnsi="宋体" w:cs="宋体"/>
                <w:b/>
                <w:bCs/>
                <w:color w:val="auto"/>
                <w:sz w:val="22"/>
                <w:szCs w:val="22"/>
                <w:highlight w:val="none"/>
              </w:rPr>
              <w:t>，响应文件提交截止时间前以</w:t>
            </w:r>
            <w:r>
              <w:rPr>
                <w:rFonts w:hint="eastAsia" w:ascii="宋体" w:hAnsi="宋体" w:cs="宋体"/>
                <w:b/>
                <w:bCs/>
                <w:color w:val="auto"/>
                <w:sz w:val="22"/>
                <w:szCs w:val="22"/>
                <w:highlight w:val="none"/>
                <w:lang w:val="zh-CN"/>
              </w:rPr>
              <w:t>电子邮件方式</w:t>
            </w:r>
            <w:r>
              <w:rPr>
                <w:rFonts w:hint="eastAsia" w:ascii="宋体" w:hAnsi="宋体" w:cs="宋体"/>
                <w:b/>
                <w:bCs/>
                <w:color w:val="auto"/>
                <w:sz w:val="22"/>
                <w:szCs w:val="22"/>
                <w:highlight w:val="none"/>
                <w:lang w:val="zh-CN"/>
              </w:rPr>
              <w:t>传送至</w:t>
            </w:r>
            <w:r>
              <w:rPr>
                <w:rFonts w:hint="eastAsia" w:ascii="宋体" w:hAnsi="宋体" w:cs="宋体"/>
                <w:b/>
                <w:bCs/>
                <w:color w:val="auto"/>
                <w:sz w:val="22"/>
                <w:szCs w:val="22"/>
                <w:highlight w:val="none"/>
                <w:lang w:eastAsia="zh-CN"/>
              </w:rPr>
              <w:t>浙江科达工程项目管理有限公司</w:t>
            </w:r>
            <w:r>
              <w:rPr>
                <w:rFonts w:hint="eastAsia" w:ascii="宋体" w:hAnsi="宋体" w:cs="宋体"/>
                <w:b/>
                <w:bCs/>
                <w:color w:val="auto"/>
                <w:sz w:val="22"/>
                <w:szCs w:val="22"/>
                <w:highlight w:val="none"/>
                <w:lang w:val="zh-CN"/>
              </w:rPr>
              <w:t>电子邮箱</w:t>
            </w:r>
            <w:r>
              <w:rPr>
                <w:rFonts w:hint="eastAsia" w:ascii="宋体" w:hAnsi="宋体" w:cs="宋体"/>
                <w:b/>
                <w:bCs/>
                <w:color w:val="auto"/>
                <w:sz w:val="22"/>
                <w:szCs w:val="22"/>
                <w:highlight w:val="none"/>
                <w:u w:val="single"/>
                <w:lang w:val="en-US" w:eastAsia="zh-CN"/>
              </w:rPr>
              <w:t>471870577</w:t>
            </w:r>
            <w:r>
              <w:rPr>
                <w:rFonts w:hint="eastAsia" w:ascii="宋体" w:hAnsi="宋体"/>
                <w:b/>
                <w:bCs/>
                <w:color w:val="auto"/>
                <w:szCs w:val="22"/>
                <w:highlight w:val="none"/>
                <w:u w:val="single"/>
              </w:rPr>
              <w:t>@qq.com</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递交</w:t>
            </w: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zh-CN"/>
              </w:rPr>
              <w:t>份</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传送的备份响应文件需打包压缩并加密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加密密码由供应商自行保</w:t>
            </w:r>
            <w:r>
              <w:rPr>
                <w:rFonts w:hint="eastAsia" w:ascii="宋体" w:hAnsi="宋体" w:cs="宋体"/>
                <w:b/>
                <w:bCs/>
                <w:color w:val="auto"/>
                <w:sz w:val="22"/>
                <w:szCs w:val="22"/>
                <w:highlight w:val="none"/>
                <w:lang w:val="zh-CN"/>
              </w:rPr>
              <w:t>管</w:t>
            </w:r>
            <w:r>
              <w:rPr>
                <w:rFonts w:hint="eastAsia" w:ascii="宋体" w:hAnsi="宋体" w:cs="宋体"/>
                <w:b/>
                <w:bCs/>
                <w:color w:val="auto"/>
                <w:sz w:val="22"/>
                <w:szCs w:val="22"/>
                <w:highlight w:val="none"/>
              </w:rPr>
              <w:t>，未加密导致投标信息泄露的风险由供应商自行承担。</w:t>
            </w:r>
          </w:p>
          <w:p>
            <w:pPr>
              <w:pStyle w:val="21"/>
              <w:snapToGrid w:val="0"/>
              <w:spacing w:line="360" w:lineRule="exact"/>
              <w:rPr>
                <w:rFonts w:hAnsi="宋体" w:cs="宋体"/>
                <w:color w:val="auto"/>
                <w:sz w:val="22"/>
                <w:szCs w:val="22"/>
                <w:highlight w:val="none"/>
              </w:rPr>
            </w:pPr>
            <w:r>
              <w:rPr>
                <w:rFonts w:hint="eastAsia" w:hAnsi="宋体" w:cs="宋体"/>
                <w:b/>
                <w:bCs/>
                <w:color w:val="auto"/>
                <w:sz w:val="22"/>
                <w:szCs w:val="22"/>
                <w:highlight w:val="none"/>
              </w:rPr>
              <w:t>响应文件由报价文件、</w:t>
            </w:r>
            <w:r>
              <w:rPr>
                <w:rFonts w:hint="eastAsia" w:hAnsi="宋体" w:cs="宋体"/>
                <w:b/>
                <w:color w:val="auto"/>
                <w:sz w:val="22"/>
                <w:szCs w:val="22"/>
                <w:highlight w:val="none"/>
              </w:rPr>
              <w:t>资格文件、商务</w:t>
            </w:r>
            <w:r>
              <w:rPr>
                <w:rFonts w:hint="eastAsia" w:hAnsi="宋体" w:cs="宋体"/>
                <w:b/>
                <w:bCs/>
                <w:color w:val="auto"/>
                <w:sz w:val="22"/>
                <w:szCs w:val="22"/>
                <w:highlight w:val="none"/>
              </w:rPr>
              <w:t>技术文件三部分组成。</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18</w:t>
            </w:r>
          </w:p>
        </w:tc>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电子招投标特殊情况处理方式</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本项目原则上采用政采云电子招投标开标及评审程序，但有下情形之一的，按以下情况处理：</w:t>
            </w:r>
          </w:p>
          <w:p>
            <w:pPr>
              <w:spacing w:line="360" w:lineRule="exact"/>
              <w:rPr>
                <w:rFonts w:ascii="宋体" w:hAnsi="宋体" w:cs="宋体"/>
                <w:color w:val="auto"/>
                <w:kern w:val="0"/>
                <w:sz w:val="22"/>
                <w:szCs w:val="22"/>
                <w:highlight w:val="none"/>
              </w:rPr>
            </w:pPr>
            <w:r>
              <w:rPr>
                <w:rFonts w:hint="eastAsia" w:ascii="宋体" w:hAnsi="宋体" w:cs="宋体"/>
                <w:b/>
                <w:bCs/>
                <w:color w:val="auto"/>
                <w:sz w:val="22"/>
                <w:szCs w:val="22"/>
                <w:highlight w:val="none"/>
              </w:rPr>
              <w:t>若供应商在规定时间内无法解密或解密失败，采购代理机构将开启所有供应商递交的以介质存储的数据电文形式的备份响应文件，上传至政采云平台项目采购模块，以完成开标，电子响应文件自动失效。</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开评标程序</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待开标→磋商响应文件在线解密→代理机构或采购人在线</w:t>
            </w:r>
            <w:r>
              <w:rPr>
                <w:rFonts w:hint="eastAsia" w:ascii="宋体" w:hAnsi="宋体" w:cs="宋体"/>
                <w:color w:val="auto"/>
                <w:sz w:val="22"/>
                <w:szCs w:val="22"/>
                <w:highlight w:val="none"/>
              </w:rPr>
              <w:t>资格性审查</w:t>
            </w:r>
            <w:r>
              <w:rPr>
                <w:rFonts w:hint="eastAsia" w:ascii="宋体" w:hAnsi="宋体" w:cs="宋体"/>
                <w:color w:val="auto"/>
                <w:kern w:val="0"/>
                <w:sz w:val="22"/>
                <w:szCs w:val="22"/>
                <w:highlight w:val="none"/>
              </w:rPr>
              <w:t>→磋商小组在线符合性审查→系统开启二次报价→专家在线评标→磋商小组对最终报价情况进行评审→</w:t>
            </w:r>
            <w:r>
              <w:rPr>
                <w:rFonts w:hint="eastAsia" w:ascii="宋体" w:hAnsi="宋体" w:cs="宋体"/>
                <w:color w:val="auto"/>
                <w:sz w:val="22"/>
                <w:szCs w:val="22"/>
                <w:highlight w:val="none"/>
              </w:rPr>
              <w:t>系统公布评审结果</w:t>
            </w:r>
          </w:p>
          <w:p>
            <w:pPr>
              <w:spacing w:line="36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上述程序将根据政采云电子评标系统的调整而变动。</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磋商小组的组建</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磋商小组由采购人代表和有关技术、经济等方面的专家组成，成员人数为3人或以上单数，除采购人代表外的专家将在温州市财政局的评标专家库中随机抽取产生。</w:t>
            </w:r>
          </w:p>
        </w:tc>
      </w:tr>
      <w:tr>
        <w:tblPrEx>
          <w:tblCellMar>
            <w:top w:w="0" w:type="dxa"/>
            <w:left w:w="108" w:type="dxa"/>
            <w:bottom w:w="0" w:type="dxa"/>
            <w:right w:w="108" w:type="dxa"/>
          </w:tblCellMar>
        </w:tblPrEx>
        <w:trPr>
          <w:trHeight w:val="500"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21</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sz w:val="22"/>
                <w:szCs w:val="22"/>
                <w:highlight w:val="none"/>
              </w:rPr>
              <w:t>履约</w:t>
            </w:r>
            <w:r>
              <w:rPr>
                <w:rFonts w:hint="eastAsia" w:ascii="宋体" w:hAnsi="宋体" w:cs="宋体"/>
                <w:color w:val="auto"/>
                <w:sz w:val="22"/>
                <w:szCs w:val="22"/>
                <w:highlight w:val="none"/>
                <w:lang w:eastAsia="zh-CN"/>
              </w:rPr>
              <w:t>担保</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新宋体" w:hAnsi="新宋体" w:eastAsia="新宋体" w:cs="新宋体"/>
                <w:kern w:val="0"/>
                <w:szCs w:val="21"/>
                <w:highlight w:val="none"/>
                <w:lang w:val="en-US" w:eastAsia="zh-CN"/>
              </w:rPr>
              <w:t>不</w:t>
            </w:r>
            <w:r>
              <w:rPr>
                <w:rFonts w:hint="eastAsia" w:ascii="新宋体" w:hAnsi="新宋体" w:eastAsia="新宋体" w:cs="新宋体"/>
                <w:kern w:val="0"/>
                <w:szCs w:val="21"/>
                <w:highlight w:val="none"/>
              </w:rPr>
              <w:t>需要</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磋商响应文件无效标条款</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详见竞争性磋商文件第1</w:t>
            </w:r>
            <w:r>
              <w:rPr>
                <w:rFonts w:hint="eastAsia" w:ascii="宋体" w:hAnsi="宋体" w:cs="宋体"/>
                <w:b/>
                <w:color w:val="auto"/>
                <w:kern w:val="0"/>
                <w:sz w:val="22"/>
                <w:szCs w:val="22"/>
                <w:highlight w:val="none"/>
                <w:lang w:val="en-US" w:eastAsia="zh-CN"/>
              </w:rPr>
              <w:t>4</w:t>
            </w:r>
            <w:r>
              <w:rPr>
                <w:rFonts w:hint="eastAsia" w:ascii="宋体" w:hAnsi="宋体" w:cs="宋体"/>
                <w:b/>
                <w:color w:val="auto"/>
                <w:kern w:val="0"/>
                <w:sz w:val="22"/>
                <w:szCs w:val="22"/>
                <w:highlight w:val="none"/>
              </w:rPr>
              <w:t>页，第6</w:t>
            </w:r>
            <w:r>
              <w:rPr>
                <w:rFonts w:hint="eastAsia" w:ascii="宋体" w:hAnsi="宋体" w:cs="宋体"/>
                <w:b/>
                <w:color w:val="auto"/>
                <w:sz w:val="22"/>
                <w:szCs w:val="22"/>
                <w:highlight w:val="none"/>
              </w:rPr>
              <w:t>点</w:t>
            </w:r>
            <w:r>
              <w:rPr>
                <w:rFonts w:hint="eastAsia" w:ascii="宋体" w:hAnsi="宋体" w:cs="宋体"/>
                <w:b/>
                <w:color w:val="auto"/>
                <w:kern w:val="0"/>
                <w:sz w:val="22"/>
                <w:szCs w:val="22"/>
                <w:highlight w:val="none"/>
              </w:rPr>
              <w:t>。</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23</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供应商信用信息查询</w:t>
            </w:r>
          </w:p>
        </w:tc>
        <w:tc>
          <w:tcPr>
            <w:tcW w:w="7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1.信用信息查询的截止时点：响应文件递交截止时间；</w:t>
            </w:r>
          </w:p>
          <w:p>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3"/>
                <w:rFonts w:hint="eastAsia" w:ascii="宋体" w:hAnsi="宋体" w:cs="宋体"/>
                <w:color w:val="auto"/>
                <w:sz w:val="22"/>
                <w:szCs w:val="22"/>
                <w:highlight w:val="none"/>
              </w:rPr>
              <w:t>www.creditchina.gov.cn</w:t>
            </w:r>
            <w:r>
              <w:rPr>
                <w:rStyle w:val="43"/>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3"/>
                <w:rFonts w:hint="eastAsia" w:ascii="宋体" w:hAnsi="宋体" w:cs="宋体"/>
                <w:color w:val="auto"/>
                <w:sz w:val="22"/>
                <w:szCs w:val="22"/>
                <w:highlight w:val="none"/>
              </w:rPr>
              <w:t>www.ccgp.gov.cn</w:t>
            </w:r>
            <w:r>
              <w:rPr>
                <w:rStyle w:val="43"/>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p>
          <w:p>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3.信用信息的使用规则：供应商存在不良信用记录的，其投标将被作为无效投标被拒绝；</w:t>
            </w:r>
          </w:p>
          <w:p>
            <w:pPr>
              <w:adjustRightInd w:val="0"/>
              <w:snapToGrid w:val="0"/>
              <w:spacing w:line="360" w:lineRule="exact"/>
              <w:rPr>
                <w:rFonts w:ascii="宋体" w:hAnsi="宋体" w:cs="宋体"/>
                <w:b/>
                <w:color w:val="auto"/>
                <w:kern w:val="0"/>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本项目扶持中小企业（监狱企业、残疾人福利性单位）有关政策</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1、扶持中小企业（监狱企业、残疾人福利性单位）： </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（1）根据工信部等部委发布的《关于印发中小企业划型标准规定的通知》（工信部联企业〔2011〕300号），本项目属于</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农、林、牧、渔业，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工业（包括采矿业，制造业，电力、热力、燃气及水生产和供应业），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建筑业，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批发业，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零售业，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交通运输业（不含铁路运输业），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仓储业，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邮政业，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住宿业，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餐饮业，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信息传输业（包括电信、互联网和相关服务），</w:t>
            </w:r>
            <w:r>
              <w:rPr>
                <w:rFonts w:hint="eastAsia" w:ascii="宋体" w:hAnsi="宋体" w:cs="宋体"/>
                <w:b/>
                <w:color w:val="auto"/>
                <w:sz w:val="22"/>
                <w:szCs w:val="22"/>
                <w:highlight w:val="none"/>
                <w:u w:val="single"/>
              </w:rPr>
              <w:sym w:font="Wingdings" w:char="00A8"/>
            </w:r>
            <w:r>
              <w:rPr>
                <w:rFonts w:hint="eastAsia" w:ascii="宋体" w:hAnsi="宋体" w:cs="宋体"/>
                <w:color w:val="auto"/>
                <w:sz w:val="22"/>
                <w:szCs w:val="22"/>
                <w:highlight w:val="none"/>
                <w:u w:val="single"/>
              </w:rPr>
              <w:t>软件和信息技术服务业，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房地产开发经营，</w:t>
            </w:r>
            <w:r>
              <w:rPr>
                <w:rFonts w:hint="eastAsia" w:ascii="宋体" w:hAnsi="宋体" w:cs="宋体"/>
                <w:b w:val="0"/>
                <w:bCs w:val="0"/>
                <w:color w:val="auto"/>
                <w:sz w:val="22"/>
                <w:szCs w:val="22"/>
                <w:highlight w:val="none"/>
                <w:u w:val="single"/>
              </w:rPr>
              <w:sym w:font="Wingdings" w:char="00A8"/>
            </w:r>
            <w:r>
              <w:rPr>
                <w:rFonts w:hint="eastAsia" w:ascii="宋体" w:hAnsi="宋体" w:cs="宋体"/>
                <w:b w:val="0"/>
                <w:bCs w:val="0"/>
                <w:color w:val="auto"/>
                <w:sz w:val="22"/>
                <w:szCs w:val="22"/>
                <w:highlight w:val="none"/>
                <w:u w:val="single"/>
              </w:rPr>
              <w:t>物业管理，</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租赁和商务服务业，</w:t>
            </w:r>
            <w:r>
              <w:rPr>
                <w:rFonts w:hint="eastAsia" w:ascii="宋体" w:hAnsi="宋体" w:cs="宋体"/>
                <w:color w:val="auto"/>
                <w:sz w:val="22"/>
                <w:szCs w:val="22"/>
                <w:highlight w:val="none"/>
                <w:u w:val="single"/>
              </w:rPr>
              <w:sym w:font="Wingdings" w:char="00FE"/>
            </w:r>
            <w:r>
              <w:rPr>
                <w:rFonts w:hint="eastAsia" w:ascii="宋体" w:hAnsi="宋体" w:cs="宋体"/>
                <w:color w:val="auto"/>
                <w:sz w:val="22"/>
                <w:szCs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cs="宋体"/>
                <w:color w:val="auto"/>
                <w:sz w:val="22"/>
                <w:szCs w:val="22"/>
                <w:highlight w:val="none"/>
              </w:rPr>
              <w:t xml:space="preserve"> 行业。</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w:t>
            </w:r>
            <w:r>
              <w:rPr>
                <w:rFonts w:ascii="宋体" w:hAnsi="宋体" w:cs="宋体"/>
                <w:color w:val="auto"/>
                <w:sz w:val="22"/>
                <w:szCs w:val="22"/>
                <w:highlight w:val="none"/>
              </w:rPr>
              <w:t>8</w:t>
            </w:r>
            <w:r>
              <w:rPr>
                <w:rFonts w:hint="eastAsia" w:ascii="宋体" w:hAnsi="宋体" w:cs="宋体"/>
                <w:color w:val="auto"/>
                <w:sz w:val="22"/>
                <w:szCs w:val="22"/>
                <w:highlight w:val="none"/>
              </w:rPr>
              <w:t>号）、（财库〔2022〕</w:t>
            </w:r>
            <w:r>
              <w:rPr>
                <w:rFonts w:ascii="宋体" w:hAnsi="宋体" w:cs="宋体"/>
                <w:color w:val="auto"/>
                <w:sz w:val="22"/>
                <w:szCs w:val="22"/>
                <w:highlight w:val="none"/>
              </w:rPr>
              <w:t>19</w:t>
            </w:r>
            <w:r>
              <w:rPr>
                <w:rFonts w:hint="eastAsia" w:ascii="宋体" w:hAnsi="宋体" w:cs="宋体"/>
                <w:color w:val="auto"/>
                <w:sz w:val="22"/>
                <w:szCs w:val="22"/>
                <w:highlight w:val="none"/>
              </w:rPr>
              <w:t>号）的相关规定：</w:t>
            </w:r>
          </w:p>
          <w:p>
            <w:pPr>
              <w:spacing w:line="360" w:lineRule="exact"/>
              <w:ind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2.1.是否为预留份额项目：</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w:char="00A8"/>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本项目为预留份额项目，专门面向中小企业采购。</w:t>
            </w:r>
          </w:p>
          <w:p>
            <w:pPr>
              <w:spacing w:line="360" w:lineRule="exact"/>
              <w:ind w:left="221" w:hanging="221" w:hangingChars="100"/>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宋体"/>
                <w:color w:val="auto"/>
                <w:sz w:val="22"/>
                <w:szCs w:val="22"/>
                <w:highlight w:val="none"/>
              </w:rPr>
              <w:t>本项目为非预留份额项目、非专门面向中小企业的项目。</w:t>
            </w:r>
          </w:p>
          <w:p>
            <w:pPr>
              <w:spacing w:line="360" w:lineRule="exact"/>
              <w:ind w:left="221" w:hanging="221" w:hangingChars="100"/>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宋体"/>
                <w:color w:val="auto"/>
                <w:sz w:val="22"/>
                <w:szCs w:val="22"/>
                <w:highlight w:val="none"/>
              </w:rPr>
              <w:t>在评审时对小型和微型企业报价给予</w:t>
            </w:r>
            <w:r>
              <w:rPr>
                <w:rFonts w:hint="eastAsia" w:ascii="宋体" w:hAnsi="宋体" w:cs="宋体"/>
                <w:color w:val="auto"/>
                <w:sz w:val="22"/>
                <w:szCs w:val="22"/>
                <w:highlight w:val="none"/>
                <w:u w:val="single"/>
                <w:lang w:val="en-US" w:eastAsia="zh-CN"/>
              </w:rPr>
              <w:t xml:space="preserve"> 10 </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rPr>
              <w:t>（工程项目为5%）的扣除，用扣除后的价格参加评审。适用招标投标法的政府采购工程建设项目，采用综合评估法但未采用低价优先法计算价格分，评标时在采用原报价进行评分的基础上增加其价格得分的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%（3%-5%）作为其价格分。</w:t>
            </w:r>
          </w:p>
          <w:p>
            <w:pPr>
              <w:spacing w:line="360" w:lineRule="exact"/>
              <w:rPr>
                <w:rFonts w:hint="eastAsia"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宋体"/>
                <w:color w:val="auto"/>
                <w:sz w:val="22"/>
                <w:szCs w:val="22"/>
                <w:highlight w:val="none"/>
              </w:rPr>
              <w:t>本项目为</w:t>
            </w:r>
            <w:r>
              <w:rPr>
                <w:rFonts w:hint="eastAsia" w:ascii="宋体" w:hAnsi="宋体" w:cs="宋体"/>
                <w:b/>
                <w:snapToGrid w:val="0"/>
                <w:color w:val="auto"/>
                <w:sz w:val="22"/>
                <w:szCs w:val="22"/>
                <w:highlight w:val="none"/>
              </w:rPr>
              <w:sym w:font="Wingdings" w:char="00FE"/>
            </w:r>
            <w:r>
              <w:rPr>
                <w:rFonts w:hint="eastAsia" w:ascii="宋体" w:hAnsi="宋体" w:cs="宋体"/>
                <w:color w:val="auto"/>
                <w:sz w:val="22"/>
                <w:szCs w:val="22"/>
                <w:highlight w:val="none"/>
              </w:rPr>
              <w:t>接受大中型企业与小微企业组成联合体、</w:t>
            </w:r>
            <w:r>
              <w:rPr>
                <w:rFonts w:hint="eastAsia" w:ascii="宋体" w:hAnsi="宋体" w:cs="宋体"/>
                <w:b/>
                <w:snapToGrid w:val="0"/>
                <w:color w:val="auto"/>
                <w:sz w:val="22"/>
                <w:szCs w:val="22"/>
                <w:highlight w:val="none"/>
              </w:rPr>
              <w:sym w:font="Wingdings" w:char="00FE"/>
            </w:r>
            <w:r>
              <w:rPr>
                <w:rFonts w:hint="eastAsia" w:ascii="宋体" w:hAnsi="宋体" w:cs="宋体"/>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6</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ascii="宋体" w:hAnsi="宋体" w:cs="宋体"/>
                <w:color w:val="auto"/>
                <w:sz w:val="22"/>
                <w:szCs w:val="22"/>
                <w:highlight w:val="none"/>
              </w:rPr>
              <w:t>4</w:t>
            </w:r>
            <w:r>
              <w:rPr>
                <w:rFonts w:hint="eastAsia" w:ascii="宋体" w:hAnsi="宋体" w:cs="宋体"/>
                <w:color w:val="auto"/>
                <w:sz w:val="22"/>
                <w:szCs w:val="22"/>
                <w:highlight w:val="none"/>
              </w:rPr>
              <w:t>%-</w:t>
            </w:r>
            <w:r>
              <w:rPr>
                <w:rFonts w:ascii="宋体" w:hAnsi="宋体" w:cs="宋体"/>
                <w:color w:val="auto"/>
                <w:sz w:val="22"/>
                <w:szCs w:val="22"/>
                <w:highlight w:val="none"/>
              </w:rPr>
              <w:t>6</w:t>
            </w:r>
            <w:r>
              <w:rPr>
                <w:rFonts w:hint="eastAsia" w:ascii="宋体" w:hAnsi="宋体" w:cs="宋体"/>
                <w:color w:val="auto"/>
                <w:sz w:val="22"/>
                <w:szCs w:val="22"/>
                <w:highlight w:val="none"/>
              </w:rPr>
              <w:t>%），工程项目为</w:t>
            </w:r>
            <w:r>
              <w:rPr>
                <w:rFonts w:hint="eastAsia" w:ascii="宋体" w:hAnsi="宋体" w:cs="宋体"/>
                <w:color w:val="auto"/>
                <w:sz w:val="22"/>
                <w:szCs w:val="22"/>
                <w:highlight w:val="none"/>
                <w:u w:val="single"/>
                <w:lang w:val="en-US" w:eastAsia="zh-CN"/>
              </w:rPr>
              <w:t xml:space="preserve"> / </w:t>
            </w:r>
            <w:r>
              <w:rPr>
                <w:rFonts w:hint="eastAsia" w:ascii="宋体" w:hAnsi="宋体" w:cs="宋体"/>
                <w:color w:val="auto"/>
                <w:sz w:val="22"/>
                <w:szCs w:val="22"/>
                <w:highlight w:val="none"/>
                <w:u w:val="none"/>
                <w:lang w:val="en-US" w:eastAsia="zh-CN"/>
              </w:rPr>
              <w:t>%</w:t>
            </w:r>
            <w:r>
              <w:rPr>
                <w:rFonts w:hint="eastAsia" w:ascii="宋体" w:hAnsi="宋体" w:cs="宋体"/>
                <w:color w:val="auto"/>
                <w:sz w:val="22"/>
                <w:szCs w:val="22"/>
                <w:highlight w:val="none"/>
              </w:rPr>
              <w:t>的扣除，用扣除后的价格参加评审。</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ascii="宋体" w:hAnsi="宋体" w:cs="宋体"/>
                <w:color w:val="auto"/>
                <w:sz w:val="22"/>
                <w:szCs w:val="22"/>
                <w:highlight w:val="none"/>
                <w:u w:val="single"/>
              </w:rPr>
              <w:t>/</w:t>
            </w:r>
            <w:r>
              <w:rPr>
                <w:rFonts w:hint="eastAsia" w:ascii="宋体" w:hAnsi="宋体" w:cs="宋体"/>
                <w:color w:val="auto"/>
                <w:sz w:val="22"/>
                <w:szCs w:val="22"/>
                <w:highlight w:val="none"/>
              </w:rPr>
              <w:t xml:space="preserve"> %（1%—2%）作为其价格分。</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2.2组成联合体或者接受分包的小微企业与联合体内其他企业、分包企业之间存在直接控股、管理关系的，不享受价格扣除优惠政策。</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2.3价格扣除比例或者价格分加分比例对小型企业和微型企业同等对待，不作区分。</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2.5接受分包的项目，享受扶持政策获得政府采购合同的，小微企业不得将合同分包给大中型企业，中型企业不得将合同分包给大型企业。</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line="360" w:lineRule="exact"/>
              <w:rPr>
                <w:rFonts w:ascii="宋体" w:hAnsi="宋体" w:cs="宋体"/>
                <w:b/>
                <w:color w:val="auto"/>
                <w:kern w:val="0"/>
                <w:sz w:val="22"/>
                <w:szCs w:val="22"/>
                <w:highlight w:val="none"/>
              </w:rPr>
            </w:pPr>
            <w:r>
              <w:rPr>
                <w:rFonts w:hint="eastAsia" w:ascii="宋体" w:hAnsi="宋体" w:cs="宋体"/>
                <w:b/>
                <w:bCs/>
                <w:color w:val="auto"/>
                <w:sz w:val="22"/>
                <w:szCs w:val="22"/>
                <w:highlight w:val="none"/>
              </w:rPr>
              <w:t>(注：未提供以上材料的，均不给予价格扣除，以上优惠政策只享受一次）。</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25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项目属性与核心产品</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宋体"/>
                <w:color w:val="auto"/>
                <w:sz w:val="22"/>
                <w:szCs w:val="22"/>
                <w:highlight w:val="none"/>
              </w:rPr>
              <w:t>货物类，</w:t>
            </w:r>
            <w:r>
              <w:rPr>
                <w:rFonts w:hint="eastAsia" w:ascii="宋体" w:hAnsi="宋体" w:cs="宋体"/>
                <w:b/>
                <w:snapToGrid w:val="0"/>
                <w:color w:val="auto"/>
                <w:sz w:val="22"/>
                <w:szCs w:val="22"/>
                <w:highlight w:val="none"/>
              </w:rPr>
              <w:sym w:font="Wingdings" w:char="00A8"/>
            </w:r>
            <w:r>
              <w:rPr>
                <w:rFonts w:hint="eastAsia" w:ascii="宋体" w:hAnsi="宋体" w:cs="宋体"/>
                <w:color w:val="auto"/>
                <w:sz w:val="22"/>
                <w:szCs w:val="22"/>
                <w:highlight w:val="none"/>
              </w:rPr>
              <w:t>单一产品或核心产品为：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b/>
                <w:snapToGrid w:val="0"/>
                <w:color w:val="auto"/>
                <w:sz w:val="22"/>
                <w:szCs w:val="22"/>
                <w:highlight w:val="none"/>
              </w:rPr>
              <w:sym w:font="Wingdings" w:char="00A8"/>
            </w:r>
            <w:r>
              <w:rPr>
                <w:rFonts w:hint="eastAsia" w:ascii="宋体" w:hAnsi="宋体" w:cs="宋体"/>
                <w:color w:val="auto"/>
                <w:sz w:val="22"/>
                <w:szCs w:val="22"/>
                <w:highlight w:val="none"/>
              </w:rPr>
              <w:t>非单一产品采购项目，采购人应当根据采购项目技术构成、产品价格比重等合理确定核心产品，并在采购文件中载明。本项目无核心产品。</w:t>
            </w:r>
          </w:p>
          <w:p>
            <w:pPr>
              <w:spacing w:line="36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服务类。</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highlight w:val="none"/>
              </w:rPr>
            </w:pPr>
            <w:r>
              <w:rPr>
                <w:rFonts w:hint="eastAsia" w:ascii="宋体" w:hAnsi="宋体"/>
                <w:color w:val="auto"/>
                <w:sz w:val="22"/>
                <w:szCs w:val="22"/>
                <w:highlight w:val="none"/>
              </w:rPr>
              <w:t>视频演示及述标情况</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olor w:val="auto"/>
                <w:sz w:val="22"/>
                <w:szCs w:val="22"/>
                <w:highlight w:val="none"/>
              </w:rPr>
              <w:t>不组织。</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27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bCs/>
                <w:color w:val="auto"/>
                <w:sz w:val="22"/>
                <w:szCs w:val="22"/>
                <w:highlight w:val="none"/>
              </w:rPr>
              <w:t>是否允许采购进口产品</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color w:val="auto"/>
                <w:kern w:val="0"/>
                <w:sz w:val="22"/>
                <w:szCs w:val="22"/>
                <w:highlight w:val="none"/>
              </w:rPr>
            </w:pPr>
            <w:r>
              <w:rPr>
                <w:rFonts w:hint="eastAsia" w:ascii="宋体" w:hAnsi="宋体" w:cs="宋体"/>
                <w:color w:val="auto"/>
                <w:sz w:val="22"/>
                <w:szCs w:val="22"/>
                <w:highlight w:val="none"/>
              </w:rPr>
              <w:sym w:font="Wingdings" w:char="F0FE"/>
            </w:r>
            <w:r>
              <w:rPr>
                <w:rFonts w:hint="eastAsia" w:ascii="宋体" w:hAnsi="宋体" w:cs="宋体"/>
                <w:bCs/>
                <w:color w:val="auto"/>
                <w:kern w:val="0"/>
                <w:sz w:val="22"/>
                <w:szCs w:val="22"/>
                <w:highlight w:val="none"/>
              </w:rPr>
              <w:t>本项目不允许采购进口产品。</w:t>
            </w:r>
          </w:p>
          <w:p>
            <w:pPr>
              <w:spacing w:line="36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sym w:font="Wingdings" w:char="00A8"/>
            </w:r>
            <w:r>
              <w:rPr>
                <w:rFonts w:hint="eastAsia" w:ascii="宋体" w:hAnsi="宋体" w:cs="宋体"/>
                <w:bCs/>
                <w:color w:val="auto"/>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28</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政府采购信用融资</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highlight w:val="none"/>
              </w:rPr>
            </w:pPr>
            <w:bookmarkStart w:id="35" w:name="_Toc195502578"/>
            <w:bookmarkStart w:id="36" w:name="_Toc195502488"/>
            <w:bookmarkStart w:id="37" w:name="_Toc202085288"/>
            <w:r>
              <w:rPr>
                <w:rFonts w:hint="eastAsia" w:ascii="宋体" w:hAnsi="宋体" w:cs="宋体"/>
                <w:color w:val="auto"/>
                <w:sz w:val="22"/>
                <w:szCs w:val="22"/>
                <w:highlight w:val="none"/>
              </w:rPr>
              <w:t>29</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采购代理服务费</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highlight w:val="none"/>
              </w:rPr>
            </w:pPr>
            <w:r>
              <w:rPr>
                <w:rFonts w:hint="eastAsia" w:ascii="宋体" w:hAnsi="宋体" w:cs="宋体"/>
                <w:bCs/>
                <w:caps/>
                <w:color w:val="auto"/>
                <w:sz w:val="22"/>
                <w:szCs w:val="22"/>
                <w:highlight w:val="none"/>
                <w:u w:val="single"/>
              </w:rPr>
              <w:t>1.</w:t>
            </w:r>
            <w:r>
              <w:rPr>
                <w:rFonts w:hint="eastAsia" w:ascii="宋体" w:hAnsi="宋体" w:cs="宋体"/>
                <w:b w:val="0"/>
                <w:bCs/>
                <w:caps/>
                <w:color w:val="auto"/>
                <w:sz w:val="22"/>
                <w:szCs w:val="22"/>
                <w:highlight w:val="none"/>
                <w:u w:val="single"/>
              </w:rPr>
              <w:t>采购代理服务费系</w:t>
            </w:r>
            <w:r>
              <w:rPr>
                <w:rFonts w:hint="eastAsia" w:ascii="宋体" w:hAnsi="宋体" w:cs="宋体"/>
                <w:b w:val="0"/>
                <w:bCs/>
                <w:caps/>
                <w:color w:val="auto"/>
                <w:sz w:val="22"/>
                <w:szCs w:val="22"/>
                <w:highlight w:val="none"/>
                <w:u w:val="single"/>
                <w:lang w:val="en-US" w:eastAsia="zh-CN"/>
              </w:rPr>
              <w:t>按固定金额人民币壹万元整</w:t>
            </w:r>
            <w:r>
              <w:rPr>
                <w:rFonts w:hint="eastAsia" w:ascii="宋体" w:hAnsi="宋体" w:cs="宋体"/>
                <w:b w:val="0"/>
                <w:bCs/>
                <w:caps/>
                <w:color w:val="auto"/>
                <w:sz w:val="22"/>
                <w:szCs w:val="22"/>
                <w:highlight w:val="none"/>
                <w:u w:val="single"/>
              </w:rPr>
              <w:t>收取，</w:t>
            </w:r>
            <w:r>
              <w:rPr>
                <w:rFonts w:hint="eastAsia" w:ascii="宋体" w:hAnsi="宋体" w:cs="宋体"/>
                <w:b w:val="0"/>
                <w:bCs/>
                <w:color w:val="auto"/>
                <w:sz w:val="22"/>
                <w:szCs w:val="22"/>
                <w:highlight w:val="none"/>
                <w:u w:val="single"/>
              </w:rPr>
              <w:t>由成交供应商在领取成交通知书时支付</w:t>
            </w:r>
            <w:r>
              <w:rPr>
                <w:rFonts w:hint="eastAsia" w:ascii="宋体" w:hAnsi="宋体" w:cs="宋体"/>
                <w:b w:val="0"/>
                <w:bCs/>
                <w:color w:val="auto"/>
                <w:sz w:val="22"/>
                <w:szCs w:val="22"/>
                <w:highlight w:val="none"/>
              </w:rPr>
              <w:t>。</w:t>
            </w:r>
          </w:p>
          <w:p>
            <w:pPr>
              <w:spacing w:line="360" w:lineRule="exact"/>
              <w:ind w:left="440" w:hanging="440" w:hangingChars="200"/>
              <w:rPr>
                <w:rFonts w:ascii="宋体" w:hAnsi="宋体" w:cs="宋体"/>
                <w:color w:val="auto"/>
                <w:spacing w:val="6"/>
                <w:sz w:val="22"/>
                <w:szCs w:val="22"/>
                <w:highlight w:val="none"/>
              </w:rPr>
            </w:pPr>
            <w:r>
              <w:rPr>
                <w:rFonts w:hint="eastAsia" w:ascii="宋体" w:hAnsi="宋体" w:cs="宋体"/>
                <w:color w:val="auto"/>
                <w:sz w:val="22"/>
                <w:szCs w:val="22"/>
                <w:highlight w:val="none"/>
              </w:rPr>
              <w:t>2.采购代理服务费可以是现金、支票或汇票。</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3.采购代理服务费汇入账户：</w:t>
            </w:r>
          </w:p>
          <w:p>
            <w:pPr>
              <w:spacing w:line="360" w:lineRule="exact"/>
              <w:ind w:left="655" w:leftChars="312" w:firstLine="121" w:firstLineChars="55"/>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户  名：</w:t>
            </w:r>
            <w:r>
              <w:rPr>
                <w:rFonts w:hint="eastAsia" w:ascii="宋体" w:hAnsi="宋体" w:cs="宋体"/>
                <w:color w:val="auto"/>
                <w:sz w:val="22"/>
                <w:szCs w:val="22"/>
                <w:highlight w:val="none"/>
                <w:lang w:eastAsia="zh-CN"/>
              </w:rPr>
              <w:t>浙江科达工程项目管理有限公司</w:t>
            </w:r>
          </w:p>
          <w:p>
            <w:pPr>
              <w:spacing w:line="360" w:lineRule="exact"/>
              <w:ind w:left="655" w:leftChars="312" w:firstLine="121" w:firstLineChars="55"/>
              <w:rPr>
                <w:rFonts w:ascii="宋体" w:hAnsi="宋体" w:cs="宋体"/>
                <w:color w:val="auto"/>
                <w:sz w:val="22"/>
                <w:szCs w:val="22"/>
                <w:highlight w:val="none"/>
              </w:rPr>
            </w:pPr>
            <w:r>
              <w:rPr>
                <w:rFonts w:hint="eastAsia" w:ascii="宋体" w:hAnsi="宋体" w:cs="宋体"/>
                <w:color w:val="auto"/>
                <w:sz w:val="22"/>
                <w:szCs w:val="22"/>
                <w:highlight w:val="none"/>
              </w:rPr>
              <w:t>账  号：201000242783913</w:t>
            </w:r>
          </w:p>
          <w:p>
            <w:pPr>
              <w:spacing w:line="360" w:lineRule="exact"/>
              <w:ind w:left="655" w:leftChars="312" w:firstLine="121" w:firstLineChars="55"/>
              <w:rPr>
                <w:rFonts w:ascii="宋体" w:hAnsi="宋体" w:cs="宋体"/>
                <w:color w:val="auto"/>
                <w:sz w:val="22"/>
                <w:szCs w:val="22"/>
                <w:highlight w:val="none"/>
              </w:rPr>
            </w:pPr>
            <w:r>
              <w:rPr>
                <w:rFonts w:hint="eastAsia" w:ascii="宋体" w:hAnsi="宋体" w:cs="宋体"/>
                <w:color w:val="auto"/>
                <w:sz w:val="22"/>
                <w:szCs w:val="22"/>
                <w:highlight w:val="none"/>
              </w:rPr>
              <w:t>开户行：浙江温州瓯海农村商业银行股份有限公司梧田支行银丰分理处</w:t>
            </w:r>
          </w:p>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4.关于采购代理服务费及其他财务方面的详细事宜请咨询采购代理机构财务部</w:t>
            </w:r>
            <w:r>
              <w:rPr>
                <w:rFonts w:hint="eastAsia" w:ascii="宋体" w:hAnsi="宋体" w:cs="宋体"/>
                <w:color w:val="auto"/>
                <w:sz w:val="22"/>
                <w:szCs w:val="22"/>
                <w:highlight w:val="none"/>
                <w:lang w:val="en-US" w:eastAsia="zh-CN"/>
              </w:rPr>
              <w:t>胡女士</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18057767521</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30</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其他约定事项</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aps/>
                <w:color w:val="auto"/>
                <w:sz w:val="22"/>
                <w:szCs w:val="22"/>
                <w:highlight w:val="none"/>
                <w:u w:val="single"/>
              </w:rPr>
            </w:pPr>
            <w:r>
              <w:rPr>
                <w:rFonts w:hint="eastAsia" w:ascii="宋体" w:hAnsi="宋体" w:cs="宋体"/>
                <w:b/>
                <w:caps/>
                <w:color w:val="auto"/>
                <w:sz w:val="22"/>
                <w:szCs w:val="22"/>
                <w:highlight w:val="none"/>
                <w:u w:val="single"/>
              </w:rPr>
              <w:t>无。</w:t>
            </w:r>
          </w:p>
        </w:tc>
      </w:tr>
    </w:tbl>
    <w:p>
      <w:pPr>
        <w:pStyle w:val="5"/>
        <w:spacing w:line="520" w:lineRule="exact"/>
        <w:jc w:val="center"/>
        <w:rPr>
          <w:color w:val="auto"/>
          <w:sz w:val="28"/>
          <w:szCs w:val="28"/>
          <w:highlight w:val="none"/>
        </w:rPr>
      </w:pPr>
      <w:bookmarkStart w:id="38" w:name="_Toc7512"/>
      <w:bookmarkStart w:id="39" w:name="_Toc32154"/>
      <w:bookmarkStart w:id="40" w:name="_Toc7835"/>
      <w:bookmarkStart w:id="41" w:name="_Toc16665"/>
      <w:bookmarkStart w:id="42" w:name="_Toc21400"/>
      <w:r>
        <w:rPr>
          <w:rFonts w:hint="eastAsia"/>
          <w:color w:val="auto"/>
          <w:sz w:val="28"/>
          <w:szCs w:val="28"/>
          <w:highlight w:val="none"/>
        </w:rPr>
        <w:t>一、说    明</w:t>
      </w:r>
      <w:bookmarkEnd w:id="35"/>
      <w:bookmarkEnd w:id="36"/>
      <w:bookmarkEnd w:id="37"/>
      <w:bookmarkEnd w:id="38"/>
      <w:bookmarkEnd w:id="39"/>
      <w:bookmarkEnd w:id="40"/>
      <w:bookmarkEnd w:id="41"/>
      <w:bookmarkEnd w:id="42"/>
    </w:p>
    <w:p>
      <w:pPr>
        <w:tabs>
          <w:tab w:val="left" w:pos="360"/>
        </w:tabs>
        <w:spacing w:line="440" w:lineRule="exact"/>
        <w:ind w:left="550" w:hanging="550" w:hangingChars="250"/>
        <w:rPr>
          <w:rFonts w:ascii="宋体" w:hAnsi="宋体" w:cs="宋体"/>
          <w:color w:val="auto"/>
          <w:sz w:val="22"/>
          <w:szCs w:val="22"/>
          <w:highlight w:val="none"/>
        </w:rPr>
      </w:pPr>
      <w:bookmarkStart w:id="43" w:name="_Toc195502489"/>
      <w:bookmarkStart w:id="44" w:name="_Toc195502579"/>
      <w:bookmarkStart w:id="45" w:name="_Toc202085289"/>
      <w:r>
        <w:rPr>
          <w:rFonts w:hint="eastAsia" w:ascii="宋体" w:hAnsi="宋体" w:cs="宋体"/>
          <w:color w:val="auto"/>
          <w:sz w:val="22"/>
          <w:szCs w:val="22"/>
          <w:highlight w:val="none"/>
        </w:rPr>
        <w:t>1.   本次采购是按照《中华人民共和国政府采购法》、《中华人民共和国政府采购法实施条例》、《政府采购竞争性磋商采购方式管理暂行办法》《浙江省政府采购项目电子交易管理暂行办法》（浙财采监〔2019〕10号）及省市等法律法规及有关规范性文件组织和实施的。</w:t>
      </w:r>
    </w:p>
    <w:p>
      <w:pPr>
        <w:tabs>
          <w:tab w:val="left" w:pos="360"/>
        </w:tabs>
        <w:spacing w:line="440" w:lineRule="exact"/>
        <w:ind w:left="550" w:hanging="550" w:hangingChars="250"/>
        <w:rPr>
          <w:rFonts w:ascii="宋体" w:hAnsi="宋体" w:cs="宋体"/>
          <w:color w:val="auto"/>
          <w:sz w:val="22"/>
          <w:szCs w:val="22"/>
          <w:highlight w:val="none"/>
        </w:rPr>
      </w:pPr>
      <w:bookmarkStart w:id="46" w:name="_Toc3235"/>
      <w:bookmarkStart w:id="47" w:name="_Toc19066"/>
      <w:bookmarkStart w:id="48" w:name="_Toc31546"/>
      <w:r>
        <w:rPr>
          <w:rFonts w:hint="eastAsia" w:ascii="宋体" w:hAnsi="宋体" w:cs="宋体"/>
          <w:color w:val="auto"/>
          <w:sz w:val="22"/>
          <w:szCs w:val="22"/>
          <w:highlight w:val="none"/>
        </w:rPr>
        <w:t>2.   定义</w:t>
      </w:r>
      <w:bookmarkEnd w:id="46"/>
      <w:bookmarkEnd w:id="47"/>
      <w:bookmarkEnd w:id="48"/>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 “采购人”系指磋商公告中载明的本项目的采购人。</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 “采购代理机构”系指磋商公告中载明的本项目的采购代理机构。</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 “磋商供应商、供应商”均系指响应招标、参加投标竞争的法人、其他组织或者自然人。</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 “负责人”系指法人企业的法定负责人，或其他组织为法律、行政法规规定代表单位行使职权的主要负责人，或自然人本人。</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2.5“电子签名”系指数据电文中以电子形式所含、所附用于识别签名人身份并表明签名人认可其中内容的数据；“公章”系指单位法定名称章。</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2.6“电子交易平台”是指本项目政府采购活动所依托的政府采购云平台（https://www.zcygov.cn/）。</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2.7 “▲”</w:t>
      </w:r>
      <w:r>
        <w:rPr>
          <w:rFonts w:hint="eastAsia" w:ascii="宋体" w:hAnsi="宋体" w:cs="宋体"/>
          <w:snapToGrid w:val="0"/>
          <w:color w:val="auto"/>
          <w:kern w:val="28"/>
          <w:sz w:val="22"/>
          <w:szCs w:val="22"/>
          <w:highlight w:val="none"/>
        </w:rPr>
        <w:t>且加下划线的条款</w:t>
      </w:r>
      <w:r>
        <w:rPr>
          <w:rFonts w:hint="eastAsia" w:ascii="宋体" w:hAnsi="宋体" w:cs="宋体"/>
          <w:color w:val="auto"/>
          <w:sz w:val="22"/>
          <w:szCs w:val="22"/>
          <w:highlight w:val="none"/>
        </w:rPr>
        <w:t>系指实质性要求条款，</w:t>
      </w:r>
      <w:r>
        <w:rPr>
          <w:rFonts w:hint="eastAsia" w:ascii="宋体" w:hAnsi="宋体" w:cs="仿宋"/>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系指不适用本项目的要求</w:t>
      </w:r>
      <w:r>
        <w:rPr>
          <w:rFonts w:hint="eastAsia" w:ascii="宋体" w:hAnsi="宋体" w:cs="宋体"/>
          <w:color w:val="auto"/>
          <w:sz w:val="22"/>
          <w:szCs w:val="22"/>
          <w:highlight w:val="none"/>
        </w:rPr>
        <w:t>。</w:t>
      </w:r>
    </w:p>
    <w:p>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3.  合格磋商供应商要求</w:t>
      </w:r>
    </w:p>
    <w:p>
      <w:pPr>
        <w:tabs>
          <w:tab w:val="left" w:pos="540"/>
          <w:tab w:val="left" w:pos="900"/>
        </w:tabs>
        <w:snapToGrid w:val="0"/>
        <w:spacing w:line="44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3.1合格的磋商供应商应满足磋商文件第一部分“磋商公告”对供应商的资格要求。</w:t>
      </w:r>
    </w:p>
    <w:p>
      <w:pPr>
        <w:tabs>
          <w:tab w:val="left" w:pos="540"/>
          <w:tab w:val="left" w:pos="900"/>
        </w:tabs>
        <w:snapToGrid w:val="0"/>
        <w:spacing w:line="44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
          <w:color w:val="auto"/>
          <w:sz w:val="22"/>
          <w:szCs w:val="22"/>
          <w:highlight w:val="none"/>
        </w:rPr>
        <w:t>单位负责人为同一人或者存在直接控股、管理关系的不同磋商供应商，不得参加同一合同项下的政府采购活动。为采购项目提供整体设计、规范编制或者项目管理、监理、检测等服务的磋商供应商，不得再参加该采购项目的其他采购活动。</w:t>
      </w:r>
    </w:p>
    <w:p>
      <w:pPr>
        <w:tabs>
          <w:tab w:val="left" w:pos="540"/>
          <w:tab w:val="left" w:pos="900"/>
        </w:tabs>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磋商供应商可授权磋商供应商代表以磋商供应商名义参加本次采购的投标活动（包括磋商响应文件的签署、澄清、说明、补正、递交、撤回、修改等以及签订合同和处理有关事宜）。如果磋商供应商代表不是法定代表人(负责人)，须持有《法定代表人(负责人)授权书》。</w:t>
      </w:r>
    </w:p>
    <w:p>
      <w:pPr>
        <w:snapToGrid w:val="0"/>
        <w:spacing w:line="440" w:lineRule="exact"/>
        <w:ind w:firstLine="464" w:firstLineChars="200"/>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3.4采用最低评标价法的</w:t>
      </w:r>
      <w:r>
        <w:rPr>
          <w:rFonts w:hint="eastAsia" w:ascii="宋体" w:hAnsi="宋体" w:cs="宋体"/>
          <w:color w:val="auto"/>
          <w:sz w:val="22"/>
          <w:szCs w:val="22"/>
          <w:highlight w:val="none"/>
        </w:rPr>
        <w:t>货物类</w:t>
      </w:r>
      <w:r>
        <w:rPr>
          <w:rFonts w:hint="eastAsia" w:ascii="宋体" w:hAnsi="宋体" w:cs="宋体"/>
          <w:bCs/>
          <w:color w:val="auto"/>
          <w:spacing w:val="6"/>
          <w:sz w:val="22"/>
          <w:szCs w:val="22"/>
          <w:highlight w:val="none"/>
        </w:rPr>
        <w:t>采购项目，提供相同品牌产品的不同磋商供应商参加同一合同项下投标的，以其中通过资格审查、符合性审查且报价最低的参加评标；报价相同的，由采购人或者采购人委托评标委员会按照磋商文件规定的方式确定一个参加评标的磋商供应商，磋商文件未规定的采取随机抽取方式确定，其他投标无效。</w:t>
      </w:r>
    </w:p>
    <w:p>
      <w:pPr>
        <w:snapToGrid w:val="0"/>
        <w:spacing w:line="440" w:lineRule="exact"/>
        <w:ind w:firstLine="464" w:firstLineChars="200"/>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使用综合评分法的</w:t>
      </w:r>
      <w:r>
        <w:rPr>
          <w:rFonts w:hint="eastAsia" w:ascii="宋体" w:hAnsi="宋体" w:cs="宋体"/>
          <w:color w:val="auto"/>
          <w:sz w:val="22"/>
          <w:szCs w:val="22"/>
          <w:highlight w:val="none"/>
        </w:rPr>
        <w:t>货物类</w:t>
      </w:r>
      <w:r>
        <w:rPr>
          <w:rFonts w:hint="eastAsia" w:ascii="宋体" w:hAnsi="宋体" w:cs="宋体"/>
          <w:bCs/>
          <w:color w:val="auto"/>
          <w:spacing w:val="6"/>
          <w:sz w:val="22"/>
          <w:szCs w:val="22"/>
          <w:highlight w:val="none"/>
        </w:rPr>
        <w:t>采购项目，提供相同品牌产品且通过资格审查、符合性审查的不同磋商供应商参加同一合同项下投标的，按一家磋商供应商计算，评审后得分最高的同品牌磋商供应商获得成交供应商推荐资格；评审得分相同的，由采购人或者采购人委托评标委员会按照磋商文件规定的方式确定一个磋商供应商获得成交供应商推荐资格，磋商文件未规定的采取随机抽取方式确定，其他同品牌磋商供应商不作为中标候选人。</w:t>
      </w:r>
    </w:p>
    <w:p>
      <w:pPr>
        <w:snapToGrid w:val="0"/>
        <w:spacing w:line="440" w:lineRule="exact"/>
        <w:ind w:firstLine="464" w:firstLineChars="200"/>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非单一产品采购项目，多家磋商供应商提供的核心产品（见</w:t>
      </w:r>
      <w:r>
        <w:rPr>
          <w:rFonts w:hint="eastAsia" w:ascii="宋体" w:hAnsi="宋体" w:cs="宋体"/>
          <w:color w:val="auto"/>
          <w:sz w:val="22"/>
          <w:szCs w:val="22"/>
          <w:highlight w:val="none"/>
        </w:rPr>
        <w:t>磋商供应商须知前附表</w:t>
      </w:r>
      <w:r>
        <w:rPr>
          <w:rFonts w:hint="eastAsia" w:ascii="宋体" w:hAnsi="宋体" w:cs="宋体"/>
          <w:bCs/>
          <w:color w:val="auto"/>
          <w:spacing w:val="6"/>
          <w:sz w:val="22"/>
          <w:szCs w:val="22"/>
          <w:highlight w:val="none"/>
        </w:rPr>
        <w:t>）品牌相同的，按前两款规定处理。</w:t>
      </w:r>
    </w:p>
    <w:p>
      <w:pPr>
        <w:snapToGrid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3.5货物类是否允许采购进口产品、是否要求节能/环境标志产品等情况见磋商供应商须知前附表。</w:t>
      </w:r>
    </w:p>
    <w:p>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4.  采购项目需要落实的政府采购政策</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4.2 支持绿色发展</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磋商供应商须按磋商文件要求提供相关产品认证证书。采购人拟采购的产品属于政府强制采购的节能产品品目清单范围的，磋商供应商未按磋商文件要求提供国家确定的认证机构出具的、处于有效期之内的节能产品认证证书的，投标无效。</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4.3支持中小企业发展</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符合中小企业划分标准的个体工商户，在政府采购活动中视同中小企业。</w:t>
      </w:r>
    </w:p>
    <w:p>
      <w:pPr>
        <w:widowControl/>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bCs/>
          <w:color w:val="auto"/>
          <w:sz w:val="22"/>
          <w:szCs w:val="22"/>
          <w:highlight w:val="none"/>
        </w:rPr>
        <w:t>4.3.2</w:t>
      </w:r>
      <w:r>
        <w:rPr>
          <w:rFonts w:hint="eastAsia" w:ascii="宋体" w:hAnsi="宋体" w:cs="宋体"/>
          <w:color w:val="auto"/>
          <w:kern w:val="0"/>
          <w:sz w:val="22"/>
          <w:szCs w:val="22"/>
          <w:highlight w:val="none"/>
        </w:rPr>
        <w:t>在政府采购活动中，磋商供应商提供的货物、工程或者服务符合下列情形的，享受中小企业扶持政策：</w:t>
      </w:r>
    </w:p>
    <w:p>
      <w:pPr>
        <w:widowControl/>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4.3.2.1在货物采购项目中，货物由中小企业制造，即货物由中小企业生产且使用该中小企业商号或者注册商标；</w:t>
      </w:r>
    </w:p>
    <w:p>
      <w:pPr>
        <w:widowControl/>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4.3.2.2在工程采购项目中，工程由中小企业承建，即工程施工单位为中小企业；</w:t>
      </w:r>
    </w:p>
    <w:p>
      <w:pPr>
        <w:widowControl/>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4.3.2.3在服务采购项目中，服务由中小企业承接，即提供服务的人员为中小企业依照《中华人民共和国劳动合同法》订立劳动合同的从业人员。</w:t>
      </w:r>
    </w:p>
    <w:p>
      <w:pPr>
        <w:widowControl/>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在货物采购项目中，磋商供应商提供的货物既有中小企业制造货物，也有大型企业制造货物的，不享受中小企业扶持政策。</w:t>
      </w:r>
    </w:p>
    <w:p>
      <w:pPr>
        <w:widowControl/>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4.3.3对于未预留份额专门面向中小企业的政府采购货物或服务项目，以及预留份额政府采购货物或服务项目中的非预留部分标项，对小型和微型企业的投标报价给予</w:t>
      </w:r>
      <w:r>
        <w:rPr>
          <w:rFonts w:ascii="宋体" w:hAnsi="宋体" w:cs="宋体"/>
          <w:color w:val="auto"/>
          <w:sz w:val="22"/>
          <w:szCs w:val="22"/>
          <w:highlight w:val="none"/>
        </w:rPr>
        <w:t>1</w:t>
      </w: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%（工程项目为1%-2%）的扣除，用扣除后的价格参加评审。组成联合体或者接受分包的小微企业与联合体内其他企业、分包企业之间存在直接控股、管理关系的，不享受价格扣除优惠政策。</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4.3.4符合《关于促进残疾人就业政府采购政策的通知》（财库〔2017〕141号）规定的条件并提供《残疾人福利性单位声明函》（附件九）的残疾人福利性单位视同小型、微型企业；</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4.3.6可享受中小企业扶持政策的磋商供应商应按照磋商文件格式要求提供《中小企业声明函》，磋商供应商提供的《中小企业声明函》与实际情况不符的，不享受中小企业扶持政策。声明内容不实的，属于提供虚假材料谋取中标、成交的，依法承担法律责任。</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4.3.7中小企业享受扶持政策获得政府采购合同的，小微企业不得将合同分包给大中型企业，中型企业不得将合同分包给大型企业。</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440" w:lineRule="exact"/>
        <w:ind w:firstLine="440" w:firstLineChars="200"/>
        <w:rPr>
          <w:rFonts w:ascii="宋体" w:hAnsi="宋体" w:cs="宋体"/>
          <w:color w:val="auto"/>
          <w:sz w:val="22"/>
          <w:szCs w:val="22"/>
          <w:highlight w:val="none"/>
        </w:rPr>
      </w:pPr>
      <w:r>
        <w:rPr>
          <w:rFonts w:hint="eastAsia" w:ascii="宋体" w:hAnsi="宋体" w:cs="宋体"/>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5.  询问、质疑、投诉</w:t>
      </w:r>
    </w:p>
    <w:p>
      <w:pPr>
        <w:autoSpaceDE w:val="0"/>
        <w:autoSpaceDN w:val="0"/>
        <w:spacing w:line="440" w:lineRule="exact"/>
        <w:ind w:firstLine="220" w:firstLineChars="1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r>
        <w:rPr>
          <w:rFonts w:hint="eastAsia" w:ascii="宋体" w:hAnsi="宋体" w:cs="宋体"/>
          <w:color w:val="auto"/>
          <w:kern w:val="0"/>
          <w:sz w:val="22"/>
          <w:szCs w:val="22"/>
          <w:highlight w:val="none"/>
          <w:lang w:val="zh-CN"/>
        </w:rPr>
        <w:t>.1供应商询问</w:t>
      </w:r>
    </w:p>
    <w:p>
      <w:pPr>
        <w:autoSpaceDE w:val="0"/>
        <w:autoSpaceDN w:val="0"/>
        <w:spacing w:line="440" w:lineRule="exact"/>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20" w:firstLineChars="1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r>
        <w:rPr>
          <w:rFonts w:hint="eastAsia" w:ascii="宋体" w:hAnsi="宋体" w:cs="宋体"/>
          <w:color w:val="auto"/>
          <w:kern w:val="0"/>
          <w:sz w:val="22"/>
          <w:szCs w:val="22"/>
          <w:highlight w:val="none"/>
          <w:lang w:val="zh-CN"/>
        </w:rPr>
        <w:t>.2供应商质疑</w:t>
      </w:r>
    </w:p>
    <w:p>
      <w:pPr>
        <w:pStyle w:val="21"/>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w:t>
      </w:r>
      <w:r>
        <w:rPr>
          <w:rFonts w:hint="eastAsia" w:hAnsi="宋体" w:cs="宋体"/>
          <w:color w:val="auto"/>
          <w:sz w:val="22"/>
          <w:szCs w:val="22"/>
          <w:highlight w:val="none"/>
          <w:lang w:val="zh-CN"/>
        </w:rPr>
        <w:t>.2</w:t>
      </w:r>
      <w:r>
        <w:rPr>
          <w:rFonts w:hint="eastAsia" w:hAnsi="宋体" w:cs="宋体"/>
          <w:color w:val="auto"/>
          <w:sz w:val="22"/>
          <w:szCs w:val="22"/>
          <w:highlight w:val="none"/>
        </w:rPr>
        <w:t>.1提出质疑的供应商应当是参与所质疑项目采购活动的供应商。潜在供应商已依法获取其可质疑的磋商文件的，可以对该文件提出质疑。</w:t>
      </w:r>
    </w:p>
    <w:p>
      <w:pPr>
        <w:pStyle w:val="21"/>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w:t>
      </w:r>
      <w:r>
        <w:rPr>
          <w:rFonts w:hint="eastAsia" w:hAnsi="宋体" w:cs="宋体"/>
          <w:color w:val="auto"/>
          <w:sz w:val="22"/>
          <w:szCs w:val="22"/>
          <w:highlight w:val="none"/>
          <w:lang w:val="zh-CN"/>
        </w:rPr>
        <w:t>.2</w:t>
      </w:r>
      <w:r>
        <w:rPr>
          <w:rFonts w:hint="eastAsia" w:hAnsi="宋体" w:cs="宋体"/>
          <w:color w:val="auto"/>
          <w:sz w:val="22"/>
          <w:szCs w:val="22"/>
          <w:highlight w:val="none"/>
        </w:rPr>
        <w:t>.2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2"/>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5.2.2.1质疑提交形式：以书面形式向磋商公告中载明的质疑联系人提交或登录政采云平台（https://www.zcygov.cn/）通过“询问质疑投诉”栏向采购机构内设的质疑联系人提交并上传书面质疑材料。</w:t>
      </w:r>
    </w:p>
    <w:p>
      <w:pPr>
        <w:pStyle w:val="12"/>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5.2.2.2对磋商文件提出质疑的，质疑期限为供应商获得磋商文件之日或者磋商文件公告期限届满之日起计算</w:t>
      </w:r>
      <w:r>
        <w:rPr>
          <w:rFonts w:hint="eastAsia" w:ascii="宋体" w:hAnsi="宋体" w:cs="仿宋"/>
          <w:color w:val="auto"/>
          <w:sz w:val="22"/>
          <w:szCs w:val="22"/>
          <w:highlight w:val="none"/>
          <w:lang w:eastAsia="zh-CN"/>
        </w:rPr>
        <w:t>（公告期限届满后获取采购文件的，以公告期限届满之日为准）</w:t>
      </w:r>
      <w:r>
        <w:rPr>
          <w:rFonts w:hint="eastAsia" w:ascii="宋体" w:hAnsi="宋体" w:cs="宋体"/>
          <w:color w:val="auto"/>
          <w:sz w:val="22"/>
          <w:szCs w:val="22"/>
          <w:highlight w:val="none"/>
        </w:rPr>
        <w:t>。</w:t>
      </w:r>
    </w:p>
    <w:p>
      <w:pPr>
        <w:pStyle w:val="21"/>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5.2.2.3对采购过程提出质疑的，质疑期限为各采购程序环节结束之日起计算。对同一采购程序环节的质疑，供应商须一次性提出。</w:t>
      </w:r>
    </w:p>
    <w:p>
      <w:pPr>
        <w:pStyle w:val="21"/>
        <w:spacing w:line="44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5.2.2.4对采购结果提出质疑的，质疑期限自采购结果公告期限届满之日起计算。</w:t>
      </w:r>
    </w:p>
    <w:p>
      <w:pPr>
        <w:pStyle w:val="21"/>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w:t>
      </w:r>
      <w:r>
        <w:rPr>
          <w:rFonts w:hint="eastAsia" w:hAnsi="宋体" w:cs="宋体"/>
          <w:color w:val="auto"/>
          <w:sz w:val="22"/>
          <w:szCs w:val="22"/>
          <w:highlight w:val="none"/>
        </w:rPr>
        <w:t>供应商提出质疑应当提交质疑函和必要的证明材料。质疑函应当包括下列内容：</w:t>
      </w:r>
    </w:p>
    <w:p>
      <w:pPr>
        <w:pStyle w:val="21"/>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.2.3.1供应商的姓名或者名称、地址、邮编、联系人及联系电话；</w:t>
      </w:r>
    </w:p>
    <w:p>
      <w:pPr>
        <w:pStyle w:val="21"/>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.2.3.2质疑项目的名称、编号；</w:t>
      </w:r>
    </w:p>
    <w:p>
      <w:pPr>
        <w:pStyle w:val="21"/>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.2.3.3具体、明确的质疑事项和与质疑事项相关的请求；</w:t>
      </w:r>
    </w:p>
    <w:p>
      <w:pPr>
        <w:pStyle w:val="21"/>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.2.3.4事实依据；</w:t>
      </w:r>
    </w:p>
    <w:p>
      <w:pPr>
        <w:pStyle w:val="21"/>
        <w:spacing w:line="440" w:lineRule="exact"/>
        <w:ind w:firstLine="440" w:firstLineChars="200"/>
        <w:rPr>
          <w:rFonts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.2.3.5必要的法律依据；</w:t>
      </w:r>
    </w:p>
    <w:p>
      <w:pPr>
        <w:spacing w:line="44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.2.3.6提出质疑的日期。</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供应商为自然人的，应当由本人签字；供应商为法人或者其他组织的，应当由法定代表人、主要负责人，或者其授权代表签字或者盖章，并加盖公章。</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质疑函范本及制作说明详见浙江政府采购网相关格式内容。</w:t>
      </w:r>
    </w:p>
    <w:p>
      <w:pPr>
        <w:spacing w:line="44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spacing w:line="44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.2.5询问或者质疑事项可能影响采购结果的，采购人应当暂停签订合同，已经签订合同的，应当中止履行合同。</w:t>
      </w:r>
    </w:p>
    <w:p>
      <w:pPr>
        <w:spacing w:line="44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.3供应商投诉</w:t>
      </w:r>
    </w:p>
    <w:p>
      <w:pPr>
        <w:spacing w:line="44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44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5.3.2供应商投诉的事项不得超出已质疑事项的范围，基于质疑答复内容提出的投诉事项除外。</w:t>
      </w:r>
    </w:p>
    <w:p>
      <w:pPr>
        <w:spacing w:line="44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5.3.3供应商投诉应当有明确的请求和必要的证明材料。</w:t>
      </w:r>
    </w:p>
    <w:p>
      <w:pPr>
        <w:spacing w:line="44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5.3.</w:t>
      </w:r>
      <w:r>
        <w:rPr>
          <w:rFonts w:ascii="宋体" w:hAnsi="宋体" w:cs="宋体"/>
          <w:color w:val="auto"/>
          <w:sz w:val="22"/>
          <w:szCs w:val="22"/>
          <w:highlight w:val="none"/>
          <w:lang w:val="zh-CN"/>
        </w:rPr>
        <w:t>4</w:t>
      </w:r>
      <w:r>
        <w:rPr>
          <w:rFonts w:hint="eastAsia" w:ascii="宋体" w:hAnsi="宋体" w:cs="宋体"/>
          <w:color w:val="auto"/>
          <w:sz w:val="22"/>
          <w:szCs w:val="22"/>
          <w:highlight w:val="none"/>
          <w:lang w:val="zh-CN"/>
        </w:rPr>
        <w:t>以联合体形式参加政府采购活动的，其投诉应当由组成联合体的所有供应商共同提出。</w:t>
      </w:r>
    </w:p>
    <w:p>
      <w:pPr>
        <w:spacing w:line="44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投诉书范本及制作说明详见浙江政府采购网相关格式内容。</w:t>
      </w:r>
    </w:p>
    <w:p>
      <w:pPr>
        <w:pStyle w:val="5"/>
        <w:spacing w:line="520" w:lineRule="exact"/>
        <w:jc w:val="center"/>
        <w:rPr>
          <w:color w:val="auto"/>
          <w:sz w:val="28"/>
          <w:szCs w:val="28"/>
          <w:highlight w:val="none"/>
        </w:rPr>
      </w:pPr>
      <w:bookmarkStart w:id="49" w:name="_Toc15094"/>
      <w:bookmarkStart w:id="50" w:name="_Toc22331"/>
      <w:bookmarkStart w:id="51" w:name="_Toc27582"/>
      <w:bookmarkStart w:id="52" w:name="_Toc28743"/>
      <w:bookmarkStart w:id="53" w:name="_Toc4052"/>
      <w:r>
        <w:rPr>
          <w:rFonts w:hint="eastAsia"/>
          <w:color w:val="auto"/>
          <w:sz w:val="28"/>
          <w:szCs w:val="28"/>
          <w:highlight w:val="none"/>
        </w:rPr>
        <w:t>二、磋商文件</w:t>
      </w:r>
      <w:bookmarkEnd w:id="43"/>
      <w:bookmarkEnd w:id="44"/>
      <w:bookmarkEnd w:id="45"/>
      <w:bookmarkEnd w:id="49"/>
      <w:bookmarkEnd w:id="50"/>
      <w:bookmarkEnd w:id="51"/>
      <w:bookmarkEnd w:id="52"/>
      <w:bookmarkEnd w:id="53"/>
    </w:p>
    <w:p>
      <w:pPr>
        <w:spacing w:line="440" w:lineRule="exact"/>
        <w:ind w:firstLine="110" w:firstLineChars="50"/>
        <w:rPr>
          <w:rFonts w:ascii="宋体" w:hAnsi="宋体"/>
          <w:color w:val="auto"/>
          <w:sz w:val="22"/>
          <w:highlight w:val="none"/>
        </w:rPr>
      </w:pPr>
      <w:bookmarkStart w:id="54" w:name="_Toc202085290"/>
      <w:bookmarkStart w:id="55" w:name="_Toc195502580"/>
      <w:bookmarkStart w:id="56" w:name="_Toc195502490"/>
      <w:r>
        <w:rPr>
          <w:rFonts w:hint="eastAsia" w:ascii="宋体" w:hAnsi="宋体"/>
          <w:color w:val="auto"/>
          <w:sz w:val="22"/>
          <w:highlight w:val="none"/>
        </w:rPr>
        <w:t>1． 磋商文件由磋商文件目录所列内容及相关资料组成。</w:t>
      </w:r>
    </w:p>
    <w:p>
      <w:pPr>
        <w:spacing w:line="440" w:lineRule="exact"/>
        <w:ind w:firstLine="108" w:firstLineChars="49"/>
        <w:rPr>
          <w:rFonts w:ascii="宋体" w:hAnsi="宋体"/>
          <w:b/>
          <w:color w:val="auto"/>
          <w:sz w:val="22"/>
          <w:highlight w:val="none"/>
        </w:rPr>
      </w:pPr>
      <w:r>
        <w:rPr>
          <w:rFonts w:hint="eastAsia" w:ascii="宋体" w:hAnsi="宋体"/>
          <w:b/>
          <w:color w:val="auto"/>
          <w:sz w:val="22"/>
          <w:highlight w:val="none"/>
        </w:rPr>
        <w:t>2． 磋商文件的澄清和修改</w:t>
      </w:r>
    </w:p>
    <w:p>
      <w:pPr>
        <w:spacing w:line="440" w:lineRule="exact"/>
        <w:rPr>
          <w:rFonts w:ascii="宋体" w:hAnsi="宋体"/>
          <w:color w:val="auto"/>
          <w:sz w:val="22"/>
          <w:highlight w:val="none"/>
        </w:rPr>
      </w:pPr>
      <w:r>
        <w:rPr>
          <w:rFonts w:hint="eastAsia" w:ascii="宋体" w:hAnsi="宋体"/>
          <w:color w:val="auto"/>
          <w:sz w:val="22"/>
          <w:highlight w:val="none"/>
        </w:rPr>
        <w:t>2.1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olor w:val="auto"/>
          <w:sz w:val="22"/>
          <w:highlight w:val="none"/>
        </w:rPr>
        <w:t>5</w:t>
      </w:r>
      <w:r>
        <w:rPr>
          <w:rFonts w:hint="eastAsia" w:ascii="宋体" w:hAnsi="宋体"/>
          <w:color w:val="auto"/>
          <w:sz w:val="22"/>
          <w:highlight w:val="none"/>
        </w:rPr>
        <w:t>日前，以书面形式通知所有获取磋商文件的供应商；不足</w:t>
      </w:r>
      <w:r>
        <w:rPr>
          <w:rFonts w:ascii="宋体" w:hAnsi="宋体"/>
          <w:color w:val="auto"/>
          <w:sz w:val="22"/>
          <w:highlight w:val="none"/>
        </w:rPr>
        <w:t>5</w:t>
      </w:r>
      <w:r>
        <w:rPr>
          <w:rFonts w:hint="eastAsia" w:ascii="宋体" w:hAnsi="宋体"/>
          <w:color w:val="auto"/>
          <w:sz w:val="22"/>
          <w:highlight w:val="none"/>
        </w:rPr>
        <w:t>日的，采购人、采购代理机构应当顺延提交首次响应文件截止时间。</w:t>
      </w:r>
    </w:p>
    <w:bookmarkEnd w:id="54"/>
    <w:bookmarkEnd w:id="55"/>
    <w:bookmarkEnd w:id="56"/>
    <w:p>
      <w:pPr>
        <w:pStyle w:val="5"/>
        <w:spacing w:line="520" w:lineRule="exact"/>
        <w:jc w:val="center"/>
        <w:rPr>
          <w:color w:val="auto"/>
          <w:sz w:val="28"/>
          <w:szCs w:val="28"/>
          <w:highlight w:val="none"/>
        </w:rPr>
      </w:pPr>
      <w:bookmarkStart w:id="57" w:name="_Toc14769"/>
      <w:bookmarkStart w:id="58" w:name="_Toc6499"/>
      <w:bookmarkStart w:id="59" w:name="_Toc27658"/>
      <w:bookmarkStart w:id="60" w:name="_Toc8244"/>
      <w:bookmarkStart w:id="61" w:name="_Toc11569"/>
      <w:bookmarkStart w:id="62" w:name="_Toc32428"/>
      <w:bookmarkStart w:id="63" w:name="_Toc23539"/>
      <w:bookmarkStart w:id="64" w:name="_Toc27856"/>
      <w:bookmarkStart w:id="65" w:name="_Toc5935"/>
      <w:bookmarkStart w:id="66" w:name="_Toc195502491"/>
      <w:bookmarkStart w:id="67" w:name="_Toc195502581"/>
      <w:bookmarkStart w:id="68" w:name="_Toc202085291"/>
      <w:r>
        <w:rPr>
          <w:rFonts w:hint="eastAsia"/>
          <w:color w:val="auto"/>
          <w:sz w:val="28"/>
          <w:szCs w:val="28"/>
          <w:highlight w:val="none"/>
        </w:rPr>
        <w:t>三、响应文件的编制</w:t>
      </w:r>
      <w:bookmarkEnd w:id="57"/>
      <w:bookmarkEnd w:id="58"/>
      <w:bookmarkEnd w:id="59"/>
      <w:bookmarkEnd w:id="60"/>
      <w:bookmarkEnd w:id="61"/>
    </w:p>
    <w:p>
      <w:pPr>
        <w:spacing w:line="440" w:lineRule="exact"/>
        <w:ind w:left="539" w:hanging="539" w:hangingChars="245"/>
        <w:rPr>
          <w:rFonts w:ascii="宋体" w:hAnsi="宋体"/>
          <w:color w:val="auto"/>
          <w:sz w:val="22"/>
          <w:szCs w:val="22"/>
          <w:highlight w:val="none"/>
        </w:rPr>
      </w:pPr>
      <w:r>
        <w:rPr>
          <w:rFonts w:hint="eastAsia" w:ascii="宋体" w:hAnsi="宋体"/>
          <w:color w:val="auto"/>
          <w:sz w:val="22"/>
          <w:szCs w:val="22"/>
          <w:highlight w:val="none"/>
        </w:rPr>
        <w:t>1．  磋商供应商应认真阅读磋商文件中所有事项、格式、条款、技术规范和其它要求等。磋商供应商没有按照</w:t>
      </w:r>
      <w:r>
        <w:rPr>
          <w:rFonts w:hint="eastAsia" w:ascii="宋体" w:hAnsi="宋体"/>
          <w:b/>
          <w:bCs/>
          <w:color w:val="auto"/>
          <w:sz w:val="22"/>
          <w:szCs w:val="22"/>
          <w:highlight w:val="none"/>
        </w:rPr>
        <w:t>磋商文件要求提交的全部资料，或者没有对磋商文件各个方面作出实质性响应，是磋商供应商的风险，并可能导致其响应被拒绝</w:t>
      </w:r>
      <w:r>
        <w:rPr>
          <w:rFonts w:hint="eastAsia" w:ascii="宋体" w:hAnsi="宋体"/>
          <w:color w:val="auto"/>
          <w:sz w:val="22"/>
          <w:szCs w:val="22"/>
          <w:highlight w:val="none"/>
        </w:rPr>
        <w:t>。</w:t>
      </w:r>
    </w:p>
    <w:p>
      <w:pPr>
        <w:spacing w:line="440" w:lineRule="exact"/>
        <w:ind w:left="539" w:hanging="539" w:hangingChars="245"/>
        <w:rPr>
          <w:rFonts w:ascii="宋体" w:hAnsi="宋体"/>
          <w:b/>
          <w:color w:val="auto"/>
          <w:sz w:val="22"/>
          <w:szCs w:val="22"/>
          <w:highlight w:val="none"/>
        </w:rPr>
      </w:pPr>
      <w:r>
        <w:rPr>
          <w:rFonts w:hint="eastAsia" w:ascii="宋体" w:hAnsi="宋体"/>
          <w:color w:val="auto"/>
          <w:sz w:val="22"/>
          <w:szCs w:val="22"/>
          <w:highlight w:val="none"/>
        </w:rPr>
        <w:t xml:space="preserve">2． </w:t>
      </w:r>
      <w:r>
        <w:rPr>
          <w:rFonts w:hint="eastAsia" w:ascii="宋体" w:hAnsi="宋体"/>
          <w:b/>
          <w:color w:val="auto"/>
          <w:sz w:val="22"/>
          <w:szCs w:val="22"/>
          <w:highlight w:val="none"/>
        </w:rPr>
        <w:t xml:space="preserve"> 磋商供应商应保证所提供所有文件资料的真实性，所有文件资料必须是针对本次磋商的。如发现磋商供应商提供了虚假文件资料，其响应将被拒绝，并承担相应的法律责任。</w:t>
      </w:r>
    </w:p>
    <w:p>
      <w:pPr>
        <w:spacing w:line="440" w:lineRule="exact"/>
        <w:ind w:left="550" w:hanging="550" w:hangingChars="250"/>
        <w:rPr>
          <w:rFonts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磋商响应文件分为电子磋商响应文件以及备份磋商响应文件。</w:t>
      </w:r>
    </w:p>
    <w:p>
      <w:pPr>
        <w:spacing w:line="440" w:lineRule="exact"/>
        <w:ind w:left="550" w:hanging="550" w:hangingChars="250"/>
        <w:rPr>
          <w:rFonts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Cs/>
          <w:color w:val="auto"/>
          <w:sz w:val="22"/>
          <w:szCs w:val="22"/>
          <w:highlight w:val="none"/>
        </w:rPr>
        <w:t xml:space="preserve"> </w:t>
      </w:r>
      <w:r>
        <w:rPr>
          <w:rFonts w:hint="eastAsia" w:ascii="宋体" w:hAnsi="宋体"/>
          <w:b/>
          <w:bCs/>
          <w:color w:val="auto"/>
          <w:sz w:val="22"/>
          <w:szCs w:val="22"/>
          <w:highlight w:val="none"/>
          <w:u w:val="single"/>
        </w:rPr>
        <w:t>电子磋商响应文件：供应商根据“政采云供应商项目采购-电子招投标操作指南”及本磋商文件规定的格式和顺序编制电子磋商响应文件关联定位、加密并递交。</w:t>
      </w:r>
    </w:p>
    <w:p>
      <w:pPr>
        <w:spacing w:line="440" w:lineRule="exact"/>
        <w:ind w:left="552" w:hanging="552" w:hangingChars="250"/>
        <w:rPr>
          <w:rFonts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备份磋商响应文件：磋商供应商</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w:t>
      </w:r>
      <w:r>
        <w:rPr>
          <w:rFonts w:hint="eastAsia" w:ascii="宋体" w:hAnsi="宋体"/>
          <w:b/>
          <w:bCs/>
          <w:color w:val="auto"/>
          <w:sz w:val="22"/>
          <w:szCs w:val="22"/>
          <w:highlight w:val="none"/>
          <w:u w:val="single"/>
        </w:rPr>
        <w:t>磋商响应</w:t>
      </w:r>
      <w:r>
        <w:rPr>
          <w:rFonts w:ascii="宋体" w:hAnsi="宋体"/>
          <w:b/>
          <w:bCs/>
          <w:color w:val="auto"/>
          <w:sz w:val="22"/>
          <w:szCs w:val="22"/>
          <w:highlight w:val="none"/>
          <w:u w:val="single"/>
        </w:rPr>
        <w:t>文件后，还可以在</w:t>
      </w:r>
      <w:r>
        <w:rPr>
          <w:rFonts w:hint="eastAsia" w:ascii="宋体" w:hAnsi="宋体"/>
          <w:b/>
          <w:bCs/>
          <w:color w:val="auto"/>
          <w:sz w:val="22"/>
          <w:szCs w:val="22"/>
          <w:highlight w:val="none"/>
          <w:u w:val="single"/>
        </w:rPr>
        <w:t>磋商</w:t>
      </w:r>
      <w:r>
        <w:rPr>
          <w:rFonts w:ascii="宋体" w:hAnsi="宋体"/>
          <w:b/>
          <w:bCs/>
          <w:color w:val="auto"/>
          <w:sz w:val="22"/>
          <w:szCs w:val="22"/>
          <w:highlight w:val="none"/>
          <w:u w:val="single"/>
        </w:rPr>
        <w:t>截止时间前提交以介质存储的数据电文形式的备份</w:t>
      </w:r>
      <w:r>
        <w:rPr>
          <w:rFonts w:hint="eastAsia" w:ascii="宋体" w:hAnsi="宋体"/>
          <w:b/>
          <w:bCs/>
          <w:color w:val="auto"/>
          <w:sz w:val="22"/>
          <w:szCs w:val="22"/>
          <w:highlight w:val="none"/>
          <w:u w:val="single"/>
        </w:rPr>
        <w:t>磋商响应</w:t>
      </w:r>
      <w:r>
        <w:rPr>
          <w:rFonts w:ascii="宋体" w:hAnsi="宋体"/>
          <w:b/>
          <w:bCs/>
          <w:color w:val="auto"/>
          <w:sz w:val="22"/>
          <w:szCs w:val="22"/>
          <w:highlight w:val="none"/>
          <w:u w:val="single"/>
        </w:rPr>
        <w:t>文件。</w:t>
      </w:r>
      <w:r>
        <w:rPr>
          <w:rFonts w:hint="eastAsia" w:ascii="宋体" w:hAnsi="宋体"/>
          <w:b/>
          <w:bCs/>
          <w:color w:val="auto"/>
          <w:sz w:val="22"/>
          <w:szCs w:val="22"/>
          <w:highlight w:val="none"/>
          <w:u w:val="single"/>
        </w:rPr>
        <w:t>电子 磋商响应文件按“政采云平台项目采购-电子招投标操作指南”上传。</w:t>
      </w:r>
    </w:p>
    <w:p>
      <w:pPr>
        <w:spacing w:line="44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4.   磋商响应文件的效力</w:t>
      </w:r>
    </w:p>
    <w:p>
      <w:pPr>
        <w:spacing w:line="440" w:lineRule="exact"/>
        <w:ind w:left="533" w:leftChars="254"/>
        <w:rPr>
          <w:rFonts w:ascii="宋体" w:hAnsi="宋体"/>
          <w:b/>
          <w:color w:val="auto"/>
          <w:sz w:val="22"/>
          <w:szCs w:val="22"/>
          <w:highlight w:val="none"/>
        </w:rPr>
      </w:pPr>
      <w:r>
        <w:rPr>
          <w:rFonts w:hint="eastAsia" w:ascii="宋体" w:hAnsi="宋体"/>
          <w:color w:val="auto"/>
          <w:sz w:val="22"/>
          <w:szCs w:val="22"/>
          <w:highlight w:val="none"/>
        </w:rPr>
        <w:t>磋商响应文件的启用，按先后顺位分别为电子磋商响应文件和备份磋商响应文件。在下一顺位的磋商响应文件启用时，前一顺位的磋商响应文件自动失效。</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磋商响应文件的组成：</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磋商响应文件由资格文件、商务技术文件、</w:t>
      </w:r>
      <w:r>
        <w:rPr>
          <w:rFonts w:hint="eastAsia" w:ascii="宋体" w:hAnsi="宋体" w:cs="宋体"/>
          <w:color w:val="auto"/>
          <w:sz w:val="22"/>
          <w:szCs w:val="22"/>
          <w:highlight w:val="none"/>
          <w:lang w:eastAsia="zh-CN"/>
        </w:rPr>
        <w:t>报价文件</w:t>
      </w:r>
      <w:r>
        <w:rPr>
          <w:rFonts w:hint="eastAsia" w:ascii="宋体" w:hAnsi="宋体" w:cs="宋体"/>
          <w:color w:val="auto"/>
          <w:sz w:val="22"/>
          <w:szCs w:val="22"/>
          <w:highlight w:val="none"/>
        </w:rPr>
        <w:t>三部分组成：</w:t>
      </w:r>
    </w:p>
    <w:p>
      <w:pPr>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5</w:t>
      </w:r>
      <w:r>
        <w:rPr>
          <w:rFonts w:ascii="宋体" w:hAnsi="宋体" w:cs="宋体"/>
          <w:b/>
          <w:bCs/>
          <w:color w:val="auto"/>
          <w:sz w:val="22"/>
          <w:szCs w:val="22"/>
          <w:highlight w:val="none"/>
        </w:rPr>
        <w:t>.1.1</w:t>
      </w:r>
      <w:r>
        <w:rPr>
          <w:rFonts w:hint="eastAsia" w:ascii="宋体" w:hAnsi="宋体" w:cs="宋体"/>
          <w:b/>
          <w:bCs/>
          <w:color w:val="auto"/>
          <w:sz w:val="22"/>
          <w:szCs w:val="22"/>
          <w:highlight w:val="none"/>
        </w:rPr>
        <w:t>资格文件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3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37" w:type="dxa"/>
          </w:tcPr>
          <w:p>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410" w:type="dxa"/>
          </w:tcPr>
          <w:p>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vAlign w:val="center"/>
          </w:tcPr>
          <w:p>
            <w:pPr>
              <w:autoSpaceDE w:val="0"/>
              <w:autoSpaceDN w:val="0"/>
              <w:adjustRightInd w:val="0"/>
              <w:snapToGrid w:val="0"/>
              <w:spacing w:line="430" w:lineRule="atLeast"/>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1</w:t>
            </w:r>
          </w:p>
        </w:tc>
        <w:tc>
          <w:tcPr>
            <w:tcW w:w="7337" w:type="dxa"/>
          </w:tcPr>
          <w:p>
            <w:pPr>
              <w:autoSpaceDE w:val="0"/>
              <w:autoSpaceDN w:val="0"/>
              <w:adjustRightInd w:val="0"/>
              <w:snapToGrid w:val="0"/>
              <w:spacing w:line="430" w:lineRule="atLeast"/>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10" w:type="dxa"/>
          </w:tcPr>
          <w:p>
            <w:pPr>
              <w:autoSpaceDE w:val="0"/>
              <w:autoSpaceDN w:val="0"/>
              <w:adjustRightInd w:val="0"/>
              <w:snapToGrid w:val="0"/>
              <w:spacing w:line="43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附件四-1、2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autoSpaceDE w:val="0"/>
              <w:autoSpaceDN w:val="0"/>
              <w:adjustRightInd w:val="0"/>
              <w:snapToGrid w:val="0"/>
              <w:spacing w:line="440" w:lineRule="exact"/>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2</w:t>
            </w:r>
          </w:p>
        </w:tc>
        <w:tc>
          <w:tcPr>
            <w:tcW w:w="7337" w:type="dxa"/>
            <w:vAlign w:val="center"/>
          </w:tcPr>
          <w:p>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磋商供应商企业法人有效营业执照（或事业法人登记证书或其它工商等登记证明材料，自然人提供身份证)复制件（如为联合体，则联合体各方均应提供）（五选一）</w:t>
            </w:r>
          </w:p>
          <w:p>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①如磋商供应商是企业（包括合伙企业），提供在工商部门注册的有效“企业法人营业执照”或“营业执照”；</w:t>
            </w:r>
          </w:p>
          <w:p>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②如磋商供应商是事业单位，提供有效的“事业单位法人证书”；</w:t>
            </w:r>
          </w:p>
          <w:p>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③如磋商供应商是非企业专业服务机构的，提供执业许可证等证明文件；</w:t>
            </w:r>
          </w:p>
          <w:p>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④如磋商供应商是个体工商户，提供有效的“个体工商户营业执照”；</w:t>
            </w:r>
          </w:p>
          <w:p>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⑤如磋商供应商是自然人，提供有效的自然人身份证明（居民身份证正反面或公安机关出具的临时居民身份证正反面或港澳台胞证或护照）。</w:t>
            </w:r>
          </w:p>
          <w:p>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宋体" w:hAnsi="宋体" w:cs="宋体"/>
                <w:color w:val="auto"/>
                <w:sz w:val="22"/>
                <w:szCs w:val="22"/>
                <w:highlight w:val="none"/>
                <w:lang w:eastAsia="zh-CN"/>
              </w:rPr>
              <w:t>响应文件</w:t>
            </w:r>
            <w:r>
              <w:rPr>
                <w:rFonts w:hint="eastAsia" w:ascii="宋体" w:hAnsi="宋体" w:cs="宋体"/>
                <w:color w:val="auto"/>
                <w:sz w:val="22"/>
                <w:szCs w:val="22"/>
                <w:highlight w:val="none"/>
              </w:rPr>
              <w:t>中提供相关材料），证明其具备实际承担责任的能力和法定的缔结合同能力，可以独立参加政府采购活动，由单位负责人签署相关文件材料。</w:t>
            </w:r>
          </w:p>
        </w:tc>
        <w:tc>
          <w:tcPr>
            <w:tcW w:w="1410" w:type="dxa"/>
          </w:tcPr>
          <w:p>
            <w:pPr>
              <w:autoSpaceDE w:val="0"/>
              <w:autoSpaceDN w:val="0"/>
              <w:adjustRightInd w:val="0"/>
              <w:snapToGrid w:val="0"/>
              <w:spacing w:line="430" w:lineRule="atLeas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autoSpaceDE w:val="0"/>
              <w:autoSpaceDN w:val="0"/>
              <w:adjustRightInd w:val="0"/>
              <w:snapToGrid w:val="0"/>
              <w:spacing w:line="43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337" w:type="dxa"/>
            <w:vAlign w:val="center"/>
          </w:tcPr>
          <w:p>
            <w:pPr>
              <w:autoSpaceDE w:val="0"/>
              <w:autoSpaceDN w:val="0"/>
              <w:adjustRightInd w:val="0"/>
              <w:snapToGrid w:val="0"/>
              <w:spacing w:line="430" w:lineRule="atLeast"/>
              <w:rPr>
                <w:rFonts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10" w:type="dxa"/>
          </w:tcPr>
          <w:p>
            <w:pPr>
              <w:autoSpaceDE w:val="0"/>
              <w:autoSpaceDN w:val="0"/>
              <w:adjustRightInd w:val="0"/>
              <w:snapToGrid w:val="0"/>
              <w:spacing w:line="43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附件四-3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7337" w:type="dxa"/>
            <w:shd w:val="clear" w:color="auto" w:fill="auto"/>
            <w:vAlign w:val="center"/>
          </w:tcPr>
          <w:p>
            <w:pPr>
              <w:autoSpaceDE w:val="0"/>
              <w:autoSpaceDN w:val="0"/>
              <w:adjustRightInd w:val="0"/>
              <w:snapToGrid w:val="0"/>
              <w:spacing w:line="430" w:lineRule="atLeast"/>
              <w:rPr>
                <w:rFonts w:hint="eastAsia" w:ascii="宋体" w:hAnsi="宋体" w:eastAsia="宋体" w:cs="宋体"/>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rPr>
              <w:t>联合体协议书（如为联合体投标，请根据格式内容提供）</w:t>
            </w:r>
          </w:p>
        </w:tc>
        <w:tc>
          <w:tcPr>
            <w:tcW w:w="1410" w:type="dxa"/>
            <w:shd w:val="clear" w:color="auto" w:fill="auto"/>
            <w:vAlign w:val="top"/>
          </w:tcPr>
          <w:p>
            <w:pPr>
              <w:autoSpaceDE w:val="0"/>
              <w:autoSpaceDN w:val="0"/>
              <w:adjustRightInd w:val="0"/>
              <w:snapToGrid w:val="0"/>
              <w:spacing w:line="430" w:lineRule="atLeas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附件四-4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vAlign w:val="center"/>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以上所需的各种实物照片、证书、证件、证明、执照需提供复印件或扫描件加盖电子公章。</w:t>
            </w:r>
          </w:p>
        </w:tc>
      </w:tr>
    </w:tbl>
    <w:p>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449" w:type="dxa"/>
          </w:tcPr>
          <w:p>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298" w:type="dxa"/>
          </w:tcPr>
          <w:p>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1</w:t>
            </w:r>
          </w:p>
        </w:tc>
        <w:tc>
          <w:tcPr>
            <w:tcW w:w="7449" w:type="dxa"/>
          </w:tcPr>
          <w:p>
            <w:pPr>
              <w:spacing w:line="380" w:lineRule="exact"/>
              <w:rPr>
                <w:rFonts w:ascii="宋体" w:hAnsi="宋体"/>
                <w:color w:val="auto"/>
                <w:sz w:val="22"/>
                <w:szCs w:val="22"/>
                <w:highlight w:val="none"/>
              </w:rPr>
            </w:pPr>
            <w:r>
              <w:rPr>
                <w:rFonts w:hint="eastAsia" w:ascii="宋体" w:hAnsi="宋体"/>
                <w:color w:val="auto"/>
                <w:sz w:val="22"/>
                <w:szCs w:val="22"/>
                <w:highlight w:val="none"/>
              </w:rPr>
              <w:t>磋商响应函</w:t>
            </w:r>
          </w:p>
        </w:tc>
        <w:tc>
          <w:tcPr>
            <w:tcW w:w="1298" w:type="dxa"/>
          </w:tcPr>
          <w:p>
            <w:pPr>
              <w:autoSpaceDE w:val="0"/>
              <w:autoSpaceDN w:val="0"/>
              <w:adjustRightInd w:val="0"/>
              <w:snapToGrid w:val="0"/>
              <w:spacing w:line="430" w:lineRule="atLeast"/>
              <w:jc w:val="center"/>
              <w:rPr>
                <w:rFonts w:ascii="宋体" w:cs="宋体"/>
                <w:color w:val="auto"/>
                <w:sz w:val="22"/>
                <w:highlight w:val="none"/>
              </w:rPr>
            </w:pPr>
            <w:r>
              <w:rPr>
                <w:rFonts w:hint="eastAsia" w:ascii="宋体" w:cs="宋体"/>
                <w:color w:val="auto"/>
                <w:sz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2</w:t>
            </w:r>
          </w:p>
        </w:tc>
        <w:tc>
          <w:tcPr>
            <w:tcW w:w="7449" w:type="dxa"/>
          </w:tcPr>
          <w:p>
            <w:pPr>
              <w:spacing w:line="380" w:lineRule="exact"/>
              <w:jc w:val="left"/>
              <w:rPr>
                <w:rFonts w:ascii="宋体" w:hAnsi="宋体"/>
                <w:color w:val="auto"/>
                <w:sz w:val="22"/>
                <w:szCs w:val="22"/>
                <w:highlight w:val="none"/>
              </w:rPr>
            </w:pPr>
            <w:r>
              <w:rPr>
                <w:rFonts w:hint="eastAsia" w:ascii="宋体" w:hAnsi="宋体"/>
                <w:color w:val="auto"/>
                <w:sz w:val="22"/>
                <w:szCs w:val="22"/>
                <w:highlight w:val="none"/>
              </w:rPr>
              <w:t>商务条款、技术规格偏离表</w:t>
            </w:r>
          </w:p>
        </w:tc>
        <w:tc>
          <w:tcPr>
            <w:tcW w:w="1298" w:type="dxa"/>
          </w:tcPr>
          <w:p>
            <w:pPr>
              <w:autoSpaceDE w:val="0"/>
              <w:autoSpaceDN w:val="0"/>
              <w:adjustRightInd w:val="0"/>
              <w:snapToGrid w:val="0"/>
              <w:spacing w:line="430" w:lineRule="atLeast"/>
              <w:jc w:val="center"/>
              <w:rPr>
                <w:rFonts w:ascii="宋体" w:hAnsi="宋体" w:cs="宋体"/>
                <w:color w:val="auto"/>
                <w:sz w:val="22"/>
                <w:szCs w:val="22"/>
                <w:highlight w:val="none"/>
              </w:rPr>
            </w:pPr>
            <w:r>
              <w:rPr>
                <w:rFonts w:hint="eastAsia" w:ascii="宋体" w:cs="宋体"/>
                <w:color w:val="auto"/>
                <w:sz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w:t>
            </w:r>
          </w:p>
        </w:tc>
        <w:tc>
          <w:tcPr>
            <w:tcW w:w="7449" w:type="dxa"/>
            <w:vAlign w:val="top"/>
          </w:tcPr>
          <w:p>
            <w:pPr>
              <w:spacing w:line="380" w:lineRule="exact"/>
              <w:rPr>
                <w:rFonts w:hint="eastAsia" w:ascii="宋体" w:hAnsi="宋体" w:eastAsia="宋体" w:cs="Times New Roman"/>
                <w:bCs/>
                <w:color w:val="auto"/>
                <w:kern w:val="2"/>
                <w:sz w:val="22"/>
                <w:szCs w:val="22"/>
                <w:highlight w:val="none"/>
                <w:lang w:val="en-US" w:eastAsia="zh-CN" w:bidi="ar-SA"/>
              </w:rPr>
            </w:pPr>
            <w:r>
              <w:rPr>
                <w:rFonts w:hint="eastAsia" w:ascii="宋体" w:hAnsi="宋体"/>
                <w:bCs/>
                <w:color w:val="auto"/>
                <w:sz w:val="22"/>
                <w:szCs w:val="22"/>
                <w:highlight w:val="none"/>
              </w:rPr>
              <w:t>投入本项目团队情况表</w:t>
            </w:r>
          </w:p>
        </w:tc>
        <w:tc>
          <w:tcPr>
            <w:tcW w:w="1298" w:type="dxa"/>
            <w:vAlign w:val="top"/>
          </w:tcPr>
          <w:p>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en-US" w:eastAsia="zh-CN" w:bidi="ar-SA"/>
              </w:rPr>
            </w:pPr>
            <w:r>
              <w:rPr>
                <w:rFonts w:hint="eastAsia" w:ascii="宋体" w:hAnsi="宋体" w:cs="宋体"/>
                <w:color w:val="auto"/>
                <w:sz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4</w:t>
            </w:r>
          </w:p>
        </w:tc>
        <w:tc>
          <w:tcPr>
            <w:tcW w:w="7449" w:type="dxa"/>
            <w:vAlign w:val="top"/>
          </w:tcPr>
          <w:p>
            <w:pPr>
              <w:spacing w:line="380" w:lineRule="exact"/>
              <w:rPr>
                <w:rFonts w:hint="eastAsia" w:ascii="宋体" w:hAnsi="宋体" w:eastAsia="宋体" w:cs="Times New Roman"/>
                <w:bCs/>
                <w:color w:val="auto"/>
                <w:kern w:val="2"/>
                <w:sz w:val="22"/>
                <w:szCs w:val="22"/>
                <w:highlight w:val="none"/>
                <w:lang w:val="en-US" w:eastAsia="zh-CN" w:bidi="ar-SA"/>
              </w:rPr>
            </w:pPr>
            <w:r>
              <w:rPr>
                <w:rFonts w:hint="eastAsia" w:ascii="宋体" w:hAnsi="宋体"/>
                <w:bCs/>
                <w:color w:val="auto"/>
                <w:sz w:val="22"/>
                <w:szCs w:val="22"/>
                <w:highlight w:val="none"/>
              </w:rPr>
              <w:t>岗位员工配置计划表</w:t>
            </w:r>
          </w:p>
        </w:tc>
        <w:tc>
          <w:tcPr>
            <w:tcW w:w="1298" w:type="dxa"/>
            <w:vAlign w:val="top"/>
          </w:tcPr>
          <w:p>
            <w:pPr>
              <w:autoSpaceDE w:val="0"/>
              <w:autoSpaceDN w:val="0"/>
              <w:adjustRightInd w:val="0"/>
              <w:snapToGrid w:val="0"/>
              <w:spacing w:line="430" w:lineRule="atLeast"/>
              <w:jc w:val="center"/>
              <w:rPr>
                <w:rFonts w:hint="default" w:ascii="宋体" w:hAnsi="宋体" w:eastAsia="宋体" w:cs="宋体"/>
                <w:color w:val="auto"/>
                <w:kern w:val="2"/>
                <w:sz w:val="22"/>
                <w:szCs w:val="24"/>
                <w:highlight w:val="none"/>
                <w:lang w:val="en-US" w:eastAsia="zh-CN" w:bidi="ar-SA"/>
              </w:rPr>
            </w:pPr>
            <w:r>
              <w:rPr>
                <w:rFonts w:hint="eastAsia" w:ascii="宋体" w:hAnsi="宋体" w:cs="宋体"/>
                <w:color w:val="auto"/>
                <w:sz w:val="22"/>
                <w:highlight w:val="none"/>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5</w:t>
            </w:r>
          </w:p>
        </w:tc>
        <w:tc>
          <w:tcPr>
            <w:tcW w:w="7449" w:type="dxa"/>
            <w:vAlign w:val="top"/>
          </w:tcPr>
          <w:p>
            <w:pPr>
              <w:spacing w:line="380" w:lineRule="exact"/>
              <w:rPr>
                <w:rFonts w:hint="eastAsia" w:ascii="宋体" w:hAnsi="宋体" w:eastAsia="宋体" w:cs="Times New Roman"/>
                <w:bCs/>
                <w:color w:val="auto"/>
                <w:kern w:val="2"/>
                <w:sz w:val="22"/>
                <w:szCs w:val="22"/>
                <w:highlight w:val="none"/>
                <w:lang w:val="en-US" w:eastAsia="zh-CN" w:bidi="ar-SA"/>
              </w:rPr>
            </w:pPr>
            <w:r>
              <w:rPr>
                <w:rFonts w:hint="eastAsia" w:hAnsi="宋体"/>
                <w:color w:val="auto"/>
                <w:sz w:val="22"/>
                <w:szCs w:val="22"/>
                <w:highlight w:val="none"/>
              </w:rPr>
              <w:t>同类项目业绩</w:t>
            </w:r>
          </w:p>
        </w:tc>
        <w:tc>
          <w:tcPr>
            <w:tcW w:w="1298" w:type="dxa"/>
            <w:vAlign w:val="top"/>
          </w:tcPr>
          <w:p>
            <w:pPr>
              <w:autoSpaceDE w:val="0"/>
              <w:autoSpaceDN w:val="0"/>
              <w:adjustRightInd w:val="0"/>
              <w:snapToGrid w:val="0"/>
              <w:spacing w:line="430" w:lineRule="atLeast"/>
              <w:jc w:val="center"/>
              <w:rPr>
                <w:rFonts w:hint="default" w:ascii="宋体" w:hAnsi="宋体" w:eastAsia="宋体" w:cs="宋体"/>
                <w:color w:val="auto"/>
                <w:kern w:val="2"/>
                <w:sz w:val="22"/>
                <w:szCs w:val="24"/>
                <w:highlight w:val="none"/>
                <w:lang w:val="en-US" w:eastAsia="zh-CN" w:bidi="ar-SA"/>
              </w:rPr>
            </w:pPr>
            <w:r>
              <w:rPr>
                <w:rFonts w:hint="eastAsia" w:ascii="宋体" w:hAnsi="宋体" w:cs="宋体"/>
                <w:color w:val="auto"/>
                <w:sz w:val="22"/>
                <w:highlight w:val="none"/>
              </w:rPr>
              <w:t>附件</w:t>
            </w:r>
            <w:r>
              <w:rPr>
                <w:rFonts w:hint="eastAsia" w:ascii="宋体" w:hAnsi="宋体" w:cs="宋体"/>
                <w:color w:val="auto"/>
                <w:sz w:val="22"/>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4</w:t>
            </w:r>
          </w:p>
        </w:tc>
        <w:tc>
          <w:tcPr>
            <w:tcW w:w="7449" w:type="dxa"/>
            <w:vAlign w:val="top"/>
          </w:tcPr>
          <w:p>
            <w:pPr>
              <w:spacing w:line="380" w:lineRule="exact"/>
              <w:rPr>
                <w:rFonts w:ascii="Times New Roman" w:hAnsi="宋体" w:eastAsia="宋体" w:cs="Times New Roman"/>
                <w:color w:val="auto"/>
                <w:kern w:val="2"/>
                <w:sz w:val="22"/>
                <w:szCs w:val="22"/>
                <w:highlight w:val="none"/>
                <w:lang w:val="en-US" w:eastAsia="zh-CN" w:bidi="ar-SA"/>
              </w:rPr>
            </w:pPr>
            <w:r>
              <w:rPr>
                <w:rFonts w:hint="eastAsia" w:ascii="宋体" w:cs="宋体"/>
                <w:bCs/>
                <w:color w:val="auto"/>
                <w:spacing w:val="-2"/>
                <w:sz w:val="22"/>
                <w:szCs w:val="22"/>
                <w:highlight w:val="none"/>
              </w:rPr>
              <w:t>针对本项目的方案（根据评分细则内容提供）</w:t>
            </w:r>
          </w:p>
        </w:tc>
        <w:tc>
          <w:tcPr>
            <w:tcW w:w="1298" w:type="dxa"/>
            <w:vAlign w:val="top"/>
          </w:tcPr>
          <w:p>
            <w:pPr>
              <w:autoSpaceDE w:val="0"/>
              <w:autoSpaceDN w:val="0"/>
              <w:adjustRightInd w:val="0"/>
              <w:snapToGrid w:val="0"/>
              <w:spacing w:line="430" w:lineRule="atLeast"/>
              <w:jc w:val="center"/>
              <w:rPr>
                <w:rFonts w:hint="eastAsia" w:ascii="宋体" w:hAnsi="宋体" w:eastAsia="宋体" w:cs="宋体"/>
                <w:color w:val="auto"/>
                <w:kern w:val="0"/>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hint="eastAsia" w:ascii="宋体" w:hAnsi="宋体" w:eastAsia="宋体" w:cs="宋体"/>
                <w:color w:val="auto"/>
                <w:sz w:val="22"/>
                <w:highlight w:val="none"/>
                <w:lang w:eastAsia="zh-CN"/>
              </w:rPr>
            </w:pPr>
            <w:r>
              <w:rPr>
                <w:rFonts w:hint="eastAsia" w:ascii="宋体" w:cs="宋体"/>
                <w:color w:val="auto"/>
                <w:sz w:val="22"/>
                <w:highlight w:val="none"/>
                <w:lang w:val="en-US" w:eastAsia="zh-CN"/>
              </w:rPr>
              <w:t>6</w:t>
            </w:r>
          </w:p>
        </w:tc>
        <w:tc>
          <w:tcPr>
            <w:tcW w:w="7449" w:type="dxa"/>
            <w:vAlign w:val="center"/>
          </w:tcPr>
          <w:p>
            <w:pPr>
              <w:autoSpaceDE w:val="0"/>
              <w:autoSpaceDN w:val="0"/>
              <w:adjustRightInd w:val="0"/>
              <w:snapToGrid w:val="0"/>
              <w:spacing w:line="430" w:lineRule="atLeast"/>
              <w:rPr>
                <w:rFonts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根据磋商文件中的采购内容与技术要求、评标细则，需要提供的其它文件和资料。</w:t>
            </w:r>
          </w:p>
        </w:tc>
        <w:tc>
          <w:tcPr>
            <w:tcW w:w="1298" w:type="dxa"/>
            <w:vAlign w:val="top"/>
          </w:tcPr>
          <w:p>
            <w:pPr>
              <w:autoSpaceDE w:val="0"/>
              <w:autoSpaceDN w:val="0"/>
              <w:adjustRightInd w:val="0"/>
              <w:snapToGrid w:val="0"/>
              <w:spacing w:line="430" w:lineRule="atLeast"/>
              <w:jc w:val="center"/>
              <w:rPr>
                <w:rFonts w:ascii="宋体" w:hAnsi="宋体" w:eastAsia="宋体" w:cs="宋体"/>
                <w:color w:val="auto"/>
                <w:kern w:val="0"/>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vAlign w:val="center"/>
          </w:tcPr>
          <w:p>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以上所需的各种实物照片、证书、证件、证明、执照需提供复印件或扫描件加盖电子公章。</w:t>
            </w:r>
          </w:p>
        </w:tc>
      </w:tr>
    </w:tbl>
    <w:p>
      <w:pPr>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5.1.</w:t>
      </w:r>
      <w:r>
        <w:rPr>
          <w:rFonts w:ascii="宋体" w:hAnsi="宋体" w:cs="宋体"/>
          <w:b/>
          <w:bCs/>
          <w:color w:val="auto"/>
          <w:sz w:val="22"/>
          <w:szCs w:val="22"/>
          <w:highlight w:val="none"/>
        </w:rPr>
        <w:t>3</w:t>
      </w:r>
      <w:r>
        <w:rPr>
          <w:rFonts w:hint="eastAsia" w:ascii="宋体" w:hAnsi="宋体" w:cs="宋体"/>
          <w:b/>
          <w:bCs/>
          <w:color w:val="auto"/>
          <w:sz w:val="22"/>
          <w:szCs w:val="22"/>
          <w:highlight w:val="none"/>
        </w:rPr>
        <w:t>报价文件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05" w:type="dxa"/>
          </w:tcPr>
          <w:p>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431" w:type="dxa"/>
          </w:tcPr>
          <w:p>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p>
        </w:tc>
        <w:tc>
          <w:tcPr>
            <w:tcW w:w="7305" w:type="dxa"/>
          </w:tcPr>
          <w:p>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磋商报价一览表</w:t>
            </w:r>
          </w:p>
        </w:tc>
        <w:tc>
          <w:tcPr>
            <w:tcW w:w="1431" w:type="dxa"/>
          </w:tcPr>
          <w:p>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cs="宋体"/>
                <w:bCs/>
                <w:color w:val="auto"/>
                <w:sz w:val="22"/>
                <w:highlight w:val="none"/>
              </w:rPr>
              <w:t>2</w:t>
            </w:r>
          </w:p>
        </w:tc>
        <w:tc>
          <w:tcPr>
            <w:tcW w:w="7305" w:type="dxa"/>
          </w:tcPr>
          <w:p>
            <w:pPr>
              <w:autoSpaceDE w:val="0"/>
              <w:autoSpaceDN w:val="0"/>
              <w:adjustRightInd w:val="0"/>
              <w:snapToGrid w:val="0"/>
              <w:spacing w:line="430" w:lineRule="atLeast"/>
              <w:rPr>
                <w:rFonts w:ascii="宋体" w:hAnsi="宋体" w:cs="宋体"/>
                <w:bCs/>
                <w:color w:val="auto"/>
                <w:sz w:val="22"/>
                <w:highlight w:val="none"/>
              </w:rPr>
            </w:pPr>
            <w:r>
              <w:rPr>
                <w:rFonts w:hint="eastAsia" w:ascii="宋体" w:cs="宋体"/>
                <w:bCs/>
                <w:color w:val="auto"/>
                <w:sz w:val="22"/>
                <w:highlight w:val="none"/>
              </w:rPr>
              <w:t>磋商分项报价表</w:t>
            </w:r>
          </w:p>
        </w:tc>
        <w:tc>
          <w:tcPr>
            <w:tcW w:w="1431" w:type="dxa"/>
          </w:tcPr>
          <w:p>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cs="宋体"/>
                <w:bCs/>
                <w:color w:val="auto"/>
                <w:sz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w:t>
            </w:r>
          </w:p>
        </w:tc>
        <w:tc>
          <w:tcPr>
            <w:tcW w:w="7305" w:type="dxa"/>
            <w:vAlign w:val="top"/>
          </w:tcPr>
          <w:p>
            <w:pPr>
              <w:autoSpaceDE w:val="0"/>
              <w:autoSpaceDN w:val="0"/>
              <w:adjustRightInd w:val="0"/>
              <w:snapToGrid w:val="0"/>
              <w:spacing w:line="430" w:lineRule="atLeast"/>
              <w:rPr>
                <w:rFonts w:hint="eastAsia" w:ascii="新宋体" w:hAnsi="新宋体" w:eastAsia="新宋体" w:cs="新宋体"/>
                <w:bCs/>
                <w:color w:val="auto"/>
                <w:kern w:val="0"/>
                <w:sz w:val="22"/>
                <w:szCs w:val="22"/>
                <w:highlight w:val="none"/>
                <w:lang w:val="en-US" w:eastAsia="zh-CN" w:bidi="ar-SA"/>
              </w:rPr>
            </w:pPr>
            <w:r>
              <w:rPr>
                <w:rFonts w:hint="eastAsia" w:ascii="宋体" w:hAnsi="宋体"/>
                <w:color w:val="auto"/>
                <w:sz w:val="22"/>
                <w:szCs w:val="22"/>
                <w:highlight w:val="none"/>
              </w:rPr>
              <w:t>中小企业声明函</w:t>
            </w:r>
          </w:p>
        </w:tc>
        <w:tc>
          <w:tcPr>
            <w:tcW w:w="1431" w:type="dxa"/>
            <w:vAlign w:val="top"/>
          </w:tcPr>
          <w:p>
            <w:pPr>
              <w:autoSpaceDE w:val="0"/>
              <w:autoSpaceDN w:val="0"/>
              <w:adjustRightInd w:val="0"/>
              <w:snapToGrid w:val="0"/>
              <w:spacing w:line="430" w:lineRule="atLeas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九</w:t>
            </w:r>
            <w:r>
              <w:rPr>
                <w:rFonts w:hint="eastAsia" w:ascii="宋体" w:hAnsi="宋体" w:cs="宋体"/>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w:t>
            </w:r>
          </w:p>
        </w:tc>
        <w:tc>
          <w:tcPr>
            <w:tcW w:w="7305" w:type="dxa"/>
            <w:vAlign w:val="top"/>
          </w:tcPr>
          <w:p>
            <w:pPr>
              <w:autoSpaceDE w:val="0"/>
              <w:autoSpaceDN w:val="0"/>
              <w:adjustRightInd w:val="0"/>
              <w:snapToGrid w:val="0"/>
              <w:spacing w:line="430" w:lineRule="atLeast"/>
              <w:rPr>
                <w:rFonts w:hint="eastAsia" w:ascii="新宋体" w:hAnsi="新宋体" w:eastAsia="新宋体" w:cs="新宋体"/>
                <w:bCs/>
                <w:color w:val="auto"/>
                <w:kern w:val="0"/>
                <w:sz w:val="22"/>
                <w:szCs w:val="22"/>
                <w:highlight w:val="none"/>
                <w:lang w:val="en-US" w:eastAsia="zh-CN" w:bidi="ar-SA"/>
              </w:rPr>
            </w:pPr>
            <w:r>
              <w:rPr>
                <w:rFonts w:hint="eastAsia" w:ascii="宋体" w:hAnsi="宋体"/>
                <w:color w:val="auto"/>
                <w:sz w:val="22"/>
                <w:szCs w:val="22"/>
                <w:highlight w:val="none"/>
              </w:rPr>
              <w:t>残疾人福利性单位声明函（如为残疾人单位的请根据附件内容提供）</w:t>
            </w:r>
          </w:p>
        </w:tc>
        <w:tc>
          <w:tcPr>
            <w:tcW w:w="1431" w:type="dxa"/>
            <w:vAlign w:val="top"/>
          </w:tcPr>
          <w:p>
            <w:pPr>
              <w:autoSpaceDE w:val="0"/>
              <w:autoSpaceDN w:val="0"/>
              <w:adjustRightInd w:val="0"/>
              <w:snapToGrid w:val="0"/>
              <w:spacing w:line="430" w:lineRule="atLeas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九</w:t>
            </w:r>
            <w:r>
              <w:rPr>
                <w:rFonts w:hint="eastAsia" w:ascii="宋体" w:hAnsi="宋体" w:cs="宋体"/>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vAlign w:val="center"/>
          </w:tcPr>
          <w:p>
            <w:pPr>
              <w:autoSpaceDE w:val="0"/>
              <w:autoSpaceDN w:val="0"/>
              <w:adjustRightInd w:val="0"/>
              <w:snapToGrid w:val="0"/>
              <w:spacing w:line="430" w:lineRule="atLeas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7305" w:type="dxa"/>
            <w:vAlign w:val="top"/>
          </w:tcPr>
          <w:p>
            <w:pPr>
              <w:autoSpaceDE w:val="0"/>
              <w:autoSpaceDN w:val="0"/>
              <w:adjustRightInd w:val="0"/>
              <w:snapToGrid w:val="0"/>
              <w:spacing w:line="430" w:lineRule="atLeast"/>
              <w:rPr>
                <w:rFonts w:hint="eastAsia" w:ascii="新宋体" w:hAnsi="新宋体" w:eastAsia="新宋体" w:cs="新宋体"/>
                <w:bCs/>
                <w:color w:val="auto"/>
                <w:kern w:val="0"/>
                <w:sz w:val="22"/>
                <w:szCs w:val="22"/>
                <w:highlight w:val="none"/>
                <w:lang w:val="en-US" w:eastAsia="zh-CN" w:bidi="ar-SA"/>
              </w:rPr>
            </w:pPr>
            <w:r>
              <w:rPr>
                <w:rFonts w:hint="eastAsia" w:ascii="宋体" w:hAnsi="宋体"/>
                <w:color w:val="auto"/>
                <w:sz w:val="22"/>
                <w:szCs w:val="22"/>
                <w:highlight w:val="none"/>
              </w:rPr>
              <w:t>监狱企业提供的相关证明材料（如为监狱企业的请根据附件内容提供）</w:t>
            </w:r>
          </w:p>
        </w:tc>
        <w:tc>
          <w:tcPr>
            <w:tcW w:w="1431" w:type="dxa"/>
            <w:vAlign w:val="top"/>
          </w:tcPr>
          <w:p>
            <w:pPr>
              <w:autoSpaceDE w:val="0"/>
              <w:autoSpaceDN w:val="0"/>
              <w:adjustRightInd w:val="0"/>
              <w:snapToGrid w:val="0"/>
              <w:spacing w:line="430" w:lineRule="atLeas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九</w:t>
            </w:r>
            <w:r>
              <w:rPr>
                <w:rFonts w:hint="eastAsia" w:ascii="宋体" w:hAnsi="宋体" w:cs="宋体"/>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0" w:type="dxa"/>
            <w:gridSpan w:val="3"/>
            <w:vAlign w:val="center"/>
          </w:tcPr>
          <w:p>
            <w:pPr>
              <w:autoSpaceDE w:val="0"/>
              <w:autoSpaceDN w:val="0"/>
              <w:adjustRightInd w:val="0"/>
              <w:snapToGrid w:val="0"/>
              <w:spacing w:line="430" w:lineRule="atLeast"/>
              <w:jc w:val="center"/>
              <w:rPr>
                <w:rFonts w:hint="eastAsia" w:ascii="宋体" w:hAnsi="宋体" w:cs="宋体"/>
                <w:color w:val="auto"/>
                <w:sz w:val="22"/>
                <w:szCs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以上所需的各种实物照片、证书、证件、证明、执照需提供复印件或扫描件加盖电子公章。</w:t>
            </w:r>
          </w:p>
        </w:tc>
      </w:tr>
    </w:tbl>
    <w:p>
      <w:pPr>
        <w:spacing w:line="440" w:lineRule="exact"/>
        <w:rPr>
          <w:rFonts w:ascii="宋体" w:hAnsi="宋体"/>
          <w:color w:val="auto"/>
          <w:sz w:val="22"/>
          <w:szCs w:val="22"/>
          <w:highlight w:val="none"/>
        </w:rPr>
      </w:pPr>
      <w:r>
        <w:rPr>
          <w:rFonts w:hint="eastAsia" w:ascii="宋体" w:hAnsi="宋体"/>
          <w:color w:val="auto"/>
          <w:sz w:val="22"/>
          <w:szCs w:val="22"/>
          <w:highlight w:val="none"/>
        </w:rPr>
        <w:t>5.2  响应文件格式</w:t>
      </w:r>
    </w:p>
    <w:p>
      <w:pPr>
        <w:spacing w:line="440" w:lineRule="exact"/>
        <w:ind w:left="525" w:leftChars="250"/>
        <w:rPr>
          <w:rFonts w:ascii="宋体" w:hAnsi="宋体"/>
          <w:color w:val="auto"/>
          <w:sz w:val="22"/>
          <w:szCs w:val="22"/>
          <w:highlight w:val="none"/>
        </w:rPr>
      </w:pPr>
      <w:r>
        <w:rPr>
          <w:rFonts w:hint="eastAsia" w:ascii="宋体" w:hAnsi="宋体"/>
          <w:color w:val="auto"/>
          <w:sz w:val="22"/>
          <w:szCs w:val="22"/>
          <w:highlight w:val="none"/>
        </w:rPr>
        <w:t>磋商供应商应根据磋商文件中所提供的格式、内容按顺序填写、编写目录和页码，</w:t>
      </w:r>
      <w:r>
        <w:rPr>
          <w:rFonts w:hint="eastAsia" w:ascii="宋体" w:hAnsi="宋体" w:cs="宋体"/>
          <w:color w:val="auto"/>
          <w:sz w:val="22"/>
          <w:szCs w:val="22"/>
          <w:highlight w:val="none"/>
        </w:rPr>
        <w:t>分别写入资格文件、商务技术文件和</w:t>
      </w:r>
      <w:r>
        <w:rPr>
          <w:rFonts w:hint="eastAsia" w:ascii="宋体" w:hAnsi="宋体"/>
          <w:color w:val="auto"/>
          <w:sz w:val="22"/>
          <w:szCs w:val="22"/>
          <w:highlight w:val="none"/>
          <w:lang w:eastAsia="zh-CN"/>
        </w:rPr>
        <w:t>报价文件</w:t>
      </w:r>
      <w:r>
        <w:rPr>
          <w:rFonts w:hint="eastAsia" w:ascii="宋体" w:hAnsi="宋体"/>
          <w:color w:val="auto"/>
          <w:sz w:val="22"/>
          <w:szCs w:val="22"/>
          <w:highlight w:val="none"/>
        </w:rPr>
        <w:t>中</w:t>
      </w:r>
      <w:r>
        <w:rPr>
          <w:rFonts w:hint="eastAsia" w:ascii="宋体" w:hAnsi="宋体" w:cs="宋体"/>
          <w:color w:val="auto"/>
          <w:sz w:val="22"/>
          <w:szCs w:val="22"/>
          <w:highlight w:val="none"/>
        </w:rPr>
        <w:t>。</w:t>
      </w:r>
    </w:p>
    <w:p>
      <w:pPr>
        <w:tabs>
          <w:tab w:val="left" w:pos="-180"/>
          <w:tab w:val="left" w:pos="180"/>
          <w:tab w:val="left" w:pos="360"/>
        </w:tabs>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6．  磋商报价</w:t>
      </w:r>
    </w:p>
    <w:p>
      <w:pPr>
        <w:tabs>
          <w:tab w:val="left" w:pos="-180"/>
          <w:tab w:val="left" w:pos="180"/>
          <w:tab w:val="left" w:pos="360"/>
        </w:tabs>
        <w:spacing w:line="430" w:lineRule="exact"/>
        <w:ind w:left="550" w:hanging="550" w:hangingChars="250"/>
        <w:rPr>
          <w:rFonts w:ascii="宋体" w:hAnsi="宋体"/>
          <w:b/>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1</w:t>
      </w:r>
      <w:r>
        <w:rPr>
          <w:rFonts w:hint="eastAsia" w:ascii="宋体" w:hAnsi="宋体"/>
          <w:color w:val="auto"/>
          <w:sz w:val="22"/>
          <w:szCs w:val="22"/>
          <w:highlight w:val="none"/>
        </w:rPr>
        <w:t>▲</w:t>
      </w:r>
      <w:r>
        <w:rPr>
          <w:rFonts w:hint="eastAsia" w:ascii="宋体" w:hAnsi="宋体"/>
          <w:b/>
          <w:color w:val="auto"/>
          <w:sz w:val="22"/>
          <w:szCs w:val="22"/>
          <w:highlight w:val="none"/>
          <w:u w:val="single"/>
        </w:rPr>
        <w:t>磋商报价是指</w:t>
      </w:r>
      <w:r>
        <w:rPr>
          <w:rFonts w:hint="eastAsia" w:ascii="宋体" w:hAnsi="宋体" w:cs="宋体"/>
          <w:b/>
          <w:color w:val="auto"/>
          <w:sz w:val="22"/>
          <w:szCs w:val="22"/>
          <w:highlight w:val="none"/>
          <w:u w:val="single"/>
          <w:lang w:val="en-US" w:eastAsia="zh-CN"/>
        </w:rPr>
        <w:t>服务期间</w:t>
      </w:r>
      <w:r>
        <w:rPr>
          <w:rFonts w:hint="eastAsia" w:ascii="宋体" w:hAnsi="宋体" w:cs="宋体"/>
          <w:b/>
          <w:color w:val="auto"/>
          <w:sz w:val="22"/>
          <w:szCs w:val="22"/>
          <w:highlight w:val="none"/>
          <w:u w:val="single"/>
        </w:rPr>
        <w:t>的承包费用报价，并采用固定总价承包。本项目投标报价应为完成全部工作所发生的所有费用，并承担一切风险责任，包括但不限于人员工资（加班费、社保、住房公积金及各种福利等所有相关费用）、税金、利润、管理费用、完成全部工作所发生的相关技术咨询服务费、样品采集与检测分析费用、专家费用（报告及方案的专家论证、验收费用）、招标代理费、宣传等一切费用。投标人应结合本次项目特点，市场行情及供应商自身的技术，管理水平，竞争能力，确定最终报价</w:t>
      </w:r>
      <w:r>
        <w:rPr>
          <w:rFonts w:hint="eastAsia" w:ascii="宋体" w:hAnsi="宋体"/>
          <w:color w:val="auto"/>
          <w:sz w:val="22"/>
          <w:szCs w:val="22"/>
          <w:highlight w:val="none"/>
        </w:rPr>
        <w:t>。</w:t>
      </w:r>
      <w:r>
        <w:rPr>
          <w:rFonts w:hint="eastAsia" w:ascii="宋体" w:hAnsi="宋体" w:eastAsia="新宋体"/>
          <w:color w:val="auto"/>
          <w:sz w:val="22"/>
          <w:szCs w:val="22"/>
          <w:highlight w:val="none"/>
        </w:rPr>
        <w:t>磋商供应商</w:t>
      </w:r>
      <w:r>
        <w:rPr>
          <w:rFonts w:hint="eastAsia" w:ascii="宋体" w:hAnsi="宋体"/>
          <w:color w:val="auto"/>
          <w:sz w:val="22"/>
          <w:szCs w:val="22"/>
          <w:highlight w:val="none"/>
        </w:rPr>
        <w:t>应根据上述因素自行考虑报价。</w:t>
      </w:r>
    </w:p>
    <w:p>
      <w:pPr>
        <w:tabs>
          <w:tab w:val="left" w:pos="-180"/>
          <w:tab w:val="left" w:pos="180"/>
          <w:tab w:val="left" w:pos="360"/>
        </w:tabs>
        <w:spacing w:line="440" w:lineRule="exact"/>
        <w:ind w:left="552" w:hanging="552" w:hangingChars="250"/>
        <w:rPr>
          <w:rFonts w:ascii="宋体" w:hAnsi="宋体"/>
          <w:b/>
          <w:bCs/>
          <w:color w:val="auto"/>
          <w:sz w:val="22"/>
          <w:szCs w:val="22"/>
          <w:highlight w:val="none"/>
        </w:rPr>
      </w:pPr>
      <w:r>
        <w:rPr>
          <w:rFonts w:hint="eastAsia" w:ascii="宋体" w:hAnsi="宋体"/>
          <w:b/>
          <w:bCs/>
          <w:color w:val="auto"/>
          <w:sz w:val="22"/>
          <w:szCs w:val="22"/>
          <w:highlight w:val="none"/>
        </w:rPr>
        <w:t>6</w:t>
      </w:r>
      <w:r>
        <w:rPr>
          <w:rFonts w:ascii="宋体" w:hAnsi="宋体"/>
          <w:b/>
          <w:bCs/>
          <w:color w:val="auto"/>
          <w:sz w:val="22"/>
          <w:szCs w:val="22"/>
          <w:highlight w:val="none"/>
        </w:rPr>
        <w:t xml:space="preserve">.2  </w:t>
      </w:r>
      <w:r>
        <w:rPr>
          <w:rFonts w:hint="eastAsia" w:ascii="宋体" w:hAnsi="宋体"/>
          <w:b/>
          <w:bCs/>
          <w:color w:val="auto"/>
          <w:sz w:val="22"/>
          <w:szCs w:val="22"/>
          <w:highlight w:val="none"/>
        </w:rPr>
        <w:t>根据《温州市政府采购履约验收办法（温财采〔2020〕6号）》的规定，本项目验收费用包含在磋商报价内，由供应商支付，如因供应商原因造成验收不通过的，所产生的验收费用重新计算。</w:t>
      </w:r>
    </w:p>
    <w:p>
      <w:pPr>
        <w:tabs>
          <w:tab w:val="left" w:pos="-180"/>
          <w:tab w:val="left" w:pos="180"/>
          <w:tab w:val="left" w:pos="360"/>
        </w:tabs>
        <w:spacing w:line="440" w:lineRule="exact"/>
        <w:ind w:left="660" w:hanging="660" w:hangingChars="300"/>
        <w:rPr>
          <w:rFonts w:ascii="宋体" w:hAnsi="宋体"/>
          <w:b/>
          <w:bCs/>
          <w:color w:val="auto"/>
          <w:sz w:val="22"/>
          <w:szCs w:val="22"/>
          <w:highlight w:val="none"/>
        </w:rPr>
      </w:pPr>
      <w:r>
        <w:rPr>
          <w:rFonts w:hint="eastAsia" w:ascii="宋体" w:hAnsi="宋体"/>
          <w:color w:val="auto"/>
          <w:sz w:val="22"/>
          <w:szCs w:val="22"/>
          <w:highlight w:val="none"/>
        </w:rPr>
        <w:t>6.3  磋商供应商必须按附件的磋商报价一览表、磋商分项报价表（均统一格式）的内容填写报价及其他事项，并由磋商供应商代表签署。</w:t>
      </w:r>
    </w:p>
    <w:p>
      <w:pPr>
        <w:tabs>
          <w:tab w:val="left" w:pos="-180"/>
          <w:tab w:val="left" w:pos="180"/>
          <w:tab w:val="left" w:pos="360"/>
        </w:tabs>
        <w:spacing w:line="440" w:lineRule="exact"/>
        <w:ind w:left="539" w:hanging="539" w:hangingChars="245"/>
        <w:rPr>
          <w:rFonts w:ascii="宋体" w:hAnsi="宋体"/>
          <w:color w:val="auto"/>
          <w:sz w:val="22"/>
          <w:szCs w:val="22"/>
          <w:highlight w:val="none"/>
        </w:rPr>
      </w:pPr>
      <w:r>
        <w:rPr>
          <w:rFonts w:hint="eastAsia" w:ascii="宋体" w:hAnsi="宋体"/>
          <w:color w:val="auto"/>
          <w:sz w:val="22"/>
          <w:szCs w:val="22"/>
          <w:highlight w:val="none"/>
        </w:rPr>
        <w:t>6.4  所有报价均以人民币为结算货币，磋商供应商如需外汇购入某些货物，须折合成人民币计入报价中。</w:t>
      </w:r>
    </w:p>
    <w:p>
      <w:pPr>
        <w:tabs>
          <w:tab w:val="left" w:pos="-180"/>
          <w:tab w:val="left" w:pos="180"/>
          <w:tab w:val="left" w:pos="360"/>
        </w:tabs>
        <w:spacing w:line="440" w:lineRule="exact"/>
        <w:ind w:left="539" w:hanging="539" w:hangingChars="245"/>
        <w:rPr>
          <w:rFonts w:ascii="宋体" w:hAnsi="宋体"/>
          <w:color w:val="auto"/>
          <w:sz w:val="22"/>
          <w:szCs w:val="22"/>
          <w:highlight w:val="none"/>
        </w:rPr>
      </w:pPr>
      <w:r>
        <w:rPr>
          <w:rFonts w:hint="eastAsia" w:ascii="宋体" w:hAnsi="宋体"/>
          <w:color w:val="auto"/>
          <w:sz w:val="22"/>
          <w:szCs w:val="22"/>
          <w:highlight w:val="none"/>
        </w:rPr>
        <w:t>6.5  招标采购单位不接受任何选择报价，对每一种货物（服务）只允许一个报价。</w:t>
      </w:r>
    </w:p>
    <w:p>
      <w:pPr>
        <w:tabs>
          <w:tab w:val="left" w:pos="-180"/>
          <w:tab w:val="left" w:pos="180"/>
          <w:tab w:val="left" w:pos="360"/>
        </w:tabs>
        <w:spacing w:line="440" w:lineRule="exact"/>
        <w:ind w:left="660" w:hanging="660" w:hangingChars="300"/>
        <w:rPr>
          <w:rFonts w:ascii="宋体" w:hAnsi="宋体"/>
          <w:color w:val="auto"/>
          <w:sz w:val="22"/>
          <w:szCs w:val="22"/>
          <w:highlight w:val="none"/>
        </w:rPr>
      </w:pPr>
      <w:r>
        <w:rPr>
          <w:rFonts w:hint="eastAsia" w:ascii="宋体" w:hAnsi="宋体"/>
          <w:color w:val="auto"/>
          <w:sz w:val="22"/>
          <w:szCs w:val="22"/>
          <w:highlight w:val="none"/>
        </w:rPr>
        <w:t>6.6  采购人要求分类报价是为了方便评审，但在任何情况下不限制采购人以其认为最合适的条款、条件签订合同的权利。</w:t>
      </w:r>
    </w:p>
    <w:p>
      <w:pPr>
        <w:tabs>
          <w:tab w:val="left" w:pos="-180"/>
          <w:tab w:val="left" w:pos="180"/>
          <w:tab w:val="left" w:pos="360"/>
        </w:tabs>
        <w:spacing w:line="440" w:lineRule="exact"/>
        <w:ind w:left="539" w:hanging="539" w:hangingChars="244"/>
        <w:rPr>
          <w:rFonts w:ascii="宋体" w:hAnsi="宋体"/>
          <w:color w:val="auto"/>
          <w:sz w:val="22"/>
          <w:szCs w:val="22"/>
          <w:highlight w:val="none"/>
        </w:rPr>
      </w:pPr>
      <w:r>
        <w:rPr>
          <w:rFonts w:hint="eastAsia" w:ascii="宋体" w:hAnsi="宋体"/>
          <w:b/>
          <w:color w:val="auto"/>
          <w:sz w:val="22"/>
          <w:szCs w:val="22"/>
          <w:highlight w:val="none"/>
        </w:rPr>
        <w:t>6.7  磋商供应商所报的价格在合同履行过程中是固定不变的，不得以任何理由予以变更。任何包含价格调整要求，将被认为是非实质性响应磋商文件而予以拒绝。</w:t>
      </w:r>
    </w:p>
    <w:p>
      <w:pPr>
        <w:spacing w:line="440" w:lineRule="exact"/>
        <w:ind w:left="660" w:hanging="660" w:hangingChars="300"/>
        <w:rPr>
          <w:rFonts w:ascii="宋体" w:hAnsi="宋体"/>
          <w:b/>
          <w:bCs/>
          <w:color w:val="auto"/>
          <w:sz w:val="22"/>
          <w:szCs w:val="22"/>
          <w:highlight w:val="none"/>
        </w:rPr>
      </w:pPr>
      <w:r>
        <w:rPr>
          <w:rFonts w:hint="eastAsia" w:ascii="宋体" w:hAnsi="宋体"/>
          <w:bCs/>
          <w:color w:val="auto"/>
          <w:sz w:val="22"/>
          <w:szCs w:val="22"/>
          <w:highlight w:val="none"/>
        </w:rPr>
        <w:t>7</w:t>
      </w:r>
      <w:r>
        <w:rPr>
          <w:rFonts w:hint="eastAsia" w:ascii="宋体" w:hAnsi="宋体"/>
          <w:b/>
          <w:bCs/>
          <w:color w:val="auto"/>
          <w:sz w:val="22"/>
          <w:szCs w:val="22"/>
          <w:highlight w:val="none"/>
        </w:rPr>
        <w:t>．  响应有效期</w:t>
      </w:r>
    </w:p>
    <w:p>
      <w:pPr>
        <w:spacing w:line="440" w:lineRule="exact"/>
        <w:ind w:left="663" w:hanging="663" w:hangingChars="300"/>
        <w:rPr>
          <w:rFonts w:ascii="宋体" w:hAnsi="宋体"/>
          <w:b/>
          <w:color w:val="auto"/>
          <w:sz w:val="22"/>
          <w:szCs w:val="22"/>
          <w:highlight w:val="none"/>
        </w:rPr>
      </w:pPr>
      <w:r>
        <w:rPr>
          <w:rFonts w:hint="eastAsia" w:ascii="宋体" w:hAnsi="宋体"/>
          <w:b/>
          <w:color w:val="auto"/>
          <w:sz w:val="22"/>
          <w:szCs w:val="22"/>
          <w:highlight w:val="none"/>
        </w:rPr>
        <w:t>7.1</w:t>
      </w:r>
      <w:r>
        <w:rPr>
          <w:rFonts w:hint="eastAsia" w:ascii="宋体" w:hAnsi="宋体"/>
          <w:b/>
          <w:bCs/>
          <w:color w:val="auto"/>
          <w:sz w:val="22"/>
          <w:szCs w:val="22"/>
          <w:highlight w:val="none"/>
        </w:rPr>
        <w:t>▲</w:t>
      </w:r>
      <w:r>
        <w:rPr>
          <w:rFonts w:hint="eastAsia" w:ascii="宋体" w:hAnsi="宋体"/>
          <w:b/>
          <w:color w:val="auto"/>
          <w:sz w:val="22"/>
          <w:szCs w:val="22"/>
          <w:highlight w:val="none"/>
          <w:u w:val="single"/>
        </w:rPr>
        <w:t>自磋商之日起</w:t>
      </w:r>
      <w:r>
        <w:rPr>
          <w:rFonts w:hint="eastAsia" w:ascii="宋体" w:hAnsi="宋体"/>
          <w:b/>
          <w:bCs/>
          <w:color w:val="auto"/>
          <w:sz w:val="22"/>
          <w:szCs w:val="22"/>
          <w:highlight w:val="none"/>
          <w:u w:val="single"/>
        </w:rPr>
        <w:t xml:space="preserve"> 60 </w:t>
      </w:r>
      <w:r>
        <w:rPr>
          <w:rFonts w:hint="eastAsia" w:ascii="宋体" w:hAnsi="宋体"/>
          <w:b/>
          <w:color w:val="auto"/>
          <w:sz w:val="22"/>
          <w:szCs w:val="22"/>
          <w:highlight w:val="none"/>
          <w:u w:val="single"/>
        </w:rPr>
        <w:t>天内响应应保持有效</w:t>
      </w:r>
      <w:r>
        <w:rPr>
          <w:rFonts w:hint="eastAsia" w:ascii="宋体" w:hAnsi="宋体"/>
          <w:b/>
          <w:color w:val="auto"/>
          <w:sz w:val="22"/>
          <w:szCs w:val="22"/>
          <w:highlight w:val="none"/>
        </w:rPr>
        <w:t>。</w:t>
      </w:r>
    </w:p>
    <w:p>
      <w:pPr>
        <w:spacing w:line="440" w:lineRule="exact"/>
        <w:ind w:left="550" w:hanging="550" w:hangingChars="250"/>
        <w:rPr>
          <w:rFonts w:ascii="宋体" w:hAnsi="宋体"/>
          <w:color w:val="auto"/>
          <w:sz w:val="22"/>
          <w:highlight w:val="none"/>
        </w:rPr>
      </w:pPr>
      <w:r>
        <w:rPr>
          <w:rFonts w:hint="eastAsia" w:ascii="宋体" w:hAnsi="宋体"/>
          <w:color w:val="auto"/>
          <w:sz w:val="22"/>
          <w:highlight w:val="none"/>
        </w:rPr>
        <w:t>7.2  特殊情况下，在原响应有效期截止前，招标采购单位可与磋商供应商协商延长响应有效期，这种要求和答复均以书面形式进行。磋商供应商可拒绝接受延期要求，也可以接受延期要求，同意延长响应有效期的磋商供应商不得修改响应文件。</w:t>
      </w:r>
    </w:p>
    <w:p>
      <w:pPr>
        <w:spacing w:line="440" w:lineRule="exact"/>
        <w:ind w:left="663" w:hanging="663" w:hangingChars="300"/>
        <w:rPr>
          <w:rFonts w:ascii="宋体" w:hAnsi="宋体"/>
          <w:color w:val="auto"/>
          <w:sz w:val="22"/>
          <w:highlight w:val="none"/>
        </w:rPr>
      </w:pPr>
      <w:r>
        <w:rPr>
          <w:rFonts w:hint="eastAsia" w:ascii="宋体" w:hAnsi="宋体"/>
          <w:b/>
          <w:color w:val="auto"/>
          <w:sz w:val="22"/>
          <w:highlight w:val="none"/>
        </w:rPr>
        <w:t>8．  响应文件的签署和规定</w:t>
      </w:r>
    </w:p>
    <w:p>
      <w:pPr>
        <w:spacing w:line="440" w:lineRule="exact"/>
        <w:ind w:left="550" w:hanging="550" w:hangingChars="250"/>
        <w:rPr>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磋商供应商应根据磋商文件的规定对磋商响应文件进行电子盖章及签署</w:t>
      </w:r>
      <w:r>
        <w:rPr>
          <w:rFonts w:hint="eastAsia" w:ascii="宋体" w:hAnsi="宋体"/>
          <w:color w:val="auto"/>
          <w:sz w:val="22"/>
          <w:szCs w:val="22"/>
          <w:highlight w:val="none"/>
        </w:rPr>
        <w:t>。</w:t>
      </w:r>
    </w:p>
    <w:p>
      <w:pPr>
        <w:pStyle w:val="5"/>
        <w:spacing w:line="520" w:lineRule="exact"/>
        <w:jc w:val="center"/>
        <w:rPr>
          <w:color w:val="auto"/>
          <w:sz w:val="28"/>
          <w:szCs w:val="28"/>
          <w:highlight w:val="none"/>
        </w:rPr>
      </w:pPr>
      <w:bookmarkStart w:id="69" w:name="_Toc25755"/>
      <w:r>
        <w:rPr>
          <w:rFonts w:hint="eastAsia"/>
          <w:color w:val="auto"/>
          <w:sz w:val="28"/>
          <w:szCs w:val="28"/>
          <w:highlight w:val="none"/>
        </w:rPr>
        <w:t>四、响应文件的递交</w:t>
      </w:r>
      <w:bookmarkEnd w:id="62"/>
      <w:bookmarkEnd w:id="63"/>
      <w:bookmarkEnd w:id="64"/>
      <w:bookmarkEnd w:id="65"/>
      <w:bookmarkEnd w:id="66"/>
      <w:bookmarkEnd w:id="67"/>
      <w:bookmarkEnd w:id="68"/>
      <w:bookmarkEnd w:id="69"/>
    </w:p>
    <w:p>
      <w:pPr>
        <w:spacing w:line="440" w:lineRule="exact"/>
        <w:rPr>
          <w:rFonts w:ascii="宋体" w:hAnsi="宋体" w:cs="宋体"/>
          <w:b/>
          <w:color w:val="auto"/>
          <w:sz w:val="22"/>
          <w:szCs w:val="22"/>
          <w:highlight w:val="none"/>
        </w:rPr>
      </w:pPr>
      <w:bookmarkStart w:id="70" w:name="_Toc195502582"/>
      <w:bookmarkStart w:id="71" w:name="_Toc195502492"/>
      <w:bookmarkStart w:id="72" w:name="_Toc202085292"/>
      <w:r>
        <w:rPr>
          <w:rFonts w:hint="eastAsia" w:ascii="宋体" w:hAnsi="宋体" w:cs="宋体"/>
          <w:b/>
          <w:color w:val="auto"/>
          <w:sz w:val="22"/>
          <w:szCs w:val="22"/>
          <w:highlight w:val="none"/>
        </w:rPr>
        <w:t>1.   磋商响应文件的递交</w:t>
      </w:r>
    </w:p>
    <w:p>
      <w:pPr>
        <w:spacing w:line="440" w:lineRule="exact"/>
        <w:ind w:left="550"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 xml:space="preserve"> </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磋商响应文件必须在磋商文件规定的磋商响应文件截止时间前完成电子磋商响应文件的传输递交。磋商截止时间前未完成传输的，视为撤回磋商响应文件。磋商截止时间后送达的磋商响应文件，将被政采云平台拒收。</w:t>
      </w:r>
    </w:p>
    <w:p>
      <w:pPr>
        <w:spacing w:line="440" w:lineRule="exact"/>
        <w:ind w:left="552" w:hanging="552" w:hangingChars="250"/>
        <w:rPr>
          <w:rFonts w:ascii="宋体" w:hAns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   磋商响应文件的补充、修改和撤回</w:t>
      </w:r>
    </w:p>
    <w:p>
      <w:pPr>
        <w:spacing w:line="440" w:lineRule="exact"/>
        <w:ind w:left="550" w:hanging="550" w:hangingChars="250"/>
        <w:rPr>
          <w:bCs/>
          <w:color w:val="auto"/>
          <w:highlight w:val="none"/>
        </w:rPr>
      </w:pPr>
      <w:r>
        <w:rPr>
          <w:rFonts w:hint="eastAsia" w:ascii="宋体" w:hAnsi="宋体" w:cs="宋体"/>
          <w:bCs/>
          <w:color w:val="auto"/>
          <w:sz w:val="22"/>
          <w:szCs w:val="22"/>
          <w:highlight w:val="none"/>
        </w:rPr>
        <w:t xml:space="preserve"> </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磋商供应商在磋商截止时间前，可以补充、修改或者撤回电子磋商响应文件。补充或者修改电子磋商响应文件的，应当先行撤回原文件，补充、修改后重新传输递交。</w:t>
      </w:r>
    </w:p>
    <w:p>
      <w:pPr>
        <w:pStyle w:val="5"/>
        <w:spacing w:line="520" w:lineRule="exact"/>
        <w:jc w:val="center"/>
        <w:rPr>
          <w:color w:val="auto"/>
          <w:sz w:val="28"/>
          <w:szCs w:val="28"/>
          <w:highlight w:val="none"/>
        </w:rPr>
      </w:pPr>
      <w:bookmarkStart w:id="73" w:name="_Toc28115"/>
      <w:bookmarkStart w:id="74" w:name="_Toc31450"/>
      <w:bookmarkStart w:id="75" w:name="_Toc1397"/>
      <w:bookmarkStart w:id="76" w:name="_Toc6842"/>
      <w:bookmarkStart w:id="77" w:name="_Toc31954"/>
      <w:r>
        <w:rPr>
          <w:rFonts w:hint="eastAsia"/>
          <w:color w:val="auto"/>
          <w:sz w:val="28"/>
          <w:szCs w:val="28"/>
          <w:highlight w:val="none"/>
        </w:rPr>
        <w:t>五、磋商和评审</w:t>
      </w:r>
      <w:bookmarkEnd w:id="70"/>
      <w:bookmarkEnd w:id="71"/>
      <w:bookmarkEnd w:id="72"/>
      <w:bookmarkEnd w:id="73"/>
      <w:bookmarkEnd w:id="74"/>
      <w:bookmarkEnd w:id="75"/>
      <w:bookmarkEnd w:id="76"/>
      <w:bookmarkEnd w:id="77"/>
    </w:p>
    <w:p>
      <w:pPr>
        <w:spacing w:line="440" w:lineRule="exact"/>
        <w:ind w:left="331" w:hanging="331" w:hangingChars="150"/>
        <w:rPr>
          <w:rFonts w:ascii="宋体" w:hAnsi="宋体"/>
          <w:color w:val="auto"/>
          <w:sz w:val="22"/>
          <w:szCs w:val="22"/>
          <w:highlight w:val="none"/>
        </w:rPr>
      </w:pPr>
      <w:r>
        <w:rPr>
          <w:rFonts w:hint="eastAsia" w:ascii="宋体" w:hAnsi="宋体"/>
          <w:b/>
          <w:color w:val="auto"/>
          <w:sz w:val="22"/>
          <w:szCs w:val="22"/>
          <w:highlight w:val="none"/>
        </w:rPr>
        <w:t>1．  磋商小组</w:t>
      </w:r>
    </w:p>
    <w:p>
      <w:pPr>
        <w:spacing w:line="44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1.1  招标采购单位依法组建磋商小组。磋商小组由3人（含）以上的单数组成，负责对响应文件进行审查、质疑、评估和比较并与响应供应商进行磋商。</w:t>
      </w:r>
      <w:r>
        <w:rPr>
          <w:rFonts w:hint="eastAsia" w:ascii="宋体" w:hAnsi="宋体"/>
          <w:color w:val="auto"/>
          <w:sz w:val="22"/>
          <w:highlight w:val="none"/>
        </w:rPr>
        <w:t>磋商小组成员在磋商过程中必须严格遵守《中华人民共和国政府采购法》等有关法律、法规的规定。</w:t>
      </w:r>
    </w:p>
    <w:p>
      <w:pPr>
        <w:spacing w:line="440" w:lineRule="exact"/>
        <w:rPr>
          <w:rFonts w:ascii="宋体" w:hAnsi="宋体"/>
          <w:b/>
          <w:color w:val="auto"/>
          <w:sz w:val="22"/>
          <w:highlight w:val="none"/>
        </w:rPr>
      </w:pPr>
      <w:r>
        <w:rPr>
          <w:rFonts w:hint="eastAsia" w:ascii="宋体" w:hAnsi="宋体"/>
          <w:b/>
          <w:color w:val="auto"/>
          <w:sz w:val="22"/>
          <w:szCs w:val="22"/>
          <w:highlight w:val="none"/>
        </w:rPr>
        <w:t xml:space="preserve">2．  </w:t>
      </w:r>
      <w:r>
        <w:rPr>
          <w:rFonts w:hint="eastAsia" w:ascii="宋体" w:hAnsi="宋体"/>
          <w:b/>
          <w:color w:val="auto"/>
          <w:sz w:val="22"/>
          <w:highlight w:val="none"/>
        </w:rPr>
        <w:t>评审过程的保密性</w:t>
      </w:r>
    </w:p>
    <w:p>
      <w:pPr>
        <w:spacing w:line="440" w:lineRule="exact"/>
        <w:ind w:left="548" w:leftChars="261"/>
        <w:rPr>
          <w:rFonts w:ascii="宋体" w:hAnsi="宋体"/>
          <w:b/>
          <w:color w:val="auto"/>
          <w:sz w:val="22"/>
          <w:highlight w:val="none"/>
        </w:rPr>
      </w:pPr>
      <w:r>
        <w:rPr>
          <w:rFonts w:hint="eastAsia" w:ascii="宋体" w:hAnsi="宋体"/>
          <w:b/>
          <w:color w:val="auto"/>
          <w:sz w:val="22"/>
          <w:highlight w:val="none"/>
        </w:rPr>
        <w:t>磋商开始后直至向成交供应商授予合同时止，凡与磋商有关的资料均不得向磋商供应商及与磋商无关人员透露。如果磋商供应商在磋商过程中试图向招标采购单位和磋商小组成员施加影响，或扰乱磋商和评审秩序，其响应将被拒绝。</w:t>
      </w:r>
    </w:p>
    <w:p>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磋商前准备</w:t>
      </w:r>
    </w:p>
    <w:p>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磋商响应文件签收及解密：由采购代理机构开始签收并开始解密磋商响应文件。</w:t>
      </w:r>
    </w:p>
    <w:p>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磋商响应文件解密：磋商响应文件递交截止时间后，磋商供应商登录政采云平台，用“项目采购-开标评标”功能对电子磋商响应文件进行在线解密。在线解密电子磋商响应文件时间为开标时间起半个小时内。磋商响应</w:t>
      </w:r>
      <w:r>
        <w:rPr>
          <w:rFonts w:ascii="宋体" w:hAnsi="宋体" w:cs="宋体"/>
          <w:bCs/>
          <w:color w:val="auto"/>
          <w:sz w:val="22"/>
          <w:szCs w:val="22"/>
          <w:highlight w:val="none"/>
        </w:rPr>
        <w:t>文件未按时解密，</w:t>
      </w:r>
      <w:r>
        <w:rPr>
          <w:rFonts w:hint="eastAsia" w:ascii="宋体" w:hAnsi="宋体" w:cs="宋体"/>
          <w:bCs/>
          <w:color w:val="auto"/>
          <w:sz w:val="22"/>
          <w:szCs w:val="22"/>
          <w:highlight w:val="none"/>
        </w:rPr>
        <w:t>磋商供应商</w:t>
      </w:r>
      <w:r>
        <w:rPr>
          <w:rFonts w:ascii="宋体" w:hAnsi="宋体" w:cs="宋体"/>
          <w:bCs/>
          <w:color w:val="auto"/>
          <w:sz w:val="22"/>
          <w:szCs w:val="22"/>
          <w:highlight w:val="none"/>
        </w:rPr>
        <w:t>提供了备份</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文件的，以备份</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文件作为依据，否则视为</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文件撤回。</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文件已按时解密的，备份</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文件自动失效。</w:t>
      </w:r>
    </w:p>
    <w:p>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磋商响应文件解密结束。磋商供应商在线解密磋商响应文件完毕后，由采购代理机构结束解密磋商响应文件。</w:t>
      </w:r>
    </w:p>
    <w:p>
      <w:pPr>
        <w:spacing w:line="440" w:lineRule="exact"/>
        <w:ind w:left="552" w:hanging="552" w:hangingChars="250"/>
        <w:rPr>
          <w:rFonts w:ascii="宋体" w:hAnsi="宋体"/>
          <w:color w:val="auto"/>
          <w:sz w:val="22"/>
          <w:szCs w:val="22"/>
          <w:highlight w:val="none"/>
        </w:rPr>
      </w:pPr>
      <w:r>
        <w:rPr>
          <w:rFonts w:hint="eastAsia" w:ascii="宋体" w:hAnsi="宋体"/>
          <w:b/>
          <w:color w:val="auto"/>
          <w:sz w:val="22"/>
          <w:szCs w:val="22"/>
          <w:highlight w:val="none"/>
        </w:rPr>
        <w:t>4    磋商和评审</w:t>
      </w:r>
    </w:p>
    <w:p>
      <w:pPr>
        <w:spacing w:line="440" w:lineRule="exact"/>
        <w:ind w:left="552" w:hanging="552" w:hangingChars="250"/>
        <w:rPr>
          <w:rFonts w:ascii="宋体" w:hAnsi="宋体"/>
          <w:color w:val="auto"/>
          <w:sz w:val="22"/>
          <w:szCs w:val="22"/>
          <w:highlight w:val="none"/>
        </w:rPr>
      </w:pPr>
      <w:r>
        <w:rPr>
          <w:rFonts w:hint="eastAsia" w:ascii="宋体" w:hAnsi="宋体"/>
          <w:b/>
          <w:color w:val="auto"/>
          <w:sz w:val="22"/>
          <w:szCs w:val="22"/>
          <w:highlight w:val="none"/>
        </w:rPr>
        <w:t>4.</w:t>
      </w:r>
      <w:r>
        <w:rPr>
          <w:rFonts w:ascii="宋体" w:hAnsi="宋体"/>
          <w:b/>
          <w:color w:val="auto"/>
          <w:sz w:val="22"/>
          <w:szCs w:val="22"/>
          <w:highlight w:val="none"/>
        </w:rPr>
        <w:t>1</w:t>
      </w:r>
      <w:r>
        <w:rPr>
          <w:rFonts w:hint="eastAsia" w:ascii="宋体" w:hAnsi="宋体"/>
          <w:b/>
          <w:color w:val="auto"/>
          <w:sz w:val="22"/>
          <w:szCs w:val="22"/>
          <w:highlight w:val="none"/>
        </w:rPr>
        <w:t xml:space="preserve">  磋商资格审查</w:t>
      </w:r>
    </w:p>
    <w:p>
      <w:pPr>
        <w:spacing w:line="440" w:lineRule="exact"/>
        <w:ind w:left="533" w:leftChars="254"/>
        <w:rPr>
          <w:rFonts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采购人或采购代理机构依据法律、法规和磋商文件的规定，对各磋商响应文件中的资格证明在线进行审查，以确定是否具备磋商资格。</w:t>
      </w:r>
      <w:r>
        <w:rPr>
          <w:rFonts w:hint="eastAsia" w:ascii="宋体" w:hAnsi="宋体" w:cs="宋体"/>
          <w:b/>
          <w:color w:val="auto"/>
          <w:sz w:val="22"/>
          <w:szCs w:val="22"/>
          <w:highlight w:val="none"/>
        </w:rPr>
        <w:t>▲</w:t>
      </w:r>
      <w:r>
        <w:rPr>
          <w:rFonts w:hint="eastAsia" w:ascii="宋体" w:hAnsi="宋体" w:cs="宋体"/>
          <w:bCs/>
          <w:color w:val="auto"/>
          <w:sz w:val="22"/>
          <w:szCs w:val="22"/>
          <w:highlight w:val="none"/>
          <w:u w:val="single"/>
        </w:rPr>
        <w:t>只要有一项审查不合格，则该磋商供应商的资格审查不合格，审查不合格的磋商响应文件将不予评审。</w:t>
      </w:r>
    </w:p>
    <w:p>
      <w:pPr>
        <w:spacing w:line="440" w:lineRule="exact"/>
        <w:ind w:left="552" w:hanging="552" w:hangingChars="250"/>
        <w:rPr>
          <w:rFonts w:ascii="宋体" w:hAnsi="宋体"/>
          <w:color w:val="auto"/>
          <w:sz w:val="22"/>
          <w:szCs w:val="22"/>
          <w:highlight w:val="none"/>
        </w:rPr>
      </w:pPr>
      <w:r>
        <w:rPr>
          <w:rFonts w:hint="eastAsia" w:ascii="宋体" w:hAnsi="宋体"/>
          <w:b/>
          <w:color w:val="auto"/>
          <w:sz w:val="22"/>
          <w:szCs w:val="22"/>
          <w:highlight w:val="none"/>
        </w:rPr>
        <w:t>4.</w:t>
      </w:r>
      <w:r>
        <w:rPr>
          <w:rFonts w:ascii="宋体" w:hAnsi="宋体"/>
          <w:b/>
          <w:color w:val="auto"/>
          <w:sz w:val="22"/>
          <w:szCs w:val="22"/>
          <w:highlight w:val="none"/>
        </w:rPr>
        <w:t>2</w:t>
      </w:r>
      <w:r>
        <w:rPr>
          <w:rFonts w:hint="eastAsia" w:ascii="宋体" w:hAnsi="宋体"/>
          <w:b/>
          <w:color w:val="auto"/>
          <w:sz w:val="22"/>
          <w:szCs w:val="22"/>
          <w:highlight w:val="none"/>
        </w:rPr>
        <w:t xml:space="preserve">  响应文件的评审</w:t>
      </w:r>
    </w:p>
    <w:p>
      <w:pPr>
        <w:spacing w:line="440" w:lineRule="exact"/>
        <w:ind w:left="548" w:leftChars="261"/>
        <w:rPr>
          <w:rFonts w:ascii="宋体" w:hAnsi="宋体"/>
          <w:color w:val="auto"/>
          <w:sz w:val="22"/>
          <w:szCs w:val="22"/>
          <w:highlight w:val="none"/>
        </w:rPr>
      </w:pPr>
      <w:r>
        <w:rPr>
          <w:rFonts w:hint="eastAsia" w:ascii="宋体" w:hAnsi="宋体"/>
          <w:color w:val="auto"/>
          <w:sz w:val="22"/>
          <w:szCs w:val="22"/>
          <w:highlight w:val="none"/>
        </w:rPr>
        <w:t>磋商小组根据竞争性磋商文件的规定，对响应文件的有效性、完整性和对竞争性磋商文件的响应程度进行审查，以确定其是否对磋商文件作出了实质性响应。实质上没有响应磋商文件要求的响应按无效处理。磋商小组对响应文件是否实质上响应磋商文件的要求是根据响应文件本身而不是依据外部证明。</w:t>
      </w:r>
    </w:p>
    <w:p>
      <w:pPr>
        <w:spacing w:line="440" w:lineRule="exact"/>
        <w:ind w:left="554" w:leftChars="1" w:hanging="552" w:hangingChars="250"/>
        <w:rPr>
          <w:rFonts w:ascii="宋体" w:hAnsi="宋体"/>
          <w:color w:val="auto"/>
          <w:sz w:val="22"/>
          <w:szCs w:val="22"/>
          <w:highlight w:val="none"/>
        </w:rPr>
      </w:pPr>
      <w:r>
        <w:rPr>
          <w:rFonts w:hint="eastAsia" w:ascii="宋体" w:hAnsi="宋体"/>
          <w:b/>
          <w:color w:val="auto"/>
          <w:sz w:val="22"/>
          <w:szCs w:val="22"/>
          <w:highlight w:val="none"/>
        </w:rPr>
        <w:t>4.</w:t>
      </w:r>
      <w:r>
        <w:rPr>
          <w:rFonts w:ascii="宋体" w:hAnsi="宋体"/>
          <w:b/>
          <w:color w:val="auto"/>
          <w:sz w:val="22"/>
          <w:szCs w:val="22"/>
          <w:highlight w:val="none"/>
        </w:rPr>
        <w:t>3</w:t>
      </w:r>
      <w:r>
        <w:rPr>
          <w:rFonts w:hint="eastAsia" w:ascii="宋体" w:hAnsi="宋体"/>
          <w:b/>
          <w:color w:val="auto"/>
          <w:sz w:val="22"/>
          <w:szCs w:val="22"/>
          <w:highlight w:val="none"/>
        </w:rPr>
        <w:t xml:space="preserve">  竞争性磋商</w:t>
      </w:r>
    </w:p>
    <w:p>
      <w:pPr>
        <w:spacing w:line="44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（1）磋商小组所有成员根据磋商文件规定的程序、评定成交标准等事项与实质性响应磋商文件要求的供应商进行在线磋商。</w:t>
      </w:r>
    </w:p>
    <w:p>
      <w:pPr>
        <w:spacing w:line="44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2）磋商小组将遵循公平、公正的原则，采用相同的程序和标准，集中与单一供应商分别进行磋商。磋商主要针对磋商供应商提供货物或服务的价格、技术性能、质量水平和保证措施、交货时间、安装实施方案、售后服务及承诺、培训计划、履约能力、付款方式等方面进行磋商和综合分析考评。</w:t>
      </w:r>
    </w:p>
    <w:p>
      <w:pPr>
        <w:spacing w:line="44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（3）在磋商过程中，磋商的任何一方都不得透露与磋商有关的其他供应商的技术资料、价格和其他信息。</w:t>
      </w:r>
    </w:p>
    <w:p>
      <w:pPr>
        <w:spacing w:line="44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（4）在磋商过程中，磋商小组可以根据磋商文件和响应情况实质性变动采购需求中的技术、服务要求以及合同草案条款，但不得变动磋商文件的其他内容。实质性变动的内容，须经采购人代表确认。</w:t>
      </w:r>
    </w:p>
    <w:p>
      <w:pPr>
        <w:spacing w:line="44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（5）对磋商文件作出的实质性变动是磋商文件的有效组成部分，磋商小组应及时以书面形式通知所有参加磋商的供应商。</w:t>
      </w:r>
    </w:p>
    <w:p>
      <w:pPr>
        <w:spacing w:line="440" w:lineRule="exact"/>
        <w:ind w:left="550" w:hanging="550" w:hangingChars="250"/>
        <w:rPr>
          <w:rFonts w:ascii="宋体" w:hAnsi="宋体" w:cs="Arial"/>
          <w:color w:val="auto"/>
          <w:kern w:val="0"/>
          <w:sz w:val="22"/>
          <w:szCs w:val="22"/>
          <w:highlight w:val="none"/>
        </w:rPr>
      </w:pPr>
      <w:r>
        <w:rPr>
          <w:rFonts w:hint="eastAsia" w:ascii="宋体" w:hAnsi="宋体"/>
          <w:color w:val="auto"/>
          <w:sz w:val="22"/>
          <w:szCs w:val="22"/>
          <w:highlight w:val="none"/>
        </w:rPr>
        <w:t>（6）</w:t>
      </w:r>
      <w:r>
        <w:rPr>
          <w:rFonts w:ascii="宋体" w:hAnsi="宋体" w:cs="Arial"/>
          <w:color w:val="auto"/>
          <w:kern w:val="0"/>
          <w:sz w:val="22"/>
          <w:szCs w:val="22"/>
          <w:highlight w:val="none"/>
        </w:rPr>
        <w:t>供应商应当按照磋商文件的变动情况和磋商小组的要求重新提交响应文件，并</w:t>
      </w:r>
      <w:r>
        <w:rPr>
          <w:rFonts w:hint="eastAsia" w:ascii="宋体" w:hAnsi="宋体" w:cs="Arial"/>
          <w:color w:val="auto"/>
          <w:kern w:val="0"/>
          <w:sz w:val="22"/>
          <w:szCs w:val="22"/>
          <w:highlight w:val="none"/>
        </w:rPr>
        <w:t>根据磋商文件的规定对磋商响应文件进行电子盖章及签署</w:t>
      </w:r>
      <w:r>
        <w:rPr>
          <w:rFonts w:ascii="宋体" w:hAnsi="宋体" w:cs="Arial"/>
          <w:color w:val="auto"/>
          <w:kern w:val="0"/>
          <w:sz w:val="22"/>
          <w:szCs w:val="22"/>
          <w:highlight w:val="none"/>
        </w:rPr>
        <w:t>。</w:t>
      </w:r>
    </w:p>
    <w:p>
      <w:pPr>
        <w:widowControl/>
        <w:spacing w:line="440" w:lineRule="exact"/>
        <w:ind w:left="552" w:hanging="552" w:hangingChars="250"/>
        <w:jc w:val="left"/>
        <w:rPr>
          <w:rFonts w:ascii="宋体" w:hAnsi="宋体" w:cs="Arial"/>
          <w:color w:val="auto"/>
          <w:kern w:val="0"/>
          <w:sz w:val="22"/>
          <w:szCs w:val="22"/>
          <w:highlight w:val="none"/>
        </w:rPr>
      </w:pPr>
      <w:r>
        <w:rPr>
          <w:rFonts w:hint="eastAsia" w:ascii="宋体" w:hAnsi="宋体"/>
          <w:b/>
          <w:color w:val="auto"/>
          <w:sz w:val="22"/>
          <w:szCs w:val="22"/>
          <w:highlight w:val="none"/>
        </w:rPr>
        <w:t>4.</w:t>
      </w:r>
      <w:r>
        <w:rPr>
          <w:rFonts w:ascii="宋体" w:hAnsi="宋体"/>
          <w:b/>
          <w:color w:val="auto"/>
          <w:sz w:val="22"/>
          <w:szCs w:val="22"/>
          <w:highlight w:val="none"/>
        </w:rPr>
        <w:t>4</w:t>
      </w:r>
      <w:r>
        <w:rPr>
          <w:rFonts w:hint="eastAsia" w:ascii="宋体" w:hAnsi="宋体"/>
          <w:b/>
          <w:color w:val="auto"/>
          <w:sz w:val="22"/>
          <w:szCs w:val="22"/>
          <w:highlight w:val="none"/>
        </w:rPr>
        <w:t xml:space="preserve">  </w:t>
      </w:r>
      <w:r>
        <w:rPr>
          <w:rFonts w:hint="eastAsia" w:ascii="宋体" w:hAnsi="宋体" w:cs="Arial"/>
          <w:b/>
          <w:color w:val="auto"/>
          <w:kern w:val="0"/>
          <w:sz w:val="22"/>
          <w:szCs w:val="22"/>
          <w:highlight w:val="none"/>
        </w:rPr>
        <w:t>最后报价</w:t>
      </w:r>
    </w:p>
    <w:p>
      <w:pPr>
        <w:widowControl/>
        <w:spacing w:line="440" w:lineRule="exact"/>
        <w:ind w:left="550" w:hanging="550" w:hangingChars="250"/>
        <w:jc w:val="left"/>
        <w:rPr>
          <w:rFonts w:ascii="宋体" w:hAnsi="宋体"/>
          <w:color w:val="auto"/>
          <w:sz w:val="22"/>
          <w:szCs w:val="22"/>
          <w:highlight w:val="none"/>
        </w:rPr>
      </w:pPr>
      <w:r>
        <w:rPr>
          <w:rFonts w:hint="eastAsia" w:ascii="宋体" w:hAnsi="宋体"/>
          <w:color w:val="auto"/>
          <w:sz w:val="22"/>
          <w:szCs w:val="22"/>
          <w:highlight w:val="none"/>
        </w:rPr>
        <w:t>（1）磋商文件能够详细列明采购标的的技术、服务要求的，磋商结束后，磋商小组应当要求所有实质性响应的供应商在规定时间内提交最后报价，提交最后报价的供应商不得少于</w:t>
      </w:r>
      <w:r>
        <w:rPr>
          <w:rFonts w:ascii="宋体" w:hAnsi="宋体"/>
          <w:color w:val="auto"/>
          <w:sz w:val="22"/>
          <w:szCs w:val="22"/>
          <w:highlight w:val="none"/>
        </w:rPr>
        <w:t>3</w:t>
      </w:r>
      <w:r>
        <w:rPr>
          <w:rFonts w:hint="eastAsia" w:ascii="宋体" w:hAnsi="宋体"/>
          <w:color w:val="auto"/>
          <w:sz w:val="22"/>
          <w:szCs w:val="22"/>
          <w:highlight w:val="none"/>
        </w:rPr>
        <w:t>家。</w:t>
      </w:r>
    </w:p>
    <w:p>
      <w:pPr>
        <w:widowControl/>
        <w:spacing w:line="440" w:lineRule="exact"/>
        <w:ind w:left="550" w:hanging="550" w:hangingChars="250"/>
        <w:jc w:val="left"/>
        <w:rPr>
          <w:rFonts w:ascii="宋体" w:hAnsi="宋体"/>
          <w:color w:val="auto"/>
          <w:sz w:val="22"/>
          <w:szCs w:val="22"/>
          <w:highlight w:val="none"/>
        </w:rPr>
      </w:pPr>
      <w:r>
        <w:rPr>
          <w:rFonts w:hint="eastAsia" w:ascii="宋体" w:hAnsi="宋体"/>
          <w:color w:val="auto"/>
          <w:sz w:val="22"/>
          <w:szCs w:val="22"/>
          <w:highlight w:val="none"/>
        </w:rPr>
        <w:t>（2）磋商文件不能详细列明采购标的的技术、服务要求，需经磋商由供应商提供最终设计方案或解决方案的，磋商结束后，磋商小组应当按照少数服从多数的原则投票推荐</w:t>
      </w:r>
      <w:r>
        <w:rPr>
          <w:rFonts w:ascii="宋体" w:hAnsi="宋体"/>
          <w:color w:val="auto"/>
          <w:sz w:val="22"/>
          <w:szCs w:val="22"/>
          <w:highlight w:val="none"/>
        </w:rPr>
        <w:t>3</w:t>
      </w:r>
      <w:r>
        <w:rPr>
          <w:rFonts w:hint="eastAsia" w:ascii="宋体" w:hAnsi="宋体"/>
          <w:color w:val="auto"/>
          <w:sz w:val="22"/>
          <w:szCs w:val="22"/>
          <w:highlight w:val="none"/>
        </w:rPr>
        <w:t>家以上供应商的设计方案或者解决方案，并要求其在规定时间内提交最后报价。</w:t>
      </w:r>
    </w:p>
    <w:p>
      <w:pPr>
        <w:widowControl/>
        <w:spacing w:line="440" w:lineRule="exact"/>
        <w:ind w:left="550" w:hanging="550" w:hangingChars="25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（3）</w:t>
      </w:r>
      <w:r>
        <w:rPr>
          <w:rFonts w:ascii="宋体" w:hAnsi="宋体" w:cs="Arial"/>
          <w:color w:val="auto"/>
          <w:kern w:val="0"/>
          <w:sz w:val="22"/>
          <w:szCs w:val="22"/>
          <w:highlight w:val="none"/>
        </w:rPr>
        <w:t>已提交响应文件的供应商，在提交最后报价之前，可以根据磋商情况退出磋商。</w:t>
      </w:r>
    </w:p>
    <w:p>
      <w:pPr>
        <w:spacing w:line="440" w:lineRule="exact"/>
        <w:ind w:left="552" w:hanging="552" w:hangingChars="250"/>
        <w:rPr>
          <w:rFonts w:ascii="宋体" w:hAnsi="宋体" w:cs="Arial"/>
          <w:b/>
          <w:color w:val="auto"/>
          <w:kern w:val="0"/>
          <w:sz w:val="22"/>
          <w:szCs w:val="22"/>
          <w:highlight w:val="none"/>
        </w:rPr>
      </w:pPr>
      <w:r>
        <w:rPr>
          <w:rFonts w:hint="eastAsia" w:ascii="宋体" w:hAnsi="宋体" w:cs="Arial"/>
          <w:b/>
          <w:color w:val="auto"/>
          <w:kern w:val="0"/>
          <w:sz w:val="22"/>
          <w:szCs w:val="22"/>
          <w:highlight w:val="none"/>
        </w:rPr>
        <w:t>4.</w:t>
      </w:r>
      <w:r>
        <w:rPr>
          <w:rFonts w:ascii="宋体" w:hAnsi="宋体" w:cs="Arial"/>
          <w:b/>
          <w:color w:val="auto"/>
          <w:kern w:val="0"/>
          <w:sz w:val="22"/>
          <w:szCs w:val="22"/>
          <w:highlight w:val="none"/>
        </w:rPr>
        <w:t>5</w:t>
      </w:r>
      <w:r>
        <w:rPr>
          <w:rFonts w:hint="eastAsia" w:ascii="宋体" w:hAnsi="宋体" w:cs="Arial"/>
          <w:b/>
          <w:color w:val="auto"/>
          <w:kern w:val="0"/>
          <w:sz w:val="22"/>
          <w:szCs w:val="22"/>
          <w:highlight w:val="none"/>
        </w:rPr>
        <w:t xml:space="preserve">  综合评分</w:t>
      </w:r>
    </w:p>
    <w:p>
      <w:pPr>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（1）经磋商确定最终采购需求和提交最后报价的供应商后，由磋商小组采用综合评分法对提交最后报价的供应商的响应文件和最后报价进行综合评分。</w:t>
      </w:r>
    </w:p>
    <w:p>
      <w:pPr>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（2）综合评分法，是指响应文件满足磋商文件全部实质性要求且按评审因素的量化指标评审得分最高的供应商为成交候选供应商的评审方法。</w:t>
      </w:r>
    </w:p>
    <w:p>
      <w:pPr>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（3）综合评分法评审标准中的分值设置应当与评审因素的量化指标相对应。磋商文件中没有规定的评审标准不得作为评审依据。</w:t>
      </w:r>
    </w:p>
    <w:p>
      <w:pPr>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（4）评审时，磋商小组各成员应当独立对每个有效响应的文件进行评价、打分，然后汇总每个供应商每项评分因素的得分。</w:t>
      </w:r>
    </w:p>
    <w:p>
      <w:pPr>
        <w:spacing w:line="440" w:lineRule="exact"/>
        <w:rPr>
          <w:rFonts w:ascii="宋体" w:hAnsi="宋体"/>
          <w:color w:val="auto"/>
          <w:sz w:val="22"/>
          <w:szCs w:val="22"/>
          <w:highlight w:val="none"/>
        </w:rPr>
      </w:pPr>
      <w:r>
        <w:rPr>
          <w:rFonts w:hint="eastAsia" w:ascii="宋体" w:hAnsi="宋体"/>
          <w:color w:val="auto"/>
          <w:sz w:val="22"/>
          <w:highlight w:val="none"/>
        </w:rPr>
        <w:t xml:space="preserve">5．  </w:t>
      </w:r>
      <w:r>
        <w:rPr>
          <w:rFonts w:hint="eastAsia" w:ascii="宋体" w:hAnsi="宋体"/>
          <w:b/>
          <w:color w:val="auto"/>
          <w:sz w:val="22"/>
          <w:highlight w:val="none"/>
        </w:rPr>
        <w:t>响应文件的澄清</w:t>
      </w:r>
    </w:p>
    <w:p>
      <w:pPr>
        <w:tabs>
          <w:tab w:val="left" w:pos="1365"/>
        </w:tabs>
        <w:spacing w:line="440" w:lineRule="exact"/>
        <w:ind w:left="558" w:leftChars="4" w:hanging="550" w:hangingChars="250"/>
        <w:rPr>
          <w:rFonts w:ascii="宋体" w:hAnsi="宋体" w:cs="Arial"/>
          <w:color w:val="auto"/>
          <w:kern w:val="0"/>
          <w:sz w:val="22"/>
          <w:szCs w:val="22"/>
          <w:highlight w:val="none"/>
        </w:rPr>
      </w:pPr>
      <w:r>
        <w:rPr>
          <w:rFonts w:hint="eastAsia" w:ascii="宋体" w:hAnsi="宋体"/>
          <w:color w:val="auto"/>
          <w:sz w:val="22"/>
          <w:highlight w:val="none"/>
        </w:rPr>
        <w:t xml:space="preserve">5.1  </w:t>
      </w:r>
      <w:r>
        <w:rPr>
          <w:rFonts w:ascii="宋体" w:hAnsi="宋体" w:cs="Arial"/>
          <w:color w:val="auto"/>
          <w:kern w:val="0"/>
          <w:sz w:val="22"/>
          <w:szCs w:val="22"/>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olor w:val="auto"/>
          <w:sz w:val="22"/>
          <w:highlight w:val="none"/>
        </w:rPr>
        <w:t>拒不按要求对其响应文件进行澄清，说明或更正的磋商供应商，磋商小组可以认定其响应文件无效。</w:t>
      </w:r>
    </w:p>
    <w:p>
      <w:pPr>
        <w:tabs>
          <w:tab w:val="left" w:pos="1365"/>
        </w:tabs>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 xml:space="preserve">5.2  </w:t>
      </w:r>
      <w:r>
        <w:rPr>
          <w:rFonts w:hint="eastAsia" w:ascii="宋体" w:hAnsi="宋体" w:cs="宋体"/>
          <w:color w:val="auto"/>
          <w:sz w:val="22"/>
          <w:szCs w:val="22"/>
          <w:highlight w:val="none"/>
        </w:rPr>
        <w:t>磋商供应商的澄清、说明或者补正应当采用电子传输形式。磋商供应商的澄清、说明或者补正不得超出磋商响应文件的范围或者改变磋商响应文件的实质性内容。</w:t>
      </w:r>
    </w:p>
    <w:p>
      <w:pPr>
        <w:tabs>
          <w:tab w:val="left" w:pos="1365"/>
        </w:tabs>
        <w:spacing w:line="440" w:lineRule="exact"/>
        <w:ind w:left="558" w:leftChars="4" w:hanging="550" w:hangingChars="250"/>
        <w:rPr>
          <w:rFonts w:ascii="宋体" w:hAnsi="宋体"/>
          <w:color w:val="auto"/>
          <w:sz w:val="22"/>
          <w:highlight w:val="none"/>
        </w:rPr>
      </w:pPr>
      <w:r>
        <w:rPr>
          <w:rFonts w:hint="eastAsia" w:ascii="宋体" w:hAnsi="宋体"/>
          <w:color w:val="auto"/>
          <w:sz w:val="22"/>
          <w:highlight w:val="none"/>
        </w:rPr>
        <w:t xml:space="preserve">5.3  </w:t>
      </w:r>
      <w:r>
        <w:rPr>
          <w:rFonts w:hint="eastAsia" w:ascii="宋体" w:hAnsi="宋体"/>
          <w:b/>
          <w:color w:val="auto"/>
          <w:sz w:val="22"/>
          <w:highlight w:val="none"/>
        </w:rPr>
        <w:t>经澄清后，若偏差仍存在，且不可接受，响应文件则被认为是“没有实质性响应磋商文件要求”，不进入下一步评审。</w:t>
      </w:r>
    </w:p>
    <w:p>
      <w:pPr>
        <w:tabs>
          <w:tab w:val="left" w:pos="1365"/>
        </w:tabs>
        <w:spacing w:line="440" w:lineRule="exact"/>
        <w:ind w:left="549" w:leftChars="4" w:hanging="541" w:hangingChars="245"/>
        <w:rPr>
          <w:rFonts w:ascii="宋体" w:hAnsi="宋体"/>
          <w:color w:val="auto"/>
          <w:sz w:val="22"/>
          <w:highlight w:val="none"/>
        </w:rPr>
      </w:pPr>
      <w:r>
        <w:rPr>
          <w:rFonts w:hint="eastAsia" w:ascii="宋体" w:hAnsi="宋体"/>
          <w:b/>
          <w:color w:val="auto"/>
          <w:sz w:val="22"/>
          <w:highlight w:val="none"/>
        </w:rPr>
        <w:t xml:space="preserve">6. </w:t>
      </w:r>
      <w:r>
        <w:rPr>
          <w:rFonts w:hint="eastAsia" w:ascii="宋体" w:hAnsi="宋体"/>
          <w:b/>
          <w:bCs/>
          <w:color w:val="auto"/>
          <w:sz w:val="22"/>
          <w:szCs w:val="22"/>
          <w:highlight w:val="none"/>
        </w:rPr>
        <w:t>▲</w:t>
      </w:r>
      <w:r>
        <w:rPr>
          <w:rFonts w:hint="eastAsia" w:ascii="宋体" w:hAnsi="宋体"/>
          <w:b/>
          <w:color w:val="auto"/>
          <w:sz w:val="22"/>
          <w:highlight w:val="none"/>
          <w:u w:val="single"/>
        </w:rPr>
        <w:t>在对各磋商供应商的响应文件进行评审时，响应文件有下列情况之一的，经磋商小组认定后按无效响应文件处理</w:t>
      </w:r>
      <w:r>
        <w:rPr>
          <w:rFonts w:hint="eastAsia" w:ascii="宋体" w:hAnsi="宋体"/>
          <w:b/>
          <w:color w:val="auto"/>
          <w:sz w:val="22"/>
          <w:highlight w:val="none"/>
        </w:rPr>
        <w:t>：</w:t>
      </w:r>
    </w:p>
    <w:p>
      <w:pPr>
        <w:spacing w:line="440" w:lineRule="exact"/>
        <w:ind w:left="648" w:leftChars="51" w:hanging="541" w:hangingChars="245"/>
        <w:rPr>
          <w:rFonts w:ascii="宋体" w:hAnsi="宋体"/>
          <w:b/>
          <w:color w:val="auto"/>
          <w:sz w:val="22"/>
          <w:highlight w:val="none"/>
        </w:rPr>
      </w:pPr>
      <w:r>
        <w:rPr>
          <w:rFonts w:hint="eastAsia" w:ascii="宋体" w:hAnsi="宋体"/>
          <w:b/>
          <w:color w:val="auto"/>
          <w:sz w:val="22"/>
          <w:highlight w:val="none"/>
        </w:rPr>
        <w:t>（1）</w:t>
      </w:r>
      <w:r>
        <w:rPr>
          <w:rFonts w:hint="eastAsia" w:ascii="宋体" w:hAnsi="宋体"/>
          <w:b/>
          <w:color w:val="auto"/>
          <w:sz w:val="22"/>
          <w:highlight w:val="none"/>
          <w:u w:val="single"/>
        </w:rPr>
        <w:t>响应文件未按磋商文件要求签署、盖章的</w:t>
      </w:r>
      <w:r>
        <w:rPr>
          <w:rFonts w:hint="eastAsia" w:ascii="宋体" w:hAnsi="宋体"/>
          <w:b/>
          <w:color w:val="auto"/>
          <w:sz w:val="22"/>
          <w:highlight w:val="none"/>
        </w:rPr>
        <w:t>；</w:t>
      </w:r>
    </w:p>
    <w:p>
      <w:pPr>
        <w:spacing w:line="440" w:lineRule="exact"/>
        <w:ind w:firstLine="108" w:firstLineChars="49"/>
        <w:rPr>
          <w:rFonts w:ascii="宋体" w:hAnsi="宋体"/>
          <w:b/>
          <w:color w:val="auto"/>
          <w:sz w:val="22"/>
          <w:highlight w:val="none"/>
        </w:rPr>
      </w:pPr>
      <w:r>
        <w:rPr>
          <w:rFonts w:hint="eastAsia" w:ascii="宋体" w:hAnsi="宋体"/>
          <w:b/>
          <w:color w:val="auto"/>
          <w:sz w:val="22"/>
          <w:highlight w:val="none"/>
        </w:rPr>
        <w:t>（2）</w:t>
      </w:r>
      <w:r>
        <w:rPr>
          <w:rFonts w:hint="eastAsia" w:ascii="宋体" w:hAnsi="宋体"/>
          <w:b/>
          <w:color w:val="auto"/>
          <w:sz w:val="22"/>
          <w:highlight w:val="none"/>
          <w:u w:val="single"/>
        </w:rPr>
        <w:t>明显不符合磋商文件中主要技术要求的</w:t>
      </w:r>
      <w:r>
        <w:rPr>
          <w:rFonts w:hint="eastAsia" w:ascii="宋体" w:hAnsi="宋体"/>
          <w:b/>
          <w:color w:val="auto"/>
          <w:sz w:val="22"/>
          <w:highlight w:val="none"/>
        </w:rPr>
        <w:t>；</w:t>
      </w:r>
    </w:p>
    <w:p>
      <w:pPr>
        <w:spacing w:line="440" w:lineRule="exact"/>
        <w:ind w:firstLine="108" w:firstLineChars="49"/>
        <w:rPr>
          <w:rFonts w:ascii="宋体" w:hAnsi="宋体"/>
          <w:b/>
          <w:color w:val="auto"/>
          <w:sz w:val="22"/>
          <w:highlight w:val="none"/>
        </w:rPr>
      </w:pPr>
      <w:r>
        <w:rPr>
          <w:rFonts w:hint="eastAsia" w:ascii="宋体" w:hAnsi="宋体"/>
          <w:b/>
          <w:color w:val="auto"/>
          <w:sz w:val="22"/>
          <w:highlight w:val="none"/>
        </w:rPr>
        <w:t>（3）</w:t>
      </w:r>
      <w:r>
        <w:rPr>
          <w:rFonts w:hint="eastAsia" w:ascii="宋体" w:hAnsi="宋体"/>
          <w:b/>
          <w:color w:val="auto"/>
          <w:sz w:val="22"/>
          <w:highlight w:val="none"/>
          <w:u w:val="single"/>
        </w:rPr>
        <w:t>响应文件内容不全或关键字迹模糊无法辨认或未做好节点关联导致关键内容缺失的</w:t>
      </w:r>
      <w:r>
        <w:rPr>
          <w:rFonts w:hint="eastAsia" w:ascii="宋体" w:hAnsi="宋体"/>
          <w:b/>
          <w:color w:val="auto"/>
          <w:sz w:val="22"/>
          <w:highlight w:val="none"/>
        </w:rPr>
        <w:t>；</w:t>
      </w:r>
    </w:p>
    <w:p>
      <w:pPr>
        <w:spacing w:line="440" w:lineRule="exact"/>
        <w:ind w:firstLine="108" w:firstLineChars="49"/>
        <w:rPr>
          <w:rFonts w:ascii="宋体" w:hAnsi="宋体"/>
          <w:b/>
          <w:color w:val="auto"/>
          <w:sz w:val="22"/>
          <w:highlight w:val="none"/>
        </w:rPr>
      </w:pPr>
      <w:r>
        <w:rPr>
          <w:rFonts w:hint="eastAsia" w:ascii="宋体" w:hAnsi="宋体"/>
          <w:b/>
          <w:color w:val="auto"/>
          <w:sz w:val="22"/>
          <w:highlight w:val="none"/>
        </w:rPr>
        <w:t>（4）</w:t>
      </w:r>
      <w:r>
        <w:rPr>
          <w:rFonts w:hint="eastAsia" w:ascii="宋体" w:hAnsi="宋体"/>
          <w:b/>
          <w:color w:val="auto"/>
          <w:sz w:val="22"/>
          <w:highlight w:val="none"/>
          <w:u w:val="single"/>
        </w:rPr>
        <w:t>响应文件附有采购人不能接受的条件的</w:t>
      </w:r>
      <w:r>
        <w:rPr>
          <w:rFonts w:hint="eastAsia" w:ascii="宋体" w:hAnsi="宋体"/>
          <w:b/>
          <w:color w:val="auto"/>
          <w:sz w:val="22"/>
          <w:highlight w:val="none"/>
        </w:rPr>
        <w:t>；</w:t>
      </w:r>
    </w:p>
    <w:p>
      <w:pPr>
        <w:spacing w:line="440" w:lineRule="exact"/>
        <w:ind w:firstLine="108" w:firstLineChars="49"/>
        <w:rPr>
          <w:rFonts w:ascii="宋体" w:hAnsi="宋体"/>
          <w:b/>
          <w:color w:val="auto"/>
          <w:sz w:val="22"/>
          <w:highlight w:val="none"/>
        </w:rPr>
      </w:pPr>
      <w:r>
        <w:rPr>
          <w:rFonts w:hint="eastAsia" w:ascii="宋体" w:hAnsi="宋体"/>
          <w:b/>
          <w:color w:val="auto"/>
          <w:sz w:val="22"/>
          <w:highlight w:val="none"/>
        </w:rPr>
        <w:t>（5）</w:t>
      </w:r>
      <w:r>
        <w:rPr>
          <w:rFonts w:hint="eastAsia" w:ascii="宋体" w:hAnsi="宋体"/>
          <w:b/>
          <w:color w:val="auto"/>
          <w:sz w:val="22"/>
          <w:highlight w:val="none"/>
          <w:u w:val="single"/>
        </w:rPr>
        <w:t>磋商供应商代表没有法定代表人合法、有效</w:t>
      </w:r>
      <w:bookmarkStart w:id="248" w:name="_GoBack"/>
      <w:bookmarkEnd w:id="248"/>
      <w:r>
        <w:rPr>
          <w:rFonts w:hint="eastAsia" w:ascii="宋体" w:hAnsi="宋体"/>
          <w:b/>
          <w:color w:val="auto"/>
          <w:sz w:val="22"/>
          <w:highlight w:val="none"/>
          <w:u w:val="single"/>
        </w:rPr>
        <w:t>委托的</w:t>
      </w:r>
      <w:r>
        <w:rPr>
          <w:rFonts w:hint="eastAsia" w:ascii="宋体" w:hAnsi="宋体"/>
          <w:b/>
          <w:color w:val="auto"/>
          <w:sz w:val="22"/>
          <w:highlight w:val="none"/>
        </w:rPr>
        <w:t>；</w:t>
      </w:r>
    </w:p>
    <w:p>
      <w:pPr>
        <w:spacing w:line="440" w:lineRule="exact"/>
        <w:ind w:firstLine="108" w:firstLineChars="49"/>
        <w:rPr>
          <w:rFonts w:hint="eastAsia" w:ascii="宋体" w:hAnsi="宋体"/>
          <w:b/>
          <w:color w:val="auto"/>
          <w:sz w:val="22"/>
          <w:highlight w:val="none"/>
        </w:rPr>
      </w:pPr>
      <w:r>
        <w:rPr>
          <w:rFonts w:hint="eastAsia" w:ascii="宋体" w:hAnsi="宋体"/>
          <w:b/>
          <w:color w:val="auto"/>
          <w:sz w:val="22"/>
          <w:highlight w:val="none"/>
        </w:rPr>
        <w:t>（6）</w:t>
      </w:r>
      <w:r>
        <w:rPr>
          <w:rFonts w:hint="eastAsia" w:ascii="宋体" w:hAnsi="宋体"/>
          <w:b/>
          <w:color w:val="auto"/>
          <w:sz w:val="22"/>
          <w:highlight w:val="none"/>
          <w:u w:val="single"/>
        </w:rPr>
        <w:t>仅提交备份磋商响应文件的</w:t>
      </w:r>
      <w:r>
        <w:rPr>
          <w:rFonts w:hint="eastAsia" w:ascii="宋体" w:hAnsi="宋体"/>
          <w:b/>
          <w:color w:val="auto"/>
          <w:sz w:val="22"/>
          <w:highlight w:val="none"/>
        </w:rPr>
        <w:t>；</w:t>
      </w:r>
    </w:p>
    <w:p>
      <w:pPr>
        <w:spacing w:line="440" w:lineRule="exact"/>
        <w:ind w:firstLine="108" w:firstLineChars="49"/>
        <w:rPr>
          <w:rFonts w:hint="eastAsia"/>
          <w:highlight w:val="none"/>
        </w:rPr>
      </w:pPr>
      <w:r>
        <w:rPr>
          <w:rFonts w:hint="eastAsia" w:ascii="宋体" w:hAnsi="宋体"/>
          <w:b/>
          <w:color w:val="auto"/>
          <w:sz w:val="22"/>
          <w:highlight w:val="none"/>
        </w:rPr>
        <w:t>（7）</w:t>
      </w:r>
      <w:r>
        <w:rPr>
          <w:rFonts w:hint="eastAsia" w:ascii="宋体" w:hAnsi="宋体" w:eastAsia="宋体"/>
          <w:b/>
          <w:color w:val="auto"/>
          <w:sz w:val="22"/>
          <w:highlight w:val="none"/>
          <w:u w:val="single"/>
        </w:rPr>
        <w:t>商务技术响应文件中出现商务报价的；</w:t>
      </w:r>
    </w:p>
    <w:p>
      <w:pPr>
        <w:spacing w:line="440" w:lineRule="exact"/>
        <w:ind w:firstLine="108" w:firstLineChars="49"/>
        <w:rPr>
          <w:rFonts w:hint="eastAsia" w:ascii="宋体" w:hAnsi="宋体"/>
          <w:b/>
          <w:color w:val="auto"/>
          <w:sz w:val="22"/>
          <w:highlight w:val="none"/>
        </w:rPr>
      </w:pPr>
      <w:r>
        <w:rPr>
          <w:rFonts w:hint="eastAsia" w:ascii="宋体" w:hAnsi="宋体"/>
          <w:b/>
          <w:color w:val="auto"/>
          <w:sz w:val="22"/>
          <w:highlight w:val="none"/>
        </w:rPr>
        <w:t>（</w:t>
      </w:r>
      <w:r>
        <w:rPr>
          <w:rFonts w:hint="eastAsia" w:ascii="宋体" w:hAnsi="宋体"/>
          <w:b/>
          <w:color w:val="auto"/>
          <w:sz w:val="22"/>
          <w:highlight w:val="none"/>
          <w:lang w:val="en-US" w:eastAsia="zh-CN"/>
        </w:rPr>
        <w:t>8</w:t>
      </w:r>
      <w:r>
        <w:rPr>
          <w:rFonts w:hint="eastAsia" w:ascii="宋体" w:hAnsi="宋体"/>
          <w:b/>
          <w:color w:val="auto"/>
          <w:sz w:val="22"/>
          <w:highlight w:val="none"/>
        </w:rPr>
        <w:t>）</w:t>
      </w:r>
      <w:r>
        <w:rPr>
          <w:rFonts w:hint="eastAsia" w:ascii="宋体" w:hAnsi="宋体"/>
          <w:b/>
          <w:color w:val="auto"/>
          <w:sz w:val="22"/>
          <w:highlight w:val="none"/>
          <w:u w:val="single"/>
        </w:rPr>
        <w:t>磋商报价（含一次报价、二次报价及最终报价）超过采购预算的；</w:t>
      </w:r>
    </w:p>
    <w:p>
      <w:pPr>
        <w:spacing w:line="440" w:lineRule="exact"/>
        <w:ind w:firstLine="108" w:firstLineChars="49"/>
        <w:rPr>
          <w:rFonts w:ascii="宋体" w:hAnsi="宋体"/>
          <w:color w:val="auto"/>
          <w:sz w:val="22"/>
          <w:szCs w:val="22"/>
          <w:highlight w:val="none"/>
        </w:rPr>
      </w:pPr>
      <w:r>
        <w:rPr>
          <w:rFonts w:hint="eastAsia" w:ascii="宋体" w:hAnsi="宋体"/>
          <w:b/>
          <w:color w:val="auto"/>
          <w:sz w:val="22"/>
          <w:highlight w:val="none"/>
        </w:rPr>
        <w:t>（</w:t>
      </w:r>
      <w:r>
        <w:rPr>
          <w:rFonts w:hint="eastAsia" w:ascii="宋体" w:hAnsi="宋体"/>
          <w:b/>
          <w:color w:val="auto"/>
          <w:sz w:val="22"/>
          <w:highlight w:val="none"/>
          <w:lang w:val="en-US" w:eastAsia="zh-CN"/>
        </w:rPr>
        <w:t>9</w:t>
      </w:r>
      <w:r>
        <w:rPr>
          <w:rFonts w:hint="eastAsia" w:ascii="宋体" w:hAnsi="宋体"/>
          <w:b/>
          <w:color w:val="auto"/>
          <w:sz w:val="22"/>
          <w:highlight w:val="none"/>
        </w:rPr>
        <w:t>）</w:t>
      </w:r>
      <w:r>
        <w:rPr>
          <w:rFonts w:hint="eastAsia" w:ascii="宋体" w:hAnsi="宋体"/>
          <w:b/>
          <w:color w:val="auto"/>
          <w:sz w:val="22"/>
          <w:highlight w:val="none"/>
          <w:u w:val="single"/>
        </w:rPr>
        <w:t>磋商小组认定不符合法律、法规和磋商文件中规定的其他实质性要求的</w:t>
      </w:r>
      <w:r>
        <w:rPr>
          <w:rFonts w:hint="eastAsia" w:ascii="宋体" w:hAnsi="宋体"/>
          <w:b/>
          <w:color w:val="auto"/>
          <w:sz w:val="22"/>
          <w:highlight w:val="none"/>
        </w:rPr>
        <w:t>。</w:t>
      </w:r>
    </w:p>
    <w:p>
      <w:pPr>
        <w:tabs>
          <w:tab w:val="left" w:pos="1365"/>
        </w:tabs>
        <w:spacing w:line="440" w:lineRule="exact"/>
        <w:ind w:left="560" w:leftChars="4" w:hanging="552" w:hangingChars="250"/>
        <w:rPr>
          <w:rFonts w:ascii="宋体" w:hAnsi="宋体"/>
          <w:b/>
          <w:color w:val="auto"/>
          <w:sz w:val="22"/>
          <w:highlight w:val="none"/>
        </w:rPr>
      </w:pPr>
      <w:r>
        <w:rPr>
          <w:rFonts w:ascii="宋体" w:hAnsi="宋体"/>
          <w:b/>
          <w:color w:val="auto"/>
          <w:sz w:val="22"/>
          <w:highlight w:val="none"/>
        </w:rPr>
        <w:t xml:space="preserve">7. </w:t>
      </w:r>
      <w:r>
        <w:rPr>
          <w:rFonts w:hint="eastAsia" w:ascii="宋体" w:hAnsi="宋体"/>
          <w:b/>
          <w:color w:val="auto"/>
          <w:sz w:val="22"/>
          <w:highlight w:val="none"/>
        </w:rPr>
        <w:t xml:space="preserve">  评审过程中遇到特殊情况，由磋商小组遵循公开、公正原则，采取记名投票方式按照少数服从多数原则决定。磋商文件内容违反国家有关强制性规定的，磋商小组应当停止评审并向采购人或者采购代理机构说明情况。</w:t>
      </w:r>
    </w:p>
    <w:p>
      <w:pPr>
        <w:tabs>
          <w:tab w:val="left" w:pos="1365"/>
        </w:tabs>
        <w:spacing w:line="440" w:lineRule="exact"/>
        <w:ind w:left="560" w:leftChars="4" w:hanging="552" w:hangingChars="250"/>
        <w:rPr>
          <w:rFonts w:ascii="宋体" w:hAnsi="宋体" w:cs="宋体"/>
          <w:color w:val="auto"/>
          <w:sz w:val="22"/>
          <w:szCs w:val="22"/>
          <w:highlight w:val="none"/>
        </w:rPr>
      </w:pPr>
      <w:r>
        <w:rPr>
          <w:rFonts w:hint="eastAsia" w:ascii="宋体" w:hAnsi="宋体"/>
          <w:b/>
          <w:color w:val="auto"/>
          <w:sz w:val="22"/>
          <w:highlight w:val="none"/>
        </w:rPr>
        <w:t>8.</w:t>
      </w:r>
      <w:r>
        <w:rPr>
          <w:rFonts w:ascii="宋体" w:hAnsi="宋体"/>
          <w:b/>
          <w:color w:val="auto"/>
          <w:sz w:val="22"/>
          <w:highlight w:val="none"/>
        </w:rPr>
        <w:t xml:space="preserve">   </w:t>
      </w:r>
      <w:r>
        <w:rPr>
          <w:rFonts w:hint="eastAsia" w:ascii="宋体" w:hAnsi="宋体" w:cs="宋体"/>
          <w:b/>
          <w:bCs/>
          <w:color w:val="auto"/>
          <w:sz w:val="22"/>
          <w:szCs w:val="22"/>
          <w:highlight w:val="none"/>
        </w:rPr>
        <w:t>优化评审管理</w:t>
      </w:r>
    </w:p>
    <w:p>
      <w:pPr>
        <w:tabs>
          <w:tab w:val="left" w:pos="1365"/>
        </w:tabs>
        <w:spacing w:line="440" w:lineRule="exact"/>
        <w:ind w:left="560" w:leftChars="4" w:hanging="552" w:hangingChars="250"/>
        <w:rPr>
          <w:rFonts w:ascii="宋体" w:hAnsi="宋体"/>
          <w:b/>
          <w:color w:val="auto"/>
          <w:sz w:val="22"/>
          <w:highlight w:val="none"/>
        </w:rPr>
      </w:pPr>
      <w:r>
        <w:rPr>
          <w:rFonts w:hint="eastAsia" w:ascii="宋体" w:hAnsi="宋体"/>
          <w:b/>
          <w:color w:val="auto"/>
          <w:sz w:val="22"/>
          <w:highlight w:val="none"/>
        </w:rPr>
        <w:t xml:space="preserve"> </w:t>
      </w:r>
      <w:r>
        <w:rPr>
          <w:rFonts w:ascii="宋体" w:hAnsi="宋体"/>
          <w:b/>
          <w:color w:val="auto"/>
          <w:sz w:val="22"/>
          <w:highlight w:val="none"/>
        </w:rPr>
        <w:t xml:space="preserve">    </w:t>
      </w:r>
      <w:r>
        <w:rPr>
          <w:rFonts w:hint="eastAsia" w:ascii="宋体" w:hAnsi="宋体" w:cs="宋体"/>
          <w:color w:val="auto"/>
          <w:sz w:val="22"/>
          <w:szCs w:val="22"/>
          <w:highlight w:val="none"/>
        </w:rPr>
        <w:t>根据浙财采监〔2022〕</w:t>
      </w:r>
      <w:r>
        <w:rPr>
          <w:rFonts w:ascii="宋体" w:hAnsi="宋体" w:cs="宋体"/>
          <w:color w:val="auto"/>
          <w:sz w:val="22"/>
          <w:szCs w:val="22"/>
          <w:highlight w:val="none"/>
        </w:rPr>
        <w:t>8</w:t>
      </w:r>
      <w:r>
        <w:rPr>
          <w:rFonts w:hint="eastAsia" w:ascii="宋体" w:hAnsi="宋体" w:cs="宋体"/>
          <w:color w:val="auto"/>
          <w:sz w:val="22"/>
          <w:szCs w:val="22"/>
          <w:highlight w:val="none"/>
        </w:rPr>
        <w:t>号文相关的规定，</w:t>
      </w:r>
      <w:r>
        <w:rPr>
          <w:rFonts w:ascii="宋体" w:hAnsi="宋体" w:cs="宋体"/>
          <w:color w:val="auto"/>
          <w:sz w:val="22"/>
          <w:szCs w:val="22"/>
          <w:highlight w:val="none"/>
        </w:rPr>
        <w:t>评审小组成员个人主观打分偏离所有评审小组成员主观打分平均值30%以上的，由评审委员会启动评分畸高、畸低行为认定程序。</w:t>
      </w:r>
    </w:p>
    <w:p>
      <w:pPr>
        <w:spacing w:line="440" w:lineRule="exact"/>
        <w:ind w:left="550" w:hanging="550" w:hangingChars="250"/>
        <w:rPr>
          <w:rFonts w:ascii="宋体" w:hAnsi="宋体"/>
          <w:color w:val="auto"/>
          <w:sz w:val="22"/>
          <w:highlight w:val="none"/>
        </w:rPr>
      </w:pPr>
      <w:r>
        <w:rPr>
          <w:rFonts w:ascii="宋体" w:hAnsi="宋体"/>
          <w:color w:val="auto"/>
          <w:sz w:val="22"/>
          <w:szCs w:val="22"/>
          <w:highlight w:val="none"/>
        </w:rPr>
        <w:t>9</w:t>
      </w:r>
      <w:r>
        <w:rPr>
          <w:rFonts w:hint="eastAsia" w:ascii="宋体" w:hAnsi="宋体"/>
          <w:color w:val="auto"/>
          <w:sz w:val="22"/>
          <w:szCs w:val="22"/>
          <w:highlight w:val="none"/>
        </w:rPr>
        <w:t xml:space="preserve">.  </w:t>
      </w:r>
      <w:r>
        <w:rPr>
          <w:rFonts w:hint="eastAsia" w:ascii="宋体" w:hAnsi="宋体"/>
          <w:b/>
          <w:color w:val="auto"/>
          <w:sz w:val="22"/>
          <w:highlight w:val="none"/>
        </w:rPr>
        <w:t>确定成交供应商</w:t>
      </w:r>
    </w:p>
    <w:p>
      <w:pPr>
        <w:widowControl/>
        <w:spacing w:line="440" w:lineRule="exact"/>
        <w:ind w:left="550" w:hanging="550" w:hangingChars="250"/>
        <w:jc w:val="left"/>
        <w:rPr>
          <w:rFonts w:ascii="宋体" w:hAnsi="宋体" w:cs="Arial"/>
          <w:color w:val="auto"/>
          <w:kern w:val="0"/>
          <w:sz w:val="22"/>
          <w:szCs w:val="22"/>
          <w:highlight w:val="none"/>
        </w:rPr>
      </w:pPr>
      <w:r>
        <w:rPr>
          <w:rFonts w:ascii="宋体" w:hAnsi="宋体" w:cs="Arial"/>
          <w:color w:val="auto"/>
          <w:kern w:val="0"/>
          <w:sz w:val="22"/>
          <w:szCs w:val="22"/>
          <w:highlight w:val="none"/>
        </w:rPr>
        <w:t>9</w:t>
      </w:r>
      <w:r>
        <w:rPr>
          <w:rFonts w:hint="eastAsia" w:ascii="宋体" w:hAnsi="宋体" w:cs="Arial"/>
          <w:color w:val="auto"/>
          <w:kern w:val="0"/>
          <w:sz w:val="22"/>
          <w:szCs w:val="22"/>
          <w:highlight w:val="none"/>
        </w:rPr>
        <w:t>.1  磋商小组应当根据综合评分情况，按照综合得分由高到低顺序推荐3名以上成交候选供应商，并编写评审报告。综合得分相同的，按照最后报价由低到高的顺序推荐。评审得分且最后报价相同的，按照技术指标优劣顺序推荐。</w:t>
      </w:r>
    </w:p>
    <w:p>
      <w:pPr>
        <w:spacing w:line="440" w:lineRule="exact"/>
        <w:ind w:left="550" w:hanging="550" w:hangingChars="250"/>
        <w:rPr>
          <w:rFonts w:ascii="宋体" w:hAnsi="宋体"/>
          <w:color w:val="auto"/>
          <w:sz w:val="22"/>
          <w:highlight w:val="none"/>
        </w:rPr>
      </w:pPr>
      <w:r>
        <w:rPr>
          <w:rFonts w:ascii="宋体" w:hAnsi="宋体"/>
          <w:color w:val="auto"/>
          <w:sz w:val="22"/>
          <w:szCs w:val="22"/>
          <w:highlight w:val="none"/>
        </w:rPr>
        <w:t>9</w:t>
      </w:r>
      <w:r>
        <w:rPr>
          <w:rFonts w:hint="eastAsia" w:ascii="宋体" w:hAnsi="宋体"/>
          <w:color w:val="auto"/>
          <w:sz w:val="22"/>
          <w:szCs w:val="22"/>
          <w:highlight w:val="none"/>
        </w:rPr>
        <w:t xml:space="preserve">.2  </w:t>
      </w:r>
      <w:r>
        <w:rPr>
          <w:rFonts w:hint="eastAsia" w:ascii="宋体" w:hAnsi="宋体"/>
          <w:color w:val="auto"/>
          <w:sz w:val="22"/>
          <w:highlight w:val="none"/>
        </w:rPr>
        <w:t>排名第一的成交候选供应商放弃成交；或因不可抗力提出不能履行合同；或未能在规定时间内与采购人签订合同的；或经质疑，采购组织机构审查确因排名第一的候选供应商在本次采购活动中存在违法违规行为或其他原因使质疑成立的，采购人可以直接确定排名第二的候选供应商为成交供应商，以此类推至第三名。</w:t>
      </w:r>
    </w:p>
    <w:p>
      <w:pPr>
        <w:spacing w:line="440" w:lineRule="exact"/>
        <w:ind w:left="525" w:hanging="525" w:hangingChars="250"/>
        <w:rPr>
          <w:rFonts w:ascii="宋体" w:hAnsi="宋体"/>
          <w:color w:val="auto"/>
          <w:sz w:val="22"/>
          <w:highlight w:val="none"/>
        </w:rPr>
      </w:pPr>
      <w:r>
        <w:rPr>
          <w:rFonts w:hint="eastAsia" w:ascii="宋体" w:hAnsi="宋体"/>
          <w:color w:val="auto"/>
          <w:highlight w:val="none"/>
        </w:rPr>
        <w:t>10.</w:t>
      </w:r>
      <w:r>
        <w:rPr>
          <w:rFonts w:ascii="宋体" w:hAnsi="宋体"/>
          <w:color w:val="auto"/>
          <w:highlight w:val="none"/>
        </w:rPr>
        <w:t xml:space="preserve">  </w:t>
      </w:r>
      <w:r>
        <w:rPr>
          <w:rFonts w:hint="eastAsia" w:ascii="宋体" w:hAnsi="宋体"/>
          <w:color w:val="auto"/>
          <w:sz w:val="22"/>
          <w:highlight w:val="none"/>
        </w:rPr>
        <w:t>根据《财政部关于政府采购竞争性磋商采购方式管理暂行办法有关问题的补充通知》（财库【2015】124号文件）的规定，采用竞争性磋商采购方式采购的政府购买服务项目（含政府和社会资本合作项目），在采购过程中符合要求的供应商只有2家的，竞争性磋商采购活动可以继续进行。采购过程中符合要求的供应商只有1家的，应当终止竞争性磋商采购活动。</w:t>
      </w:r>
    </w:p>
    <w:p>
      <w:pPr>
        <w:spacing w:line="440" w:lineRule="exact"/>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1.</w:t>
      </w:r>
      <w:r>
        <w:rPr>
          <w:rFonts w:ascii="宋体" w:hAnsi="宋体"/>
          <w:b/>
          <w:bCs/>
          <w:color w:val="auto"/>
          <w:sz w:val="22"/>
          <w:szCs w:val="22"/>
          <w:highlight w:val="none"/>
        </w:rPr>
        <w:t xml:space="preserve">  </w:t>
      </w:r>
      <w:r>
        <w:rPr>
          <w:rFonts w:hint="eastAsia" w:ascii="宋体" w:hAnsi="宋体"/>
          <w:b/>
          <w:bCs/>
          <w:color w:val="auto"/>
          <w:sz w:val="22"/>
          <w:szCs w:val="22"/>
          <w:highlight w:val="none"/>
        </w:rPr>
        <w:t>其他未尽事宜遵循相关法律法规及规范性文件执行。</w:t>
      </w:r>
    </w:p>
    <w:p>
      <w:pPr>
        <w:pStyle w:val="5"/>
        <w:spacing w:line="520" w:lineRule="exact"/>
        <w:jc w:val="center"/>
        <w:rPr>
          <w:color w:val="auto"/>
          <w:sz w:val="28"/>
          <w:szCs w:val="28"/>
          <w:highlight w:val="none"/>
        </w:rPr>
      </w:pPr>
      <w:bookmarkStart w:id="78" w:name="_Toc13408"/>
      <w:bookmarkStart w:id="79" w:name="_Toc12748"/>
      <w:bookmarkStart w:id="80" w:name="_Toc195502583"/>
      <w:bookmarkStart w:id="81" w:name="_Toc9647"/>
      <w:bookmarkStart w:id="82" w:name="_Toc202085293"/>
      <w:bookmarkStart w:id="83" w:name="_Toc25479"/>
      <w:bookmarkStart w:id="84" w:name="_Toc13403"/>
      <w:bookmarkStart w:id="85" w:name="_Toc195502493"/>
      <w:r>
        <w:rPr>
          <w:rFonts w:hint="eastAsia"/>
          <w:color w:val="auto"/>
          <w:sz w:val="28"/>
          <w:szCs w:val="28"/>
          <w:highlight w:val="none"/>
        </w:rPr>
        <w:t>六、授予合同</w:t>
      </w:r>
      <w:bookmarkEnd w:id="78"/>
      <w:bookmarkEnd w:id="79"/>
      <w:bookmarkEnd w:id="80"/>
      <w:bookmarkEnd w:id="81"/>
      <w:bookmarkEnd w:id="82"/>
      <w:bookmarkEnd w:id="83"/>
      <w:bookmarkEnd w:id="84"/>
      <w:bookmarkEnd w:id="85"/>
    </w:p>
    <w:p>
      <w:pPr>
        <w:tabs>
          <w:tab w:val="left" w:pos="1365"/>
        </w:tabs>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1.   确定成交供应商</w:t>
      </w:r>
    </w:p>
    <w:p>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1.1  采购代理机构应当在评审结束后2个工作日内将评审报告送采购人。</w:t>
      </w:r>
    </w:p>
    <w:p>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1.2  采购人应当自收到评评审告之日起5个工作日内，从评审报告提出的成交候选供应商中，按照排序由高到低的原则确定的成交供应商，也可以书面授权磋商小组直接确定成交供应商。采购人逾期未确定成交供应商且不提出异议的，视为确定评审报告提出的排序第一的供应商为成交供应商。</w:t>
      </w:r>
    </w:p>
    <w:p>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1.3  </w:t>
      </w:r>
      <w:r>
        <w:rPr>
          <w:rFonts w:hint="eastAsia" w:ascii="宋体" w:hAnsi="宋体" w:cs="宋体"/>
          <w:color w:val="auto"/>
          <w:sz w:val="22"/>
          <w:szCs w:val="22"/>
          <w:highlight w:val="none"/>
        </w:rPr>
        <w:t>成交候选供应商并列的，由采购人采取随机抽取的方式确定。</w:t>
      </w:r>
    </w:p>
    <w:p>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成交公告</w:t>
      </w:r>
    </w:p>
    <w:p>
      <w:pPr>
        <w:spacing w:line="440" w:lineRule="exact"/>
        <w:ind w:left="550"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采购人或者采购代理机构应当自成交供应商确定之日起2个工作日内，在省级以上财政部门指定的媒体上公告成交结果，磋商文件应当随成交结果同时公告。</w:t>
      </w:r>
    </w:p>
    <w:p>
      <w:pPr>
        <w:spacing w:line="440" w:lineRule="exact"/>
        <w:rPr>
          <w:rFonts w:ascii="宋体" w:hAnsi="宋体"/>
          <w:bCs/>
          <w:color w:val="auto"/>
          <w:sz w:val="22"/>
          <w:szCs w:val="22"/>
          <w:highlight w:val="none"/>
        </w:rPr>
      </w:pPr>
      <w:r>
        <w:rPr>
          <w:rFonts w:hint="eastAsia" w:ascii="宋体" w:hAnsi="宋体"/>
          <w:b/>
          <w:bCs/>
          <w:color w:val="auto"/>
          <w:sz w:val="22"/>
          <w:szCs w:val="22"/>
          <w:highlight w:val="none"/>
        </w:rPr>
        <w:t xml:space="preserve">3． </w:t>
      </w:r>
      <w:r>
        <w:rPr>
          <w:rFonts w:hint="eastAsia" w:ascii="宋体" w:hAnsi="宋体"/>
          <w:bCs/>
          <w:color w:val="auto"/>
          <w:sz w:val="22"/>
          <w:szCs w:val="22"/>
          <w:highlight w:val="none"/>
        </w:rPr>
        <w:t xml:space="preserve"> </w:t>
      </w:r>
      <w:r>
        <w:rPr>
          <w:rFonts w:hint="eastAsia" w:ascii="宋体" w:hAnsi="宋体"/>
          <w:b/>
          <w:bCs/>
          <w:color w:val="auto"/>
          <w:sz w:val="22"/>
          <w:szCs w:val="22"/>
          <w:highlight w:val="none"/>
        </w:rPr>
        <w:t>成交通知书</w:t>
      </w:r>
    </w:p>
    <w:p>
      <w:pPr>
        <w:spacing w:line="440" w:lineRule="exact"/>
        <w:rPr>
          <w:rFonts w:ascii="宋体" w:hAnsi="宋体"/>
          <w:b w:val="0"/>
          <w:bCs w:val="0"/>
          <w:color w:val="auto"/>
          <w:sz w:val="22"/>
          <w:szCs w:val="22"/>
          <w:highlight w:val="none"/>
        </w:rPr>
      </w:pPr>
      <w:r>
        <w:rPr>
          <w:rFonts w:hint="eastAsia" w:ascii="宋体" w:hAnsi="宋体"/>
          <w:b w:val="0"/>
          <w:bCs w:val="0"/>
          <w:color w:val="auto"/>
          <w:sz w:val="22"/>
          <w:szCs w:val="22"/>
          <w:highlight w:val="none"/>
        </w:rPr>
        <w:t>3.1  成交供应商确定后，招标采购单位在发布成交公告的同时向成交供应商签发成交通知书。</w:t>
      </w:r>
    </w:p>
    <w:p>
      <w:pPr>
        <w:spacing w:line="440" w:lineRule="exact"/>
        <w:rPr>
          <w:rFonts w:ascii="宋体" w:hAnsi="宋体"/>
          <w:bCs/>
          <w:color w:val="auto"/>
          <w:sz w:val="22"/>
          <w:szCs w:val="22"/>
          <w:highlight w:val="none"/>
        </w:rPr>
      </w:pPr>
      <w:r>
        <w:rPr>
          <w:rFonts w:hint="eastAsia" w:ascii="宋体" w:hAnsi="宋体"/>
          <w:b w:val="0"/>
          <w:bCs w:val="0"/>
          <w:color w:val="auto"/>
          <w:sz w:val="22"/>
          <w:szCs w:val="22"/>
          <w:highlight w:val="none"/>
        </w:rPr>
        <w:t>3.2  成交通</w:t>
      </w:r>
      <w:r>
        <w:rPr>
          <w:rFonts w:hint="eastAsia" w:ascii="宋体" w:hAnsi="宋体"/>
          <w:color w:val="auto"/>
          <w:sz w:val="22"/>
          <w:szCs w:val="22"/>
          <w:highlight w:val="none"/>
        </w:rPr>
        <w:t>知书是合同的一个组成部分,对采购人和成交供应商均具有同等法律效力。</w:t>
      </w:r>
    </w:p>
    <w:p>
      <w:pPr>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4．  签订合同</w:t>
      </w:r>
    </w:p>
    <w:p>
      <w:pPr>
        <w:spacing w:line="440" w:lineRule="exact"/>
        <w:ind w:left="550" w:hanging="550" w:hangingChars="250"/>
        <w:rPr>
          <w:rFonts w:ascii="宋体" w:hAnsi="宋体"/>
          <w:bCs/>
          <w:color w:val="auto"/>
          <w:sz w:val="22"/>
          <w:szCs w:val="22"/>
          <w:highlight w:val="none"/>
        </w:rPr>
      </w:pPr>
      <w:r>
        <w:rPr>
          <w:rFonts w:hint="eastAsia" w:ascii="宋体" w:hAnsi="宋体"/>
          <w:bCs/>
          <w:color w:val="auto"/>
          <w:sz w:val="22"/>
          <w:szCs w:val="22"/>
          <w:highlight w:val="none"/>
        </w:rPr>
        <w:t>4.1  成交供应商应按成交通知书规定的时间、地点以及其他内容与采购人签订合同。</w:t>
      </w:r>
    </w:p>
    <w:p>
      <w:pPr>
        <w:spacing w:line="440" w:lineRule="exact"/>
        <w:ind w:left="550" w:hanging="550" w:hangingChars="250"/>
        <w:rPr>
          <w:rFonts w:ascii="宋体" w:hAnsi="宋体"/>
          <w:b w:val="0"/>
          <w:bCs w:val="0"/>
          <w:color w:val="auto"/>
          <w:sz w:val="22"/>
          <w:szCs w:val="22"/>
          <w:highlight w:val="none"/>
        </w:rPr>
      </w:pPr>
      <w:r>
        <w:rPr>
          <w:rFonts w:hint="eastAsia" w:ascii="宋体" w:hAnsi="宋体"/>
          <w:b w:val="0"/>
          <w:bCs w:val="0"/>
          <w:color w:val="auto"/>
          <w:sz w:val="22"/>
          <w:szCs w:val="22"/>
          <w:highlight w:val="none"/>
        </w:rPr>
        <w:t xml:space="preserve">4.2  </w:t>
      </w:r>
      <w:r>
        <w:rPr>
          <w:rFonts w:hint="eastAsia" w:ascii="宋体" w:hAnsi="宋体"/>
          <w:b w:val="0"/>
          <w:bCs w:val="0"/>
          <w:color w:val="auto"/>
          <w:spacing w:val="6"/>
          <w:sz w:val="22"/>
          <w:szCs w:val="22"/>
          <w:highlight w:val="none"/>
        </w:rPr>
        <w:t>在签订合同前，采购人有权在成交总价不变的前提下要求成交供应商对商务报价中的不平衡报价和缺漏项进行调整，如果成交供应商无合理理由拒绝调整，其成交资格将被取消，且将导致其它进一步的赔偿和处罚。</w:t>
      </w:r>
    </w:p>
    <w:p>
      <w:pPr>
        <w:spacing w:line="440" w:lineRule="exact"/>
        <w:ind w:left="550" w:hanging="550" w:hangingChars="250"/>
        <w:rPr>
          <w:rFonts w:ascii="宋体" w:hAnsi="宋体"/>
          <w:bCs/>
          <w:color w:val="auto"/>
          <w:sz w:val="22"/>
          <w:szCs w:val="22"/>
          <w:highlight w:val="none"/>
        </w:rPr>
      </w:pPr>
      <w:r>
        <w:rPr>
          <w:rFonts w:hint="eastAsia" w:ascii="宋体" w:hAnsi="宋体"/>
          <w:color w:val="auto"/>
          <w:sz w:val="22"/>
          <w:szCs w:val="22"/>
          <w:highlight w:val="none"/>
        </w:rPr>
        <w:t>4.3  竞争性磋商文件、成交供应商的响应文件、响应修改文件、评审过程中有关澄清文件及经磋商供应商和磋商小组双方签字的磋商纪要和成交通知书均作为合同附件。</w:t>
      </w:r>
    </w:p>
    <w:p>
      <w:pPr>
        <w:spacing w:line="440" w:lineRule="exact"/>
        <w:ind w:left="550" w:hanging="550" w:hangingChars="250"/>
        <w:rPr>
          <w:rFonts w:ascii="宋体" w:hAnsi="宋体"/>
          <w:bCs/>
          <w:color w:val="auto"/>
          <w:sz w:val="22"/>
          <w:szCs w:val="22"/>
          <w:highlight w:val="none"/>
        </w:rPr>
      </w:pPr>
      <w:r>
        <w:rPr>
          <w:rFonts w:hint="eastAsia" w:ascii="宋体" w:hAnsi="宋体"/>
          <w:color w:val="auto"/>
          <w:sz w:val="22"/>
          <w:szCs w:val="22"/>
          <w:highlight w:val="none"/>
        </w:rPr>
        <w:t>4.4  拒签合同的违约责任</w:t>
      </w:r>
    </w:p>
    <w:p>
      <w:pPr>
        <w:spacing w:line="440" w:lineRule="exact"/>
        <w:ind w:left="565" w:leftChars="269"/>
        <w:rPr>
          <w:rFonts w:ascii="宋体" w:hAnsi="宋体"/>
          <w:b w:val="0"/>
          <w:bCs/>
          <w:color w:val="auto"/>
          <w:spacing w:val="6"/>
          <w:sz w:val="22"/>
          <w:szCs w:val="22"/>
          <w:highlight w:val="none"/>
        </w:rPr>
      </w:pPr>
      <w:r>
        <w:rPr>
          <w:rFonts w:hint="eastAsia" w:ascii="宋体" w:hAnsi="宋体"/>
          <w:b w:val="0"/>
          <w:bCs/>
          <w:color w:val="auto"/>
          <w:spacing w:val="6"/>
          <w:sz w:val="22"/>
          <w:szCs w:val="22"/>
          <w:highlight w:val="none"/>
        </w:rPr>
        <w:t>成交供应商接到成交通知书后，在规定时间内借故否认已经承诺的条件而拒签合同的，报采购监管部门处理。</w:t>
      </w:r>
    </w:p>
    <w:p>
      <w:pPr>
        <w:spacing w:line="440" w:lineRule="exact"/>
        <w:ind w:left="571" w:hanging="568" w:hangingChars="245"/>
        <w:rPr>
          <w:b w:val="0"/>
          <w:bCs/>
          <w:color w:val="auto"/>
          <w:highlight w:val="none"/>
        </w:rPr>
      </w:pPr>
      <w:r>
        <w:rPr>
          <w:rFonts w:hint="eastAsia" w:ascii="宋体" w:hAnsi="宋体"/>
          <w:b w:val="0"/>
          <w:bCs/>
          <w:color w:val="auto"/>
          <w:spacing w:val="6"/>
          <w:sz w:val="22"/>
          <w:szCs w:val="22"/>
          <w:highlight w:val="none"/>
        </w:rPr>
        <w:t>4.4  合同一式五份，其中采购人二份，成交供应商二份，采购代理机构备案一份。成交供应商在采购合同签订后应及时提交壹份交采购代理机构备案。</w:t>
      </w:r>
    </w:p>
    <w:p>
      <w:pPr>
        <w:spacing w:line="440" w:lineRule="exact"/>
        <w:rPr>
          <w:rFonts w:hint="eastAsia" w:ascii="宋体" w:hAnsi="宋体" w:eastAsia="宋体"/>
          <w:b/>
          <w:color w:val="auto"/>
          <w:spacing w:val="6"/>
          <w:sz w:val="22"/>
          <w:szCs w:val="22"/>
          <w:highlight w:val="none"/>
          <w:lang w:val="en-US" w:eastAsia="zh-CN"/>
        </w:rPr>
      </w:pPr>
      <w:r>
        <w:rPr>
          <w:rFonts w:hint="eastAsia" w:ascii="宋体" w:hAnsi="宋体"/>
          <w:b/>
          <w:color w:val="auto"/>
          <w:spacing w:val="6"/>
          <w:sz w:val="22"/>
          <w:szCs w:val="22"/>
          <w:highlight w:val="none"/>
        </w:rPr>
        <w:t>5.   合同履行时更改采购数量的</w:t>
      </w:r>
      <w:r>
        <w:rPr>
          <w:rFonts w:hint="eastAsia" w:ascii="宋体" w:hAnsi="宋体"/>
          <w:b/>
          <w:color w:val="auto"/>
          <w:spacing w:val="6"/>
          <w:sz w:val="22"/>
          <w:szCs w:val="22"/>
          <w:highlight w:val="none"/>
          <w:lang w:val="en-US" w:eastAsia="zh-CN"/>
        </w:rPr>
        <w:t>权利</w:t>
      </w:r>
    </w:p>
    <w:p>
      <w:pPr>
        <w:spacing w:line="440" w:lineRule="exact"/>
        <w:ind w:left="571" w:hanging="568" w:hangingChars="245"/>
        <w:rPr>
          <w:rFonts w:hint="eastAsia" w:ascii="宋体" w:hAnsi="宋体"/>
          <w:b w:val="0"/>
          <w:bCs/>
          <w:color w:val="auto"/>
          <w:spacing w:val="6"/>
          <w:sz w:val="22"/>
          <w:szCs w:val="22"/>
          <w:highlight w:val="none"/>
        </w:rPr>
      </w:pPr>
      <w:r>
        <w:rPr>
          <w:rFonts w:hint="eastAsia" w:ascii="宋体" w:hAnsi="宋体"/>
          <w:b w:val="0"/>
          <w:bCs/>
          <w:color w:val="auto"/>
          <w:spacing w:val="6"/>
          <w:sz w:val="22"/>
          <w:szCs w:val="22"/>
          <w:highlight w:val="none"/>
        </w:rPr>
        <w:t>5.1  在合同履行中，采购人需追加与合同标的相同的货物、工程或者服务的，在不改变合同其他条款的前提下，可以与供应商协商签订补充合同，但所有补充合同的采购金额不得超过原采购合同金额的百分之十。</w:t>
      </w:r>
    </w:p>
    <w:p>
      <w:pPr>
        <w:shd w:val="clear"/>
        <w:spacing w:line="440" w:lineRule="exact"/>
        <w:rPr>
          <w:rFonts w:hint="eastAsia" w:ascii="宋体" w:hAnsi="宋体"/>
          <w:b/>
          <w:color w:val="auto"/>
          <w:spacing w:val="6"/>
          <w:sz w:val="22"/>
          <w:szCs w:val="22"/>
          <w:highlight w:val="none"/>
        </w:rPr>
      </w:pPr>
      <w:r>
        <w:rPr>
          <w:rFonts w:hint="eastAsia" w:ascii="宋体" w:hAnsi="宋体"/>
          <w:b/>
          <w:color w:val="auto"/>
          <w:spacing w:val="6"/>
          <w:sz w:val="22"/>
          <w:szCs w:val="22"/>
          <w:highlight w:val="none"/>
          <w:lang w:val="en-US" w:eastAsia="zh-CN"/>
        </w:rPr>
        <w:t>6</w:t>
      </w:r>
      <w:r>
        <w:rPr>
          <w:rFonts w:hint="eastAsia" w:ascii="宋体" w:hAnsi="宋体"/>
          <w:b/>
          <w:color w:val="auto"/>
          <w:spacing w:val="6"/>
          <w:sz w:val="22"/>
          <w:szCs w:val="22"/>
          <w:highlight w:val="none"/>
        </w:rPr>
        <w:t>．  履约保证金</w:t>
      </w:r>
    </w:p>
    <w:p>
      <w:pPr>
        <w:spacing w:line="440" w:lineRule="exact"/>
        <w:rPr>
          <w:rFonts w:ascii="宋体" w:hAnsi="宋体" w:cs="宋体"/>
          <w:color w:val="auto"/>
          <w:spacing w:val="6"/>
          <w:sz w:val="22"/>
          <w:highlight w:val="none"/>
        </w:rPr>
      </w:pPr>
      <w:bookmarkStart w:id="86" w:name="_Toc17908"/>
      <w:bookmarkStart w:id="87" w:name="_Toc15816"/>
      <w:bookmarkStart w:id="88" w:name="_Toc83738068"/>
      <w:bookmarkStart w:id="89" w:name="_Toc77407760"/>
      <w:bookmarkStart w:id="90" w:name="_Toc78874943"/>
      <w:bookmarkStart w:id="91" w:name="_Toc24138"/>
      <w:bookmarkStart w:id="92" w:name="_Toc88679991"/>
      <w:bookmarkStart w:id="93" w:name="_Toc77410345"/>
      <w:bookmarkStart w:id="94" w:name="_Toc2681"/>
      <w:r>
        <w:rPr>
          <w:rFonts w:hint="eastAsia" w:ascii="宋体" w:hAnsi="宋体" w:cs="宋体"/>
          <w:color w:val="auto"/>
          <w:spacing w:val="6"/>
          <w:sz w:val="22"/>
          <w:highlight w:val="none"/>
        </w:rPr>
        <w:t>6.1  供应商</w:t>
      </w:r>
      <w:r>
        <w:rPr>
          <w:rFonts w:hint="eastAsia" w:ascii="宋体" w:hAnsi="宋体" w:cs="宋体"/>
          <w:color w:val="auto"/>
          <w:sz w:val="22"/>
          <w:highlight w:val="none"/>
        </w:rPr>
        <w:t>在收到成交通知书后，签订合同后7个工作日内须向采购人提交履约保证金。</w:t>
      </w:r>
    </w:p>
    <w:p>
      <w:pPr>
        <w:spacing w:line="440" w:lineRule="exact"/>
        <w:rPr>
          <w:rFonts w:ascii="宋体" w:hAnsi="宋体" w:cs="宋体"/>
          <w:color w:val="auto"/>
          <w:spacing w:val="6"/>
          <w:sz w:val="22"/>
          <w:highlight w:val="none"/>
        </w:rPr>
      </w:pPr>
      <w:r>
        <w:rPr>
          <w:rFonts w:hint="eastAsia" w:ascii="宋体" w:hAnsi="宋体" w:cs="宋体"/>
          <w:color w:val="auto"/>
          <w:spacing w:val="6"/>
          <w:sz w:val="22"/>
          <w:highlight w:val="none"/>
        </w:rPr>
        <w:t>6.2  履约保证金用于补偿采购人因成交供应商不能履行其合同义务而蒙受的损失。</w:t>
      </w:r>
    </w:p>
    <w:p>
      <w:pPr>
        <w:spacing w:line="440" w:lineRule="exact"/>
        <w:ind w:left="580" w:hanging="580" w:hangingChars="250"/>
        <w:rPr>
          <w:rFonts w:hint="eastAsia" w:ascii="宋体" w:hAnsi="宋体" w:cs="宋体"/>
          <w:color w:val="auto"/>
          <w:sz w:val="22"/>
          <w:highlight w:val="none"/>
        </w:rPr>
      </w:pPr>
      <w:r>
        <w:rPr>
          <w:rFonts w:hint="eastAsia" w:ascii="宋体" w:hAnsi="宋体" w:cs="宋体"/>
          <w:color w:val="auto"/>
          <w:spacing w:val="6"/>
          <w:sz w:val="22"/>
          <w:highlight w:val="none"/>
        </w:rPr>
        <w:t xml:space="preserve">6.3  </w:t>
      </w:r>
      <w:r>
        <w:rPr>
          <w:rFonts w:hint="eastAsia" w:ascii="宋体" w:hAnsi="宋体" w:cs="宋体"/>
          <w:color w:val="auto"/>
          <w:sz w:val="22"/>
          <w:highlight w:val="none"/>
        </w:rPr>
        <w:t>履约保证金自合同签订之日起至项目结束止有效。有效期满后，采购人应及时将履约保证金无息退还给</w:t>
      </w:r>
      <w:r>
        <w:rPr>
          <w:rFonts w:hint="eastAsia" w:ascii="宋体" w:hAnsi="宋体" w:cs="宋体"/>
          <w:color w:val="auto"/>
          <w:spacing w:val="6"/>
          <w:sz w:val="22"/>
          <w:highlight w:val="none"/>
        </w:rPr>
        <w:t>成交供应商</w:t>
      </w:r>
      <w:r>
        <w:rPr>
          <w:rFonts w:hint="eastAsia" w:ascii="宋体" w:hAnsi="宋体" w:cs="宋体"/>
          <w:color w:val="auto"/>
          <w:sz w:val="22"/>
          <w:highlight w:val="none"/>
        </w:rPr>
        <w:t xml:space="preserve">。 </w:t>
      </w:r>
    </w:p>
    <w:p>
      <w:pPr>
        <w:pStyle w:val="5"/>
        <w:spacing w:line="520" w:lineRule="exact"/>
        <w:jc w:val="center"/>
        <w:rPr>
          <w:color w:val="auto"/>
          <w:sz w:val="28"/>
          <w:szCs w:val="28"/>
          <w:highlight w:val="none"/>
        </w:rPr>
      </w:pPr>
      <w:bookmarkStart w:id="95" w:name="_Toc8491"/>
      <w:r>
        <w:rPr>
          <w:rFonts w:hint="eastAsia"/>
          <w:color w:val="auto"/>
          <w:sz w:val="28"/>
          <w:szCs w:val="28"/>
          <w:highlight w:val="none"/>
        </w:rPr>
        <w:t>七、可中止电子交易活动的情形</w:t>
      </w:r>
      <w:bookmarkEnd w:id="86"/>
      <w:bookmarkEnd w:id="87"/>
      <w:bookmarkEnd w:id="88"/>
      <w:bookmarkEnd w:id="89"/>
      <w:bookmarkEnd w:id="90"/>
      <w:bookmarkEnd w:id="91"/>
      <w:bookmarkEnd w:id="92"/>
      <w:bookmarkEnd w:id="93"/>
      <w:bookmarkEnd w:id="94"/>
      <w:bookmarkEnd w:id="95"/>
    </w:p>
    <w:p>
      <w:pPr>
        <w:tabs>
          <w:tab w:val="left" w:pos="1365"/>
        </w:tabs>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p>
    <w:p>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p>
    <w:p>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p>
    <w:p>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p>
    <w:p>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其他无法保证电子交易的公平、公正和安全的情况。</w:t>
      </w:r>
    </w:p>
    <w:p>
      <w:pPr>
        <w:tabs>
          <w:tab w:val="left" w:pos="1365"/>
        </w:tabs>
        <w:spacing w:line="440" w:lineRule="exact"/>
        <w:ind w:left="420" w:leftChars="200" w:firstLine="110" w:firstLineChars="50"/>
        <w:rPr>
          <w:rFonts w:hint="eastAsia"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p>
    <w:p>
      <w:pPr>
        <w:pStyle w:val="5"/>
        <w:numPr>
          <w:ilvl w:val="0"/>
          <w:numId w:val="0"/>
        </w:numPr>
        <w:spacing w:line="680" w:lineRule="exact"/>
        <w:jc w:val="center"/>
        <w:rPr>
          <w:rFonts w:hint="eastAsia" w:ascii="宋体" w:hAnsi="宋体" w:eastAsia="宋体" w:cs="宋体"/>
          <w:color w:val="auto"/>
          <w:sz w:val="28"/>
          <w:szCs w:val="28"/>
          <w:highlight w:val="none"/>
          <w:lang w:val="en-US" w:eastAsia="zh-CN"/>
        </w:rPr>
      </w:pPr>
      <w:bookmarkStart w:id="96" w:name="_Toc24950"/>
      <w:bookmarkStart w:id="97" w:name="_Toc9368"/>
      <w:r>
        <w:rPr>
          <w:rFonts w:hint="eastAsia" w:ascii="宋体" w:hAnsi="宋体" w:eastAsia="宋体" w:cs="宋体"/>
          <w:color w:val="auto"/>
          <w:sz w:val="28"/>
          <w:szCs w:val="28"/>
          <w:highlight w:val="none"/>
          <w:lang w:val="en-US" w:eastAsia="zh-CN"/>
        </w:rPr>
        <w:t>八、验  收</w:t>
      </w:r>
      <w:bookmarkEnd w:id="96"/>
      <w:bookmarkEnd w:id="97"/>
    </w:p>
    <w:p>
      <w:pPr>
        <w:tabs>
          <w:tab w:val="left" w:pos="1365"/>
        </w:tabs>
        <w:spacing w:line="440" w:lineRule="exact"/>
        <w:ind w:left="550" w:hanging="550" w:hangingChars="250"/>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lang w:val="en-US" w:eastAsia="zh-CN"/>
        </w:rPr>
        <w:t xml:space="preserve">1.   </w:t>
      </w:r>
      <w:r>
        <w:rPr>
          <w:rFonts w:hint="eastAsia" w:ascii="宋体" w:hAnsi="宋体" w:eastAsia="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1365"/>
        </w:tabs>
        <w:spacing w:line="440" w:lineRule="exact"/>
        <w:ind w:left="550" w:hanging="550" w:hangingChars="25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2</w:t>
      </w:r>
      <w:r>
        <w:rPr>
          <w:rFonts w:hint="eastAsia" w:ascii="宋体" w:hAnsi="宋体" w:eastAsia="宋体" w:cs="宋体"/>
          <w:color w:val="auto"/>
          <w:kern w:val="2"/>
          <w:sz w:val="22"/>
          <w:szCs w:val="22"/>
          <w:highlight w:val="none"/>
          <w:lang w:val="en-US" w:eastAsia="zh-CN"/>
        </w:rPr>
        <w:t xml:space="preserve">.   </w:t>
      </w:r>
      <w:r>
        <w:rPr>
          <w:rFonts w:hint="eastAsia" w:ascii="宋体" w:hAnsi="宋体" w:eastAsia="宋体" w:cs="宋体"/>
          <w:color w:val="auto"/>
          <w:kern w:val="2"/>
          <w:sz w:val="22"/>
          <w:szCs w:val="22"/>
          <w:highlight w:val="none"/>
        </w:rPr>
        <w:t>采购人可以邀请参加本项目的其他</w:t>
      </w:r>
      <w:r>
        <w:rPr>
          <w:rFonts w:hint="eastAsia" w:ascii="宋体" w:hAnsi="宋体" w:eastAsia="宋体" w:cs="宋体"/>
          <w:color w:val="auto"/>
          <w:kern w:val="2"/>
          <w:sz w:val="22"/>
          <w:szCs w:val="22"/>
          <w:highlight w:val="none"/>
          <w:lang w:eastAsia="zh-CN"/>
        </w:rPr>
        <w:t>供应商</w:t>
      </w:r>
      <w:r>
        <w:rPr>
          <w:rFonts w:hint="eastAsia" w:ascii="宋体" w:hAnsi="宋体" w:eastAsia="宋体" w:cs="宋体"/>
          <w:color w:val="auto"/>
          <w:kern w:val="2"/>
          <w:sz w:val="22"/>
          <w:szCs w:val="22"/>
          <w:highlight w:val="none"/>
        </w:rPr>
        <w:t>或者第三方机构参与验收。参与验收的</w:t>
      </w:r>
      <w:r>
        <w:rPr>
          <w:rFonts w:hint="eastAsia" w:ascii="宋体" w:hAnsi="宋体" w:eastAsia="宋体" w:cs="宋体"/>
          <w:color w:val="auto"/>
          <w:kern w:val="2"/>
          <w:sz w:val="22"/>
          <w:szCs w:val="22"/>
          <w:highlight w:val="none"/>
          <w:lang w:eastAsia="zh-CN"/>
        </w:rPr>
        <w:t>供应商</w:t>
      </w:r>
      <w:r>
        <w:rPr>
          <w:rFonts w:hint="eastAsia" w:ascii="宋体" w:hAnsi="宋体" w:eastAsia="宋体" w:cs="宋体"/>
          <w:color w:val="auto"/>
          <w:kern w:val="2"/>
          <w:sz w:val="22"/>
          <w:szCs w:val="22"/>
          <w:highlight w:val="none"/>
        </w:rPr>
        <w:t>或者第三方机构的意见作为验收书的参考资料一并存档。</w:t>
      </w:r>
    </w:p>
    <w:p>
      <w:pPr>
        <w:tabs>
          <w:tab w:val="left" w:pos="1365"/>
        </w:tabs>
        <w:spacing w:line="440" w:lineRule="exact"/>
        <w:ind w:left="550" w:hanging="550" w:hangingChars="25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3</w:t>
      </w:r>
      <w:r>
        <w:rPr>
          <w:rFonts w:hint="eastAsia" w:ascii="宋体" w:hAnsi="宋体" w:eastAsia="宋体" w:cs="宋体"/>
          <w:color w:val="auto"/>
          <w:kern w:val="2"/>
          <w:sz w:val="22"/>
          <w:szCs w:val="22"/>
          <w:highlight w:val="none"/>
          <w:lang w:val="en-US" w:eastAsia="zh-CN"/>
        </w:rPr>
        <w:t xml:space="preserve">.   </w:t>
      </w:r>
      <w:r>
        <w:rPr>
          <w:rFonts w:hint="eastAsia" w:ascii="宋体" w:hAnsi="宋体" w:eastAsia="宋体" w:cs="宋体"/>
          <w:color w:val="auto"/>
          <w:kern w:val="2"/>
          <w:sz w:val="22"/>
          <w:szCs w:val="22"/>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eastAsia="zh-CN"/>
        </w:rPr>
        <w:t>4</w:t>
      </w:r>
      <w:r>
        <w:rPr>
          <w:rFonts w:hint="eastAsia" w:ascii="宋体" w:hAnsi="宋体" w:eastAsia="宋体" w:cs="宋体"/>
          <w:color w:val="auto"/>
          <w:kern w:val="2"/>
          <w:sz w:val="22"/>
          <w:szCs w:val="22"/>
          <w:highlight w:val="none"/>
          <w:lang w:val="en-US" w:eastAsia="zh-CN"/>
        </w:rPr>
        <w:t xml:space="preserve">.   </w:t>
      </w:r>
      <w:r>
        <w:rPr>
          <w:rFonts w:hint="eastAsia" w:ascii="宋体" w:hAnsi="宋体" w:eastAsia="宋体" w:cs="宋体"/>
          <w:color w:val="auto"/>
          <w:kern w:val="2"/>
          <w:sz w:val="22"/>
          <w:szCs w:val="22"/>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2"/>
          <w:sz w:val="22"/>
          <w:szCs w:val="22"/>
          <w:highlight w:val="none"/>
          <w:lang w:eastAsia="zh-CN"/>
        </w:rPr>
        <w:t>。</w:t>
      </w:r>
    </w:p>
    <w:p>
      <w:pPr>
        <w:pStyle w:val="17"/>
        <w:rPr>
          <w:color w:val="auto"/>
          <w:highlight w:val="none"/>
        </w:rPr>
      </w:pPr>
    </w:p>
    <w:p>
      <w:pPr>
        <w:pStyle w:val="4"/>
        <w:rPr>
          <w:color w:val="auto"/>
          <w:highlight w:val="none"/>
        </w:rPr>
        <w:sectPr>
          <w:pgSz w:w="11906" w:h="16838"/>
          <w:pgMar w:top="1134" w:right="1134" w:bottom="1134" w:left="1134" w:header="851" w:footer="992" w:gutter="0"/>
          <w:pgNumType w:start="1"/>
          <w:cols w:space="720" w:num="1"/>
          <w:docGrid w:linePitch="312" w:charSpace="0"/>
        </w:sectPr>
      </w:pPr>
    </w:p>
    <w:p>
      <w:pPr>
        <w:pStyle w:val="4"/>
        <w:spacing w:line="600" w:lineRule="exact"/>
        <w:jc w:val="center"/>
        <w:rPr>
          <w:rFonts w:ascii="黑体" w:hAnsi="黑体" w:eastAsia="黑体"/>
          <w:color w:val="auto"/>
          <w:sz w:val="36"/>
          <w:szCs w:val="36"/>
          <w:highlight w:val="none"/>
        </w:rPr>
      </w:pPr>
      <w:bookmarkStart w:id="98" w:name="_Toc32532"/>
      <w:bookmarkStart w:id="99" w:name="_Toc28793"/>
      <w:bookmarkStart w:id="100" w:name="_Toc30488974"/>
      <w:bookmarkStart w:id="101" w:name="_Toc2"/>
      <w:bookmarkStart w:id="102" w:name="_Toc14682749"/>
      <w:bookmarkStart w:id="103" w:name="_Toc24226"/>
      <w:bookmarkStart w:id="104" w:name="_Toc25591"/>
      <w:bookmarkStart w:id="105" w:name="_Toc6120"/>
      <w:bookmarkStart w:id="106" w:name="_Toc202085295"/>
      <w:bookmarkStart w:id="107" w:name="_Toc195502585"/>
      <w:bookmarkStart w:id="108" w:name="_Toc195502495"/>
      <w:r>
        <w:rPr>
          <w:rFonts w:hint="eastAsia" w:ascii="黑体" w:hAnsi="黑体" w:eastAsia="黑体"/>
          <w:color w:val="auto"/>
          <w:sz w:val="36"/>
          <w:szCs w:val="36"/>
          <w:highlight w:val="none"/>
        </w:rPr>
        <w:t>第三部分   主要合同条款</w:t>
      </w:r>
      <w:bookmarkEnd w:id="98"/>
      <w:bookmarkEnd w:id="99"/>
      <w:bookmarkEnd w:id="100"/>
      <w:bookmarkEnd w:id="101"/>
      <w:bookmarkEnd w:id="102"/>
      <w:bookmarkEnd w:id="103"/>
      <w:bookmarkEnd w:id="104"/>
      <w:bookmarkEnd w:id="105"/>
    </w:p>
    <w:bookmarkEnd w:id="106"/>
    <w:bookmarkEnd w:id="107"/>
    <w:bookmarkEnd w:id="108"/>
    <w:p>
      <w:pPr>
        <w:spacing w:line="400" w:lineRule="exact"/>
        <w:jc w:val="center"/>
        <w:rPr>
          <w:rFonts w:ascii="新宋体" w:hAnsi="新宋体" w:eastAsia="新宋体"/>
          <w:color w:val="auto"/>
          <w:sz w:val="22"/>
          <w:szCs w:val="22"/>
          <w:highlight w:val="none"/>
        </w:rPr>
      </w:pPr>
      <w:bookmarkStart w:id="109" w:name="_Toc29547"/>
      <w:bookmarkStart w:id="110" w:name="_Toc7928"/>
      <w:bookmarkStart w:id="111" w:name="_Toc13294"/>
      <w:bookmarkStart w:id="112" w:name="_Toc195502496"/>
      <w:bookmarkStart w:id="113" w:name="_Toc18538"/>
      <w:bookmarkStart w:id="114" w:name="_Toc14494"/>
      <w:bookmarkStart w:id="115" w:name="_Toc195502586"/>
      <w:bookmarkStart w:id="116" w:name="_Toc25683"/>
      <w:bookmarkStart w:id="117" w:name="_Toc202085296"/>
      <w:r>
        <w:rPr>
          <w:rFonts w:hint="eastAsia" w:ascii="宋体" w:hAnsi="宋体" w:cs="宋体"/>
          <w:color w:val="auto"/>
          <w:sz w:val="22"/>
          <w:szCs w:val="22"/>
          <w:highlight w:val="none"/>
          <w:lang w:bidi="ar"/>
        </w:rPr>
        <w:t>（本合同为样稿，最终稿由甲乙方协商后确定）</w:t>
      </w:r>
      <w:r>
        <w:rPr>
          <w:rFonts w:hint="eastAsia" w:ascii="宋体" w:hAnsi="宋体" w:cs="宋体"/>
          <w:b/>
          <w:color w:val="auto"/>
          <w:sz w:val="22"/>
          <w:szCs w:val="22"/>
          <w:highlight w:val="none"/>
          <w:lang w:bidi="ar"/>
        </w:rPr>
        <w:t xml:space="preserve">  </w:t>
      </w:r>
    </w:p>
    <w:bookmarkEnd w:id="109"/>
    <w:bookmarkEnd w:id="110"/>
    <w:p>
      <w:pPr>
        <w:spacing w:before="120" w:line="400" w:lineRule="exact"/>
        <w:ind w:left="1524" w:leftChars="257" w:hanging="984" w:hangingChars="350"/>
        <w:rPr>
          <w:rFonts w:hint="eastAsia" w:ascii="宋体" w:hAnsi="宋体" w:eastAsia="宋体" w:cs="宋体"/>
          <w:color w:val="auto"/>
          <w:sz w:val="28"/>
          <w:szCs w:val="28"/>
          <w:highlight w:val="none"/>
          <w:u w:val="single"/>
          <w:lang w:eastAsia="zh-CN"/>
        </w:rPr>
      </w:pPr>
      <w:r>
        <w:rPr>
          <w:rFonts w:ascii="Arial" w:hAnsi="宋体" w:cs="Arial"/>
          <w:b/>
          <w:color w:val="auto"/>
          <w:sz w:val="28"/>
          <w:szCs w:val="28"/>
          <w:highlight w:val="none"/>
        </w:rPr>
        <w:t>项目名称：</w:t>
      </w:r>
      <w:r>
        <w:rPr>
          <w:rFonts w:hint="eastAsia" w:ascii="宋体" w:hAnsi="宋体" w:eastAsia="宋体" w:cs="宋体"/>
          <w:b/>
          <w:color w:val="auto"/>
          <w:sz w:val="28"/>
          <w:szCs w:val="28"/>
          <w:highlight w:val="none"/>
          <w:u w:val="thick"/>
          <w:lang w:val="en-US" w:eastAsia="zh-CN"/>
        </w:rPr>
        <w:t>瓯海区电镀行业新污染物全链条管控体系试点项目</w:t>
      </w:r>
    </w:p>
    <w:p>
      <w:pPr>
        <w:spacing w:before="120" w:line="400" w:lineRule="exact"/>
        <w:ind w:left="1520" w:leftChars="257" w:hanging="980" w:hangingChars="350"/>
        <w:rPr>
          <w:rFonts w:hint="eastAsia" w:ascii="Arial" w:hAnsi="Arial" w:cs="Arial"/>
          <w:color w:val="auto"/>
          <w:sz w:val="28"/>
          <w:szCs w:val="28"/>
          <w:highlight w:val="none"/>
          <w:u w:val="single"/>
        </w:rPr>
      </w:pPr>
    </w:p>
    <w:p>
      <w:pPr>
        <w:spacing w:before="120" w:line="400" w:lineRule="exact"/>
        <w:ind w:firstLine="551" w:firstLineChars="196"/>
        <w:rPr>
          <w:rFonts w:hint="default" w:ascii="Arial" w:hAnsi="Arial" w:cs="Arial"/>
          <w:color w:val="auto"/>
          <w:sz w:val="28"/>
          <w:szCs w:val="28"/>
          <w:highlight w:val="none"/>
          <w:u w:val="thick"/>
          <w:lang w:val="en-US"/>
        </w:rPr>
      </w:pPr>
      <w:r>
        <w:rPr>
          <w:rFonts w:ascii="Arial" w:hAnsi="宋体" w:cs="Arial"/>
          <w:b/>
          <w:color w:val="auto"/>
          <w:sz w:val="28"/>
          <w:szCs w:val="28"/>
          <w:highlight w:val="none"/>
        </w:rPr>
        <w:t>甲</w:t>
      </w:r>
      <w:r>
        <w:rPr>
          <w:rFonts w:ascii="Arial" w:hAnsi="Arial" w:cs="Arial"/>
          <w:b/>
          <w:color w:val="auto"/>
          <w:sz w:val="28"/>
          <w:szCs w:val="28"/>
          <w:highlight w:val="none"/>
        </w:rPr>
        <w:t xml:space="preserve">    </w:t>
      </w:r>
      <w:r>
        <w:rPr>
          <w:rFonts w:ascii="Arial" w:hAnsi="宋体" w:cs="Arial"/>
          <w:b/>
          <w:color w:val="auto"/>
          <w:sz w:val="28"/>
          <w:szCs w:val="28"/>
          <w:highlight w:val="none"/>
        </w:rPr>
        <w:t>方：</w:t>
      </w:r>
      <w:r>
        <w:rPr>
          <w:rFonts w:hint="eastAsia" w:ascii="宋体" w:hAnsi="宋体" w:eastAsia="宋体" w:cs="宋体"/>
          <w:b/>
          <w:color w:val="auto"/>
          <w:sz w:val="28"/>
          <w:szCs w:val="28"/>
          <w:highlight w:val="none"/>
          <w:u w:val="thick"/>
          <w:lang w:val="en-US" w:eastAsia="zh-CN"/>
        </w:rPr>
        <w:t xml:space="preserve">温州市生态环境局瓯海分局 </w:t>
      </w:r>
    </w:p>
    <w:p>
      <w:pPr>
        <w:spacing w:before="120" w:line="400" w:lineRule="exact"/>
        <w:ind w:firstLine="548" w:firstLineChars="196"/>
        <w:rPr>
          <w:rFonts w:hint="eastAsia" w:ascii="Arial" w:hAnsi="Arial" w:cs="Arial"/>
          <w:color w:val="auto"/>
          <w:sz w:val="28"/>
          <w:szCs w:val="28"/>
          <w:highlight w:val="none"/>
        </w:rPr>
      </w:pPr>
    </w:p>
    <w:p>
      <w:pPr>
        <w:spacing w:before="120" w:line="400" w:lineRule="exact"/>
        <w:ind w:firstLine="551" w:firstLineChars="196"/>
        <w:rPr>
          <w:rFonts w:hint="eastAsia" w:ascii="Arial" w:hAnsi="Arial" w:cs="Arial"/>
          <w:color w:val="auto"/>
          <w:sz w:val="28"/>
          <w:szCs w:val="28"/>
          <w:highlight w:val="none"/>
          <w:u w:val="single"/>
        </w:rPr>
      </w:pPr>
      <w:r>
        <w:rPr>
          <w:rFonts w:ascii="Arial" w:hAnsi="宋体" w:cs="Arial"/>
          <w:b/>
          <w:color w:val="auto"/>
          <w:sz w:val="28"/>
          <w:szCs w:val="28"/>
          <w:highlight w:val="none"/>
        </w:rPr>
        <w:t>乙</w:t>
      </w:r>
      <w:r>
        <w:rPr>
          <w:rFonts w:ascii="Arial" w:hAnsi="Arial" w:cs="Arial"/>
          <w:b/>
          <w:color w:val="auto"/>
          <w:sz w:val="28"/>
          <w:szCs w:val="28"/>
          <w:highlight w:val="none"/>
        </w:rPr>
        <w:t xml:space="preserve">    </w:t>
      </w:r>
      <w:r>
        <w:rPr>
          <w:rFonts w:ascii="Arial" w:hAnsi="宋体" w:cs="Arial"/>
          <w:b/>
          <w:color w:val="auto"/>
          <w:sz w:val="28"/>
          <w:szCs w:val="28"/>
          <w:highlight w:val="none"/>
        </w:rPr>
        <w:t>方：</w:t>
      </w:r>
      <w:r>
        <w:rPr>
          <w:rFonts w:ascii="Arial" w:hAnsi="Arial" w:cs="Arial"/>
          <w:b/>
          <w:color w:val="auto"/>
          <w:sz w:val="28"/>
          <w:szCs w:val="28"/>
          <w:highlight w:val="none"/>
          <w:u w:val="none"/>
        </w:rPr>
        <w:t xml:space="preserve"> </w:t>
      </w:r>
      <w:r>
        <w:rPr>
          <w:rFonts w:ascii="Arial" w:hAnsi="Arial" w:cs="Arial"/>
          <w:color w:val="auto"/>
          <w:sz w:val="28"/>
          <w:szCs w:val="28"/>
          <w:highlight w:val="none"/>
          <w:u w:val="none"/>
        </w:rPr>
        <w:t xml:space="preserve">                               </w:t>
      </w:r>
      <w:r>
        <w:rPr>
          <w:rFonts w:ascii="Arial" w:hAnsi="Arial" w:cs="Arial"/>
          <w:color w:val="auto"/>
          <w:sz w:val="28"/>
          <w:szCs w:val="28"/>
          <w:highlight w:val="none"/>
          <w:u w:val="single"/>
        </w:rPr>
        <w:t xml:space="preserve">          </w:t>
      </w:r>
    </w:p>
    <w:p>
      <w:pPr>
        <w:spacing w:before="120" w:line="400" w:lineRule="exact"/>
        <w:ind w:firstLine="548" w:firstLineChars="196"/>
        <w:rPr>
          <w:rFonts w:hint="eastAsia" w:ascii="Arial" w:hAnsi="Arial" w:cs="Arial"/>
          <w:color w:val="auto"/>
          <w:sz w:val="28"/>
          <w:szCs w:val="28"/>
          <w:highlight w:val="none"/>
          <w:u w:val="single"/>
        </w:rPr>
      </w:pPr>
    </w:p>
    <w:p>
      <w:pPr>
        <w:spacing w:before="120" w:line="400" w:lineRule="exact"/>
        <w:ind w:firstLine="548" w:firstLineChars="196"/>
        <w:rPr>
          <w:rFonts w:hint="eastAsia" w:ascii="Arial" w:hAnsi="Arial" w:cs="Arial"/>
          <w:color w:val="auto"/>
          <w:sz w:val="28"/>
          <w:szCs w:val="28"/>
          <w:highlight w:val="none"/>
        </w:rPr>
      </w:pPr>
    </w:p>
    <w:p>
      <w:pPr>
        <w:spacing w:before="120" w:line="400" w:lineRule="exact"/>
        <w:ind w:firstLine="548" w:firstLineChars="196"/>
        <w:rPr>
          <w:rFonts w:hint="eastAsia" w:ascii="Arial" w:hAnsi="Arial" w:cs="Arial"/>
          <w:color w:val="auto"/>
          <w:sz w:val="28"/>
          <w:szCs w:val="28"/>
          <w:highlight w:val="none"/>
        </w:rPr>
      </w:pPr>
    </w:p>
    <w:p>
      <w:pPr>
        <w:numPr>
          <w:ilvl w:val="0"/>
          <w:numId w:val="0"/>
        </w:numPr>
        <w:ind w:leftChars="-5"/>
        <w:rPr>
          <w:color w:val="auto"/>
          <w:highlight w:val="none"/>
        </w:rPr>
      </w:pPr>
    </w:p>
    <w:p>
      <w:pPr>
        <w:numPr>
          <w:ilvl w:val="0"/>
          <w:numId w:val="0"/>
        </w:numPr>
        <w:ind w:leftChars="-5" w:firstLine="562" w:firstLineChars="200"/>
        <w:rPr>
          <w:color w:val="auto"/>
          <w:highlight w:val="none"/>
        </w:rPr>
      </w:pPr>
      <w:r>
        <w:rPr>
          <w:rFonts w:ascii="Arial" w:hAnsi="宋体" w:cs="Arial"/>
          <w:b/>
          <w:color w:val="auto"/>
          <w:sz w:val="28"/>
          <w:szCs w:val="28"/>
          <w:highlight w:val="none"/>
        </w:rPr>
        <w:t>签订日期：</w:t>
      </w:r>
      <w:r>
        <w:rPr>
          <w:rFonts w:ascii="Arial" w:hAnsi="Arial" w:cs="Arial"/>
          <w:b/>
          <w:color w:val="auto"/>
          <w:sz w:val="28"/>
          <w:szCs w:val="28"/>
          <w:highlight w:val="none"/>
          <w:u w:val="single"/>
        </w:rPr>
        <w:t xml:space="preserve">          </w:t>
      </w:r>
      <w:r>
        <w:rPr>
          <w:rFonts w:hint="eastAsia" w:ascii="Arial" w:hAnsi="Arial" w:cs="Arial"/>
          <w:b/>
          <w:color w:val="auto"/>
          <w:sz w:val="28"/>
          <w:szCs w:val="28"/>
          <w:highlight w:val="none"/>
          <w:u w:val="single"/>
          <w:lang w:val="en-US" w:eastAsia="zh-CN"/>
        </w:rPr>
        <w:t>年     月   日</w:t>
      </w:r>
      <w:r>
        <w:rPr>
          <w:rFonts w:ascii="Arial" w:hAnsi="Arial" w:cs="Arial"/>
          <w:b/>
          <w:color w:val="auto"/>
          <w:sz w:val="28"/>
          <w:szCs w:val="28"/>
          <w:highlight w:val="none"/>
          <w:u w:val="single"/>
        </w:rPr>
        <w:t xml:space="preserve">           </w:t>
      </w:r>
    </w:p>
    <w:p>
      <w:pPr>
        <w:spacing w:before="240" w:line="400" w:lineRule="exact"/>
        <w:ind w:firstLine="551" w:firstLineChars="196"/>
        <w:rPr>
          <w:rFonts w:hint="eastAsia" w:ascii="Arial" w:hAnsi="Arial" w:cs="Arial"/>
          <w:b/>
          <w:color w:val="auto"/>
          <w:sz w:val="28"/>
          <w:szCs w:val="28"/>
          <w:highlight w:val="none"/>
          <w:u w:val="single"/>
        </w:rPr>
      </w:pPr>
      <w:r>
        <w:rPr>
          <w:rFonts w:ascii="Arial" w:hAnsi="Arial" w:cs="Arial"/>
          <w:b/>
          <w:color w:val="auto"/>
          <w:sz w:val="28"/>
          <w:szCs w:val="28"/>
          <w:highlight w:val="none"/>
          <w:u w:val="single"/>
        </w:rPr>
        <w:t xml:space="preserve">                  </w:t>
      </w:r>
    </w:p>
    <w:p>
      <w:pPr>
        <w:spacing w:after="156" w:afterLines="50" w:line="360" w:lineRule="auto"/>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 xml:space="preserve">                                 </w:t>
      </w:r>
    </w:p>
    <w:p>
      <w:pPr>
        <w:keepNext w:val="0"/>
        <w:keepLines w:val="0"/>
        <w:pageBreakBefore w:val="0"/>
        <w:kinsoku/>
        <w:wordWrap/>
        <w:overflowPunct/>
        <w:topLinePunct w:val="0"/>
        <w:bidi w:val="0"/>
        <w:spacing w:line="360" w:lineRule="auto"/>
        <w:ind w:left="10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发包方(</w:t>
      </w:r>
      <w:r>
        <w:rPr>
          <w:rFonts w:hint="eastAsia" w:ascii="新宋体" w:hAnsi="新宋体" w:eastAsia="新宋体"/>
          <w:bCs/>
          <w:color w:val="auto"/>
          <w:szCs w:val="21"/>
          <w:highlight w:val="none"/>
          <w:lang w:val="en-US" w:eastAsia="zh-CN"/>
        </w:rPr>
        <w:t>采购人</w:t>
      </w:r>
      <w:r>
        <w:rPr>
          <w:rFonts w:hint="eastAsia" w:ascii="新宋体" w:hAnsi="新宋体" w:eastAsia="新宋体"/>
          <w:bCs/>
          <w:color w:val="auto"/>
          <w:szCs w:val="21"/>
          <w:highlight w:val="none"/>
        </w:rPr>
        <w:t>)：                         （以下简称甲方）</w:t>
      </w:r>
    </w:p>
    <w:p>
      <w:pPr>
        <w:keepNext w:val="0"/>
        <w:keepLines w:val="0"/>
        <w:pageBreakBefore w:val="0"/>
        <w:kinsoku/>
        <w:wordWrap/>
        <w:overflowPunct/>
        <w:topLinePunct w:val="0"/>
        <w:bidi w:val="0"/>
        <w:spacing w:line="360" w:lineRule="auto"/>
        <w:ind w:firstLine="105" w:firstLineChars="5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承包方(</w:t>
      </w:r>
      <w:r>
        <w:rPr>
          <w:rFonts w:hint="eastAsia" w:ascii="新宋体" w:hAnsi="新宋体" w:eastAsia="新宋体"/>
          <w:bCs/>
          <w:color w:val="auto"/>
          <w:szCs w:val="21"/>
          <w:highlight w:val="none"/>
          <w:lang w:val="en-US" w:eastAsia="zh-CN"/>
        </w:rPr>
        <w:t>中标人</w:t>
      </w:r>
      <w:r>
        <w:rPr>
          <w:rFonts w:hint="eastAsia" w:ascii="新宋体" w:hAnsi="新宋体" w:eastAsia="新宋体"/>
          <w:bCs/>
          <w:color w:val="auto"/>
          <w:szCs w:val="21"/>
          <w:highlight w:val="none"/>
        </w:rPr>
        <w:t xml:space="preserve">)：                    </w:t>
      </w:r>
      <w:r>
        <w:rPr>
          <w:rFonts w:hint="eastAsia" w:ascii="新宋体" w:hAnsi="新宋体" w:eastAsia="新宋体"/>
          <w:bCs/>
          <w:color w:val="auto"/>
          <w:szCs w:val="21"/>
          <w:highlight w:val="none"/>
          <w:lang w:val="en-US" w:eastAsia="zh-CN"/>
        </w:rPr>
        <w:t xml:space="preserve">    </w:t>
      </w:r>
      <w:r>
        <w:rPr>
          <w:rFonts w:hint="eastAsia" w:ascii="新宋体" w:hAnsi="新宋体" w:eastAsia="新宋体"/>
          <w:bCs/>
          <w:color w:val="auto"/>
          <w:szCs w:val="21"/>
          <w:highlight w:val="none"/>
        </w:rPr>
        <w:t xml:space="preserve"> （以下简称乙方）</w:t>
      </w:r>
    </w:p>
    <w:p>
      <w:pPr>
        <w:keepNext w:val="0"/>
        <w:keepLines w:val="0"/>
        <w:pageBreakBefore w:val="0"/>
        <w:kinsoku/>
        <w:wordWrap/>
        <w:overflowPunct/>
        <w:topLinePunct w:val="0"/>
        <w:bidi w:val="0"/>
        <w:spacing w:line="360" w:lineRule="auto"/>
        <w:ind w:firstLine="525" w:firstLineChars="250"/>
        <w:rPr>
          <w:rFonts w:hint="eastAsia" w:ascii="新宋体" w:hAnsi="新宋体" w:eastAsia="新宋体"/>
          <w:color w:val="auto"/>
          <w:szCs w:val="21"/>
          <w:highlight w:val="none"/>
        </w:rPr>
      </w:pPr>
      <w:r>
        <w:rPr>
          <w:rFonts w:hint="eastAsia" w:ascii="新宋体" w:hAnsi="新宋体" w:eastAsia="新宋体"/>
          <w:color w:val="auto"/>
          <w:szCs w:val="21"/>
          <w:highlight w:val="none"/>
          <w:lang w:eastAsia="zh-CN"/>
        </w:rPr>
        <w:t>温州市生态环境局</w:t>
      </w:r>
      <w:r>
        <w:rPr>
          <w:rFonts w:hint="eastAsia" w:ascii="新宋体" w:hAnsi="新宋体" w:eastAsia="新宋体"/>
          <w:color w:val="auto"/>
          <w:szCs w:val="21"/>
          <w:highlight w:val="none"/>
          <w:lang w:val="en-US" w:eastAsia="zh-CN"/>
        </w:rPr>
        <w:t>瓯海</w:t>
      </w:r>
      <w:r>
        <w:rPr>
          <w:rFonts w:hint="eastAsia" w:ascii="新宋体" w:hAnsi="新宋体" w:eastAsia="新宋体"/>
          <w:color w:val="auto"/>
          <w:szCs w:val="21"/>
          <w:highlight w:val="none"/>
          <w:lang w:eastAsia="zh-CN"/>
        </w:rPr>
        <w:t>分局</w:t>
      </w:r>
      <w:r>
        <w:rPr>
          <w:rFonts w:hint="eastAsia" w:ascii="新宋体" w:hAnsi="新宋体" w:eastAsia="新宋体"/>
          <w:color w:val="auto"/>
          <w:szCs w:val="21"/>
          <w:highlight w:val="none"/>
        </w:rPr>
        <w:t>的</w:t>
      </w:r>
      <w:r>
        <w:rPr>
          <w:rFonts w:hint="eastAsia" w:ascii="新宋体" w:hAnsi="新宋体" w:eastAsia="新宋体"/>
          <w:color w:val="auto"/>
          <w:szCs w:val="21"/>
          <w:highlight w:val="none"/>
          <w:u w:val="single"/>
        </w:rPr>
        <w:t xml:space="preserve">               </w:t>
      </w:r>
      <w:r>
        <w:rPr>
          <w:rFonts w:hint="eastAsia" w:ascii="新宋体" w:hAnsi="新宋体" w:eastAsia="新宋体"/>
          <w:color w:val="auto"/>
          <w:szCs w:val="21"/>
          <w:highlight w:val="none"/>
        </w:rPr>
        <w:t>（项目名称、编号）在国内以</w:t>
      </w:r>
      <w:r>
        <w:rPr>
          <w:rFonts w:hint="eastAsia" w:ascii="新宋体" w:hAnsi="新宋体" w:eastAsia="新宋体"/>
          <w:color w:val="auto"/>
          <w:szCs w:val="21"/>
          <w:highlight w:val="none"/>
          <w:lang w:val="en-US" w:eastAsia="zh-CN"/>
        </w:rPr>
        <w:t>竞争性磋商</w:t>
      </w:r>
      <w:r>
        <w:rPr>
          <w:rFonts w:hint="eastAsia" w:ascii="新宋体" w:hAnsi="新宋体" w:eastAsia="新宋体"/>
          <w:color w:val="auto"/>
          <w:szCs w:val="21"/>
          <w:highlight w:val="none"/>
        </w:rPr>
        <w:t>方式进行采购，经</w:t>
      </w:r>
      <w:r>
        <w:rPr>
          <w:rFonts w:hint="eastAsia" w:ascii="新宋体" w:hAnsi="新宋体" w:eastAsia="新宋体"/>
          <w:color w:val="auto"/>
          <w:szCs w:val="21"/>
          <w:highlight w:val="none"/>
          <w:lang w:val="en-US" w:eastAsia="zh-CN"/>
        </w:rPr>
        <w:t>磋商小组</w:t>
      </w:r>
      <w:r>
        <w:rPr>
          <w:rFonts w:hint="eastAsia" w:ascii="新宋体" w:hAnsi="新宋体" w:eastAsia="新宋体"/>
          <w:color w:val="auto"/>
          <w:szCs w:val="21"/>
          <w:highlight w:val="none"/>
        </w:rPr>
        <w:t>评定</w:t>
      </w:r>
      <w:r>
        <w:rPr>
          <w:rFonts w:hint="eastAsia" w:ascii="新宋体" w:hAnsi="新宋体" w:eastAsia="新宋体"/>
          <w:color w:val="auto"/>
          <w:szCs w:val="21"/>
          <w:highlight w:val="none"/>
          <w:u w:val="single"/>
        </w:rPr>
        <w:t xml:space="preserve">                 </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中标人</w:t>
      </w:r>
      <w:r>
        <w:rPr>
          <w:rFonts w:hint="eastAsia" w:ascii="新宋体" w:hAnsi="新宋体" w:eastAsia="新宋体"/>
          <w:color w:val="auto"/>
          <w:szCs w:val="21"/>
          <w:highlight w:val="none"/>
        </w:rPr>
        <w:t>名称）为</w:t>
      </w:r>
      <w:r>
        <w:rPr>
          <w:rFonts w:hint="eastAsia" w:ascii="新宋体" w:hAnsi="新宋体" w:eastAsia="新宋体"/>
          <w:color w:val="auto"/>
          <w:szCs w:val="21"/>
          <w:highlight w:val="none"/>
          <w:lang w:val="en-US" w:eastAsia="zh-CN"/>
        </w:rPr>
        <w:t>中标人</w:t>
      </w:r>
      <w:r>
        <w:rPr>
          <w:rFonts w:hint="eastAsia" w:ascii="新宋体" w:hAnsi="新宋体" w:eastAsia="新宋体"/>
          <w:color w:val="auto"/>
          <w:szCs w:val="21"/>
          <w:highlight w:val="none"/>
        </w:rPr>
        <w:t>。甲、乙双方本着诚信及互利互惠的原则，同意按照下面条款和条件，签署本合同。</w:t>
      </w:r>
    </w:p>
    <w:p>
      <w:pPr>
        <w:keepNext w:val="0"/>
        <w:keepLines w:val="0"/>
        <w:pageBreakBefore w:val="0"/>
        <w:numPr>
          <w:ilvl w:val="1"/>
          <w:numId w:val="2"/>
        </w:numPr>
        <w:kinsoku/>
        <w:wordWrap/>
        <w:overflowPunct/>
        <w:topLinePunct w:val="0"/>
        <w:bidi w:val="0"/>
        <w:spacing w:line="360" w:lineRule="auto"/>
        <w:rPr>
          <w:rFonts w:hint="eastAsia" w:ascii="新宋体" w:hAnsi="新宋体" w:eastAsia="新宋体"/>
          <w:b/>
          <w:color w:val="auto"/>
          <w:szCs w:val="21"/>
          <w:highlight w:val="none"/>
        </w:rPr>
      </w:pPr>
      <w:r>
        <w:rPr>
          <w:rFonts w:hint="eastAsia" w:ascii="新宋体" w:hAnsi="新宋体" w:eastAsia="新宋体"/>
          <w:b/>
          <w:color w:val="auto"/>
          <w:szCs w:val="21"/>
          <w:highlight w:val="none"/>
        </w:rPr>
        <w:t>本合同签订依据</w:t>
      </w:r>
    </w:p>
    <w:p>
      <w:pPr>
        <w:keepNext w:val="0"/>
        <w:keepLines w:val="0"/>
        <w:pageBreakBefore w:val="0"/>
        <w:kinsoku/>
        <w:wordWrap/>
        <w:overflowPunct/>
        <w:topLinePunct w:val="0"/>
        <w:bidi w:val="0"/>
        <w:spacing w:line="360" w:lineRule="auto"/>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《中华人民共和国</w:t>
      </w:r>
      <w:r>
        <w:rPr>
          <w:rFonts w:hint="eastAsia" w:ascii="新宋体" w:hAnsi="新宋体" w:eastAsia="新宋体"/>
          <w:color w:val="auto"/>
          <w:szCs w:val="21"/>
          <w:highlight w:val="none"/>
          <w:lang w:val="en-US" w:eastAsia="zh-CN"/>
        </w:rPr>
        <w:t>民法典</w:t>
      </w:r>
      <w:r>
        <w:rPr>
          <w:rFonts w:hint="eastAsia" w:ascii="新宋体" w:hAnsi="新宋体" w:eastAsia="新宋体"/>
          <w:color w:val="auto"/>
          <w:szCs w:val="21"/>
          <w:highlight w:val="none"/>
        </w:rPr>
        <w:t>》。</w:t>
      </w:r>
    </w:p>
    <w:p>
      <w:pPr>
        <w:keepNext w:val="0"/>
        <w:keepLines w:val="0"/>
        <w:pageBreakBefore w:val="0"/>
        <w:numPr>
          <w:ilvl w:val="1"/>
          <w:numId w:val="2"/>
        </w:numPr>
        <w:kinsoku/>
        <w:wordWrap/>
        <w:overflowPunct/>
        <w:topLinePunct w:val="0"/>
        <w:bidi w:val="0"/>
        <w:spacing w:line="360" w:lineRule="auto"/>
        <w:rPr>
          <w:rFonts w:hint="eastAsia" w:ascii="新宋体" w:hAnsi="新宋体" w:eastAsia="新宋体"/>
          <w:b/>
          <w:color w:val="auto"/>
          <w:szCs w:val="21"/>
          <w:highlight w:val="none"/>
        </w:rPr>
      </w:pPr>
      <w:r>
        <w:rPr>
          <w:rFonts w:hint="eastAsia" w:ascii="新宋体" w:hAnsi="新宋体" w:eastAsia="新宋体"/>
          <w:b/>
          <w:color w:val="auto"/>
          <w:szCs w:val="21"/>
          <w:highlight w:val="none"/>
        </w:rPr>
        <w:t>合同文件的优先次序</w:t>
      </w:r>
    </w:p>
    <w:p>
      <w:pPr>
        <w:keepNext w:val="0"/>
        <w:keepLines w:val="0"/>
        <w:pageBreakBefore w:val="0"/>
        <w:kinsoku/>
        <w:wordWrap/>
        <w:overflowPunct/>
        <w:topLinePunct w:val="0"/>
        <w:bidi w:val="0"/>
        <w:spacing w:line="360" w:lineRule="auto"/>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合同文件如存在歧义或不一致则根据以下优先次序来判断：</w:t>
      </w:r>
    </w:p>
    <w:p>
      <w:pPr>
        <w:keepNext w:val="0"/>
        <w:keepLines w:val="0"/>
        <w:pageBreakBefore w:val="0"/>
        <w:numPr>
          <w:ilvl w:val="2"/>
          <w:numId w:val="3"/>
        </w:numPr>
        <w:kinsoku/>
        <w:wordWrap/>
        <w:overflowPunct/>
        <w:topLinePunct w:val="0"/>
        <w:bidi w:val="0"/>
        <w:spacing w:line="360" w:lineRule="auto"/>
        <w:ind w:left="-6" w:leftChars="0" w:firstLine="426" w:firstLineChars="0"/>
        <w:rPr>
          <w:rFonts w:hint="eastAsia" w:ascii="新宋体" w:hAnsi="新宋体" w:eastAsia="新宋体"/>
          <w:color w:val="auto"/>
          <w:szCs w:val="21"/>
          <w:highlight w:val="none"/>
        </w:rPr>
      </w:pPr>
      <w:r>
        <w:rPr>
          <w:rFonts w:hint="eastAsia" w:ascii="新宋体" w:hAnsi="新宋体" w:eastAsia="新宋体"/>
          <w:color w:val="auto"/>
          <w:szCs w:val="21"/>
          <w:highlight w:val="none"/>
        </w:rPr>
        <w:t>合同书及合同补充条款或说明；</w:t>
      </w:r>
    </w:p>
    <w:p>
      <w:pPr>
        <w:keepNext w:val="0"/>
        <w:keepLines w:val="0"/>
        <w:pageBreakBefore w:val="0"/>
        <w:numPr>
          <w:ilvl w:val="2"/>
          <w:numId w:val="3"/>
        </w:numPr>
        <w:kinsoku/>
        <w:wordWrap/>
        <w:overflowPunct/>
        <w:topLinePunct w:val="0"/>
        <w:bidi w:val="0"/>
        <w:spacing w:line="360" w:lineRule="auto"/>
        <w:ind w:left="-6" w:leftChars="0" w:firstLine="426" w:firstLineChars="0"/>
        <w:rPr>
          <w:rFonts w:hint="eastAsia" w:ascii="新宋体" w:hAnsi="新宋体" w:eastAsia="新宋体"/>
          <w:color w:val="auto"/>
          <w:szCs w:val="21"/>
          <w:highlight w:val="none"/>
        </w:rPr>
      </w:pPr>
      <w:r>
        <w:rPr>
          <w:rFonts w:hint="eastAsia" w:ascii="新宋体" w:hAnsi="新宋体" w:eastAsia="新宋体"/>
          <w:color w:val="auto"/>
          <w:szCs w:val="21"/>
          <w:highlight w:val="none"/>
          <w:lang w:val="en-US" w:eastAsia="zh-CN"/>
        </w:rPr>
        <w:t>中标</w:t>
      </w:r>
      <w:r>
        <w:rPr>
          <w:rFonts w:hint="eastAsia" w:ascii="新宋体" w:hAnsi="新宋体" w:eastAsia="新宋体"/>
          <w:color w:val="auto"/>
          <w:szCs w:val="21"/>
          <w:highlight w:val="none"/>
        </w:rPr>
        <w:t>通知书；</w:t>
      </w:r>
    </w:p>
    <w:p>
      <w:pPr>
        <w:keepNext w:val="0"/>
        <w:keepLines w:val="0"/>
        <w:pageBreakBefore w:val="0"/>
        <w:numPr>
          <w:ilvl w:val="2"/>
          <w:numId w:val="3"/>
        </w:numPr>
        <w:kinsoku/>
        <w:wordWrap/>
        <w:overflowPunct/>
        <w:topLinePunct w:val="0"/>
        <w:bidi w:val="0"/>
        <w:spacing w:line="360" w:lineRule="auto"/>
        <w:ind w:left="-6" w:leftChars="0" w:firstLine="426" w:firstLineChars="0"/>
        <w:rPr>
          <w:rFonts w:hint="eastAsia" w:ascii="新宋体" w:hAnsi="新宋体" w:eastAsia="新宋体"/>
          <w:color w:val="auto"/>
          <w:szCs w:val="21"/>
          <w:highlight w:val="none"/>
        </w:rPr>
      </w:pPr>
      <w:r>
        <w:rPr>
          <w:rFonts w:hint="eastAsia" w:ascii="新宋体" w:hAnsi="新宋体" w:eastAsia="新宋体"/>
          <w:color w:val="auto"/>
          <w:szCs w:val="21"/>
          <w:highlight w:val="none"/>
        </w:rPr>
        <w:t>承诺书（含询标记录和优惠条款）；</w:t>
      </w:r>
    </w:p>
    <w:p>
      <w:pPr>
        <w:keepNext w:val="0"/>
        <w:keepLines w:val="0"/>
        <w:pageBreakBefore w:val="0"/>
        <w:numPr>
          <w:ilvl w:val="2"/>
          <w:numId w:val="3"/>
        </w:numPr>
        <w:kinsoku/>
        <w:wordWrap/>
        <w:overflowPunct/>
        <w:topLinePunct w:val="0"/>
        <w:bidi w:val="0"/>
        <w:spacing w:line="360" w:lineRule="auto"/>
        <w:ind w:left="-6" w:leftChars="0" w:firstLine="426" w:firstLineChars="0"/>
        <w:rPr>
          <w:rFonts w:hint="eastAsia" w:ascii="新宋体" w:hAnsi="新宋体" w:eastAsia="新宋体"/>
          <w:color w:val="auto"/>
          <w:szCs w:val="21"/>
          <w:highlight w:val="none"/>
        </w:rPr>
      </w:pPr>
      <w:r>
        <w:rPr>
          <w:rFonts w:hint="eastAsia" w:ascii="新宋体" w:hAnsi="新宋体" w:eastAsia="新宋体"/>
          <w:color w:val="auto"/>
          <w:szCs w:val="21"/>
          <w:highlight w:val="none"/>
          <w:lang w:val="en-US" w:eastAsia="zh-CN"/>
        </w:rPr>
        <w:t>招标</w:t>
      </w:r>
      <w:r>
        <w:rPr>
          <w:rFonts w:hint="eastAsia" w:ascii="新宋体" w:hAnsi="新宋体" w:eastAsia="新宋体"/>
          <w:color w:val="auto"/>
          <w:szCs w:val="21"/>
          <w:highlight w:val="none"/>
        </w:rPr>
        <w:t>文件；</w:t>
      </w:r>
    </w:p>
    <w:p>
      <w:pPr>
        <w:keepNext w:val="0"/>
        <w:keepLines w:val="0"/>
        <w:pageBreakBefore w:val="0"/>
        <w:numPr>
          <w:ilvl w:val="2"/>
          <w:numId w:val="3"/>
        </w:numPr>
        <w:kinsoku/>
        <w:wordWrap/>
        <w:overflowPunct/>
        <w:topLinePunct w:val="0"/>
        <w:bidi w:val="0"/>
        <w:spacing w:line="360" w:lineRule="auto"/>
        <w:ind w:left="-6" w:leftChars="0" w:firstLine="426" w:firstLineChars="0"/>
        <w:rPr>
          <w:rFonts w:hint="eastAsia" w:ascii="新宋体" w:hAnsi="新宋体" w:eastAsia="新宋体"/>
          <w:color w:val="auto"/>
          <w:szCs w:val="21"/>
          <w:highlight w:val="none"/>
        </w:rPr>
      </w:pPr>
      <w:r>
        <w:rPr>
          <w:rFonts w:hint="eastAsia" w:ascii="新宋体" w:hAnsi="新宋体" w:eastAsia="新宋体"/>
          <w:color w:val="auto"/>
          <w:szCs w:val="21"/>
          <w:highlight w:val="none"/>
          <w:lang w:val="en-US" w:eastAsia="zh-CN"/>
        </w:rPr>
        <w:t>投标</w:t>
      </w:r>
      <w:r>
        <w:rPr>
          <w:rFonts w:hint="eastAsia" w:ascii="新宋体" w:hAnsi="新宋体" w:eastAsia="新宋体"/>
          <w:color w:val="auto"/>
          <w:szCs w:val="21"/>
          <w:highlight w:val="none"/>
        </w:rPr>
        <w:t>文件。</w:t>
      </w:r>
    </w:p>
    <w:p>
      <w:pPr>
        <w:keepNext w:val="0"/>
        <w:keepLines w:val="0"/>
        <w:pageBreakBefore w:val="0"/>
        <w:numPr>
          <w:ilvl w:val="1"/>
          <w:numId w:val="2"/>
        </w:numPr>
        <w:kinsoku/>
        <w:wordWrap/>
        <w:overflowPunct/>
        <w:topLinePunct w:val="0"/>
        <w:bidi w:val="0"/>
        <w:spacing w:line="360" w:lineRule="auto"/>
        <w:rPr>
          <w:rFonts w:hint="eastAsia" w:ascii="新宋体" w:hAnsi="新宋体" w:eastAsia="新宋体"/>
          <w:b/>
          <w:color w:val="auto"/>
          <w:szCs w:val="21"/>
          <w:highlight w:val="none"/>
        </w:rPr>
      </w:pPr>
      <w:r>
        <w:rPr>
          <w:rFonts w:hint="eastAsia" w:ascii="新宋体" w:hAnsi="新宋体" w:eastAsia="新宋体"/>
          <w:b/>
          <w:color w:val="auto"/>
          <w:szCs w:val="21"/>
          <w:highlight w:val="none"/>
          <w:lang w:val="en-US" w:eastAsia="zh-CN"/>
        </w:rPr>
        <w:t>工作内容</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1、电镀园区新污染物全面筛查</w:t>
      </w:r>
    </w:p>
    <w:p>
      <w:pPr>
        <w:keepNext w:val="0"/>
        <w:keepLines w:val="0"/>
        <w:pageBreakBefore w:val="0"/>
        <w:numPr>
          <w:ilvl w:val="0"/>
          <w:numId w:val="0"/>
        </w:numPr>
        <w:kinsoku/>
        <w:wordWrap/>
        <w:overflowPunct/>
        <w:topLinePunct w:val="0"/>
        <w:bidi w:val="0"/>
        <w:spacing w:line="360" w:lineRule="auto"/>
        <w:ind w:left="420" w:leftChars="0" w:firstLine="422" w:firstLineChars="20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对温州市瓯海电镀园区不同的电镀工艺进行全面调研，针对电镀园区电镀企业，园区污水处理厂，按照生产周期进行至少2次水样采集，监测指标为全氟化合物。在周边1公里范围内采集地表水、农田、地下水、河道底泥样品，监测指标为全氟化合物。通过区域划分与数据采集，综合考虑历史数据、文献数据与国际标准，确立瓯海电镀园区的全氟化合物类新污染物的排放种类及排放底数。</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2、建立电镀行业风险源清单</w:t>
      </w:r>
    </w:p>
    <w:p>
      <w:pPr>
        <w:keepNext w:val="0"/>
        <w:keepLines w:val="0"/>
        <w:pageBreakBefore w:val="0"/>
        <w:numPr>
          <w:ilvl w:val="0"/>
          <w:numId w:val="0"/>
        </w:numPr>
        <w:kinsoku/>
        <w:wordWrap/>
        <w:overflowPunct/>
        <w:topLinePunct w:val="0"/>
        <w:bidi w:val="0"/>
        <w:spacing w:line="360" w:lineRule="auto"/>
        <w:ind w:left="420" w:leftChars="0" w:firstLine="422" w:firstLineChars="20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参照《化学物质环境与健康危害评估技术导则（试行）》、《化学物质环境与健康暴露评估技术导则（试行）》、《化学物质环境与健康风险表征技术导则（试行）》等技术文件，提出电镀行业具体的全氟化合物重点管控企业清单及管控物质清单。</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3、加强电镀行业涉全氟化合物管控机制建设</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（1）提出电镀行业涉全氟化合物数据报备制度</w:t>
      </w:r>
    </w:p>
    <w:p>
      <w:pPr>
        <w:keepNext w:val="0"/>
        <w:keepLines w:val="0"/>
        <w:pageBreakBefore w:val="0"/>
        <w:numPr>
          <w:ilvl w:val="0"/>
          <w:numId w:val="0"/>
        </w:numPr>
        <w:kinsoku/>
        <w:wordWrap/>
        <w:overflowPunct/>
        <w:topLinePunct w:val="0"/>
        <w:bidi w:val="0"/>
        <w:spacing w:line="360" w:lineRule="auto"/>
        <w:ind w:left="420" w:leftChars="0" w:firstLine="422" w:firstLineChars="20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提出涉全氟化合物项目报备管理要求建议，阐述全氟化合物对环境、生态和健康的潜在影响，列出具体的污染防治措施、监测和管理计划。</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（2）提出排污许可涉全氟化合物管控建议</w:t>
      </w:r>
    </w:p>
    <w:p>
      <w:pPr>
        <w:keepNext w:val="0"/>
        <w:keepLines w:val="0"/>
        <w:pageBreakBefore w:val="0"/>
        <w:numPr>
          <w:ilvl w:val="0"/>
          <w:numId w:val="0"/>
        </w:numPr>
        <w:kinsoku/>
        <w:wordWrap/>
        <w:overflowPunct/>
        <w:topLinePunct w:val="0"/>
        <w:bidi w:val="0"/>
        <w:spacing w:line="360" w:lineRule="auto"/>
        <w:ind w:left="420" w:leftChars="0" w:firstLine="422" w:firstLineChars="20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按照现在已有的管理制度文件要求，结合电镀行业全氟化合物管控物质清单及其污染防治措施，对电镀行业全氟化合物纳入排污许可管理提出建议。</w:t>
      </w:r>
    </w:p>
    <w:p>
      <w:pPr>
        <w:keepNext w:val="0"/>
        <w:keepLines w:val="0"/>
        <w:pageBreakBefore w:val="0"/>
        <w:numPr>
          <w:ilvl w:val="0"/>
          <w:numId w:val="0"/>
        </w:numPr>
        <w:kinsoku/>
        <w:wordWrap/>
        <w:overflowPunct/>
        <w:topLinePunct w:val="0"/>
        <w:bidi w:val="0"/>
        <w:spacing w:line="360" w:lineRule="auto"/>
        <w:ind w:left="420" w:leftChars="0" w:firstLine="422" w:firstLineChars="20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（3）提出电镀行业全氟化合物清洁生产建议</w:t>
      </w:r>
    </w:p>
    <w:p>
      <w:pPr>
        <w:keepNext w:val="0"/>
        <w:keepLines w:val="0"/>
        <w:pageBreakBefore w:val="0"/>
        <w:numPr>
          <w:ilvl w:val="0"/>
          <w:numId w:val="0"/>
        </w:numPr>
        <w:kinsoku/>
        <w:wordWrap/>
        <w:overflowPunct/>
        <w:topLinePunct w:val="0"/>
        <w:bidi w:val="0"/>
        <w:spacing w:line="360" w:lineRule="auto"/>
        <w:ind w:left="420" w:leftChars="0" w:firstLine="422" w:firstLineChars="20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在源头管控方面，探索制定电镀行业铬雾抑制剂等涉全氟化合物的原辅料采购使用管控措施，并明确相关报备程序的实施流程。在生产过程方面，鼓励企业对镀铬生产线开展全封闭等有效减少铬雾产生的技术升级改造。</w:t>
      </w:r>
    </w:p>
    <w:p>
      <w:pPr>
        <w:keepNext w:val="0"/>
        <w:keepLines w:val="0"/>
        <w:pageBreakBefore w:val="0"/>
        <w:numPr>
          <w:ilvl w:val="0"/>
          <w:numId w:val="0"/>
        </w:numPr>
        <w:kinsoku/>
        <w:wordWrap/>
        <w:overflowPunct/>
        <w:topLinePunct w:val="0"/>
        <w:bidi w:val="0"/>
        <w:spacing w:line="360" w:lineRule="auto"/>
        <w:ind w:left="420" w:leftChars="0" w:firstLine="211" w:firstLineChars="100"/>
        <w:rPr>
          <w:rStyle w:val="41"/>
          <w:rFonts w:hint="eastAsia" w:ascii="宋体" w:hAnsi="宋体"/>
          <w:color w:val="auto"/>
          <w:highlight w:val="none"/>
          <w:lang w:val="en-US" w:eastAsia="zh-CN"/>
        </w:rPr>
      </w:pPr>
      <w:bookmarkStart w:id="118" w:name="OLE_LINK2"/>
      <w:bookmarkStart w:id="119" w:name="OLE_LINK1"/>
      <w:r>
        <w:rPr>
          <w:rStyle w:val="41"/>
          <w:rFonts w:hint="eastAsia" w:ascii="宋体" w:hAnsi="宋体"/>
          <w:color w:val="auto"/>
          <w:highlight w:val="none"/>
          <w:lang w:val="en-US" w:eastAsia="zh-CN"/>
        </w:rPr>
        <w:t>（4）探索电镀园区涉全氟化合物化学品替代途径</w:t>
      </w:r>
    </w:p>
    <w:bookmarkEnd w:id="118"/>
    <w:bookmarkEnd w:id="119"/>
    <w:p>
      <w:pPr>
        <w:keepNext w:val="0"/>
        <w:keepLines w:val="0"/>
        <w:pageBreakBefore w:val="0"/>
        <w:numPr>
          <w:ilvl w:val="0"/>
          <w:numId w:val="0"/>
        </w:numPr>
        <w:kinsoku/>
        <w:wordWrap/>
        <w:overflowPunct/>
        <w:topLinePunct w:val="0"/>
        <w:bidi w:val="0"/>
        <w:spacing w:line="360" w:lineRule="auto"/>
        <w:ind w:left="420" w:leftChars="0" w:firstLine="422" w:firstLineChars="20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参考《优先评估化学物质筛选技术导则》（HJ 1229-2021）等国内外资料，根据区域内全氟化合物等重点污染物，全面收集涉全氟化合物化学物质的危害、暴露等数据，并根据电镀行业涉全氟化合物化学品使用情况，统筹经济效益与环境效应，探索源头非全氟化合物替代途径。</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四、试点成果提炼与宣传</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rPr>
      </w:pPr>
      <w:r>
        <w:rPr>
          <w:rStyle w:val="41"/>
          <w:rFonts w:hint="eastAsia" w:ascii="宋体" w:hAnsi="宋体"/>
          <w:color w:val="auto"/>
          <w:highlight w:val="none"/>
          <w:lang w:val="en-US" w:eastAsia="zh-CN"/>
        </w:rPr>
        <w:t xml:space="preserve"> 完成</w:t>
      </w:r>
      <w:r>
        <w:rPr>
          <w:rStyle w:val="41"/>
          <w:rFonts w:hint="eastAsia" w:ascii="宋体" w:hAnsi="宋体"/>
          <w:color w:val="auto"/>
          <w:highlight w:val="none"/>
        </w:rPr>
        <w:t>项目验收，提炼创新成果，最终将本试点项目形成的电镀行业新污染物治理与全链条监管体系进行示范推广。</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bookmarkStart w:id="120" w:name="_Toc5009"/>
      <w:r>
        <w:rPr>
          <w:rStyle w:val="41"/>
          <w:rFonts w:hint="eastAsia" w:ascii="宋体" w:hAnsi="宋体"/>
          <w:color w:val="auto"/>
          <w:highlight w:val="none"/>
          <w:lang w:val="en-US" w:eastAsia="zh-CN"/>
        </w:rPr>
        <w:t>五、进度要求</w:t>
      </w:r>
    </w:p>
    <w:bookmarkEnd w:id="120"/>
    <w:p>
      <w:pPr>
        <w:keepNext w:val="0"/>
        <w:keepLines w:val="0"/>
        <w:pageBreakBefore w:val="0"/>
        <w:numPr>
          <w:ilvl w:val="0"/>
          <w:numId w:val="0"/>
        </w:numPr>
        <w:kinsoku/>
        <w:wordWrap/>
        <w:overflowPunct/>
        <w:topLinePunct w:val="0"/>
        <w:bidi w:val="0"/>
        <w:spacing w:line="360" w:lineRule="auto"/>
        <w:ind w:left="420" w:leftChars="0" w:firstLine="211" w:firstLineChars="10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1、时间节点：2025年3月</w:t>
      </w:r>
      <w:bookmarkStart w:id="121" w:name="OLE_LINK5"/>
      <w:r>
        <w:rPr>
          <w:rStyle w:val="41"/>
          <w:rFonts w:hint="eastAsia" w:ascii="宋体" w:hAnsi="宋体"/>
          <w:color w:val="auto"/>
          <w:highlight w:val="none"/>
          <w:lang w:val="en-US" w:eastAsia="zh-CN"/>
        </w:rPr>
        <w:t>-</w:t>
      </w:r>
      <w:bookmarkEnd w:id="121"/>
      <w:r>
        <w:rPr>
          <w:rStyle w:val="41"/>
          <w:rFonts w:hint="eastAsia" w:ascii="宋体" w:hAnsi="宋体"/>
          <w:color w:val="auto"/>
          <w:highlight w:val="none"/>
          <w:lang w:val="en-US" w:eastAsia="zh-CN"/>
        </w:rPr>
        <w:t>2025年10月</w:t>
      </w:r>
    </w:p>
    <w:p>
      <w:pPr>
        <w:keepNext w:val="0"/>
        <w:keepLines w:val="0"/>
        <w:pageBreakBefore w:val="0"/>
        <w:numPr>
          <w:ilvl w:val="0"/>
          <w:numId w:val="0"/>
        </w:numPr>
        <w:kinsoku/>
        <w:wordWrap/>
        <w:overflowPunct/>
        <w:topLinePunct w:val="0"/>
        <w:bidi w:val="0"/>
        <w:spacing w:line="360" w:lineRule="auto"/>
        <w:ind w:left="420" w:leftChars="0" w:firstLine="211" w:firstLineChars="100"/>
        <w:rPr>
          <w:rStyle w:val="41"/>
          <w:rFonts w:hint="eastAsia" w:ascii="宋体" w:hAnsi="宋体"/>
          <w:color w:val="auto"/>
          <w:highlight w:val="none"/>
          <w:lang w:val="en-US" w:eastAsia="zh-CN"/>
        </w:rPr>
      </w:pPr>
      <w:bookmarkStart w:id="122" w:name="OLE_LINK6"/>
      <w:bookmarkStart w:id="123" w:name="OLE_LINK7"/>
      <w:r>
        <w:rPr>
          <w:rStyle w:val="41"/>
          <w:rFonts w:hint="eastAsia" w:ascii="宋体" w:hAnsi="宋体"/>
          <w:color w:val="auto"/>
          <w:highlight w:val="none"/>
          <w:lang w:val="en-US" w:eastAsia="zh-CN"/>
        </w:rPr>
        <w:t>2、成果报告</w:t>
      </w:r>
    </w:p>
    <w:p>
      <w:pPr>
        <w:keepNext w:val="0"/>
        <w:keepLines w:val="0"/>
        <w:pageBreakBefore w:val="0"/>
        <w:numPr>
          <w:ilvl w:val="0"/>
          <w:numId w:val="4"/>
        </w:numPr>
        <w:kinsoku/>
        <w:wordWrap/>
        <w:overflowPunct/>
        <w:topLinePunct w:val="0"/>
        <w:bidi w:val="0"/>
        <w:spacing w:line="360" w:lineRule="auto"/>
        <w:ind w:left="425" w:leftChars="0" w:hanging="425" w:firstLine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2025年5月底前，开展电镀行业新污染物调查与监测，编制《瓯海区电镀行业新污染物现状分析报告》；</w:t>
      </w:r>
    </w:p>
    <w:p>
      <w:pPr>
        <w:keepNext w:val="0"/>
        <w:keepLines w:val="0"/>
        <w:pageBreakBefore w:val="0"/>
        <w:numPr>
          <w:ilvl w:val="0"/>
          <w:numId w:val="4"/>
        </w:numPr>
        <w:kinsoku/>
        <w:wordWrap/>
        <w:overflowPunct/>
        <w:topLinePunct w:val="0"/>
        <w:bidi w:val="0"/>
        <w:spacing w:line="360" w:lineRule="auto"/>
        <w:ind w:left="425" w:leftChars="0" w:hanging="425" w:firstLine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2025年7月底前，编制《瓯海区电镀行业全氟化合物风险评估报告》，制定《瓯海电镀园区全氟化合物全链条监管体系》；</w:t>
      </w:r>
    </w:p>
    <w:p>
      <w:pPr>
        <w:keepNext w:val="0"/>
        <w:keepLines w:val="0"/>
        <w:pageBreakBefore w:val="0"/>
        <w:numPr>
          <w:ilvl w:val="0"/>
          <w:numId w:val="4"/>
        </w:numPr>
        <w:kinsoku/>
        <w:wordWrap/>
        <w:overflowPunct/>
        <w:topLinePunct w:val="0"/>
        <w:bidi w:val="0"/>
        <w:spacing w:line="360" w:lineRule="auto"/>
        <w:ind w:left="425" w:leftChars="0" w:hanging="425" w:firstLine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2025年8月初，选取典型企业开展全氟化合物全链条监管体系实践</w:t>
      </w:r>
      <w:bookmarkEnd w:id="122"/>
      <w:bookmarkEnd w:id="123"/>
      <w:r>
        <w:rPr>
          <w:rStyle w:val="41"/>
          <w:rFonts w:hint="eastAsia" w:ascii="宋体" w:hAnsi="宋体"/>
          <w:color w:val="auto"/>
          <w:highlight w:val="none"/>
          <w:lang w:val="en-US" w:eastAsia="zh-CN"/>
        </w:rPr>
        <w:t>；</w:t>
      </w:r>
    </w:p>
    <w:p>
      <w:pPr>
        <w:keepNext w:val="0"/>
        <w:keepLines w:val="0"/>
        <w:pageBreakBefore w:val="0"/>
        <w:numPr>
          <w:ilvl w:val="0"/>
          <w:numId w:val="4"/>
        </w:numPr>
        <w:kinsoku/>
        <w:wordWrap/>
        <w:overflowPunct/>
        <w:topLinePunct w:val="0"/>
        <w:bidi w:val="0"/>
        <w:spacing w:line="360" w:lineRule="auto"/>
        <w:ind w:left="425" w:leftChars="0" w:hanging="425" w:firstLine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2025年9月底前，完成典型企业新污染物全氟化合物管控成效评估，提炼典型案例。</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3、成果验收</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（1）时间：2025年10月</w:t>
      </w:r>
    </w:p>
    <w:p>
      <w:pPr>
        <w:keepNext w:val="0"/>
        <w:keepLines w:val="0"/>
        <w:pageBreakBefore w:val="0"/>
        <w:numPr>
          <w:ilvl w:val="0"/>
          <w:numId w:val="0"/>
        </w:numPr>
        <w:kinsoku/>
        <w:wordWrap/>
        <w:overflowPunct/>
        <w:topLinePunct w:val="0"/>
        <w:bidi w:val="0"/>
        <w:spacing w:line="360" w:lineRule="auto"/>
        <w:ind w:left="420" w:leftChars="0"/>
        <w:rPr>
          <w:rStyle w:val="41"/>
          <w:rFonts w:hint="eastAsia" w:ascii="宋体" w:hAnsi="宋体"/>
          <w:color w:val="auto"/>
          <w:highlight w:val="none"/>
          <w:lang w:val="en-US" w:eastAsia="zh-CN"/>
        </w:rPr>
      </w:pPr>
      <w:r>
        <w:rPr>
          <w:rStyle w:val="41"/>
          <w:rFonts w:hint="eastAsia" w:ascii="宋体" w:hAnsi="宋体"/>
          <w:color w:val="auto"/>
          <w:highlight w:val="none"/>
          <w:lang w:val="en-US" w:eastAsia="zh-CN"/>
        </w:rPr>
        <w:t>（2）验收要求：提交项目验收申请，组织验收评审会，提炼创新成果，最终将本试点项目形成的电镀行业新污染物治理与全链条监管体系进行示范推广。</w:t>
      </w:r>
    </w:p>
    <w:p>
      <w:pPr>
        <w:keepNext w:val="0"/>
        <w:keepLines w:val="0"/>
        <w:pageBreakBefore w:val="0"/>
        <w:numPr>
          <w:ilvl w:val="0"/>
          <w:numId w:val="0"/>
        </w:numPr>
        <w:kinsoku/>
        <w:wordWrap/>
        <w:overflowPunct/>
        <w:topLinePunct w:val="0"/>
        <w:bidi w:val="0"/>
        <w:spacing w:line="360" w:lineRule="auto"/>
        <w:ind w:left="420" w:leftChars="0"/>
        <w:rPr>
          <w:rFonts w:hint="eastAsia" w:ascii="新宋体" w:hAnsi="新宋体" w:eastAsia="新宋体" w:cs="Times New Roman"/>
          <w:b/>
          <w:color w:val="auto"/>
          <w:szCs w:val="21"/>
          <w:highlight w:val="none"/>
          <w:lang w:val="en-US" w:eastAsia="zh-CN"/>
        </w:rPr>
      </w:pPr>
      <w:r>
        <w:rPr>
          <w:rStyle w:val="41"/>
          <w:rFonts w:hint="eastAsia" w:ascii="宋体" w:hAnsi="宋体" w:eastAsia="宋体"/>
          <w:color w:val="auto"/>
          <w:highlight w:val="none"/>
          <w:lang w:val="en-US" w:eastAsia="zh-CN"/>
        </w:rPr>
        <w:t>六、</w:t>
      </w:r>
      <w:r>
        <w:rPr>
          <w:rStyle w:val="41"/>
          <w:rFonts w:hint="eastAsia" w:ascii="宋体" w:hAnsi="宋体"/>
          <w:color w:val="auto"/>
          <w:highlight w:val="none"/>
        </w:rPr>
        <w:t>服务期限</w:t>
      </w:r>
      <w:r>
        <w:rPr>
          <w:rFonts w:hint="eastAsia" w:ascii="新宋体" w:hAnsi="新宋体" w:eastAsia="新宋体" w:cs="Times New Roman"/>
          <w:b/>
          <w:color w:val="auto"/>
          <w:szCs w:val="21"/>
          <w:highlight w:val="none"/>
          <w:lang w:val="en-US" w:eastAsia="zh-CN"/>
        </w:rPr>
        <w:t>：</w:t>
      </w:r>
    </w:p>
    <w:p>
      <w:pPr>
        <w:keepNext w:val="0"/>
        <w:keepLines w:val="0"/>
        <w:pageBreakBefore w:val="0"/>
        <w:numPr>
          <w:ilvl w:val="0"/>
          <w:numId w:val="0"/>
        </w:numPr>
        <w:kinsoku/>
        <w:wordWrap/>
        <w:overflowPunct/>
        <w:topLinePunct w:val="0"/>
        <w:bidi w:val="0"/>
        <w:spacing w:line="360" w:lineRule="auto"/>
        <w:ind w:left="420" w:leftChars="0"/>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自合同生效之日起至上级电镀行业整治验收通过并向采购人提交所有成果资料之日止。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Times New Roman"/>
          <w:b/>
          <w:color w:val="auto"/>
          <w:szCs w:val="21"/>
          <w:highlight w:val="none"/>
          <w:lang w:val="en-US" w:eastAsia="zh-CN"/>
        </w:rPr>
      </w:pPr>
      <w:r>
        <w:rPr>
          <w:rStyle w:val="41"/>
          <w:rFonts w:hint="eastAsia" w:ascii="宋体" w:hAnsi="宋体" w:eastAsia="宋体"/>
          <w:color w:val="auto"/>
          <w:highlight w:val="none"/>
          <w:lang w:val="en-US" w:eastAsia="zh-CN"/>
        </w:rPr>
        <w:t>七、</w:t>
      </w:r>
      <w:r>
        <w:rPr>
          <w:rStyle w:val="41"/>
          <w:rFonts w:hint="eastAsia" w:ascii="宋体" w:hAnsi="宋体"/>
          <w:color w:val="auto"/>
          <w:highlight w:val="none"/>
        </w:rPr>
        <w:t>合同价款</w:t>
      </w:r>
      <w:r>
        <w:rPr>
          <w:rFonts w:hint="eastAsia" w:ascii="宋体" w:hAnsi="宋体" w:eastAsia="宋体" w:cs="Times New Roman"/>
          <w:b/>
          <w:color w:val="auto"/>
          <w:szCs w:val="21"/>
          <w:highlight w:val="none"/>
          <w:lang w:val="en-US" w:eastAsia="zh-CN"/>
        </w:rPr>
        <w:t>：</w:t>
      </w:r>
    </w:p>
    <w:p>
      <w:pPr>
        <w:spacing w:line="360" w:lineRule="auto"/>
        <w:ind w:firstLine="420" w:firstLineChars="199"/>
        <w:rPr>
          <w:rFonts w:hint="eastAsia" w:ascii="宋体" w:hAnsi="宋体"/>
          <w:color w:val="auto"/>
          <w:szCs w:val="21"/>
          <w:highlight w:val="none"/>
          <w:u w:val="single"/>
        </w:rPr>
      </w:pPr>
      <w:r>
        <w:rPr>
          <w:rStyle w:val="41"/>
          <w:rFonts w:hint="eastAsia" w:ascii="宋体" w:hAnsi="宋体"/>
          <w:color w:val="auto"/>
          <w:highlight w:val="none"/>
        </w:rPr>
        <w:t>合同总价：大写人民币</w:t>
      </w:r>
      <w:r>
        <w:rPr>
          <w:rFonts w:hint="eastAsia" w:ascii="宋体" w:hAnsi="宋体"/>
          <w:color w:val="auto"/>
          <w:szCs w:val="21"/>
          <w:highlight w:val="none"/>
          <w:u w:val="single"/>
        </w:rPr>
        <w:t xml:space="preserve">              </w:t>
      </w:r>
      <w:r>
        <w:rPr>
          <w:rFonts w:hint="eastAsia" w:ascii="宋体" w:hAnsi="宋体"/>
          <w:b/>
          <w:bCs/>
          <w:color w:val="auto"/>
          <w:szCs w:val="21"/>
          <w:highlight w:val="none"/>
        </w:rPr>
        <w:t>元，￥</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highlight w:val="none"/>
        </w:rPr>
        <w:t>本合同价款</w:t>
      </w:r>
      <w:r>
        <w:rPr>
          <w:rFonts w:hint="eastAsia" w:ascii="宋体" w:hAnsi="宋体"/>
          <w:bCs/>
          <w:color w:val="auto"/>
          <w:szCs w:val="21"/>
          <w:highlight w:val="none"/>
        </w:rPr>
        <w:t>应为</w:t>
      </w:r>
      <w:r>
        <w:rPr>
          <w:rFonts w:hint="eastAsia" w:ascii="宋体" w:hAnsi="宋体" w:eastAsia="宋体" w:cs="宋体"/>
          <w:color w:val="auto"/>
          <w:sz w:val="21"/>
          <w:szCs w:val="21"/>
          <w:highlight w:val="none"/>
          <w:lang w:val="en-US" w:eastAsia="zh-CN" w:bidi="ar-SA"/>
        </w:rPr>
        <w:t>价应为完成全部工作所发生的所有费用，并承担一切风险责任，包括但不限于人员工资（加班费、社保、住房公积金及各种福利等所有相关费用）、税金、利润、管理费用、完成全部工作所发生的相关技术咨询服务费、专家费用（报告及方案的专家论证、验收费用）等一切费用</w:t>
      </w:r>
      <w:r>
        <w:rPr>
          <w:rFonts w:hint="eastAsia" w:ascii="宋体" w:hAnsi="宋体"/>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Times New Roman"/>
          <w:b/>
          <w:color w:val="auto"/>
          <w:szCs w:val="21"/>
          <w:highlight w:val="none"/>
          <w:lang w:val="en-US" w:eastAsia="zh-CN"/>
        </w:rPr>
      </w:pPr>
      <w:r>
        <w:rPr>
          <w:rFonts w:hint="eastAsia" w:ascii="Arial" w:hAnsi="Arial" w:eastAsia="宋体" w:cs="Arial"/>
          <w:b/>
          <w:bCs/>
          <w:color w:val="auto"/>
          <w:szCs w:val="21"/>
          <w:highlight w:val="none"/>
          <w:lang w:val="en-US" w:eastAsia="zh-CN"/>
        </w:rPr>
        <w:t>八、付款方式：</w:t>
      </w:r>
    </w:p>
    <w:p>
      <w:pPr>
        <w:pStyle w:val="12"/>
        <w:pageBreakBefore w:val="0"/>
        <w:numPr>
          <w:ilvl w:val="0"/>
          <w:numId w:val="5"/>
        </w:numPr>
        <w:kinsoku/>
        <w:wordWrap/>
        <w:overflowPunct/>
        <w:topLinePunct w:val="0"/>
        <w:autoSpaceDE/>
        <w:autoSpaceDN/>
        <w:bidi w:val="0"/>
        <w:spacing w:line="400" w:lineRule="exact"/>
        <w:ind w:left="0" w:leftChars="0" w:firstLine="403"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签订且具备实施条件后7个工作日内，采购人向中标人支付年度预算金额的40%作为预付款（预付款抵作进度款）。（在签订合同时，中标人明确表示无需预付款或者主动要求降低预付款比例的，采购人可不适用前述规定。根据浙财采监[2022]3号文件执行。）</w:t>
      </w:r>
    </w:p>
    <w:p>
      <w:pPr>
        <w:pStyle w:val="12"/>
        <w:pageBreakBefore w:val="0"/>
        <w:numPr>
          <w:ilvl w:val="0"/>
          <w:numId w:val="5"/>
        </w:numPr>
        <w:kinsoku/>
        <w:wordWrap/>
        <w:overflowPunct/>
        <w:topLinePunct w:val="0"/>
        <w:autoSpaceDE/>
        <w:autoSpaceDN/>
        <w:bidi w:val="0"/>
        <w:spacing w:line="400" w:lineRule="exact"/>
        <w:ind w:left="0" w:leftChars="0" w:firstLine="403" w:firstLine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服务期限结束后收到中标人发票之日起7个工作日内</w:t>
      </w:r>
      <w:r>
        <w:rPr>
          <w:rFonts w:hint="eastAsia" w:ascii="宋体" w:hAnsi="宋体" w:cs="宋体"/>
          <w:color w:val="auto"/>
          <w:szCs w:val="21"/>
          <w:highlight w:val="none"/>
          <w:lang w:val="en-US" w:eastAsia="zh-CN"/>
        </w:rPr>
        <w:t>一次性</w:t>
      </w:r>
      <w:r>
        <w:rPr>
          <w:rFonts w:hint="eastAsia" w:ascii="宋体" w:hAnsi="宋体" w:cs="宋体"/>
          <w:color w:val="auto"/>
          <w:szCs w:val="21"/>
          <w:highlight w:val="none"/>
          <w:lang w:eastAsia="zh-CN"/>
        </w:rPr>
        <w:t>支付</w:t>
      </w:r>
      <w:r>
        <w:rPr>
          <w:rFonts w:hint="eastAsia" w:ascii="宋体" w:hAnsi="宋体" w:cs="宋体"/>
          <w:color w:val="auto"/>
          <w:szCs w:val="21"/>
          <w:highlight w:val="none"/>
          <w:lang w:val="en-US" w:eastAsia="zh-CN"/>
        </w:rPr>
        <w:t>合同价款</w:t>
      </w:r>
      <w:r>
        <w:rPr>
          <w:rFonts w:hint="eastAsia" w:ascii="宋体" w:hAnsi="宋体" w:eastAsia="宋体" w:cs="宋体"/>
          <w:color w:val="auto"/>
          <w:sz w:val="21"/>
          <w:szCs w:val="21"/>
          <w:highlight w:val="none"/>
          <w:lang w:val="en-US" w:eastAsia="zh-CN"/>
        </w:rPr>
        <w:t>。</w:t>
      </w:r>
    </w:p>
    <w:p>
      <w:pPr>
        <w:pStyle w:val="3"/>
        <w:keepNext w:val="0"/>
        <w:keepLines w:val="0"/>
        <w:pageBreakBefore w:val="0"/>
        <w:widowControl w:val="0"/>
        <w:kinsoku/>
        <w:wordWrap/>
        <w:overflowPunct/>
        <w:topLinePunct w:val="0"/>
        <w:autoSpaceDE/>
        <w:autoSpaceDN/>
        <w:bidi w:val="0"/>
        <w:adjustRightInd/>
        <w:spacing w:after="0" w:line="400" w:lineRule="exact"/>
        <w:ind w:left="0" w:leftChars="0" w:firstLine="420" w:firstLineChars="200"/>
        <w:textAlignment w:val="auto"/>
        <w:rPr>
          <w:rFonts w:hint="eastAsia" w:ascii="宋体" w:hAnsi="Times New Roman" w:eastAsia="宋体" w:cs="宋体"/>
          <w:b w:val="0"/>
          <w:bCs w:val="0"/>
          <w:color w:val="auto"/>
          <w:sz w:val="21"/>
          <w:szCs w:val="21"/>
          <w:highlight w:val="none"/>
          <w:lang w:val="en-US" w:eastAsia="zh-CN" w:bidi="ar-SA"/>
        </w:rPr>
      </w:pPr>
      <w:r>
        <w:rPr>
          <w:rFonts w:hint="eastAsia" w:ascii="宋体" w:hAnsi="Times New Roman" w:eastAsia="宋体" w:cs="宋体"/>
          <w:b w:val="0"/>
          <w:bCs w:val="0"/>
          <w:color w:val="auto"/>
          <w:sz w:val="21"/>
          <w:szCs w:val="21"/>
          <w:highlight w:val="none"/>
          <w:lang w:val="en-US" w:eastAsia="zh-CN" w:bidi="ar-SA"/>
        </w:rPr>
        <w:t>备注：（1）对于满足合同约定支付条件的，采购人自收到发票后7个工作日内将资金支付到合同约定的中标人账户。</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20" w:firstLineChars="200"/>
        <w:textAlignment w:val="auto"/>
        <w:outlineLvl w:val="9"/>
        <w:rPr>
          <w:rFonts w:hint="eastAsia" w:ascii="宋体" w:hAnsi="Times New Roman" w:eastAsia="宋体" w:cs="宋体"/>
          <w:b w:val="0"/>
          <w:bCs w:val="0"/>
          <w:color w:val="auto"/>
          <w:sz w:val="21"/>
          <w:szCs w:val="21"/>
          <w:highlight w:val="none"/>
          <w:lang w:val="en-US" w:eastAsia="zh-CN" w:bidi="ar-SA"/>
        </w:rPr>
      </w:pPr>
      <w:r>
        <w:rPr>
          <w:rFonts w:hint="eastAsia" w:ascii="宋体" w:hAnsi="Times New Roman" w:eastAsia="宋体" w:cs="宋体"/>
          <w:b w:val="0"/>
          <w:bCs w:val="0"/>
          <w:color w:val="auto"/>
          <w:sz w:val="21"/>
          <w:szCs w:val="21"/>
          <w:highlight w:val="none"/>
          <w:lang w:val="en-US" w:eastAsia="zh-CN" w:bidi="ar-SA"/>
        </w:rPr>
        <w:t>（2）中标人必须开具合同金额100%的正式税务发票。</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20" w:firstLineChars="200"/>
        <w:textAlignment w:val="auto"/>
        <w:outlineLvl w:val="9"/>
        <w:rPr>
          <w:rFonts w:hint="eastAsia" w:ascii="宋体" w:hAnsi="Times New Roman" w:eastAsia="宋体" w:cs="宋体"/>
          <w:b w:val="0"/>
          <w:bCs w:val="0"/>
          <w:color w:val="auto"/>
          <w:sz w:val="21"/>
          <w:szCs w:val="21"/>
          <w:highlight w:val="none"/>
          <w:lang w:val="en-US" w:eastAsia="zh-CN" w:bidi="ar-SA"/>
        </w:rPr>
      </w:pPr>
      <w:r>
        <w:rPr>
          <w:rFonts w:hint="eastAsia" w:ascii="宋体" w:hAnsi="Times New Roman" w:eastAsia="宋体" w:cs="宋体"/>
          <w:b w:val="0"/>
          <w:bCs w:val="0"/>
          <w:color w:val="auto"/>
          <w:sz w:val="21"/>
          <w:szCs w:val="21"/>
          <w:highlight w:val="none"/>
          <w:lang w:val="en-US" w:eastAsia="zh-CN" w:bidi="ar-SA"/>
        </w:rPr>
        <w:t>（3）</w:t>
      </w:r>
      <w:r>
        <w:rPr>
          <w:rFonts w:hint="eastAsia"/>
          <w:color w:val="auto"/>
          <w:highlight w:val="none"/>
          <w:lang w:val="en-US" w:eastAsia="zh-CN"/>
        </w:rPr>
        <w:t>根据项目实际实施情况，款项支付时间延期的，双方协商解决</w:t>
      </w:r>
      <w:r>
        <w:rPr>
          <w:rFonts w:hint="eastAsia" w:ascii="宋体" w:hAnsi="Times New Roman" w:eastAsia="宋体" w:cs="宋体"/>
          <w:b w:val="0"/>
          <w:bCs w:val="0"/>
          <w:color w:val="auto"/>
          <w:sz w:val="21"/>
          <w:szCs w:val="21"/>
          <w:highlight w:val="none"/>
          <w:lang w:val="en-US" w:eastAsia="zh-CN" w:bidi="ar-SA"/>
        </w:rPr>
        <w:t>。</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其他要求</w:t>
      </w:r>
    </w:p>
    <w:p>
      <w:pPr>
        <w:keepNext w:val="0"/>
        <w:keepLines w:val="0"/>
        <w:pageBreakBefore w:val="0"/>
        <w:numPr>
          <w:ilvl w:val="2"/>
          <w:numId w:val="6"/>
        </w:numPr>
        <w:kinsoku/>
        <w:wordWrap/>
        <w:overflowPunct/>
        <w:topLinePunct w:val="0"/>
        <w:bidi w:val="0"/>
        <w:spacing w:line="360" w:lineRule="auto"/>
        <w:ind w:left="-6" w:leftChars="0" w:firstLine="426" w:firstLineChars="0"/>
        <w:rPr>
          <w:rFonts w:hint="eastAsia" w:ascii="新宋体" w:hAnsi="新宋体" w:eastAsia="新宋体" w:cs="Times New Roman"/>
          <w:color w:val="auto"/>
          <w:szCs w:val="21"/>
          <w:highlight w:val="none"/>
          <w:lang w:val="en-US" w:eastAsia="zh-CN"/>
        </w:rPr>
      </w:pPr>
      <w:r>
        <w:rPr>
          <w:rFonts w:hint="eastAsia" w:ascii="新宋体" w:hAnsi="新宋体" w:eastAsia="新宋体" w:cs="Times New Roman"/>
          <w:color w:val="auto"/>
          <w:szCs w:val="21"/>
          <w:highlight w:val="none"/>
          <w:lang w:val="en-US" w:eastAsia="zh-CN"/>
        </w:rPr>
        <w:t>乙方应根据项目需求，在投标文件中提出参加本项目的相关专业人员，项目组成员须具有较强的专业能力，并确定专门的联络人，积极与甲方沟通联系，并定期向甲方通报项目服务进度。</w:t>
      </w:r>
    </w:p>
    <w:p>
      <w:pPr>
        <w:keepNext w:val="0"/>
        <w:keepLines w:val="0"/>
        <w:pageBreakBefore w:val="0"/>
        <w:numPr>
          <w:ilvl w:val="2"/>
          <w:numId w:val="6"/>
        </w:numPr>
        <w:kinsoku/>
        <w:wordWrap/>
        <w:overflowPunct/>
        <w:topLinePunct w:val="0"/>
        <w:bidi w:val="0"/>
        <w:spacing w:line="360" w:lineRule="auto"/>
        <w:ind w:left="-6" w:leftChars="0" w:firstLine="426" w:firstLineChars="0"/>
        <w:rPr>
          <w:rFonts w:hint="eastAsia" w:ascii="新宋体" w:hAnsi="新宋体" w:eastAsia="新宋体" w:cs="Times New Roman"/>
          <w:color w:val="auto"/>
          <w:szCs w:val="21"/>
          <w:highlight w:val="none"/>
          <w:lang w:val="en-US" w:eastAsia="zh-CN"/>
        </w:rPr>
      </w:pPr>
      <w:r>
        <w:rPr>
          <w:rFonts w:hint="eastAsia" w:ascii="新宋体" w:hAnsi="新宋体" w:eastAsia="新宋体" w:cs="Times New Roman"/>
          <w:color w:val="auto"/>
          <w:szCs w:val="21"/>
          <w:highlight w:val="none"/>
          <w:lang w:val="en-US" w:eastAsia="zh-CN"/>
        </w:rPr>
        <w:t>项目实施过程中项目组负责人及项目组人员发生变动的，需提前通知甲方并获同意才能更换，更换后的负责人或技术人员的专业素质、技术能力及经验等情况不能低于原先水准。</w:t>
      </w:r>
    </w:p>
    <w:p>
      <w:pPr>
        <w:keepNext w:val="0"/>
        <w:keepLines w:val="0"/>
        <w:pageBreakBefore w:val="0"/>
        <w:numPr>
          <w:ilvl w:val="2"/>
          <w:numId w:val="6"/>
        </w:numPr>
        <w:kinsoku/>
        <w:wordWrap/>
        <w:overflowPunct/>
        <w:topLinePunct w:val="0"/>
        <w:bidi w:val="0"/>
        <w:spacing w:line="360" w:lineRule="auto"/>
        <w:ind w:left="-6" w:leftChars="0" w:firstLine="426" w:firstLineChars="0"/>
        <w:rPr>
          <w:rFonts w:hint="eastAsia" w:ascii="新宋体" w:hAnsi="新宋体" w:eastAsia="新宋体" w:cs="Times New Roman"/>
          <w:color w:val="auto"/>
          <w:szCs w:val="21"/>
          <w:highlight w:val="none"/>
          <w:lang w:val="en-US" w:eastAsia="zh-CN"/>
        </w:rPr>
      </w:pPr>
      <w:r>
        <w:rPr>
          <w:rFonts w:hint="eastAsia" w:ascii="新宋体" w:hAnsi="新宋体" w:eastAsia="新宋体" w:cs="Times New Roman"/>
          <w:color w:val="auto"/>
          <w:szCs w:val="21"/>
          <w:highlight w:val="none"/>
          <w:lang w:val="en-US" w:eastAsia="zh-CN"/>
        </w:rPr>
        <w:t>乙方根据项目各相关内容及时完成技术成果，提交甲方，并参加甲方组织的评审会，根据评审意见（或上级的审查意见）对成果进行修改完善，形成最终成果，并对提交的成果文件的质量负责。</w:t>
      </w:r>
    </w:p>
    <w:p>
      <w:pPr>
        <w:keepNext w:val="0"/>
        <w:keepLines w:val="0"/>
        <w:pageBreakBefore w:val="0"/>
        <w:numPr>
          <w:ilvl w:val="2"/>
          <w:numId w:val="6"/>
        </w:numPr>
        <w:kinsoku/>
        <w:wordWrap/>
        <w:overflowPunct/>
        <w:topLinePunct w:val="0"/>
        <w:bidi w:val="0"/>
        <w:spacing w:line="360" w:lineRule="auto"/>
        <w:ind w:left="-6" w:leftChars="0" w:firstLine="426" w:firstLineChars="0"/>
        <w:rPr>
          <w:rFonts w:hint="eastAsia" w:ascii="新宋体" w:hAnsi="新宋体" w:eastAsia="新宋体" w:cs="Times New Roman"/>
          <w:color w:val="auto"/>
          <w:szCs w:val="21"/>
          <w:highlight w:val="none"/>
          <w:lang w:val="en-US" w:eastAsia="zh-CN"/>
        </w:rPr>
      </w:pPr>
      <w:r>
        <w:rPr>
          <w:rFonts w:hint="eastAsia" w:ascii="新宋体" w:hAnsi="新宋体" w:eastAsia="新宋体" w:cs="Times New Roman"/>
          <w:color w:val="auto"/>
          <w:szCs w:val="21"/>
          <w:highlight w:val="none"/>
          <w:lang w:val="en-US" w:eastAsia="zh-CN"/>
        </w:rPr>
        <w:t>本项目成果的知识产权归属甲方，未经甲方同意，乙方不得擅自将成果以自己的名义发表或进行其他学术活动。</w:t>
      </w:r>
    </w:p>
    <w:p>
      <w:pPr>
        <w:keepNext w:val="0"/>
        <w:keepLines w:val="0"/>
        <w:pageBreakBefore w:val="0"/>
        <w:numPr>
          <w:ilvl w:val="2"/>
          <w:numId w:val="6"/>
        </w:numPr>
        <w:kinsoku/>
        <w:wordWrap/>
        <w:overflowPunct/>
        <w:topLinePunct w:val="0"/>
        <w:bidi w:val="0"/>
        <w:spacing w:line="360" w:lineRule="auto"/>
        <w:ind w:left="-6" w:leftChars="0" w:firstLine="426" w:firstLineChars="0"/>
        <w:rPr>
          <w:rFonts w:hint="eastAsia" w:ascii="新宋体" w:hAnsi="新宋体" w:eastAsia="新宋体" w:cs="Times New Roman"/>
          <w:color w:val="auto"/>
          <w:szCs w:val="21"/>
          <w:highlight w:val="none"/>
          <w:lang w:val="en-US" w:eastAsia="zh-CN"/>
        </w:rPr>
      </w:pPr>
      <w:r>
        <w:rPr>
          <w:rFonts w:hint="eastAsia" w:ascii="新宋体" w:hAnsi="新宋体" w:eastAsia="新宋体" w:cs="Times New Roman"/>
          <w:color w:val="auto"/>
          <w:szCs w:val="21"/>
          <w:highlight w:val="none"/>
          <w:lang w:val="en-US" w:eastAsia="zh-CN"/>
        </w:rPr>
        <w:t>承担本项目任务后，供应商在服务期限内免费向甲方提供与本项目相关的技术与政策咨询服务。</w:t>
      </w:r>
    </w:p>
    <w:p>
      <w:pPr>
        <w:keepNext w:val="0"/>
        <w:keepLines w:val="0"/>
        <w:pageBreakBefore w:val="0"/>
        <w:numPr>
          <w:ilvl w:val="1"/>
          <w:numId w:val="2"/>
        </w:numPr>
        <w:kinsoku/>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知识产权归属</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keepNext w:val="0"/>
        <w:keepLines w:val="0"/>
        <w:pageBreakBefore w:val="0"/>
        <w:numPr>
          <w:ilvl w:val="1"/>
          <w:numId w:val="2"/>
        </w:numPr>
        <w:kinsoku/>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保密</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在本协议履行期间获悉的甲方未向社会公开或只在一定范围内公开的信息、经验、技术、资料等，均为甲方相关秘密，乙方及其雇员负有严格保密义务。乙方在项目实施过程中，对甲方所提供的相关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pPr>
        <w:keepNext w:val="0"/>
        <w:keepLines w:val="0"/>
        <w:pageBreakBefore w:val="0"/>
        <w:numPr>
          <w:ilvl w:val="1"/>
          <w:numId w:val="2"/>
        </w:numPr>
        <w:kinsoku/>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权利和义务</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（一）甲方权利与义务</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甲方对乙方的服务进行检查、管理和监督，对检查中发现的质量问题及时向乙方提出书面或口头改进意见，直至终止本合同。</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乙方及乙方服务人员完成服务事项不符合合同约定，甲方有权略整改。</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甲方对乙方指定的服务方案，服务费用开支明细，保管服务档案，享有知情权、建议权、监督权以及部分修改权。</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甲方可要求乙方调整不合格员工。</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甲方应按时支付款项。本合同的服务经费由政府拨款，如因政策影响，拨款未能及时到位，乙方不得以此为由而不履行本合同规定的义务。否则，甲方按规定扣罚。</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（二）乙方权利和义务</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在满足甲方合同需要且符合本合同约定的基础上，开展服务活动，安排服务时间和休息时间。</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乙方有权根据服务合同按期收取服务经费。</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乙方履行承诺的义务，接受甲方的检查监督及指导。</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乙方应按照合同服务事项内容、要求、标准对培训、管理，因未尽培训、管理义务给甲方造成损失，乙方应承担相应责任。</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按甲方的要求开展工作，如有改变，乙方应提出书面申请，并征得甲方的书面同意。</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乙方负责服务过程中员工安全及事故处理和一切费用。</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乙方不得有弄虚作假及其不正当行为。</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乙方应严格遵守国家法律、法规的规定，做好</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工作，不得违反国家法律、法规和</w:t>
      </w:r>
      <w:r>
        <w:rPr>
          <w:rFonts w:hint="eastAsia" w:ascii="宋体" w:hAnsi="宋体" w:eastAsia="宋体" w:cs="宋体"/>
          <w:bCs/>
          <w:color w:val="auto"/>
          <w:sz w:val="21"/>
          <w:szCs w:val="21"/>
          <w:highlight w:val="none"/>
          <w:lang w:val="en-US" w:eastAsia="zh-CN"/>
        </w:rPr>
        <w:t>瓯海区</w:t>
      </w:r>
      <w:r>
        <w:rPr>
          <w:rFonts w:hint="eastAsia" w:ascii="宋体" w:hAnsi="宋体" w:eastAsia="宋体" w:cs="宋体"/>
          <w:bCs/>
          <w:color w:val="auto"/>
          <w:sz w:val="21"/>
          <w:szCs w:val="21"/>
          <w:highlight w:val="none"/>
        </w:rPr>
        <w:t>的有关规定。</w:t>
      </w:r>
    </w:p>
    <w:p>
      <w:pPr>
        <w:keepNext w:val="0"/>
        <w:keepLines w:val="0"/>
        <w:pageBreakBefore w:val="0"/>
        <w:tabs>
          <w:tab w:val="left" w:pos="592"/>
        </w:tabs>
        <w:kinsoku/>
        <w:wordWrap/>
        <w:overflowPunct/>
        <w:topLinePunct w:val="0"/>
        <w:autoSpaceDE/>
        <w:autoSpaceDN/>
        <w:bidi w:val="0"/>
        <w:snapToGrid w:val="0"/>
        <w:spacing w:line="400" w:lineRule="exact"/>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乙方及乙方服务人员对在服务过程中知悉的甲方资料及相关信息等，应当遵守保密义务。</w:t>
      </w:r>
    </w:p>
    <w:p>
      <w:pPr>
        <w:keepNext w:val="0"/>
        <w:keepLines w:val="0"/>
        <w:pageBreakBefore w:val="0"/>
        <w:widowControl/>
        <w:tabs>
          <w:tab w:val="left" w:pos="592"/>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乙方应遵守法律、法规和政策的规定，因以上原因使合同性质发生改变，甲方不负赔偿责任。</w:t>
      </w:r>
    </w:p>
    <w:p>
      <w:pPr>
        <w:keepNext w:val="0"/>
        <w:keepLines w:val="0"/>
        <w:pageBreakBefore w:val="0"/>
        <w:numPr>
          <w:ilvl w:val="1"/>
          <w:numId w:val="2"/>
        </w:numPr>
        <w:kinsoku/>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违约责任</w:t>
      </w:r>
    </w:p>
    <w:p>
      <w:pPr>
        <w:keepNext w:val="0"/>
        <w:keepLines w:val="0"/>
        <w:pageBreakBefore w:val="0"/>
        <w:widowControl/>
        <w:numPr>
          <w:ilvl w:val="0"/>
          <w:numId w:val="7"/>
        </w:numPr>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乙方违反甲方具体要求及《</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文件》规定的行为均属违约行为。甲方根据上述规定条款，视乙方违反规定的情节轻重，做出批评教育、警告、扣罚处理，情节严重者，甲方有权单方终止本合同，由乙方承担一切经济损失和法律责任。因乙方违约造成甲方损失的，乙方</w:t>
      </w:r>
      <w:r>
        <w:rPr>
          <w:rFonts w:hint="eastAsia" w:ascii="宋体" w:hAnsi="宋体" w:eastAsia="宋体" w:cs="宋体"/>
          <w:color w:val="auto"/>
          <w:szCs w:val="21"/>
          <w:highlight w:val="none"/>
          <w:lang w:val="en-US" w:eastAsia="zh-CN"/>
        </w:rPr>
        <w:t>应承担相应赔偿责任。</w:t>
      </w:r>
    </w:p>
    <w:p>
      <w:pPr>
        <w:keepNext w:val="0"/>
        <w:keepLines w:val="0"/>
        <w:pageBreakBefore w:val="0"/>
        <w:widowControl/>
        <w:numPr>
          <w:ilvl w:val="0"/>
          <w:numId w:val="7"/>
        </w:numPr>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乙方因技术等影响工作，未达到质量标准，甲方有权单方终止本合同。</w:t>
      </w:r>
    </w:p>
    <w:p>
      <w:pPr>
        <w:keepNext w:val="0"/>
        <w:keepLines w:val="0"/>
        <w:pageBreakBefore w:val="0"/>
        <w:widowControl/>
        <w:numPr>
          <w:ilvl w:val="0"/>
          <w:numId w:val="7"/>
        </w:numPr>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本项目除在</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文件中列明并经甲方同意外，乙方不得将本项目分包与转包，一经发现立即取消承包资格，作违约处理，并承担由此引起的法律责任及一切经济损失。</w:t>
      </w:r>
    </w:p>
    <w:p>
      <w:pPr>
        <w:keepNext w:val="0"/>
        <w:keepLines w:val="0"/>
        <w:pageBreakBefore w:val="0"/>
        <w:widowControl/>
        <w:numPr>
          <w:ilvl w:val="0"/>
          <w:numId w:val="7"/>
        </w:numPr>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乙方在合同有效期内，应当履行合同约定的义务，如因非甲方的原因而产生质量事故、工期延误，造成甲方实际损失或虽未发生实际损失但存有风险，乙方应承担相应赔偿责任。</w:t>
      </w:r>
    </w:p>
    <w:p>
      <w:pPr>
        <w:keepNext w:val="0"/>
        <w:keepLines w:val="0"/>
        <w:pageBreakBefore w:val="0"/>
        <w:widowControl/>
        <w:numPr>
          <w:ilvl w:val="0"/>
          <w:numId w:val="7"/>
        </w:numPr>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合同生效后，乙方如要求中止或解除合同，乙方应双倍返还甲方已支付的合同款。</w:t>
      </w:r>
    </w:p>
    <w:p>
      <w:pPr>
        <w:keepNext w:val="0"/>
        <w:keepLines w:val="0"/>
        <w:pageBreakBefore w:val="0"/>
        <w:widowControl/>
        <w:numPr>
          <w:ilvl w:val="0"/>
          <w:numId w:val="7"/>
        </w:numPr>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合同生效后，乙方无正当理由而又未完全履行合同规定的义务时，甲方可向乙方发出指明其未履行义务的通知。若甲方发出通知后14日内未收到满意的书面答复，甲方将有权视情形在发出通知后28日内或甲方认为合理的时间内向乙方发出解除本合同的通知，该通知到达乙方时合同即行终止。若由此而造成甲方重大损失时，乙方应赔偿损失，并承担由此而产生的法律责任。</w:t>
      </w:r>
    </w:p>
    <w:p>
      <w:pPr>
        <w:keepNext w:val="0"/>
        <w:keepLines w:val="0"/>
        <w:pageBreakBefore w:val="0"/>
        <w:numPr>
          <w:ilvl w:val="1"/>
          <w:numId w:val="2"/>
        </w:numPr>
        <w:kinsoku/>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争议的解决</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合同未尽事宜，应双方友好协调解决。协商不一致，任何一方均可提起仲裁或诉讼，仲裁或诉讼按合同履行地原则。</w:t>
      </w:r>
    </w:p>
    <w:p>
      <w:pPr>
        <w:keepNext w:val="0"/>
        <w:keepLines w:val="0"/>
        <w:pageBreakBefore w:val="0"/>
        <w:numPr>
          <w:ilvl w:val="1"/>
          <w:numId w:val="2"/>
        </w:numPr>
        <w:kinsoku/>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不可抗力</w:t>
      </w:r>
    </w:p>
    <w:p>
      <w:pPr>
        <w:keepNext w:val="0"/>
        <w:keepLines w:val="0"/>
        <w:pageBreakBefore w:val="0"/>
        <w:widowControl/>
        <w:tabs>
          <w:tab w:val="left" w:pos="592"/>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numPr>
          <w:ilvl w:val="1"/>
          <w:numId w:val="2"/>
        </w:numPr>
        <w:kinsoku/>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税费</w:t>
      </w:r>
    </w:p>
    <w:p>
      <w:pPr>
        <w:keepNext w:val="0"/>
        <w:keepLines w:val="0"/>
        <w:pageBreakBefore w:val="0"/>
        <w:widowControl/>
        <w:tabs>
          <w:tab w:val="left" w:pos="592"/>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在中国境内、外发生的与本合同执行有关的税费由乙方负担。</w:t>
      </w:r>
    </w:p>
    <w:p>
      <w:pPr>
        <w:keepNext w:val="0"/>
        <w:keepLines w:val="0"/>
        <w:pageBreakBefore w:val="0"/>
        <w:numPr>
          <w:ilvl w:val="1"/>
          <w:numId w:val="2"/>
        </w:numPr>
        <w:kinsoku/>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合同生效及终止</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（一）合同生效：本合同自甲乙双方法定代表人签字、盖章之日起生效。</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（二）合同终止：本合同出现以下情况时终止。</w:t>
      </w:r>
    </w:p>
    <w:p>
      <w:pPr>
        <w:keepNext w:val="0"/>
        <w:keepLines w:val="0"/>
        <w:pageBreakBefore w:val="0"/>
        <w:widowControl/>
        <w:shd w:val="clear" w:color="auto" w:fill="FFFFFF"/>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期限届满时自行终止。</w:t>
      </w:r>
    </w:p>
    <w:p>
      <w:pPr>
        <w:keepNext w:val="0"/>
        <w:keepLines w:val="0"/>
        <w:pageBreakBefore w:val="0"/>
        <w:widowControl/>
        <w:shd w:val="clear" w:color="auto" w:fill="FFFFFF"/>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有以下行为之一的：</w:t>
      </w:r>
    </w:p>
    <w:p>
      <w:pPr>
        <w:keepNext w:val="0"/>
        <w:keepLines w:val="0"/>
        <w:pageBreakBefore w:val="0"/>
        <w:widowControl/>
        <w:shd w:val="clear" w:color="auto" w:fill="FFFFFF"/>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（1）违反管理规定，造成重大伤亡或重大损失。</w:t>
      </w:r>
    </w:p>
    <w:p>
      <w:pPr>
        <w:keepNext w:val="0"/>
        <w:keepLines w:val="0"/>
        <w:pageBreakBefore w:val="0"/>
        <w:widowControl/>
        <w:shd w:val="clear" w:color="auto" w:fill="FFFFFF"/>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（2）因管理不善造成恶劣影响。</w:t>
      </w:r>
    </w:p>
    <w:p>
      <w:pPr>
        <w:keepNext w:val="0"/>
        <w:keepLines w:val="0"/>
        <w:pageBreakBefore w:val="0"/>
        <w:widowControl/>
        <w:shd w:val="clear" w:color="auto" w:fill="FFFFFF"/>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（3）擅自将合同转包给第三者。</w:t>
      </w:r>
    </w:p>
    <w:p>
      <w:pPr>
        <w:keepNext w:val="0"/>
        <w:keepLines w:val="0"/>
        <w:pageBreakBefore w:val="0"/>
        <w:widowControl/>
        <w:shd w:val="clear" w:color="auto" w:fill="FFFFFF"/>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（4）违反劳动法或其他相关法律法规，造成恶劣影响。</w:t>
      </w:r>
    </w:p>
    <w:p>
      <w:pPr>
        <w:keepNext w:val="0"/>
        <w:keepLines w:val="0"/>
        <w:pageBreakBefore w:val="0"/>
        <w:widowControl/>
        <w:shd w:val="clear" w:color="auto" w:fill="FFFFFF"/>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（5）弄虚作假及其他不正当行为。</w:t>
      </w:r>
    </w:p>
    <w:p>
      <w:pPr>
        <w:keepNext w:val="0"/>
        <w:keepLines w:val="0"/>
        <w:pageBreakBefore w:val="0"/>
        <w:widowControl/>
        <w:shd w:val="clear" w:color="auto" w:fill="FFFFFF"/>
        <w:kinsoku/>
        <w:wordWrap/>
        <w:overflowPunct/>
        <w:topLinePunct w:val="0"/>
        <w:autoSpaceDE/>
        <w:autoSpaceDN/>
        <w:bidi w:val="0"/>
        <w:spacing w:line="400" w:lineRule="exact"/>
        <w:ind w:firstLine="420" w:firstLineChars="200"/>
        <w:textAlignment w:val="auto"/>
        <w:rPr>
          <w:rFonts w:hint="eastAsia" w:ascii="新宋体" w:hAnsi="新宋体" w:eastAsia="新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法律规定的终止事由。   </w:t>
      </w:r>
    </w:p>
    <w:p>
      <w:pPr>
        <w:keepNext w:val="0"/>
        <w:keepLines w:val="0"/>
        <w:pageBreakBefore w:val="0"/>
        <w:numPr>
          <w:ilvl w:val="1"/>
          <w:numId w:val="2"/>
        </w:numPr>
        <w:kinsoku/>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合同生效及其它</w:t>
      </w:r>
    </w:p>
    <w:p>
      <w:pPr>
        <w:keepNext w:val="0"/>
        <w:keepLines w:val="0"/>
        <w:pageBreakBefore w:val="0"/>
        <w:numPr>
          <w:ilvl w:val="0"/>
          <w:numId w:val="8"/>
        </w:numPr>
        <w:kinsoku/>
        <w:wordWrap/>
        <w:overflowPunct/>
        <w:topLinePunct w:val="0"/>
        <w:bidi w:val="0"/>
        <w:spacing w:line="360" w:lineRule="auto"/>
        <w:ind w:left="0" w:firstLine="426"/>
        <w:rPr>
          <w:rFonts w:hint="eastAsia" w:ascii="新宋体" w:hAnsi="新宋体" w:eastAsia="新宋体"/>
          <w:color w:val="auto"/>
          <w:szCs w:val="21"/>
          <w:highlight w:val="none"/>
        </w:rPr>
      </w:pPr>
      <w:r>
        <w:rPr>
          <w:rFonts w:hint="eastAsia" w:ascii="新宋体" w:hAnsi="新宋体" w:eastAsia="新宋体"/>
          <w:color w:val="auto"/>
          <w:szCs w:val="21"/>
          <w:highlight w:val="none"/>
        </w:rPr>
        <w:t>本合同一式</w:t>
      </w:r>
      <w:r>
        <w:rPr>
          <w:rFonts w:hint="eastAsia" w:ascii="新宋体" w:hAnsi="新宋体" w:eastAsia="新宋体"/>
          <w:color w:val="auto"/>
          <w:szCs w:val="21"/>
          <w:highlight w:val="none"/>
          <w:u w:val="single"/>
        </w:rPr>
        <w:t xml:space="preserve">   </w:t>
      </w:r>
      <w:r>
        <w:rPr>
          <w:rFonts w:hint="eastAsia" w:ascii="新宋体" w:hAnsi="新宋体" w:eastAsia="新宋体"/>
          <w:color w:val="auto"/>
          <w:szCs w:val="21"/>
          <w:highlight w:val="none"/>
        </w:rPr>
        <w:t>份，甲乙双方各执</w:t>
      </w:r>
      <w:r>
        <w:rPr>
          <w:rFonts w:hint="eastAsia" w:ascii="新宋体" w:hAnsi="新宋体" w:eastAsia="新宋体"/>
          <w:color w:val="auto"/>
          <w:szCs w:val="21"/>
          <w:highlight w:val="none"/>
          <w:u w:val="single"/>
        </w:rPr>
        <w:t xml:space="preserve">   </w:t>
      </w:r>
      <w:r>
        <w:rPr>
          <w:rFonts w:hint="eastAsia" w:ascii="新宋体" w:hAnsi="新宋体" w:eastAsia="新宋体"/>
          <w:color w:val="auto"/>
          <w:szCs w:val="21"/>
          <w:highlight w:val="none"/>
        </w:rPr>
        <w:t>份，交采购代理机构原件一份备案。合同自双方授权代表人签字/盖章之日起生效。</w:t>
      </w:r>
    </w:p>
    <w:p>
      <w:pPr>
        <w:keepNext w:val="0"/>
        <w:keepLines w:val="0"/>
        <w:pageBreakBefore w:val="0"/>
        <w:numPr>
          <w:ilvl w:val="0"/>
          <w:numId w:val="8"/>
        </w:numPr>
        <w:kinsoku/>
        <w:wordWrap/>
        <w:overflowPunct/>
        <w:topLinePunct w:val="0"/>
        <w:bidi w:val="0"/>
        <w:spacing w:line="360" w:lineRule="auto"/>
        <w:ind w:left="0" w:firstLine="426"/>
        <w:rPr>
          <w:rFonts w:hint="eastAsia" w:ascii="新宋体" w:hAnsi="新宋体" w:eastAsia="新宋体"/>
          <w:color w:val="auto"/>
          <w:szCs w:val="21"/>
          <w:highlight w:val="none"/>
        </w:rPr>
      </w:pPr>
      <w:r>
        <w:rPr>
          <w:rFonts w:hint="eastAsia" w:ascii="新宋体" w:hAnsi="新宋体" w:eastAsia="新宋体"/>
          <w:color w:val="auto"/>
          <w:szCs w:val="21"/>
          <w:highlight w:val="none"/>
        </w:rPr>
        <w:t>双方履行完合同规定的义务后，本合同即行终止。</w:t>
      </w:r>
    </w:p>
    <w:p>
      <w:pPr>
        <w:keepNext w:val="0"/>
        <w:keepLines w:val="0"/>
        <w:pageBreakBefore w:val="0"/>
        <w:numPr>
          <w:ilvl w:val="0"/>
          <w:numId w:val="8"/>
        </w:numPr>
        <w:kinsoku/>
        <w:wordWrap/>
        <w:overflowPunct/>
        <w:topLinePunct w:val="0"/>
        <w:bidi w:val="0"/>
        <w:spacing w:line="360" w:lineRule="auto"/>
        <w:ind w:left="0" w:firstLine="426"/>
        <w:rPr>
          <w:rFonts w:hint="eastAsia" w:ascii="新宋体" w:hAnsi="新宋体" w:eastAsia="新宋体"/>
          <w:color w:val="auto"/>
          <w:szCs w:val="21"/>
          <w:highlight w:val="none"/>
        </w:rPr>
      </w:pPr>
      <w:r>
        <w:rPr>
          <w:rFonts w:hint="eastAsia" w:ascii="新宋体" w:hAnsi="新宋体" w:eastAsia="新宋体"/>
          <w:color w:val="auto"/>
          <w:szCs w:val="21"/>
          <w:highlight w:val="none"/>
        </w:rPr>
        <w:t>双方来往传真、电报、会议纪要等，经双方认可后均为合同的组成部分，与本合同具有同等法律效力。</w:t>
      </w:r>
    </w:p>
    <w:p>
      <w:pPr>
        <w:keepNext w:val="0"/>
        <w:keepLines w:val="0"/>
        <w:pageBreakBefore w:val="0"/>
        <w:numPr>
          <w:ilvl w:val="0"/>
          <w:numId w:val="8"/>
        </w:numPr>
        <w:kinsoku/>
        <w:wordWrap/>
        <w:overflowPunct/>
        <w:topLinePunct w:val="0"/>
        <w:bidi w:val="0"/>
        <w:spacing w:line="360" w:lineRule="auto"/>
        <w:ind w:left="0" w:firstLine="426"/>
        <w:rPr>
          <w:rFonts w:hint="eastAsia" w:ascii="新宋体" w:hAnsi="新宋体" w:eastAsia="新宋体"/>
          <w:color w:val="auto"/>
          <w:szCs w:val="21"/>
          <w:highlight w:val="none"/>
        </w:rPr>
      </w:pPr>
      <w:r>
        <w:rPr>
          <w:rFonts w:hint="eastAsia" w:ascii="新宋体" w:hAnsi="新宋体" w:eastAsia="新宋体"/>
          <w:color w:val="auto"/>
          <w:szCs w:val="21"/>
          <w:highlight w:val="none"/>
        </w:rPr>
        <w:t>在履行过程中双方另有特别约定的，按特别约定执行，具体合作事宜应另行协商并签署具体的合同。</w:t>
      </w:r>
    </w:p>
    <w:p>
      <w:pPr>
        <w:keepNext w:val="0"/>
        <w:keepLines w:val="0"/>
        <w:pageBreakBefore w:val="0"/>
        <w:numPr>
          <w:ilvl w:val="0"/>
          <w:numId w:val="8"/>
        </w:numPr>
        <w:kinsoku/>
        <w:wordWrap/>
        <w:overflowPunct/>
        <w:topLinePunct w:val="0"/>
        <w:bidi w:val="0"/>
        <w:spacing w:line="360" w:lineRule="auto"/>
        <w:ind w:left="0" w:firstLine="426"/>
        <w:rPr>
          <w:rFonts w:ascii="新宋体" w:hAnsi="新宋体" w:eastAsia="新宋体"/>
          <w:color w:val="auto"/>
          <w:szCs w:val="21"/>
          <w:highlight w:val="none"/>
        </w:rPr>
      </w:pPr>
      <w:r>
        <w:rPr>
          <w:rFonts w:hint="eastAsia" w:ascii="新宋体" w:hAnsi="新宋体" w:eastAsia="新宋体"/>
          <w:color w:val="auto"/>
          <w:szCs w:val="21"/>
          <w:highlight w:val="none"/>
        </w:rPr>
        <w:t>本协议未尽事宜，双方可协商签订补充协议，补充协议是本协议不可分割的组成部分，与本协议具有同等法律效力。</w:t>
      </w:r>
    </w:p>
    <w:p>
      <w:pPr>
        <w:snapToGrid w:val="0"/>
        <w:spacing w:line="360" w:lineRule="auto"/>
        <w:ind w:firstLine="210" w:firstLineChars="100"/>
        <w:rPr>
          <w:rFonts w:hint="eastAsia" w:ascii="宋体" w:hAnsi="宋体"/>
          <w:color w:val="auto"/>
          <w:highlight w:val="none"/>
        </w:rPr>
      </w:pPr>
    </w:p>
    <w:p>
      <w:pPr>
        <w:snapToGrid w:val="0"/>
        <w:spacing w:line="360" w:lineRule="auto"/>
        <w:ind w:firstLine="210" w:firstLineChars="100"/>
        <w:rPr>
          <w:rFonts w:hint="eastAsia" w:ascii="宋体" w:hAnsi="宋体"/>
          <w:color w:val="auto"/>
          <w:highlight w:val="none"/>
        </w:rPr>
      </w:pPr>
      <w:r>
        <w:rPr>
          <w:rFonts w:hint="eastAsia" w:ascii="宋体" w:hAnsi="宋体"/>
          <w:color w:val="auto"/>
          <w:highlight w:val="none"/>
        </w:rPr>
        <w:t>甲方（签章）：                              乙方（签章）：</w:t>
      </w:r>
    </w:p>
    <w:p>
      <w:pPr>
        <w:snapToGrid w:val="0"/>
        <w:spacing w:line="360" w:lineRule="auto"/>
        <w:ind w:firstLine="210" w:firstLineChars="100"/>
        <w:rPr>
          <w:rFonts w:hint="eastAsia" w:ascii="宋体" w:hAnsi="宋体"/>
          <w:color w:val="auto"/>
          <w:highlight w:val="none"/>
        </w:rPr>
      </w:pPr>
      <w:r>
        <w:rPr>
          <w:rFonts w:hint="eastAsia" w:ascii="宋体" w:hAnsi="宋体"/>
          <w:color w:val="auto"/>
          <w:highlight w:val="none"/>
        </w:rPr>
        <w:t>法定代表人或授权代表（签字或盖章）：        法定代表人或授权代表（签字或盖章）：</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开户银行：</w:t>
      </w:r>
      <w:r>
        <w:rPr>
          <w:rFonts w:ascii="宋体" w:hAnsi="宋体"/>
          <w:color w:val="auto"/>
          <w:szCs w:val="21"/>
          <w:highlight w:val="none"/>
        </w:rPr>
        <w:t xml:space="preserve"> </w:t>
      </w:r>
      <w:r>
        <w:rPr>
          <w:rFonts w:hint="eastAsia" w:ascii="宋体" w:hAnsi="宋体"/>
          <w:color w:val="auto"/>
          <w:szCs w:val="21"/>
          <w:highlight w:val="none"/>
        </w:rPr>
        <w:t xml:space="preserve">                                 开户银行：</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账    号：                                  账    号：</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邮政编码：</w:t>
      </w:r>
      <w:r>
        <w:rPr>
          <w:rFonts w:ascii="宋体" w:hAnsi="宋体"/>
          <w:color w:val="auto"/>
          <w:szCs w:val="21"/>
          <w:highlight w:val="none"/>
        </w:rPr>
        <w:t xml:space="preserve"> </w:t>
      </w:r>
      <w:r>
        <w:rPr>
          <w:rFonts w:hint="eastAsia" w:ascii="宋体" w:hAnsi="宋体"/>
          <w:color w:val="auto"/>
          <w:szCs w:val="21"/>
          <w:highlight w:val="none"/>
        </w:rPr>
        <w:t xml:space="preserve">                                 邮政编码：</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单位电话：                                  单位电话</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真：</w:t>
      </w:r>
      <w:r>
        <w:rPr>
          <w:rFonts w:ascii="宋体" w:hAnsi="宋体"/>
          <w:color w:val="auto"/>
          <w:szCs w:val="21"/>
          <w:highlight w:val="none"/>
        </w:rPr>
        <w:t xml:space="preserve"> </w:t>
      </w:r>
      <w:r>
        <w:rPr>
          <w:rFonts w:hint="eastAsia" w:ascii="宋体" w:hAnsi="宋体"/>
          <w:color w:val="auto"/>
          <w:szCs w:val="21"/>
          <w:highlight w:val="none"/>
        </w:rPr>
        <w:t xml:space="preserve">                                 传  </w:t>
      </w:r>
      <w:r>
        <w:rPr>
          <w:rFonts w:ascii="宋体" w:hAnsi="宋体"/>
          <w:color w:val="auto"/>
          <w:szCs w:val="21"/>
          <w:highlight w:val="none"/>
        </w:rPr>
        <w:t xml:space="preserve">  </w:t>
      </w:r>
      <w:r>
        <w:rPr>
          <w:rFonts w:hint="eastAsia" w:ascii="宋体" w:hAnsi="宋体"/>
          <w:color w:val="auto"/>
          <w:szCs w:val="21"/>
          <w:highlight w:val="none"/>
        </w:rPr>
        <w:t>真：</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联 系 人：                                  联 系 人：</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联系人手机：                                联系人手机：</w:t>
      </w:r>
    </w:p>
    <w:p>
      <w:pPr>
        <w:pStyle w:val="12"/>
        <w:tabs>
          <w:tab w:val="left" w:pos="840"/>
        </w:tabs>
        <w:spacing w:line="360" w:lineRule="auto"/>
        <w:ind w:firstLine="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地    址：</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地    址：</w:t>
      </w:r>
      <w:r>
        <w:rPr>
          <w:rFonts w:hint="eastAsia" w:ascii="宋体" w:hAnsi="宋体"/>
          <w:color w:val="auto"/>
          <w:szCs w:val="21"/>
          <w:highlight w:val="none"/>
        </w:rPr>
        <w:t xml:space="preserve">        </w:t>
      </w:r>
    </w:p>
    <w:p>
      <w:pPr>
        <w:pStyle w:val="12"/>
        <w:tabs>
          <w:tab w:val="left" w:pos="840"/>
        </w:tabs>
        <w:spacing w:line="360" w:lineRule="auto"/>
        <w:ind w:firstLine="0"/>
        <w:rPr>
          <w:rFonts w:ascii="宋体" w:hAnsi="宋体"/>
          <w:color w:val="auto"/>
          <w:sz w:val="21"/>
          <w:szCs w:val="21"/>
          <w:highlight w:val="none"/>
        </w:rPr>
      </w:pPr>
      <w:r>
        <w:rPr>
          <w:rFonts w:hint="eastAsia" w:ascii="宋体" w:hAnsi="宋体"/>
          <w:color w:val="auto"/>
          <w:szCs w:val="21"/>
          <w:highlight w:val="none"/>
        </w:rPr>
        <w:t xml:space="preserve">                                   </w:t>
      </w:r>
      <w:r>
        <w:rPr>
          <w:rFonts w:hint="eastAsia" w:ascii="宋体" w:hAnsi="宋体"/>
          <w:color w:val="auto"/>
          <w:sz w:val="21"/>
          <w:szCs w:val="21"/>
          <w:highlight w:val="none"/>
        </w:rPr>
        <w:t xml:space="preserve">       合同订立时间：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pageBreakBefore w:val="0"/>
        <w:shd w:val="clear" w:color="auto" w:fill="auto"/>
        <w:kinsoku/>
        <w:wordWrap/>
        <w:overflowPunct/>
        <w:autoSpaceDE/>
        <w:autoSpaceDN/>
        <w:bidi w:val="0"/>
        <w:snapToGrid/>
        <w:spacing w:line="380" w:lineRule="exact"/>
        <w:textAlignment w:val="auto"/>
        <w:rPr>
          <w:rFonts w:ascii="Arial" w:hAnsi="宋体" w:cs="Arial"/>
          <w:b/>
          <w:bCs/>
          <w:color w:val="auto"/>
          <w:highlight w:val="none"/>
        </w:rPr>
      </w:pPr>
      <w:r>
        <w:rPr>
          <w:rFonts w:ascii="Arial" w:hAnsi="宋体" w:cs="Arial"/>
          <w:b/>
          <w:bCs/>
          <w:color w:val="auto"/>
          <w:highlight w:val="none"/>
        </w:rPr>
        <w:t>注：</w:t>
      </w:r>
      <w:r>
        <w:rPr>
          <w:rFonts w:hint="eastAsia" w:ascii="Arial" w:hAnsi="宋体" w:cs="Arial"/>
          <w:b/>
          <w:bCs/>
          <w:color w:val="auto"/>
          <w:highlight w:val="none"/>
          <w:lang w:val="en-US" w:eastAsia="zh-CN"/>
        </w:rPr>
        <w:t>1.</w:t>
      </w:r>
      <w:r>
        <w:rPr>
          <w:rFonts w:ascii="Arial" w:hAnsi="宋体" w:cs="Arial"/>
          <w:b/>
          <w:bCs/>
          <w:color w:val="auto"/>
          <w:highlight w:val="none"/>
        </w:rPr>
        <w:t>上述条款仅供参考，具体以</w:t>
      </w:r>
      <w:r>
        <w:rPr>
          <w:rFonts w:hint="eastAsia" w:ascii="Arial" w:hAnsi="宋体" w:cs="Arial"/>
          <w:b/>
          <w:bCs/>
          <w:color w:val="auto"/>
          <w:highlight w:val="none"/>
          <w:lang w:eastAsia="zh-CN"/>
        </w:rPr>
        <w:t>中标人</w:t>
      </w:r>
      <w:r>
        <w:rPr>
          <w:rFonts w:ascii="Arial" w:hAnsi="宋体" w:cs="Arial"/>
          <w:b/>
          <w:bCs/>
          <w:color w:val="auto"/>
          <w:highlight w:val="none"/>
        </w:rPr>
        <w:t>与</w:t>
      </w:r>
      <w:r>
        <w:rPr>
          <w:rFonts w:hint="eastAsia" w:ascii="Arial" w:hAnsi="宋体" w:cs="Arial"/>
          <w:b/>
          <w:bCs/>
          <w:color w:val="auto"/>
          <w:highlight w:val="none"/>
          <w:lang w:eastAsia="zh-CN"/>
        </w:rPr>
        <w:t>采购人</w:t>
      </w:r>
      <w:r>
        <w:rPr>
          <w:rFonts w:ascii="Arial" w:hAnsi="宋体" w:cs="Arial"/>
          <w:b/>
          <w:bCs/>
          <w:color w:val="auto"/>
          <w:highlight w:val="none"/>
        </w:rPr>
        <w:t>所签定正式合同为准。</w:t>
      </w:r>
    </w:p>
    <w:p>
      <w:pPr>
        <w:pageBreakBefore w:val="0"/>
        <w:numPr>
          <w:ilvl w:val="0"/>
          <w:numId w:val="9"/>
        </w:numPr>
        <w:shd w:val="clear" w:color="auto" w:fill="auto"/>
        <w:kinsoku/>
        <w:wordWrap/>
        <w:overflowPunct/>
        <w:autoSpaceDE/>
        <w:autoSpaceDN/>
        <w:bidi w:val="0"/>
        <w:snapToGrid/>
        <w:spacing w:line="380" w:lineRule="exact"/>
        <w:ind w:left="-2" w:leftChars="0" w:firstLine="422" w:firstLineChars="0"/>
        <w:textAlignment w:val="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440" w:lineRule="exact"/>
        <w:jc w:val="center"/>
        <w:outlineLvl w:val="0"/>
        <w:rPr>
          <w:rFonts w:ascii="黑体" w:hAnsi="黑体" w:eastAsia="黑体"/>
          <w:b/>
          <w:bCs/>
          <w:color w:val="auto"/>
          <w:kern w:val="44"/>
          <w:sz w:val="36"/>
          <w:szCs w:val="36"/>
          <w:highlight w:val="none"/>
        </w:rPr>
      </w:pPr>
      <w:r>
        <w:rPr>
          <w:rFonts w:hint="eastAsia" w:ascii="宋体" w:hAnsi="宋体" w:eastAsia="宋体" w:cs="宋体"/>
          <w:color w:val="auto"/>
          <w:sz w:val="22"/>
          <w:szCs w:val="22"/>
          <w:highlight w:val="none"/>
        </w:rPr>
        <w:br w:type="page"/>
      </w:r>
      <w:bookmarkStart w:id="124" w:name="_Toc29760"/>
      <w:r>
        <w:rPr>
          <w:rFonts w:hint="eastAsia" w:ascii="黑体" w:hAnsi="黑体" w:eastAsia="黑体"/>
          <w:b/>
          <w:bCs/>
          <w:color w:val="auto"/>
          <w:kern w:val="44"/>
          <w:sz w:val="36"/>
          <w:szCs w:val="36"/>
          <w:highlight w:val="none"/>
        </w:rPr>
        <w:t>第四部分   附件</w:t>
      </w:r>
      <w:bookmarkEnd w:id="111"/>
      <w:bookmarkEnd w:id="112"/>
      <w:bookmarkEnd w:id="113"/>
      <w:bookmarkEnd w:id="114"/>
      <w:bookmarkEnd w:id="115"/>
      <w:bookmarkEnd w:id="116"/>
      <w:bookmarkEnd w:id="117"/>
      <w:bookmarkEnd w:id="124"/>
    </w:p>
    <w:p>
      <w:pPr>
        <w:pStyle w:val="5"/>
        <w:spacing w:line="480" w:lineRule="exact"/>
        <w:rPr>
          <w:rFonts w:ascii="黑体" w:hAnsi="黑体"/>
          <w:color w:val="auto"/>
          <w:sz w:val="24"/>
          <w:szCs w:val="24"/>
          <w:highlight w:val="none"/>
        </w:rPr>
      </w:pPr>
      <w:bookmarkStart w:id="125" w:name="_Toc24800"/>
      <w:bookmarkStart w:id="126" w:name="_Toc22790"/>
      <w:bookmarkStart w:id="127" w:name="_Toc13343"/>
      <w:bookmarkStart w:id="128" w:name="_Toc28371"/>
      <w:bookmarkStart w:id="129" w:name="_Toc21236"/>
      <w:r>
        <w:rPr>
          <w:rFonts w:hint="eastAsia" w:ascii="黑体" w:hAnsi="黑体"/>
          <w:color w:val="auto"/>
          <w:sz w:val="24"/>
          <w:szCs w:val="24"/>
          <w:highlight w:val="none"/>
        </w:rPr>
        <w:t>附件一  磋商响应函</w:t>
      </w:r>
      <w:bookmarkEnd w:id="125"/>
      <w:bookmarkEnd w:id="126"/>
      <w:bookmarkEnd w:id="127"/>
      <w:bookmarkEnd w:id="128"/>
      <w:bookmarkEnd w:id="129"/>
    </w:p>
    <w:p>
      <w:pPr>
        <w:jc w:val="center"/>
        <w:rPr>
          <w:rFonts w:ascii="宋体" w:hAnsi="宋体"/>
          <w:b/>
          <w:color w:val="auto"/>
          <w:sz w:val="28"/>
          <w:szCs w:val="28"/>
          <w:highlight w:val="none"/>
        </w:rPr>
      </w:pPr>
      <w:r>
        <w:rPr>
          <w:rFonts w:hint="eastAsia" w:ascii="宋体" w:hAnsi="宋体"/>
          <w:b/>
          <w:color w:val="auto"/>
          <w:sz w:val="28"/>
          <w:szCs w:val="28"/>
          <w:highlight w:val="none"/>
        </w:rPr>
        <w:t>磋商响应函</w:t>
      </w:r>
    </w:p>
    <w:p>
      <w:pPr>
        <w:jc w:val="center"/>
        <w:rPr>
          <w:rFonts w:ascii="宋体" w:hAnsi="宋体"/>
          <w:b/>
          <w:color w:val="auto"/>
          <w:sz w:val="28"/>
          <w:szCs w:val="28"/>
          <w:highlight w:val="none"/>
        </w:rPr>
      </w:pPr>
    </w:p>
    <w:p>
      <w:pPr>
        <w:rPr>
          <w:rFonts w:ascii="黑体" w:hAnsi="黑体"/>
          <w:b/>
          <w:bCs/>
          <w:color w:val="auto"/>
          <w:sz w:val="24"/>
          <w:highlight w:val="none"/>
        </w:rPr>
      </w:pPr>
      <w:bookmarkStart w:id="130" w:name="_Toc4802"/>
      <w:bookmarkStart w:id="131" w:name="_Toc1056"/>
      <w:bookmarkStart w:id="132" w:name="_Toc5453"/>
      <w:r>
        <w:rPr>
          <w:rFonts w:hint="eastAsia" w:ascii="黑体" w:hAnsi="黑体"/>
          <w:b/>
          <w:bCs/>
          <w:color w:val="auto"/>
          <w:sz w:val="24"/>
          <w:highlight w:val="none"/>
          <w:lang w:eastAsia="zh-CN"/>
        </w:rPr>
        <w:t>温州市生态环境局瓯海分局</w:t>
      </w:r>
      <w:r>
        <w:rPr>
          <w:rFonts w:hint="eastAsia" w:ascii="黑体" w:hAnsi="黑体"/>
          <w:b/>
          <w:bCs/>
          <w:color w:val="auto"/>
          <w:sz w:val="24"/>
          <w:highlight w:val="none"/>
        </w:rPr>
        <w:t>：</w:t>
      </w:r>
      <w:bookmarkEnd w:id="130"/>
      <w:bookmarkEnd w:id="131"/>
      <w:bookmarkEnd w:id="132"/>
    </w:p>
    <w:p>
      <w:pPr>
        <w:spacing w:line="440" w:lineRule="exact"/>
        <w:ind w:firstLine="508" w:firstLineChars="231"/>
        <w:rPr>
          <w:rFonts w:ascii="宋体" w:hAnsi="宋体"/>
          <w:color w:val="auto"/>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（磋商项目名称、编号）磋商项目的磋商邀请，</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（磋商供应商全称）正式授权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（姓名、职务）为全权代表，代表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(磋商供应商名称)参加贵方组织的此次磋商的有关活动，并提交按“磋商供应商须知”要求编制的响应文件</w:t>
      </w:r>
    </w:p>
    <w:p>
      <w:pPr>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据此函全权代表宣布同意如下：</w:t>
      </w:r>
    </w:p>
    <w:p>
      <w:pPr>
        <w:spacing w:line="440" w:lineRule="exact"/>
        <w:ind w:left="865" w:leftChars="150" w:hanging="550" w:hangingChars="250"/>
        <w:rPr>
          <w:rFonts w:ascii="宋体" w:hAnsi="宋体"/>
          <w:color w:val="auto"/>
          <w:sz w:val="22"/>
          <w:szCs w:val="22"/>
          <w:highlight w:val="none"/>
        </w:rPr>
      </w:pPr>
      <w:r>
        <w:rPr>
          <w:rFonts w:hint="eastAsia" w:ascii="宋体" w:hAnsi="宋体"/>
          <w:color w:val="auto"/>
          <w:sz w:val="22"/>
          <w:szCs w:val="22"/>
          <w:highlight w:val="none"/>
        </w:rPr>
        <w:t>1．  我方遵守磋商文件的有关规定和收费标准，忠实地履行按磋商文件规定甲乙双方签订的合同责任和义务。</w:t>
      </w:r>
    </w:p>
    <w:p>
      <w:pPr>
        <w:spacing w:line="440" w:lineRule="exact"/>
        <w:ind w:left="865" w:leftChars="150" w:hanging="550" w:hangingChars="250"/>
        <w:rPr>
          <w:rFonts w:ascii="宋体" w:hAnsi="宋体"/>
          <w:color w:val="auto"/>
          <w:sz w:val="22"/>
          <w:szCs w:val="22"/>
          <w:highlight w:val="none"/>
        </w:rPr>
      </w:pPr>
      <w:r>
        <w:rPr>
          <w:rFonts w:hint="eastAsia" w:ascii="宋体" w:hAnsi="宋体"/>
          <w:color w:val="auto"/>
          <w:sz w:val="22"/>
          <w:szCs w:val="22"/>
          <w:highlight w:val="none"/>
        </w:rPr>
        <w:t>2．  我方已详细审查全部磋商文件，包括磋商补充文件（如果有的话），我们完全理解并同意放弃对这方面有不明及误解的</w:t>
      </w:r>
      <w:r>
        <w:rPr>
          <w:rFonts w:hint="eastAsia" w:ascii="宋体" w:hAnsi="宋体"/>
          <w:color w:val="auto"/>
          <w:sz w:val="22"/>
          <w:szCs w:val="22"/>
          <w:highlight w:val="none"/>
          <w:lang w:eastAsia="zh-CN"/>
        </w:rPr>
        <w:t>权利</w:t>
      </w:r>
      <w:r>
        <w:rPr>
          <w:rFonts w:hint="eastAsia" w:ascii="宋体" w:hAnsi="宋体"/>
          <w:color w:val="auto"/>
          <w:sz w:val="22"/>
          <w:szCs w:val="22"/>
          <w:highlight w:val="none"/>
        </w:rPr>
        <w:t>。</w:t>
      </w:r>
    </w:p>
    <w:p>
      <w:pPr>
        <w:spacing w:line="440" w:lineRule="exact"/>
        <w:ind w:left="865" w:leftChars="150" w:hanging="550" w:hangingChars="250"/>
        <w:rPr>
          <w:rFonts w:ascii="宋体" w:hAnsi="宋体"/>
          <w:color w:val="auto"/>
          <w:sz w:val="22"/>
          <w:szCs w:val="22"/>
          <w:highlight w:val="none"/>
        </w:rPr>
      </w:pPr>
      <w:r>
        <w:rPr>
          <w:rFonts w:hint="eastAsia" w:ascii="宋体" w:hAnsi="宋体"/>
          <w:color w:val="auto"/>
          <w:sz w:val="22"/>
          <w:szCs w:val="22"/>
          <w:highlight w:val="none"/>
        </w:rPr>
        <w:t>3．  我方完全同意向贵方真实的提供本项目磋商有关的一切数据或资料，完全理解贵方不一定接受最低价的报价或收到的任何报价。</w:t>
      </w:r>
    </w:p>
    <w:p>
      <w:pPr>
        <w:spacing w:line="440" w:lineRule="exact"/>
        <w:ind w:left="896" w:leftChars="165" w:hanging="550" w:hangingChars="250"/>
        <w:rPr>
          <w:rFonts w:ascii="宋体" w:hAnsi="宋体"/>
          <w:color w:val="auto"/>
          <w:sz w:val="22"/>
          <w:szCs w:val="22"/>
          <w:highlight w:val="none"/>
        </w:rPr>
      </w:pPr>
      <w:r>
        <w:rPr>
          <w:rFonts w:hint="eastAsia" w:ascii="宋体" w:hAnsi="宋体"/>
          <w:color w:val="auto"/>
          <w:sz w:val="22"/>
          <w:szCs w:val="22"/>
          <w:highlight w:val="none"/>
        </w:rPr>
        <w:t>4．  本响应有效期为自磋商之日起</w:t>
      </w:r>
      <w:r>
        <w:rPr>
          <w:rFonts w:hint="eastAsia" w:ascii="宋体" w:hAnsi="宋体"/>
          <w:color w:val="auto"/>
          <w:sz w:val="22"/>
          <w:szCs w:val="22"/>
          <w:highlight w:val="none"/>
          <w:u w:val="single"/>
        </w:rPr>
        <w:t xml:space="preserve"> </w:t>
      </w:r>
      <w:r>
        <w:rPr>
          <w:rFonts w:hint="eastAsia" w:ascii="宋体" w:hAnsi="宋体"/>
          <w:b/>
          <w:color w:val="auto"/>
          <w:sz w:val="22"/>
          <w:szCs w:val="22"/>
          <w:highlight w:val="none"/>
          <w:u w:val="single"/>
        </w:rPr>
        <w:t>60</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个历日，</w:t>
      </w:r>
      <w:r>
        <w:rPr>
          <w:rFonts w:hint="eastAsia" w:ascii="新宋体" w:hAnsi="新宋体" w:eastAsia="新宋体"/>
          <w:color w:val="auto"/>
          <w:sz w:val="22"/>
          <w:szCs w:val="22"/>
          <w:highlight w:val="none"/>
        </w:rPr>
        <w:t>如成交，有效期将延至合同终止日为止</w:t>
      </w:r>
      <w:r>
        <w:rPr>
          <w:rFonts w:hint="eastAsia" w:ascii="宋体" w:hAnsi="宋体"/>
          <w:color w:val="auto"/>
          <w:sz w:val="22"/>
          <w:szCs w:val="22"/>
          <w:highlight w:val="none"/>
        </w:rPr>
        <w:t>。</w:t>
      </w:r>
    </w:p>
    <w:p>
      <w:pPr>
        <w:spacing w:line="440" w:lineRule="exact"/>
        <w:ind w:firstLine="330" w:firstLineChars="150"/>
        <w:rPr>
          <w:rFonts w:ascii="宋体" w:hAnsi="宋体"/>
          <w:color w:val="auto"/>
          <w:sz w:val="22"/>
          <w:szCs w:val="22"/>
          <w:highlight w:val="none"/>
        </w:rPr>
      </w:pPr>
      <w:r>
        <w:rPr>
          <w:rFonts w:hint="eastAsia" w:ascii="宋体" w:hAnsi="宋体"/>
          <w:color w:val="auto"/>
          <w:sz w:val="22"/>
          <w:szCs w:val="22"/>
          <w:highlight w:val="none"/>
        </w:rPr>
        <w:t>5．  与本磋商有关的一切正式往来信函请寄：</w:t>
      </w:r>
    </w:p>
    <w:p>
      <w:pPr>
        <w:spacing w:line="44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地址</w:t>
      </w:r>
      <w:r>
        <w:rPr>
          <w:rFonts w:hint="eastAsia" w:ascii="宋体" w:hAnsi="宋体"/>
          <w:color w:val="auto"/>
          <w:sz w:val="22"/>
          <w:szCs w:val="22"/>
          <w:highlight w:val="none"/>
          <w:u w:val="single"/>
        </w:rPr>
        <w:t xml:space="preserve">                           </w:t>
      </w:r>
    </w:p>
    <w:p>
      <w:pPr>
        <w:spacing w:line="44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电话</w:t>
      </w:r>
      <w:r>
        <w:rPr>
          <w:rFonts w:hint="eastAsia" w:ascii="宋体" w:hAnsi="宋体"/>
          <w:color w:val="auto"/>
          <w:sz w:val="22"/>
          <w:szCs w:val="22"/>
          <w:highlight w:val="none"/>
          <w:u w:val="single"/>
        </w:rPr>
        <w:t xml:space="preserve">                           </w:t>
      </w:r>
    </w:p>
    <w:p>
      <w:pPr>
        <w:spacing w:line="440" w:lineRule="exact"/>
        <w:ind w:firstLine="435"/>
        <w:rPr>
          <w:rFonts w:ascii="宋体" w:hAnsi="宋体"/>
          <w:color w:val="auto"/>
          <w:sz w:val="22"/>
          <w:szCs w:val="22"/>
          <w:highlight w:val="none"/>
          <w:u w:val="single"/>
        </w:rPr>
      </w:pPr>
      <w:r>
        <w:rPr>
          <w:rFonts w:hint="eastAsia" w:ascii="宋体" w:hAnsi="宋体"/>
          <w:color w:val="auto"/>
          <w:sz w:val="22"/>
          <w:szCs w:val="22"/>
          <w:highlight w:val="none"/>
        </w:rPr>
        <w:t xml:space="preserve">    传真</w:t>
      </w:r>
      <w:r>
        <w:rPr>
          <w:rFonts w:hint="eastAsia" w:ascii="宋体" w:hAnsi="宋体"/>
          <w:color w:val="auto"/>
          <w:sz w:val="22"/>
          <w:szCs w:val="22"/>
          <w:highlight w:val="none"/>
          <w:u w:val="single"/>
        </w:rPr>
        <w:t xml:space="preserve">                           </w:t>
      </w:r>
    </w:p>
    <w:p>
      <w:pPr>
        <w:spacing w:line="440" w:lineRule="exact"/>
        <w:ind w:left="105" w:leftChars="50" w:firstLine="785" w:firstLineChars="357"/>
        <w:rPr>
          <w:rFonts w:ascii="宋体" w:hAnsi="宋体"/>
          <w:color w:val="auto"/>
          <w:sz w:val="22"/>
          <w:szCs w:val="22"/>
          <w:highlight w:val="none"/>
          <w:u w:val="single"/>
        </w:rPr>
      </w:pPr>
      <w:r>
        <w:rPr>
          <w:rFonts w:hint="eastAsia" w:ascii="宋体" w:hAnsi="宋体"/>
          <w:color w:val="auto"/>
          <w:sz w:val="22"/>
          <w:szCs w:val="22"/>
          <w:highlight w:val="none"/>
        </w:rPr>
        <w:t>电子邮件</w:t>
      </w:r>
      <w:r>
        <w:rPr>
          <w:rFonts w:hint="eastAsia" w:ascii="宋体" w:hAnsi="宋体"/>
          <w:color w:val="auto"/>
          <w:sz w:val="22"/>
          <w:szCs w:val="22"/>
          <w:highlight w:val="none"/>
          <w:u w:val="single"/>
        </w:rPr>
        <w:t xml:space="preserve">                       </w:t>
      </w:r>
    </w:p>
    <w:p>
      <w:pPr>
        <w:spacing w:line="440" w:lineRule="exact"/>
        <w:ind w:firstLine="435"/>
        <w:rPr>
          <w:rFonts w:ascii="宋体" w:hAnsi="宋体"/>
          <w:color w:val="auto"/>
          <w:sz w:val="22"/>
          <w:szCs w:val="22"/>
          <w:highlight w:val="none"/>
        </w:rPr>
      </w:pPr>
    </w:p>
    <w:p>
      <w:pPr>
        <w:spacing w:line="440" w:lineRule="exact"/>
        <w:ind w:firstLine="435"/>
        <w:rPr>
          <w:rFonts w:ascii="宋体" w:hAnsi="宋体"/>
          <w:color w:val="auto"/>
          <w:sz w:val="22"/>
          <w:szCs w:val="22"/>
          <w:highlight w:val="none"/>
        </w:rPr>
      </w:pPr>
    </w:p>
    <w:p>
      <w:pPr>
        <w:spacing w:line="440" w:lineRule="exact"/>
        <w:ind w:firstLine="435"/>
        <w:rPr>
          <w:color w:val="auto"/>
          <w:sz w:val="22"/>
          <w:szCs w:val="22"/>
          <w:highlight w:val="none"/>
        </w:rPr>
      </w:pPr>
      <w:r>
        <w:rPr>
          <w:rFonts w:hint="eastAsia" w:ascii="宋体" w:hAnsi="宋体"/>
          <w:color w:val="auto"/>
          <w:sz w:val="22"/>
          <w:szCs w:val="22"/>
          <w:highlight w:val="none"/>
        </w:rPr>
        <w:t xml:space="preserve">                                   </w:t>
      </w:r>
      <w:r>
        <w:rPr>
          <w:rFonts w:hint="eastAsia"/>
          <w:color w:val="auto"/>
          <w:sz w:val="22"/>
          <w:szCs w:val="22"/>
          <w:highlight w:val="none"/>
        </w:rPr>
        <w:t>磋商供应商名称</w:t>
      </w:r>
      <w:r>
        <w:rPr>
          <w:rFonts w:hint="eastAsia"/>
          <w:color w:val="auto"/>
          <w:sz w:val="22"/>
          <w:szCs w:val="22"/>
          <w:highlight w:val="none"/>
          <w:u w:val="single"/>
        </w:rPr>
        <w:t xml:space="preserve">                           </w:t>
      </w:r>
    </w:p>
    <w:p>
      <w:pPr>
        <w:spacing w:line="440" w:lineRule="exact"/>
        <w:ind w:firstLine="435"/>
        <w:rPr>
          <w:color w:val="auto"/>
          <w:sz w:val="22"/>
          <w:szCs w:val="22"/>
          <w:highlight w:val="none"/>
        </w:rPr>
      </w:pPr>
      <w:r>
        <w:rPr>
          <w:rFonts w:hint="eastAsia"/>
          <w:color w:val="auto"/>
          <w:sz w:val="22"/>
          <w:szCs w:val="22"/>
          <w:highlight w:val="none"/>
        </w:rPr>
        <w:t xml:space="preserve">                                   公章（</w:t>
      </w:r>
      <w:r>
        <w:rPr>
          <w:rFonts w:hint="eastAsia" w:ascii="宋体" w:hAnsi="宋体" w:cs="宋体"/>
          <w:color w:val="auto"/>
          <w:sz w:val="22"/>
          <w:szCs w:val="22"/>
          <w:highlight w:val="none"/>
          <w:u w:val="single"/>
        </w:rPr>
        <w:t>电子签名/公章</w:t>
      </w:r>
      <w:r>
        <w:rPr>
          <w:rFonts w:hint="eastAsia"/>
          <w:color w:val="auto"/>
          <w:sz w:val="22"/>
          <w:szCs w:val="22"/>
          <w:highlight w:val="none"/>
          <w:u w:val="single"/>
        </w:rPr>
        <w:t xml:space="preserve">）                    </w:t>
      </w:r>
    </w:p>
    <w:p>
      <w:pPr>
        <w:spacing w:line="440" w:lineRule="exact"/>
        <w:ind w:firstLine="440" w:firstLineChars="200"/>
        <w:rPr>
          <w:color w:val="auto"/>
          <w:sz w:val="22"/>
          <w:szCs w:val="22"/>
          <w:highlight w:val="none"/>
          <w:u w:val="single"/>
        </w:rPr>
      </w:pPr>
      <w:r>
        <w:rPr>
          <w:rFonts w:hint="eastAsia"/>
          <w:color w:val="auto"/>
          <w:sz w:val="22"/>
          <w:szCs w:val="22"/>
          <w:highlight w:val="none"/>
        </w:rPr>
        <w:t xml:space="preserve">                                   日期</w:t>
      </w:r>
      <w:r>
        <w:rPr>
          <w:rFonts w:hint="eastAsia"/>
          <w:color w:val="auto"/>
          <w:sz w:val="22"/>
          <w:szCs w:val="22"/>
          <w:highlight w:val="none"/>
          <w:u w:val="single"/>
        </w:rPr>
        <w:t xml:space="preserve">                                     </w:t>
      </w:r>
    </w:p>
    <w:p>
      <w:pPr>
        <w:spacing w:line="440" w:lineRule="exact"/>
        <w:ind w:firstLine="440" w:firstLineChars="200"/>
        <w:rPr>
          <w:rFonts w:ascii="宋体" w:hAnsi="宋体"/>
          <w:color w:val="auto"/>
          <w:sz w:val="22"/>
          <w:szCs w:val="22"/>
          <w:highlight w:val="none"/>
          <w:u w:val="single"/>
        </w:rPr>
      </w:pPr>
    </w:p>
    <w:p>
      <w:pPr>
        <w:rPr>
          <w:rFonts w:ascii="宋体" w:hAnsi="宋体"/>
          <w:color w:val="auto"/>
          <w:highlight w:val="none"/>
        </w:rPr>
        <w:sectPr>
          <w:footerReference r:id="rId8" w:type="default"/>
          <w:pgSz w:w="11906" w:h="16838"/>
          <w:pgMar w:top="1134" w:right="1134" w:bottom="1134" w:left="1134" w:header="851" w:footer="992" w:gutter="0"/>
          <w:cols w:space="720" w:num="1"/>
          <w:titlePg/>
          <w:docGrid w:linePitch="312" w:charSpace="0"/>
        </w:sectPr>
      </w:pPr>
    </w:p>
    <w:p>
      <w:pPr>
        <w:pStyle w:val="5"/>
        <w:spacing w:line="480" w:lineRule="exact"/>
        <w:rPr>
          <w:rFonts w:ascii="黑体" w:hAnsi="黑体"/>
          <w:color w:val="auto"/>
          <w:sz w:val="24"/>
          <w:szCs w:val="24"/>
          <w:highlight w:val="none"/>
        </w:rPr>
      </w:pPr>
      <w:bookmarkStart w:id="133" w:name="_Toc14682753"/>
      <w:bookmarkStart w:id="134" w:name="_Toc5854"/>
      <w:bookmarkStart w:id="135" w:name="_Toc18435"/>
      <w:bookmarkStart w:id="136" w:name="_Toc30488978"/>
      <w:bookmarkStart w:id="137" w:name="_Toc27173"/>
      <w:bookmarkStart w:id="138" w:name="_Toc20365"/>
      <w:bookmarkStart w:id="139" w:name="_Toc21117"/>
      <w:bookmarkStart w:id="140" w:name="_Toc20689"/>
      <w:r>
        <w:rPr>
          <w:rFonts w:hint="eastAsia" w:ascii="黑体" w:hAnsi="黑体"/>
          <w:color w:val="auto"/>
          <w:sz w:val="24"/>
          <w:szCs w:val="24"/>
          <w:highlight w:val="none"/>
        </w:rPr>
        <w:t>附件二  磋商报价一览表</w:t>
      </w:r>
      <w:bookmarkEnd w:id="133"/>
      <w:bookmarkEnd w:id="134"/>
      <w:bookmarkEnd w:id="135"/>
      <w:bookmarkEnd w:id="136"/>
      <w:bookmarkEnd w:id="137"/>
      <w:bookmarkEnd w:id="138"/>
      <w:bookmarkEnd w:id="139"/>
      <w:bookmarkEnd w:id="140"/>
    </w:p>
    <w:p>
      <w:pPr>
        <w:jc w:val="center"/>
        <w:rPr>
          <w:rFonts w:ascii="宋体" w:hAnsi="宋体"/>
          <w:b/>
          <w:color w:val="auto"/>
          <w:sz w:val="28"/>
          <w:szCs w:val="28"/>
          <w:highlight w:val="none"/>
        </w:rPr>
      </w:pPr>
      <w:r>
        <w:rPr>
          <w:rFonts w:hint="eastAsia" w:ascii="宋体" w:hAnsi="宋体"/>
          <w:b/>
          <w:color w:val="auto"/>
          <w:sz w:val="28"/>
          <w:szCs w:val="28"/>
          <w:highlight w:val="none"/>
        </w:rPr>
        <w:t xml:space="preserve">  磋商报价一览表</w:t>
      </w:r>
    </w:p>
    <w:p>
      <w:pPr>
        <w:spacing w:line="400" w:lineRule="exact"/>
        <w:jc w:val="center"/>
        <w:rPr>
          <w:rFonts w:ascii="宋体" w:hAnsi="宋体"/>
          <w:b/>
          <w:bCs/>
          <w:color w:val="auto"/>
          <w:sz w:val="28"/>
          <w:szCs w:val="28"/>
          <w:highlight w:val="none"/>
        </w:rPr>
      </w:pPr>
    </w:p>
    <w:p>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项目名称：                                                   项目编号：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165"/>
        <w:gridCol w:w="5907"/>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06" w:type="pct"/>
            <w:vAlign w:val="center"/>
          </w:tcPr>
          <w:p>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099" w:type="pct"/>
            <w:vAlign w:val="center"/>
          </w:tcPr>
          <w:p>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项目名称</w:t>
            </w:r>
          </w:p>
        </w:tc>
        <w:tc>
          <w:tcPr>
            <w:tcW w:w="2999" w:type="pct"/>
            <w:vAlign w:val="center"/>
          </w:tcPr>
          <w:p>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总报价</w:t>
            </w:r>
          </w:p>
        </w:tc>
        <w:tc>
          <w:tcPr>
            <w:tcW w:w="594" w:type="pct"/>
            <w:vAlign w:val="center"/>
          </w:tcPr>
          <w:p>
            <w:pPr>
              <w:spacing w:line="380" w:lineRule="exact"/>
              <w:jc w:val="center"/>
              <w:rPr>
                <w:rFonts w:hint="default"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06" w:type="pct"/>
            <w:vMerge w:val="restart"/>
            <w:vAlign w:val="center"/>
          </w:tcPr>
          <w:p>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099" w:type="pct"/>
            <w:vMerge w:val="restart"/>
            <w:vAlign w:val="center"/>
          </w:tcPr>
          <w:p>
            <w:pPr>
              <w:spacing w:line="380" w:lineRule="exact"/>
              <w:jc w:val="center"/>
              <w:rPr>
                <w:rFonts w:hint="eastAsia" w:ascii="宋体" w:hAnsi="宋体" w:eastAsia="宋体"/>
                <w:bCs/>
                <w:color w:val="auto"/>
                <w:sz w:val="22"/>
                <w:szCs w:val="22"/>
                <w:highlight w:val="none"/>
                <w:lang w:eastAsia="zh-CN"/>
              </w:rPr>
            </w:pPr>
            <w:r>
              <w:rPr>
                <w:rFonts w:hint="eastAsia" w:ascii="宋体" w:hAnsi="宋体"/>
                <w:bCs/>
                <w:color w:val="auto"/>
                <w:sz w:val="22"/>
                <w:szCs w:val="22"/>
                <w:highlight w:val="none"/>
                <w:lang w:eastAsia="zh-CN"/>
              </w:rPr>
              <w:t>瓯海区电镀行业新污染物全链条管控体系试点项目</w:t>
            </w:r>
          </w:p>
        </w:tc>
        <w:tc>
          <w:tcPr>
            <w:tcW w:w="2999" w:type="pct"/>
            <w:vAlign w:val="center"/>
          </w:tcPr>
          <w:p>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大写：人民币</w:t>
            </w:r>
          </w:p>
        </w:tc>
        <w:tc>
          <w:tcPr>
            <w:tcW w:w="594" w:type="pct"/>
            <w:vMerge w:val="restart"/>
            <w:vAlign w:val="center"/>
          </w:tcPr>
          <w:p>
            <w:pPr>
              <w:spacing w:line="380" w:lineRule="exact"/>
              <w:jc w:val="center"/>
              <w:rPr>
                <w:rFonts w:hint="default"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306" w:type="pct"/>
            <w:vMerge w:val="continue"/>
          </w:tcPr>
          <w:p>
            <w:pPr>
              <w:rPr>
                <w:rFonts w:ascii="宋体" w:hAnsi="宋体"/>
                <w:color w:val="auto"/>
                <w:highlight w:val="none"/>
              </w:rPr>
            </w:pPr>
          </w:p>
        </w:tc>
        <w:tc>
          <w:tcPr>
            <w:tcW w:w="1099" w:type="pct"/>
            <w:vMerge w:val="continue"/>
          </w:tcPr>
          <w:p>
            <w:pPr>
              <w:rPr>
                <w:rFonts w:ascii="宋体" w:hAnsi="宋体"/>
                <w:color w:val="auto"/>
                <w:highlight w:val="none"/>
              </w:rPr>
            </w:pPr>
          </w:p>
        </w:tc>
        <w:tc>
          <w:tcPr>
            <w:tcW w:w="2999" w:type="pct"/>
            <w:vAlign w:val="center"/>
          </w:tcPr>
          <w:p>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小写：￥</w:t>
            </w:r>
          </w:p>
        </w:tc>
        <w:tc>
          <w:tcPr>
            <w:tcW w:w="594" w:type="pct"/>
            <w:vMerge w:val="continue"/>
            <w:vAlign w:val="center"/>
          </w:tcPr>
          <w:p>
            <w:pPr>
              <w:spacing w:line="380" w:lineRule="exact"/>
              <w:rPr>
                <w:rFonts w:hint="eastAsia" w:ascii="宋体" w:hAnsi="宋体"/>
                <w:bCs/>
                <w:color w:val="auto"/>
                <w:sz w:val="22"/>
                <w:szCs w:val="22"/>
                <w:highlight w:val="none"/>
              </w:rPr>
            </w:pPr>
          </w:p>
        </w:tc>
      </w:tr>
    </w:tbl>
    <w:p>
      <w:pPr>
        <w:spacing w:line="380" w:lineRule="exact"/>
        <w:ind w:left="531" w:leftChars="38" w:hanging="451" w:hangingChars="204"/>
        <w:rPr>
          <w:rFonts w:ascii="宋体" w:hAnsi="宋体"/>
          <w:b/>
          <w:bCs/>
          <w:color w:val="auto"/>
          <w:sz w:val="22"/>
          <w:szCs w:val="22"/>
          <w:highlight w:val="none"/>
        </w:rPr>
      </w:pPr>
      <w:r>
        <w:rPr>
          <w:rFonts w:hint="eastAsia" w:ascii="宋体" w:hAnsi="宋体"/>
          <w:b/>
          <w:bCs/>
          <w:color w:val="auto"/>
          <w:sz w:val="22"/>
          <w:szCs w:val="22"/>
          <w:highlight w:val="none"/>
        </w:rPr>
        <w:t>说明：1.此栏内总报价应与附件三“磋商分项报价表”总计价相一致。</w:t>
      </w:r>
    </w:p>
    <w:p>
      <w:pPr>
        <w:spacing w:line="38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2.</w:t>
      </w:r>
      <w:r>
        <w:rPr>
          <w:rFonts w:hint="eastAsia" w:ascii="Arial" w:hAnsi="Arial" w:eastAsia="新宋体" w:cs="Arial"/>
          <w:b/>
          <w:bCs/>
          <w:color w:val="auto"/>
          <w:szCs w:val="21"/>
          <w:highlight w:val="none"/>
          <w:lang w:val="en-US" w:eastAsia="zh-CN"/>
        </w:rPr>
        <w:t>本项目投标报价应为完成全部工作所发生的所有费用，并承担一切风险责任，包括但不限于人员工资（加班费、社保、住房公积金及各种福利等所有相关费用）、税金、利润、管理费用、完成全部工作所发生的相关技术咨询服务费、专家费用（报告及方案的专家论证、验收费用）等一切费用。投标人应结合本次项目特点，市场行情及供应商自身的技术，管理水平，竞争能力，确定最终报价</w:t>
      </w:r>
      <w:r>
        <w:rPr>
          <w:rFonts w:hint="eastAsia" w:ascii="宋体" w:hAnsi="宋体"/>
          <w:b/>
          <w:bCs/>
          <w:color w:val="auto"/>
          <w:sz w:val="22"/>
          <w:szCs w:val="22"/>
          <w:highlight w:val="none"/>
        </w:rPr>
        <w:t>。</w:t>
      </w:r>
    </w:p>
    <w:p>
      <w:pPr>
        <w:spacing w:line="38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3.采购代理服务费应计入报价内。</w:t>
      </w:r>
    </w:p>
    <w:p>
      <w:pPr>
        <w:spacing w:line="380" w:lineRule="exact"/>
        <w:ind w:left="535" w:leftChars="-171" w:hanging="894" w:hangingChars="405"/>
        <w:rPr>
          <w:rFonts w:ascii="宋体" w:hAnsi="宋体"/>
          <w:b/>
          <w:bCs/>
          <w:color w:val="auto"/>
          <w:sz w:val="22"/>
          <w:szCs w:val="22"/>
          <w:highlight w:val="none"/>
        </w:rPr>
      </w:pPr>
    </w:p>
    <w:p>
      <w:pPr>
        <w:spacing w:line="380" w:lineRule="exact"/>
        <w:ind w:left="535" w:leftChars="-171" w:hanging="894" w:hangingChars="405"/>
        <w:rPr>
          <w:rFonts w:ascii="宋体" w:hAnsi="宋体"/>
          <w:b/>
          <w:bCs/>
          <w:color w:val="auto"/>
          <w:sz w:val="22"/>
          <w:szCs w:val="22"/>
          <w:highlight w:val="none"/>
        </w:rPr>
      </w:pPr>
    </w:p>
    <w:p>
      <w:pPr>
        <w:spacing w:line="380" w:lineRule="exact"/>
        <w:ind w:left="535" w:leftChars="-171" w:hanging="894" w:hangingChars="405"/>
        <w:rPr>
          <w:rFonts w:ascii="宋体" w:hAnsi="宋体"/>
          <w:b/>
          <w:bCs/>
          <w:color w:val="auto"/>
          <w:sz w:val="22"/>
          <w:szCs w:val="22"/>
          <w:highlight w:val="none"/>
        </w:rPr>
      </w:pPr>
    </w:p>
    <w:p>
      <w:pPr>
        <w:spacing w:line="440" w:lineRule="exact"/>
        <w:rPr>
          <w:color w:val="auto"/>
          <w:sz w:val="22"/>
          <w:highlight w:val="none"/>
        </w:rPr>
      </w:pPr>
      <w:r>
        <w:rPr>
          <w:rFonts w:hint="eastAsia"/>
          <w:color w:val="auto"/>
          <w:sz w:val="22"/>
          <w:highlight w:val="none"/>
        </w:rPr>
        <w:t>磋商供应商全称</w:t>
      </w:r>
      <w:r>
        <w:rPr>
          <w:rFonts w:hint="eastAsia" w:ascii="宋体" w:hAnsi="宋体" w:cs="宋体"/>
          <w:color w:val="auto"/>
          <w:sz w:val="22"/>
          <w:highlight w:val="none"/>
        </w:rPr>
        <w:t>（电子签名/公章）</w:t>
      </w:r>
      <w:r>
        <w:rPr>
          <w:rFonts w:hint="eastAsia"/>
          <w:color w:val="auto"/>
          <w:sz w:val="22"/>
          <w:highlight w:val="none"/>
        </w:rPr>
        <w:t>：</w:t>
      </w:r>
    </w:p>
    <w:p>
      <w:pPr>
        <w:spacing w:line="440" w:lineRule="exact"/>
        <w:rPr>
          <w:color w:val="auto"/>
          <w:sz w:val="22"/>
          <w:highlight w:val="none"/>
        </w:rPr>
      </w:pPr>
      <w:r>
        <w:rPr>
          <w:rFonts w:hint="eastAsia"/>
          <w:color w:val="auto"/>
          <w:sz w:val="22"/>
          <w:highlight w:val="none"/>
        </w:rPr>
        <w:t>日 期：       年     月     日</w:t>
      </w:r>
    </w:p>
    <w:p>
      <w:pPr>
        <w:spacing w:line="440" w:lineRule="exact"/>
        <w:rPr>
          <w:rFonts w:ascii="宋体" w:hAnsi="宋体"/>
          <w:color w:val="auto"/>
          <w:sz w:val="22"/>
          <w:szCs w:val="22"/>
          <w:highlight w:val="none"/>
        </w:rPr>
      </w:pPr>
    </w:p>
    <w:p>
      <w:pPr>
        <w:pStyle w:val="5"/>
        <w:spacing w:line="480" w:lineRule="exact"/>
        <w:rPr>
          <w:rFonts w:ascii="黑体" w:hAnsi="黑体"/>
          <w:color w:val="auto"/>
          <w:sz w:val="24"/>
          <w:szCs w:val="24"/>
          <w:highlight w:val="none"/>
        </w:rPr>
      </w:pPr>
      <w:r>
        <w:rPr>
          <w:rFonts w:ascii="宋体" w:hAnsi="宋体"/>
          <w:color w:val="auto"/>
          <w:sz w:val="22"/>
          <w:szCs w:val="22"/>
          <w:highlight w:val="none"/>
        </w:rPr>
        <w:br w:type="page"/>
      </w:r>
      <w:bookmarkStart w:id="141" w:name="_Toc3163"/>
      <w:bookmarkStart w:id="142" w:name="_Toc29549"/>
      <w:bookmarkStart w:id="143" w:name="_Toc25845921"/>
      <w:bookmarkStart w:id="144" w:name="_Toc9684"/>
      <w:bookmarkStart w:id="145" w:name="_Toc16474"/>
      <w:bookmarkStart w:id="146" w:name="_Toc10376"/>
      <w:bookmarkStart w:id="147" w:name="_Toc16751"/>
      <w:r>
        <w:rPr>
          <w:rFonts w:hint="eastAsia" w:ascii="黑体" w:hAnsi="黑体"/>
          <w:color w:val="auto"/>
          <w:sz w:val="24"/>
          <w:szCs w:val="24"/>
          <w:highlight w:val="none"/>
        </w:rPr>
        <w:t>附件三</w:t>
      </w:r>
      <w:r>
        <w:rPr>
          <w:rFonts w:hint="eastAsia" w:ascii="黑体" w:hAnsi="黑体"/>
          <w:color w:val="auto"/>
          <w:sz w:val="24"/>
          <w:szCs w:val="24"/>
          <w:highlight w:val="none"/>
          <w:lang w:val="en-US" w:eastAsia="zh-CN"/>
        </w:rPr>
        <w:t>-1</w:t>
      </w:r>
      <w:r>
        <w:rPr>
          <w:rFonts w:hint="eastAsia" w:ascii="黑体" w:hAnsi="黑体"/>
          <w:color w:val="auto"/>
          <w:sz w:val="24"/>
          <w:szCs w:val="24"/>
          <w:highlight w:val="none"/>
        </w:rPr>
        <w:t xml:space="preserve">  磋商分项报价表</w:t>
      </w:r>
      <w:bookmarkEnd w:id="141"/>
      <w:bookmarkEnd w:id="142"/>
      <w:bookmarkEnd w:id="143"/>
      <w:bookmarkEnd w:id="144"/>
      <w:bookmarkEnd w:id="145"/>
      <w:bookmarkEnd w:id="146"/>
      <w:bookmarkEnd w:id="147"/>
    </w:p>
    <w:p>
      <w:pPr>
        <w:jc w:val="center"/>
        <w:rPr>
          <w:rFonts w:ascii="宋体" w:hAnsi="宋体"/>
          <w:b/>
          <w:color w:val="auto"/>
          <w:sz w:val="28"/>
          <w:szCs w:val="28"/>
          <w:highlight w:val="none"/>
        </w:rPr>
      </w:pPr>
      <w:r>
        <w:rPr>
          <w:rFonts w:hint="eastAsia" w:ascii="宋体" w:hAnsi="宋体"/>
          <w:b/>
          <w:color w:val="auto"/>
          <w:sz w:val="28"/>
          <w:szCs w:val="28"/>
          <w:highlight w:val="none"/>
        </w:rPr>
        <w:t xml:space="preserve">  磋商分项报价表</w:t>
      </w:r>
    </w:p>
    <w:p>
      <w:pPr>
        <w:spacing w:line="380" w:lineRule="exact"/>
        <w:rPr>
          <w:rFonts w:ascii="宋体" w:hAnsi="宋体"/>
          <w:bCs/>
          <w:color w:val="auto"/>
          <w:sz w:val="22"/>
          <w:szCs w:val="22"/>
          <w:highlight w:val="none"/>
        </w:rPr>
      </w:pPr>
    </w:p>
    <w:p>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 xml:space="preserve">项目名称： </w:t>
      </w:r>
      <w:r>
        <w:rPr>
          <w:rFonts w:hint="eastAsia" w:ascii="宋体" w:hAnsi="宋体"/>
          <w:color w:val="auto"/>
          <w:sz w:val="22"/>
          <w:szCs w:val="22"/>
          <w:highlight w:val="none"/>
        </w:rPr>
        <w:t xml:space="preserve">                                               </w:t>
      </w:r>
      <w:r>
        <w:rPr>
          <w:rFonts w:hint="eastAsia" w:ascii="宋体" w:hAnsi="宋体"/>
          <w:b/>
          <w:bCs/>
          <w:color w:val="auto"/>
          <w:sz w:val="22"/>
          <w:szCs w:val="22"/>
          <w:highlight w:val="none"/>
        </w:rPr>
        <w:t xml:space="preserve"> 项目编号：</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235"/>
        <w:gridCol w:w="1290"/>
        <w:gridCol w:w="1311"/>
        <w:gridCol w:w="138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tcBorders>
              <w:top w:val="single" w:color="auto" w:sz="12" w:space="0"/>
              <w:left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序号</w:t>
            </w:r>
          </w:p>
        </w:tc>
        <w:tc>
          <w:tcPr>
            <w:tcW w:w="2235" w:type="dxa"/>
            <w:tcBorders>
              <w:top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费用名称</w:t>
            </w:r>
          </w:p>
        </w:tc>
        <w:tc>
          <w:tcPr>
            <w:tcW w:w="1290" w:type="dxa"/>
            <w:tcBorders>
              <w:top w:val="single" w:color="auto" w:sz="12" w:space="0"/>
              <w:bottom w:val="single" w:color="auto" w:sz="12" w:space="0"/>
            </w:tcBorders>
            <w:noWrap w:val="0"/>
            <w:vAlign w:val="center"/>
          </w:tcPr>
          <w:p>
            <w:pPr>
              <w:jc w:val="center"/>
              <w:rPr>
                <w:rFonts w:hint="eastAsia" w:ascii="宋体" w:hAnsi="宋体" w:cs="Arial"/>
                <w:bCs/>
                <w:color w:val="auto"/>
                <w:szCs w:val="21"/>
                <w:highlight w:val="none"/>
              </w:rPr>
            </w:pPr>
            <w:r>
              <w:rPr>
                <w:rFonts w:ascii="宋体" w:hAnsi="宋体" w:cs="Arial"/>
                <w:bCs/>
                <w:color w:val="auto"/>
                <w:szCs w:val="21"/>
                <w:highlight w:val="none"/>
              </w:rPr>
              <w:t>数量</w:t>
            </w:r>
          </w:p>
        </w:tc>
        <w:tc>
          <w:tcPr>
            <w:tcW w:w="1311" w:type="dxa"/>
            <w:tcBorders>
              <w:top w:val="single" w:color="auto" w:sz="12" w:space="0"/>
              <w:bottom w:val="single" w:color="auto" w:sz="12" w:space="0"/>
            </w:tcBorders>
            <w:noWrap w:val="0"/>
            <w:vAlign w:val="center"/>
          </w:tcPr>
          <w:p>
            <w:pPr>
              <w:ind w:right="-11"/>
              <w:jc w:val="center"/>
              <w:rPr>
                <w:rFonts w:hint="eastAsia" w:ascii="宋体" w:hAnsi="宋体" w:cs="Arial"/>
                <w:color w:val="auto"/>
                <w:szCs w:val="21"/>
                <w:highlight w:val="none"/>
              </w:rPr>
            </w:pPr>
            <w:r>
              <w:rPr>
                <w:rFonts w:hint="eastAsia" w:ascii="宋体" w:hAnsi="宋体" w:cs="Arial"/>
                <w:color w:val="auto"/>
                <w:szCs w:val="21"/>
                <w:highlight w:val="none"/>
              </w:rPr>
              <w:t>单位</w:t>
            </w:r>
          </w:p>
        </w:tc>
        <w:tc>
          <w:tcPr>
            <w:tcW w:w="1386" w:type="dxa"/>
            <w:tcBorders>
              <w:top w:val="single" w:color="auto" w:sz="12" w:space="0"/>
              <w:bottom w:val="single" w:color="auto" w:sz="12" w:space="0"/>
            </w:tcBorders>
            <w:noWrap w:val="0"/>
            <w:vAlign w:val="center"/>
          </w:tcPr>
          <w:p>
            <w:pPr>
              <w:jc w:val="center"/>
              <w:rPr>
                <w:rFonts w:ascii="宋体" w:hAnsi="宋体" w:cs="Arial"/>
                <w:color w:val="auto"/>
                <w:szCs w:val="21"/>
                <w:highlight w:val="none"/>
              </w:rPr>
            </w:pPr>
            <w:r>
              <w:rPr>
                <w:rFonts w:hint="eastAsia" w:ascii="宋体" w:hAnsi="宋体" w:cs="Arial"/>
                <w:bCs/>
                <w:color w:val="auto"/>
                <w:szCs w:val="21"/>
                <w:highlight w:val="none"/>
              </w:rPr>
              <w:t>总价</w:t>
            </w:r>
            <w:r>
              <w:rPr>
                <w:rFonts w:ascii="宋体" w:hAnsi="宋体" w:cs="Arial"/>
                <w:color w:val="auto"/>
                <w:szCs w:val="21"/>
                <w:highlight w:val="none"/>
              </w:rPr>
              <w:t>（含税）</w:t>
            </w:r>
          </w:p>
        </w:tc>
        <w:tc>
          <w:tcPr>
            <w:tcW w:w="2468" w:type="dxa"/>
            <w:tcBorders>
              <w:top w:val="single" w:color="auto" w:sz="12" w:space="0"/>
              <w:bottom w:val="single" w:color="auto" w:sz="12" w:space="0"/>
              <w:right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ind w:right="-11"/>
              <w:jc w:val="center"/>
              <w:rPr>
                <w:rFonts w:ascii="宋体" w:hAnsi="宋体" w:cs="Arial"/>
                <w:color w:val="auto"/>
                <w:szCs w:val="21"/>
                <w:highlight w:val="none"/>
              </w:rPr>
            </w:pPr>
          </w:p>
        </w:tc>
        <w:tc>
          <w:tcPr>
            <w:tcW w:w="2235" w:type="dxa"/>
            <w:noWrap w:val="0"/>
            <w:vAlign w:val="center"/>
          </w:tcPr>
          <w:p>
            <w:pPr>
              <w:spacing w:line="360" w:lineRule="auto"/>
              <w:jc w:val="center"/>
              <w:rPr>
                <w:rFonts w:ascii="宋体" w:hAnsi="宋体" w:cs="Arial"/>
                <w:color w:val="auto"/>
                <w:szCs w:val="21"/>
                <w:highlight w:val="none"/>
              </w:rPr>
            </w:pPr>
          </w:p>
        </w:tc>
        <w:tc>
          <w:tcPr>
            <w:tcW w:w="1290" w:type="dxa"/>
            <w:noWrap w:val="0"/>
            <w:vAlign w:val="center"/>
          </w:tcPr>
          <w:p>
            <w:pPr>
              <w:spacing w:line="440" w:lineRule="exact"/>
              <w:jc w:val="center"/>
              <w:rPr>
                <w:rFonts w:ascii="宋体" w:hAnsi="宋体" w:cs="Arial"/>
                <w:color w:val="auto"/>
                <w:szCs w:val="21"/>
                <w:highlight w:val="none"/>
              </w:rPr>
            </w:pPr>
          </w:p>
        </w:tc>
        <w:tc>
          <w:tcPr>
            <w:tcW w:w="1311" w:type="dxa"/>
            <w:noWrap w:val="0"/>
            <w:vAlign w:val="center"/>
          </w:tcPr>
          <w:p>
            <w:pPr>
              <w:ind w:right="-11"/>
              <w:jc w:val="center"/>
              <w:rPr>
                <w:rFonts w:ascii="宋体" w:hAnsi="宋体" w:cs="Arial"/>
                <w:color w:val="auto"/>
                <w:szCs w:val="21"/>
                <w:highlight w:val="none"/>
              </w:rPr>
            </w:pPr>
          </w:p>
        </w:tc>
        <w:tc>
          <w:tcPr>
            <w:tcW w:w="1386" w:type="dxa"/>
            <w:noWrap w:val="0"/>
            <w:vAlign w:val="center"/>
          </w:tcPr>
          <w:p>
            <w:pPr>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ind w:right="-11"/>
              <w:jc w:val="center"/>
              <w:rPr>
                <w:rFonts w:ascii="宋体" w:hAnsi="宋体" w:cs="Arial"/>
                <w:color w:val="auto"/>
                <w:szCs w:val="21"/>
                <w:highlight w:val="none"/>
              </w:rPr>
            </w:pPr>
          </w:p>
        </w:tc>
        <w:tc>
          <w:tcPr>
            <w:tcW w:w="2235" w:type="dxa"/>
            <w:noWrap w:val="0"/>
            <w:vAlign w:val="center"/>
          </w:tcPr>
          <w:p>
            <w:pPr>
              <w:spacing w:line="360" w:lineRule="auto"/>
              <w:jc w:val="center"/>
              <w:rPr>
                <w:rFonts w:ascii="宋体" w:hAnsi="宋体" w:cs="Arial"/>
                <w:color w:val="auto"/>
                <w:szCs w:val="21"/>
                <w:highlight w:val="none"/>
              </w:rPr>
            </w:pPr>
          </w:p>
        </w:tc>
        <w:tc>
          <w:tcPr>
            <w:tcW w:w="1290" w:type="dxa"/>
            <w:noWrap w:val="0"/>
            <w:vAlign w:val="center"/>
          </w:tcPr>
          <w:p>
            <w:pPr>
              <w:spacing w:line="440" w:lineRule="exact"/>
              <w:jc w:val="center"/>
              <w:rPr>
                <w:rFonts w:ascii="宋体" w:hAnsi="宋体" w:cs="Arial"/>
                <w:color w:val="auto"/>
                <w:szCs w:val="21"/>
                <w:highlight w:val="none"/>
              </w:rPr>
            </w:pPr>
          </w:p>
        </w:tc>
        <w:tc>
          <w:tcPr>
            <w:tcW w:w="1311" w:type="dxa"/>
            <w:noWrap w:val="0"/>
            <w:vAlign w:val="center"/>
          </w:tcPr>
          <w:p>
            <w:pPr>
              <w:ind w:right="-11"/>
              <w:jc w:val="center"/>
              <w:rPr>
                <w:rFonts w:ascii="宋体" w:hAnsi="宋体" w:cs="Arial"/>
                <w:color w:val="auto"/>
                <w:szCs w:val="21"/>
                <w:highlight w:val="none"/>
              </w:rPr>
            </w:pPr>
          </w:p>
        </w:tc>
        <w:tc>
          <w:tcPr>
            <w:tcW w:w="1386" w:type="dxa"/>
            <w:noWrap w:val="0"/>
            <w:vAlign w:val="center"/>
          </w:tcPr>
          <w:p>
            <w:pPr>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ind w:right="-11"/>
              <w:jc w:val="center"/>
              <w:rPr>
                <w:rFonts w:ascii="宋体" w:hAnsi="宋体" w:cs="Arial"/>
                <w:color w:val="auto"/>
                <w:szCs w:val="21"/>
                <w:highlight w:val="none"/>
              </w:rPr>
            </w:pPr>
          </w:p>
        </w:tc>
        <w:tc>
          <w:tcPr>
            <w:tcW w:w="2235" w:type="dxa"/>
            <w:noWrap w:val="0"/>
            <w:vAlign w:val="center"/>
          </w:tcPr>
          <w:p>
            <w:pPr>
              <w:spacing w:line="360" w:lineRule="auto"/>
              <w:jc w:val="center"/>
              <w:rPr>
                <w:rFonts w:ascii="宋体" w:hAnsi="宋体" w:cs="Arial"/>
                <w:color w:val="auto"/>
                <w:szCs w:val="21"/>
                <w:highlight w:val="none"/>
              </w:rPr>
            </w:pPr>
          </w:p>
        </w:tc>
        <w:tc>
          <w:tcPr>
            <w:tcW w:w="1290" w:type="dxa"/>
            <w:noWrap w:val="0"/>
            <w:vAlign w:val="center"/>
          </w:tcPr>
          <w:p>
            <w:pPr>
              <w:spacing w:line="440" w:lineRule="exact"/>
              <w:jc w:val="center"/>
              <w:rPr>
                <w:rFonts w:ascii="宋体" w:hAnsi="宋体" w:cs="Arial"/>
                <w:color w:val="auto"/>
                <w:szCs w:val="21"/>
                <w:highlight w:val="none"/>
              </w:rPr>
            </w:pPr>
          </w:p>
        </w:tc>
        <w:tc>
          <w:tcPr>
            <w:tcW w:w="1311" w:type="dxa"/>
            <w:noWrap w:val="0"/>
            <w:vAlign w:val="center"/>
          </w:tcPr>
          <w:p>
            <w:pPr>
              <w:ind w:right="-11"/>
              <w:jc w:val="center"/>
              <w:rPr>
                <w:rFonts w:ascii="宋体" w:hAnsi="宋体" w:cs="Arial"/>
                <w:color w:val="auto"/>
                <w:szCs w:val="21"/>
                <w:highlight w:val="none"/>
              </w:rPr>
            </w:pPr>
          </w:p>
        </w:tc>
        <w:tc>
          <w:tcPr>
            <w:tcW w:w="1386" w:type="dxa"/>
            <w:noWrap w:val="0"/>
            <w:vAlign w:val="center"/>
          </w:tcPr>
          <w:p>
            <w:pPr>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spacing w:line="360" w:lineRule="auto"/>
              <w:ind w:right="-11"/>
              <w:jc w:val="center"/>
              <w:rPr>
                <w:rFonts w:hint="eastAsia" w:ascii="宋体" w:hAnsi="宋体" w:cs="Arial"/>
                <w:color w:val="auto"/>
                <w:szCs w:val="21"/>
                <w:highlight w:val="none"/>
              </w:rPr>
            </w:pPr>
          </w:p>
        </w:tc>
        <w:tc>
          <w:tcPr>
            <w:tcW w:w="2235" w:type="dxa"/>
            <w:noWrap w:val="0"/>
            <w:vAlign w:val="center"/>
          </w:tcPr>
          <w:p>
            <w:pPr>
              <w:spacing w:line="360" w:lineRule="auto"/>
              <w:jc w:val="center"/>
              <w:rPr>
                <w:rFonts w:ascii="宋体" w:hAnsi="宋体" w:cs="Arial"/>
                <w:color w:val="auto"/>
                <w:szCs w:val="21"/>
                <w:highlight w:val="none"/>
              </w:rPr>
            </w:pPr>
          </w:p>
        </w:tc>
        <w:tc>
          <w:tcPr>
            <w:tcW w:w="1290" w:type="dxa"/>
            <w:noWrap w:val="0"/>
            <w:vAlign w:val="center"/>
          </w:tcPr>
          <w:p>
            <w:pPr>
              <w:spacing w:line="440" w:lineRule="exact"/>
              <w:jc w:val="center"/>
              <w:rPr>
                <w:rFonts w:ascii="宋体" w:hAnsi="宋体" w:cs="Arial"/>
                <w:color w:val="auto"/>
                <w:szCs w:val="21"/>
                <w:highlight w:val="none"/>
              </w:rPr>
            </w:pPr>
          </w:p>
        </w:tc>
        <w:tc>
          <w:tcPr>
            <w:tcW w:w="1311" w:type="dxa"/>
            <w:noWrap w:val="0"/>
            <w:vAlign w:val="top"/>
          </w:tcPr>
          <w:p>
            <w:pPr>
              <w:spacing w:line="360" w:lineRule="auto"/>
              <w:ind w:right="-11"/>
              <w:jc w:val="center"/>
              <w:rPr>
                <w:rFonts w:ascii="宋体" w:hAnsi="宋体" w:cs="Arial"/>
                <w:color w:val="auto"/>
                <w:szCs w:val="21"/>
                <w:highlight w:val="none"/>
              </w:rPr>
            </w:pPr>
          </w:p>
        </w:tc>
        <w:tc>
          <w:tcPr>
            <w:tcW w:w="1386" w:type="dxa"/>
            <w:noWrap w:val="0"/>
            <w:vAlign w:val="center"/>
          </w:tcPr>
          <w:p>
            <w:pPr>
              <w:spacing w:line="360" w:lineRule="auto"/>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spacing w:line="360" w:lineRule="auto"/>
              <w:ind w:right="-11"/>
              <w:jc w:val="center"/>
              <w:rPr>
                <w:rFonts w:hint="eastAsia" w:ascii="宋体" w:hAnsi="宋体" w:cs="Arial"/>
                <w:color w:val="auto"/>
                <w:szCs w:val="21"/>
                <w:highlight w:val="none"/>
              </w:rPr>
            </w:pPr>
          </w:p>
        </w:tc>
        <w:tc>
          <w:tcPr>
            <w:tcW w:w="2235" w:type="dxa"/>
            <w:noWrap w:val="0"/>
            <w:vAlign w:val="center"/>
          </w:tcPr>
          <w:p>
            <w:pPr>
              <w:spacing w:line="360" w:lineRule="auto"/>
              <w:jc w:val="center"/>
              <w:rPr>
                <w:rFonts w:ascii="宋体" w:hAnsi="宋体" w:cs="Arial"/>
                <w:color w:val="auto"/>
                <w:szCs w:val="21"/>
                <w:highlight w:val="none"/>
              </w:rPr>
            </w:pPr>
          </w:p>
        </w:tc>
        <w:tc>
          <w:tcPr>
            <w:tcW w:w="1290" w:type="dxa"/>
            <w:noWrap w:val="0"/>
            <w:vAlign w:val="center"/>
          </w:tcPr>
          <w:p>
            <w:pPr>
              <w:spacing w:line="440" w:lineRule="exact"/>
              <w:jc w:val="center"/>
              <w:rPr>
                <w:rFonts w:ascii="宋体" w:hAnsi="宋体" w:cs="Arial"/>
                <w:color w:val="auto"/>
                <w:szCs w:val="21"/>
                <w:highlight w:val="none"/>
              </w:rPr>
            </w:pPr>
          </w:p>
        </w:tc>
        <w:tc>
          <w:tcPr>
            <w:tcW w:w="1311" w:type="dxa"/>
            <w:noWrap w:val="0"/>
            <w:vAlign w:val="top"/>
          </w:tcPr>
          <w:p>
            <w:pPr>
              <w:spacing w:line="360" w:lineRule="auto"/>
              <w:ind w:right="-11"/>
              <w:jc w:val="center"/>
              <w:rPr>
                <w:rFonts w:ascii="宋体" w:hAnsi="宋体" w:cs="Arial"/>
                <w:color w:val="auto"/>
                <w:szCs w:val="21"/>
                <w:highlight w:val="none"/>
              </w:rPr>
            </w:pPr>
          </w:p>
        </w:tc>
        <w:tc>
          <w:tcPr>
            <w:tcW w:w="1386" w:type="dxa"/>
            <w:noWrap w:val="0"/>
            <w:vAlign w:val="center"/>
          </w:tcPr>
          <w:p>
            <w:pPr>
              <w:spacing w:line="360" w:lineRule="auto"/>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spacing w:line="360" w:lineRule="auto"/>
              <w:ind w:right="-11"/>
              <w:jc w:val="center"/>
              <w:rPr>
                <w:rFonts w:hint="eastAsia" w:ascii="宋体" w:hAnsi="宋体" w:cs="Arial"/>
                <w:color w:val="auto"/>
                <w:szCs w:val="21"/>
                <w:highlight w:val="none"/>
              </w:rPr>
            </w:pPr>
          </w:p>
        </w:tc>
        <w:tc>
          <w:tcPr>
            <w:tcW w:w="2235" w:type="dxa"/>
            <w:noWrap w:val="0"/>
            <w:vAlign w:val="center"/>
          </w:tcPr>
          <w:p>
            <w:pPr>
              <w:spacing w:line="360" w:lineRule="auto"/>
              <w:jc w:val="center"/>
              <w:rPr>
                <w:rFonts w:ascii="宋体" w:hAnsi="宋体" w:cs="Arial"/>
                <w:color w:val="auto"/>
                <w:szCs w:val="21"/>
                <w:highlight w:val="none"/>
              </w:rPr>
            </w:pPr>
          </w:p>
        </w:tc>
        <w:tc>
          <w:tcPr>
            <w:tcW w:w="1290" w:type="dxa"/>
            <w:noWrap w:val="0"/>
            <w:vAlign w:val="center"/>
          </w:tcPr>
          <w:p>
            <w:pPr>
              <w:spacing w:line="360" w:lineRule="auto"/>
              <w:jc w:val="center"/>
              <w:rPr>
                <w:rFonts w:ascii="宋体" w:hAnsi="宋体" w:cs="Arial"/>
                <w:color w:val="auto"/>
                <w:szCs w:val="21"/>
                <w:highlight w:val="none"/>
              </w:rPr>
            </w:pPr>
          </w:p>
        </w:tc>
        <w:tc>
          <w:tcPr>
            <w:tcW w:w="1311" w:type="dxa"/>
            <w:noWrap w:val="0"/>
            <w:vAlign w:val="top"/>
          </w:tcPr>
          <w:p>
            <w:pPr>
              <w:spacing w:line="360" w:lineRule="auto"/>
              <w:ind w:right="-11"/>
              <w:jc w:val="center"/>
              <w:rPr>
                <w:rFonts w:ascii="宋体" w:hAnsi="宋体" w:cs="Arial"/>
                <w:color w:val="auto"/>
                <w:szCs w:val="21"/>
                <w:highlight w:val="none"/>
              </w:rPr>
            </w:pPr>
          </w:p>
        </w:tc>
        <w:tc>
          <w:tcPr>
            <w:tcW w:w="1386" w:type="dxa"/>
            <w:noWrap w:val="0"/>
            <w:vAlign w:val="center"/>
          </w:tcPr>
          <w:p>
            <w:pPr>
              <w:spacing w:line="360" w:lineRule="auto"/>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35" w:type="dxa"/>
            <w:noWrap w:val="0"/>
            <w:vAlign w:val="center"/>
          </w:tcPr>
          <w:p>
            <w:pPr>
              <w:spacing w:line="360" w:lineRule="auto"/>
              <w:rPr>
                <w:rFonts w:ascii="宋体" w:hAnsi="宋体" w:cs="Arial"/>
                <w:color w:val="auto"/>
                <w:szCs w:val="21"/>
                <w:highlight w:val="none"/>
              </w:rPr>
            </w:pPr>
          </w:p>
        </w:tc>
        <w:tc>
          <w:tcPr>
            <w:tcW w:w="1290" w:type="dxa"/>
            <w:noWrap w:val="0"/>
            <w:vAlign w:val="top"/>
          </w:tcPr>
          <w:p>
            <w:pPr>
              <w:spacing w:line="360" w:lineRule="auto"/>
              <w:ind w:right="-11"/>
              <w:jc w:val="center"/>
              <w:rPr>
                <w:rFonts w:ascii="宋体" w:hAnsi="宋体" w:cs="Arial"/>
                <w:color w:val="auto"/>
                <w:szCs w:val="21"/>
                <w:highlight w:val="none"/>
              </w:rPr>
            </w:pPr>
          </w:p>
        </w:tc>
        <w:tc>
          <w:tcPr>
            <w:tcW w:w="1311" w:type="dxa"/>
            <w:noWrap w:val="0"/>
            <w:vAlign w:val="top"/>
          </w:tcPr>
          <w:p>
            <w:pPr>
              <w:spacing w:line="360" w:lineRule="auto"/>
              <w:ind w:right="-11"/>
              <w:jc w:val="center"/>
              <w:rPr>
                <w:rFonts w:ascii="宋体" w:hAnsi="宋体" w:cs="Arial"/>
                <w:color w:val="auto"/>
                <w:szCs w:val="21"/>
                <w:highlight w:val="none"/>
              </w:rPr>
            </w:pPr>
          </w:p>
        </w:tc>
        <w:tc>
          <w:tcPr>
            <w:tcW w:w="1386" w:type="dxa"/>
            <w:noWrap w:val="0"/>
            <w:vAlign w:val="center"/>
          </w:tcPr>
          <w:p>
            <w:pPr>
              <w:spacing w:line="360" w:lineRule="auto"/>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35" w:type="dxa"/>
            <w:noWrap w:val="0"/>
            <w:vAlign w:val="center"/>
          </w:tcPr>
          <w:p>
            <w:pPr>
              <w:spacing w:line="360" w:lineRule="auto"/>
              <w:rPr>
                <w:rFonts w:ascii="宋体" w:hAnsi="宋体" w:cs="Arial"/>
                <w:color w:val="auto"/>
                <w:szCs w:val="21"/>
                <w:highlight w:val="none"/>
              </w:rPr>
            </w:pPr>
          </w:p>
        </w:tc>
        <w:tc>
          <w:tcPr>
            <w:tcW w:w="1290" w:type="dxa"/>
            <w:noWrap w:val="0"/>
            <w:vAlign w:val="top"/>
          </w:tcPr>
          <w:p>
            <w:pPr>
              <w:spacing w:line="360" w:lineRule="auto"/>
              <w:ind w:right="-11"/>
              <w:jc w:val="center"/>
              <w:rPr>
                <w:rFonts w:ascii="宋体" w:hAnsi="宋体" w:cs="Arial"/>
                <w:color w:val="auto"/>
                <w:szCs w:val="21"/>
                <w:highlight w:val="none"/>
              </w:rPr>
            </w:pPr>
          </w:p>
        </w:tc>
        <w:tc>
          <w:tcPr>
            <w:tcW w:w="1311" w:type="dxa"/>
            <w:noWrap w:val="0"/>
            <w:vAlign w:val="top"/>
          </w:tcPr>
          <w:p>
            <w:pPr>
              <w:spacing w:line="360" w:lineRule="auto"/>
              <w:ind w:right="-11"/>
              <w:jc w:val="center"/>
              <w:rPr>
                <w:rFonts w:ascii="宋体" w:hAnsi="宋体" w:cs="Arial"/>
                <w:color w:val="auto"/>
                <w:szCs w:val="21"/>
                <w:highlight w:val="none"/>
              </w:rPr>
            </w:pPr>
          </w:p>
        </w:tc>
        <w:tc>
          <w:tcPr>
            <w:tcW w:w="1386" w:type="dxa"/>
            <w:noWrap w:val="0"/>
            <w:vAlign w:val="center"/>
          </w:tcPr>
          <w:p>
            <w:pPr>
              <w:spacing w:line="360" w:lineRule="auto"/>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35" w:type="dxa"/>
            <w:noWrap w:val="0"/>
            <w:vAlign w:val="center"/>
          </w:tcPr>
          <w:p>
            <w:pPr>
              <w:spacing w:line="360" w:lineRule="auto"/>
              <w:rPr>
                <w:rFonts w:ascii="宋体" w:hAnsi="宋体" w:cs="Arial"/>
                <w:color w:val="auto"/>
                <w:szCs w:val="21"/>
                <w:highlight w:val="none"/>
              </w:rPr>
            </w:pPr>
          </w:p>
        </w:tc>
        <w:tc>
          <w:tcPr>
            <w:tcW w:w="1290" w:type="dxa"/>
            <w:noWrap w:val="0"/>
            <w:vAlign w:val="top"/>
          </w:tcPr>
          <w:p>
            <w:pPr>
              <w:spacing w:line="360" w:lineRule="auto"/>
              <w:ind w:right="-11"/>
              <w:jc w:val="center"/>
              <w:rPr>
                <w:rFonts w:ascii="宋体" w:hAnsi="宋体" w:cs="Arial"/>
                <w:color w:val="auto"/>
                <w:szCs w:val="21"/>
                <w:highlight w:val="none"/>
              </w:rPr>
            </w:pPr>
          </w:p>
        </w:tc>
        <w:tc>
          <w:tcPr>
            <w:tcW w:w="1311" w:type="dxa"/>
            <w:noWrap w:val="0"/>
            <w:vAlign w:val="top"/>
          </w:tcPr>
          <w:p>
            <w:pPr>
              <w:spacing w:line="360" w:lineRule="auto"/>
              <w:ind w:right="-11"/>
              <w:jc w:val="center"/>
              <w:rPr>
                <w:rFonts w:ascii="宋体" w:hAnsi="宋体" w:cs="Arial"/>
                <w:color w:val="auto"/>
                <w:szCs w:val="21"/>
                <w:highlight w:val="none"/>
              </w:rPr>
            </w:pPr>
          </w:p>
        </w:tc>
        <w:tc>
          <w:tcPr>
            <w:tcW w:w="1386" w:type="dxa"/>
            <w:noWrap w:val="0"/>
            <w:vAlign w:val="center"/>
          </w:tcPr>
          <w:p>
            <w:pPr>
              <w:spacing w:line="360" w:lineRule="auto"/>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6"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35" w:type="dxa"/>
            <w:noWrap w:val="0"/>
            <w:vAlign w:val="center"/>
          </w:tcPr>
          <w:p>
            <w:pPr>
              <w:spacing w:line="360" w:lineRule="auto"/>
              <w:rPr>
                <w:rFonts w:ascii="宋体" w:hAnsi="宋体" w:cs="Arial"/>
                <w:color w:val="auto"/>
                <w:szCs w:val="21"/>
                <w:highlight w:val="none"/>
              </w:rPr>
            </w:pPr>
          </w:p>
        </w:tc>
        <w:tc>
          <w:tcPr>
            <w:tcW w:w="1290" w:type="dxa"/>
            <w:noWrap w:val="0"/>
            <w:vAlign w:val="top"/>
          </w:tcPr>
          <w:p>
            <w:pPr>
              <w:spacing w:line="360" w:lineRule="auto"/>
              <w:ind w:right="-11"/>
              <w:jc w:val="center"/>
              <w:rPr>
                <w:rFonts w:ascii="宋体" w:hAnsi="宋体" w:cs="Arial"/>
                <w:color w:val="auto"/>
                <w:szCs w:val="21"/>
                <w:highlight w:val="none"/>
              </w:rPr>
            </w:pPr>
          </w:p>
        </w:tc>
        <w:tc>
          <w:tcPr>
            <w:tcW w:w="1311" w:type="dxa"/>
            <w:noWrap w:val="0"/>
            <w:vAlign w:val="top"/>
          </w:tcPr>
          <w:p>
            <w:pPr>
              <w:spacing w:line="360" w:lineRule="auto"/>
              <w:ind w:right="-11"/>
              <w:jc w:val="center"/>
              <w:rPr>
                <w:rFonts w:ascii="宋体" w:hAnsi="宋体" w:cs="Arial"/>
                <w:color w:val="auto"/>
                <w:szCs w:val="21"/>
                <w:highlight w:val="none"/>
              </w:rPr>
            </w:pPr>
          </w:p>
        </w:tc>
        <w:tc>
          <w:tcPr>
            <w:tcW w:w="1386" w:type="dxa"/>
            <w:noWrap w:val="0"/>
            <w:vAlign w:val="center"/>
          </w:tcPr>
          <w:p>
            <w:pPr>
              <w:spacing w:line="360" w:lineRule="auto"/>
              <w:ind w:right="-11"/>
              <w:jc w:val="center"/>
              <w:rPr>
                <w:rFonts w:ascii="宋体" w:hAnsi="宋体" w:cs="Arial"/>
                <w:color w:val="auto"/>
                <w:szCs w:val="21"/>
                <w:highlight w:val="none"/>
              </w:rPr>
            </w:pPr>
          </w:p>
        </w:tc>
        <w:tc>
          <w:tcPr>
            <w:tcW w:w="2468"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522" w:type="dxa"/>
            <w:gridSpan w:val="4"/>
            <w:tcBorders>
              <w:left w:val="single" w:color="auto" w:sz="12" w:space="0"/>
              <w:bottom w:val="single" w:color="auto" w:sz="12" w:space="0"/>
            </w:tcBorders>
            <w:noWrap w:val="0"/>
            <w:vAlign w:val="center"/>
          </w:tcPr>
          <w:p>
            <w:pPr>
              <w:spacing w:line="360" w:lineRule="auto"/>
              <w:ind w:right="-11"/>
              <w:jc w:val="center"/>
              <w:rPr>
                <w:rFonts w:ascii="宋体" w:hAnsi="宋体" w:cs="Arial"/>
                <w:color w:val="auto"/>
                <w:szCs w:val="21"/>
                <w:highlight w:val="none"/>
              </w:rPr>
            </w:pPr>
            <w:r>
              <w:rPr>
                <w:rFonts w:hint="eastAsia" w:ascii="宋体" w:hAnsi="宋体" w:cs="Arial"/>
                <w:color w:val="auto"/>
                <w:szCs w:val="21"/>
                <w:highlight w:val="none"/>
              </w:rPr>
              <w:t>合计总价</w:t>
            </w:r>
          </w:p>
        </w:tc>
        <w:tc>
          <w:tcPr>
            <w:tcW w:w="3854" w:type="dxa"/>
            <w:gridSpan w:val="2"/>
            <w:tcBorders>
              <w:bottom w:val="single" w:color="auto" w:sz="12" w:space="0"/>
              <w:right w:val="single" w:color="auto" w:sz="12" w:space="0"/>
            </w:tcBorders>
            <w:noWrap w:val="0"/>
            <w:vAlign w:val="center"/>
          </w:tcPr>
          <w:p>
            <w:pPr>
              <w:spacing w:line="360" w:lineRule="auto"/>
              <w:ind w:right="-11"/>
              <w:rPr>
                <w:rFonts w:hint="eastAsia" w:ascii="宋体" w:hAnsi="宋体" w:cs="Arial"/>
                <w:color w:val="auto"/>
                <w:szCs w:val="21"/>
                <w:highlight w:val="none"/>
              </w:rPr>
            </w:pPr>
            <w:r>
              <w:rPr>
                <w:rFonts w:hint="eastAsia" w:ascii="宋体" w:hAnsi="宋体" w:cs="Arial"/>
                <w:color w:val="auto"/>
                <w:szCs w:val="21"/>
                <w:highlight w:val="none"/>
              </w:rPr>
              <w:t>小写：</w:t>
            </w:r>
          </w:p>
          <w:p>
            <w:pPr>
              <w:spacing w:line="360" w:lineRule="auto"/>
              <w:ind w:right="-11"/>
              <w:rPr>
                <w:rFonts w:hint="eastAsia" w:ascii="宋体" w:hAnsi="宋体" w:cs="Arial"/>
                <w:color w:val="auto"/>
                <w:szCs w:val="21"/>
                <w:highlight w:val="none"/>
              </w:rPr>
            </w:pPr>
            <w:r>
              <w:rPr>
                <w:rFonts w:hint="eastAsia" w:ascii="宋体" w:hAnsi="宋体" w:cs="Arial"/>
                <w:color w:val="auto"/>
                <w:szCs w:val="21"/>
                <w:highlight w:val="none"/>
              </w:rPr>
              <w:t>大写：</w:t>
            </w:r>
          </w:p>
        </w:tc>
      </w:tr>
    </w:tbl>
    <w:p>
      <w:pPr>
        <w:spacing w:line="440" w:lineRule="exact"/>
        <w:rPr>
          <w:rFonts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w:t>
      </w:r>
      <w:r>
        <w:rPr>
          <w:rFonts w:hint="eastAsia" w:ascii="宋体" w:hAnsi="宋体" w:eastAsia="宋体" w:cs="Times New Roman"/>
          <w:color w:val="auto"/>
          <w:sz w:val="22"/>
          <w:szCs w:val="22"/>
          <w:highlight w:val="none"/>
        </w:rPr>
        <w:t>供磋商分项报价表将视为没</w:t>
      </w:r>
      <w:r>
        <w:rPr>
          <w:rFonts w:hint="eastAsia" w:ascii="宋体" w:hAnsi="宋体"/>
          <w:color w:val="auto"/>
          <w:sz w:val="22"/>
          <w:szCs w:val="22"/>
          <w:highlight w:val="none"/>
        </w:rPr>
        <w:t>有实质性响应磋商文件。</w:t>
      </w:r>
    </w:p>
    <w:p>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2.此表的</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价应与附件二“磋商报价一览表”对应</w:t>
      </w:r>
      <w:r>
        <w:rPr>
          <w:rFonts w:hint="eastAsia" w:ascii="宋体" w:hAnsi="宋体"/>
          <w:color w:val="auto"/>
          <w:sz w:val="22"/>
          <w:szCs w:val="22"/>
          <w:highlight w:val="none"/>
          <w:lang w:val="en-US" w:eastAsia="zh-CN"/>
        </w:rPr>
        <w:t>总</w:t>
      </w:r>
      <w:r>
        <w:rPr>
          <w:rFonts w:hint="eastAsia" w:ascii="宋体" w:hAnsi="宋体"/>
          <w:color w:val="auto"/>
          <w:sz w:val="22"/>
          <w:szCs w:val="22"/>
          <w:highlight w:val="none"/>
        </w:rPr>
        <w:t>报价相一致。</w:t>
      </w:r>
    </w:p>
    <w:p>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3.如果免费请在该备注栏内注明“免”，如果含在产品价格中则填“含”，如无此项内容则填“无”，不留空白。</w:t>
      </w:r>
    </w:p>
    <w:p>
      <w:pPr>
        <w:spacing w:line="440" w:lineRule="exact"/>
        <w:rPr>
          <w:rFonts w:ascii="宋体" w:hAnsi="宋体"/>
          <w:color w:val="auto"/>
          <w:sz w:val="22"/>
          <w:szCs w:val="22"/>
          <w:highlight w:val="none"/>
        </w:rPr>
      </w:pPr>
    </w:p>
    <w:p>
      <w:pPr>
        <w:pStyle w:val="15"/>
        <w:rPr>
          <w:color w:val="auto"/>
          <w:highlight w:val="none"/>
        </w:rPr>
      </w:pPr>
    </w:p>
    <w:p>
      <w:pPr>
        <w:spacing w:line="440" w:lineRule="exact"/>
        <w:rPr>
          <w:color w:val="auto"/>
          <w:sz w:val="22"/>
          <w:highlight w:val="none"/>
        </w:rPr>
      </w:pPr>
      <w:r>
        <w:rPr>
          <w:rFonts w:hint="eastAsia"/>
          <w:color w:val="auto"/>
          <w:sz w:val="22"/>
          <w:highlight w:val="none"/>
        </w:rPr>
        <w:t>磋商供应商全称</w:t>
      </w:r>
      <w:r>
        <w:rPr>
          <w:rFonts w:hint="eastAsia" w:ascii="宋体" w:hAnsi="宋体" w:cs="宋体"/>
          <w:color w:val="auto"/>
          <w:sz w:val="22"/>
          <w:highlight w:val="none"/>
        </w:rPr>
        <w:t>（电子签名/公章）</w:t>
      </w:r>
      <w:r>
        <w:rPr>
          <w:rFonts w:hint="eastAsia"/>
          <w:color w:val="auto"/>
          <w:sz w:val="22"/>
          <w:highlight w:val="none"/>
        </w:rPr>
        <w:t>：</w:t>
      </w:r>
    </w:p>
    <w:p>
      <w:pPr>
        <w:spacing w:line="440" w:lineRule="exact"/>
        <w:rPr>
          <w:color w:val="auto"/>
          <w:sz w:val="22"/>
          <w:highlight w:val="none"/>
        </w:rPr>
      </w:pPr>
      <w:r>
        <w:rPr>
          <w:rFonts w:hint="eastAsia"/>
          <w:color w:val="auto"/>
          <w:sz w:val="22"/>
          <w:highlight w:val="none"/>
        </w:rPr>
        <w:t>日 期：       年     月     日</w:t>
      </w:r>
    </w:p>
    <w:p>
      <w:pPr>
        <w:spacing w:line="360" w:lineRule="exact"/>
        <w:rPr>
          <w:rFonts w:ascii="宋体" w:hAnsi="宋体" w:cs="宋体"/>
          <w:color w:val="auto"/>
          <w:sz w:val="22"/>
          <w:szCs w:val="22"/>
          <w:highlight w:val="none"/>
        </w:rPr>
      </w:pPr>
    </w:p>
    <w:p>
      <w:pPr>
        <w:pStyle w:val="5"/>
        <w:spacing w:line="480" w:lineRule="exact"/>
        <w:rPr>
          <w:rFonts w:ascii="黑体" w:hAnsi="黑体"/>
          <w:color w:val="auto"/>
          <w:sz w:val="24"/>
          <w:szCs w:val="24"/>
          <w:highlight w:val="none"/>
        </w:rPr>
      </w:pPr>
      <w:r>
        <w:rPr>
          <w:rFonts w:ascii="宋体" w:hAnsi="宋体"/>
          <w:color w:val="auto"/>
          <w:sz w:val="22"/>
          <w:szCs w:val="22"/>
          <w:highlight w:val="none"/>
        </w:rPr>
        <w:br w:type="page"/>
      </w:r>
      <w:bookmarkStart w:id="148" w:name="_Toc4045"/>
      <w:bookmarkStart w:id="149" w:name="_Toc31190"/>
      <w:bookmarkStart w:id="150" w:name="_Toc17480"/>
      <w:bookmarkStart w:id="151" w:name="_Toc30418"/>
      <w:bookmarkStart w:id="152" w:name="_Toc26376"/>
      <w:r>
        <w:rPr>
          <w:rFonts w:hint="eastAsia" w:ascii="黑体" w:hAnsi="黑体"/>
          <w:color w:val="auto"/>
          <w:sz w:val="24"/>
          <w:szCs w:val="24"/>
          <w:highlight w:val="none"/>
        </w:rPr>
        <w:t>附件四  资格证明文件</w:t>
      </w:r>
      <w:bookmarkEnd w:id="148"/>
      <w:bookmarkEnd w:id="149"/>
      <w:bookmarkEnd w:id="150"/>
      <w:bookmarkEnd w:id="151"/>
      <w:bookmarkEnd w:id="152"/>
    </w:p>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资格证明文件</w:t>
      </w:r>
    </w:p>
    <w:p>
      <w:pPr>
        <w:spacing w:line="440" w:lineRule="exact"/>
        <w:jc w:val="center"/>
        <w:rPr>
          <w:rFonts w:ascii="宋体" w:hAnsi="宋体" w:cs="宋体"/>
          <w:b/>
          <w:color w:val="auto"/>
          <w:szCs w:val="22"/>
          <w:highlight w:val="none"/>
        </w:rPr>
      </w:pPr>
      <w:bookmarkStart w:id="153" w:name="_Toc228784317"/>
      <w:bookmarkStart w:id="154" w:name="_Toc212287212"/>
      <w:bookmarkStart w:id="155" w:name="_Toc202761489"/>
      <w:r>
        <w:rPr>
          <w:rFonts w:hint="eastAsia" w:ascii="宋体" w:hAnsi="宋体" w:cs="宋体"/>
          <w:b/>
          <w:color w:val="auto"/>
          <w:sz w:val="24"/>
          <w:highlight w:val="none"/>
        </w:rPr>
        <w:t>（1）法定代表人、单位负责人或自然人本人的身份证明（适用于法定代表人、单位负责人或者自然人本人代表磋商供应商参加磋商）</w:t>
      </w:r>
    </w:p>
    <w:p>
      <w:pPr>
        <w:spacing w:line="380" w:lineRule="exact"/>
        <w:jc w:val="center"/>
        <w:rPr>
          <w:rFonts w:ascii="宋体" w:hAnsi="宋体"/>
          <w:b/>
          <w:color w:val="auto"/>
          <w:sz w:val="24"/>
          <w:highlight w:val="none"/>
        </w:rPr>
      </w:pPr>
    </w:p>
    <w:p>
      <w:pPr>
        <w:autoSpaceDE w:val="0"/>
        <w:autoSpaceDN w:val="0"/>
        <w:adjustRightInd w:val="0"/>
        <w:rPr>
          <w:rFonts w:ascii="宋体" w:hAnsi="宋体" w:cs="黑体"/>
          <w:color w:val="auto"/>
          <w:kern w:val="0"/>
          <w:sz w:val="22"/>
          <w:szCs w:val="22"/>
          <w:highlight w:val="none"/>
        </w:rPr>
      </w:pPr>
    </w:p>
    <w:p>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磋商供应商名称：</w:t>
      </w:r>
      <w:r>
        <w:rPr>
          <w:rFonts w:hint="eastAsia" w:ascii="宋体" w:hAnsi="宋体" w:cs="黑体"/>
          <w:color w:val="auto"/>
          <w:kern w:val="0"/>
          <w:sz w:val="22"/>
          <w:szCs w:val="22"/>
          <w:highlight w:val="none"/>
          <w:u w:val="single"/>
        </w:rPr>
        <w:t xml:space="preserve">                            </w:t>
      </w:r>
    </w:p>
    <w:p>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 xml:space="preserve">单位性质： </w:t>
      </w:r>
      <w:r>
        <w:rPr>
          <w:rFonts w:hint="eastAsia" w:ascii="宋体" w:hAnsi="宋体" w:cs="黑体"/>
          <w:color w:val="auto"/>
          <w:kern w:val="0"/>
          <w:sz w:val="22"/>
          <w:szCs w:val="22"/>
          <w:highlight w:val="none"/>
          <w:u w:val="single"/>
        </w:rPr>
        <w:t xml:space="preserve">                                 </w:t>
      </w:r>
    </w:p>
    <w:p>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地    址：</w:t>
      </w:r>
      <w:r>
        <w:rPr>
          <w:rFonts w:hint="eastAsia" w:ascii="宋体" w:hAnsi="宋体" w:cs="黑体"/>
          <w:color w:val="auto"/>
          <w:kern w:val="0"/>
          <w:sz w:val="22"/>
          <w:szCs w:val="22"/>
          <w:highlight w:val="none"/>
          <w:u w:val="single"/>
        </w:rPr>
        <w:t xml:space="preserve">                                  </w:t>
      </w:r>
    </w:p>
    <w:p>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成立时间：</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月</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日</w:t>
      </w:r>
      <w:r>
        <w:rPr>
          <w:rFonts w:hint="eastAsia" w:ascii="宋体" w:hAnsi="宋体" w:cs="黑体"/>
          <w:color w:val="auto"/>
          <w:kern w:val="0"/>
          <w:sz w:val="22"/>
          <w:szCs w:val="22"/>
          <w:highlight w:val="none"/>
        </w:rPr>
        <w:tab/>
      </w:r>
    </w:p>
    <w:p>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经营期限：</w:t>
      </w:r>
      <w:r>
        <w:rPr>
          <w:rFonts w:hint="eastAsia" w:ascii="宋体" w:hAnsi="宋体" w:cs="黑体"/>
          <w:color w:val="auto"/>
          <w:kern w:val="0"/>
          <w:sz w:val="22"/>
          <w:szCs w:val="22"/>
          <w:highlight w:val="none"/>
          <w:u w:val="single"/>
        </w:rPr>
        <w:t xml:space="preserve">                                   </w:t>
      </w:r>
    </w:p>
    <w:p>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姓    名：</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 xml:space="preserve"> 性别：</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年龄：</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职务：</w:t>
      </w:r>
      <w:r>
        <w:rPr>
          <w:rFonts w:hint="eastAsia" w:ascii="宋体" w:hAnsi="宋体" w:cs="黑体"/>
          <w:color w:val="auto"/>
          <w:kern w:val="0"/>
          <w:sz w:val="22"/>
          <w:szCs w:val="22"/>
          <w:highlight w:val="none"/>
          <w:u w:val="single"/>
        </w:rPr>
        <w:t xml:space="preserve">         </w:t>
      </w:r>
    </w:p>
    <w:p>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系：</w:t>
      </w:r>
      <w:r>
        <w:rPr>
          <w:rFonts w:hint="eastAsia" w:ascii="宋体" w:hAnsi="宋体" w:cs="黑体"/>
          <w:color w:val="auto"/>
          <w:kern w:val="0"/>
          <w:sz w:val="22"/>
          <w:szCs w:val="22"/>
          <w:highlight w:val="none"/>
          <w:u w:val="single"/>
        </w:rPr>
        <w:t xml:space="preserve">                           </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（磋商供应商名称）的法定代表人</w:t>
      </w:r>
    </w:p>
    <w:p>
      <w:pPr>
        <w:autoSpaceDE w:val="0"/>
        <w:autoSpaceDN w:val="0"/>
        <w:adjustRightInd w:val="0"/>
        <w:spacing w:line="440" w:lineRule="exact"/>
        <w:rPr>
          <w:rFonts w:ascii="宋体" w:hAnsi="宋体" w:cs="黑体"/>
          <w:color w:val="auto"/>
          <w:kern w:val="0"/>
          <w:sz w:val="22"/>
          <w:szCs w:val="22"/>
          <w:highlight w:val="none"/>
        </w:rPr>
      </w:pPr>
      <w:r>
        <w:rPr>
          <w:rFonts w:hint="eastAsia" w:ascii="宋体" w:hAnsi="宋体" w:cs="黑体"/>
          <w:color w:val="auto"/>
          <w:kern w:val="0"/>
          <w:sz w:val="22"/>
          <w:szCs w:val="22"/>
          <w:highlight w:val="none"/>
        </w:rPr>
        <w:t>特此证明</w:t>
      </w:r>
    </w:p>
    <w:p>
      <w:pPr>
        <w:autoSpaceDE w:val="0"/>
        <w:autoSpaceDN w:val="0"/>
        <w:adjustRightInd w:val="0"/>
        <w:spacing w:line="440" w:lineRule="exact"/>
        <w:rPr>
          <w:rFonts w:ascii="宋体" w:hAnsi="宋体" w:cs="黑体"/>
          <w:color w:val="auto"/>
          <w:kern w:val="0"/>
          <w:sz w:val="22"/>
          <w:szCs w:val="22"/>
          <w:highlight w:val="none"/>
        </w:rPr>
      </w:pPr>
    </w:p>
    <w:p>
      <w:pPr>
        <w:autoSpaceDE w:val="0"/>
        <w:autoSpaceDN w:val="0"/>
        <w:adjustRightInd w:val="0"/>
        <w:spacing w:line="440" w:lineRule="exact"/>
        <w:rPr>
          <w:rFonts w:ascii="宋体" w:hAnsi="宋体" w:cs="黑体"/>
          <w:color w:val="auto"/>
          <w:kern w:val="0"/>
          <w:sz w:val="22"/>
          <w:szCs w:val="22"/>
          <w:highlight w:val="none"/>
        </w:rPr>
      </w:pPr>
    </w:p>
    <w:p>
      <w:pPr>
        <w:autoSpaceDE w:val="0"/>
        <w:autoSpaceDN w:val="0"/>
        <w:adjustRightInd w:val="0"/>
        <w:spacing w:line="440" w:lineRule="exact"/>
        <w:rPr>
          <w:rFonts w:ascii="宋体" w:hAnsi="宋体" w:cs="黑体"/>
          <w:color w:val="auto"/>
          <w:kern w:val="0"/>
          <w:sz w:val="22"/>
          <w:szCs w:val="22"/>
          <w:highlight w:val="none"/>
        </w:rPr>
      </w:pPr>
    </w:p>
    <w:p>
      <w:pPr>
        <w:autoSpaceDE w:val="0"/>
        <w:autoSpaceDN w:val="0"/>
        <w:adjustRightInd w:val="0"/>
        <w:spacing w:line="440" w:lineRule="exact"/>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磋商供应商：</w:t>
      </w:r>
      <w:r>
        <w:rPr>
          <w:rFonts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u w:val="single"/>
        </w:rPr>
        <w:t xml:space="preserve">                       </w:t>
      </w:r>
      <w:r>
        <w:rPr>
          <w:rFonts w:hint="eastAsia" w:ascii="宋体" w:hAnsi="宋体" w:cs="黑体"/>
          <w:color w:val="auto"/>
          <w:kern w:val="0"/>
          <w:sz w:val="22"/>
          <w:szCs w:val="22"/>
          <w:highlight w:val="none"/>
        </w:rPr>
        <w:t>（盖单位章）</w:t>
      </w:r>
    </w:p>
    <w:p>
      <w:pPr>
        <w:wordWrap w:val="0"/>
        <w:autoSpaceDE w:val="0"/>
        <w:autoSpaceDN w:val="0"/>
        <w:adjustRightInd w:val="0"/>
        <w:spacing w:line="440" w:lineRule="exact"/>
        <w:ind w:firstLine="1650" w:firstLineChars="750"/>
        <w:jc w:val="right"/>
        <w:rPr>
          <w:rFonts w:ascii="宋体" w:hAnsi="宋体" w:cs="黑体"/>
          <w:color w:val="auto"/>
          <w:kern w:val="0"/>
          <w:sz w:val="22"/>
          <w:szCs w:val="22"/>
          <w:highlight w:val="none"/>
        </w:rPr>
      </w:pPr>
      <w:r>
        <w:rPr>
          <w:rFonts w:hint="eastAsia" w:ascii="宋体" w:hAnsi="宋体" w:cs="黑体"/>
          <w:color w:val="auto"/>
          <w:kern w:val="0"/>
          <w:sz w:val="22"/>
          <w:szCs w:val="22"/>
          <w:highlight w:val="none"/>
        </w:rPr>
        <w:t>日期：        年</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 xml:space="preserve">     月</w:t>
      </w:r>
      <w:r>
        <w:rPr>
          <w:rFonts w:ascii="宋体" w:hAnsi="宋体" w:cs="黑体"/>
          <w:color w:val="auto"/>
          <w:kern w:val="0"/>
          <w:sz w:val="22"/>
          <w:szCs w:val="22"/>
          <w:highlight w:val="none"/>
        </w:rPr>
        <w:t xml:space="preserve"> </w:t>
      </w:r>
      <w:r>
        <w:rPr>
          <w:rFonts w:hint="eastAsia" w:ascii="宋体" w:hAnsi="宋体" w:cs="黑体"/>
          <w:color w:val="auto"/>
          <w:kern w:val="0"/>
          <w:sz w:val="22"/>
          <w:szCs w:val="22"/>
          <w:highlight w:val="none"/>
        </w:rPr>
        <w:t xml:space="preserve">      日</w:t>
      </w:r>
    </w:p>
    <w:p>
      <w:pPr>
        <w:autoSpaceDE w:val="0"/>
        <w:autoSpaceDN w:val="0"/>
        <w:adjustRightInd w:val="0"/>
        <w:jc w:val="left"/>
        <w:rPr>
          <w:rFonts w:ascii="宋体" w:hAnsi="宋体" w:cs="黑体"/>
          <w:color w:val="auto"/>
          <w:kern w:val="0"/>
          <w:sz w:val="22"/>
          <w:szCs w:val="22"/>
          <w:highlight w:val="none"/>
        </w:rPr>
      </w:pPr>
    </w:p>
    <w:p>
      <w:pPr>
        <w:spacing w:line="380" w:lineRule="exact"/>
        <w:jc w:val="center"/>
        <w:rPr>
          <w:rFonts w:ascii="宋体" w:hAnsi="宋体"/>
          <w:b/>
          <w:color w:val="auto"/>
          <w:sz w:val="24"/>
          <w:highlight w:val="none"/>
        </w:rPr>
      </w:pPr>
    </w:p>
    <w:p>
      <w:pPr>
        <w:pStyle w:val="16"/>
        <w:rPr>
          <w:rFonts w:ascii="宋体" w:hAnsi="宋体"/>
          <w:b/>
          <w:color w:val="auto"/>
          <w:sz w:val="24"/>
          <w:highlight w:val="none"/>
        </w:rPr>
      </w:pPr>
    </w:p>
    <w:p>
      <w:pPr>
        <w:spacing w:line="380" w:lineRule="exact"/>
        <w:rPr>
          <w:rFonts w:ascii="宋体" w:hAnsi="宋体"/>
          <w:b/>
          <w:color w:val="auto"/>
          <w:sz w:val="24"/>
          <w:highlight w:val="none"/>
        </w:rPr>
      </w:pPr>
      <w:r>
        <w:rPr>
          <w:rFonts w:hint="eastAsia" w:ascii="宋体" w:hAnsi="宋体"/>
          <w:b/>
          <w:color w:val="auto"/>
          <w:sz w:val="24"/>
          <w:highlight w:val="none"/>
        </w:rPr>
        <w:t>附：法定代表人身份证明</w:t>
      </w:r>
    </w:p>
    <w:tbl>
      <w:tblPr>
        <w:tblStyle w:val="38"/>
        <w:tblpPr w:leftFromText="180" w:rightFromText="180" w:vertAnchor="text" w:horzAnchor="page" w:tblpX="1260" w:tblpY="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1" w:type="dxa"/>
          </w:tcPr>
          <w:p>
            <w:pPr>
              <w:spacing w:line="440" w:lineRule="exact"/>
              <w:rPr>
                <w:rFonts w:ascii="宋体" w:hAnsi="宋体"/>
                <w:color w:val="auto"/>
                <w:sz w:val="22"/>
                <w:szCs w:val="22"/>
                <w:highlight w:val="none"/>
              </w:rPr>
            </w:pPr>
          </w:p>
          <w:p>
            <w:pPr>
              <w:spacing w:line="440" w:lineRule="exact"/>
              <w:rPr>
                <w:rFonts w:ascii="宋体" w:hAnsi="宋体"/>
                <w:color w:val="auto"/>
                <w:sz w:val="22"/>
                <w:szCs w:val="22"/>
                <w:highlight w:val="none"/>
              </w:rPr>
            </w:pPr>
          </w:p>
          <w:p>
            <w:pPr>
              <w:spacing w:line="440" w:lineRule="exact"/>
              <w:rPr>
                <w:rFonts w:ascii="宋体" w:hAnsi="宋体"/>
                <w:color w:val="auto"/>
                <w:sz w:val="22"/>
                <w:szCs w:val="22"/>
                <w:highlight w:val="none"/>
              </w:rPr>
            </w:pPr>
          </w:p>
          <w:p>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法人代表身份证复印件（扫描件）</w:t>
            </w:r>
          </w:p>
        </w:tc>
      </w:tr>
    </w:tbl>
    <w:p>
      <w:pPr>
        <w:spacing w:line="380" w:lineRule="exact"/>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（2）法定代表人授权书</w:t>
      </w:r>
    </w:p>
    <w:p>
      <w:pPr>
        <w:spacing w:line="460" w:lineRule="exact"/>
        <w:rPr>
          <w:rFonts w:ascii="宋体" w:hAnsi="宋体"/>
          <w:color w:val="auto"/>
          <w:sz w:val="22"/>
          <w:szCs w:val="22"/>
          <w:highlight w:val="none"/>
        </w:rPr>
      </w:pPr>
    </w:p>
    <w:p>
      <w:pPr>
        <w:spacing w:line="460" w:lineRule="exact"/>
        <w:rPr>
          <w:rFonts w:ascii="宋体" w:hAnsi="宋体"/>
          <w:b/>
          <w:color w:val="auto"/>
          <w:sz w:val="24"/>
          <w:highlight w:val="none"/>
        </w:rPr>
      </w:pPr>
      <w:r>
        <w:rPr>
          <w:rFonts w:hint="eastAsia" w:ascii="宋体" w:hAnsi="宋体"/>
          <w:b/>
          <w:color w:val="auto"/>
          <w:sz w:val="24"/>
          <w:highlight w:val="none"/>
          <w:lang w:eastAsia="zh-CN"/>
        </w:rPr>
        <w:t>温州市生态环境局瓯海分局</w:t>
      </w:r>
      <w:r>
        <w:rPr>
          <w:rFonts w:hint="eastAsia" w:ascii="宋体" w:hAnsi="宋体"/>
          <w:b/>
          <w:color w:val="auto"/>
          <w:sz w:val="24"/>
          <w:highlight w:val="none"/>
        </w:rPr>
        <w:t>：</w:t>
      </w:r>
    </w:p>
    <w:p>
      <w:pPr>
        <w:spacing w:line="440" w:lineRule="exact"/>
        <w:rPr>
          <w:rFonts w:ascii="宋体" w:hAnsi="宋体"/>
          <w:color w:val="auto"/>
          <w:sz w:val="22"/>
          <w:szCs w:val="22"/>
          <w:highlight w:val="none"/>
          <w:u w:val="single"/>
        </w:rPr>
      </w:pPr>
    </w:p>
    <w:p>
      <w:pPr>
        <w:spacing w:line="440" w:lineRule="exact"/>
        <w:ind w:firstLine="550" w:firstLineChars="250"/>
        <w:rPr>
          <w:rFonts w:ascii="宋体" w:hAnsi="宋体" w:cs="宋体"/>
          <w:color w:val="auto"/>
          <w:sz w:val="22"/>
          <w:highlight w:val="none"/>
        </w:rPr>
      </w:pPr>
      <w:r>
        <w:rPr>
          <w:rFonts w:hint="eastAsia" w:ascii="宋体" w:hAnsi="宋体" w:cs="宋体"/>
          <w:color w:val="auto"/>
          <w:sz w:val="22"/>
          <w:highlight w:val="none"/>
          <w:u w:val="single"/>
        </w:rPr>
        <w:t xml:space="preserve">本人       </w:t>
      </w:r>
      <w:r>
        <w:rPr>
          <w:rFonts w:hint="eastAsia" w:ascii="宋体" w:hAnsi="宋体" w:cs="宋体"/>
          <w:color w:val="auto"/>
          <w:sz w:val="22"/>
          <w:highlight w:val="none"/>
        </w:rPr>
        <w:t>（姓名）系</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（磋商供应商全称）的法定代表人，现委托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（全权代表姓名）为我方授权代表。代理人根据授权，以我方名义签署、澄清、说明、补正、递交、撤回、修改</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（项目名称、编号）响应文件、签订合同和处理有关事宜，其法律后果由我方承担。</w:t>
      </w:r>
    </w:p>
    <w:p>
      <w:pPr>
        <w:spacing w:line="440" w:lineRule="exact"/>
        <w:rPr>
          <w:rFonts w:ascii="宋体" w:hAnsi="宋体" w:cs="宋体"/>
          <w:color w:val="auto"/>
          <w:sz w:val="22"/>
          <w:highlight w:val="none"/>
          <w:u w:val="single"/>
        </w:rPr>
      </w:pPr>
      <w:r>
        <w:rPr>
          <w:rFonts w:hint="eastAsia" w:ascii="宋体" w:hAnsi="宋体" w:cs="宋体"/>
          <w:color w:val="auto"/>
          <w:sz w:val="22"/>
          <w:highlight w:val="none"/>
        </w:rPr>
        <w:t xml:space="preserve">    委托期限：</w:t>
      </w:r>
      <w:r>
        <w:rPr>
          <w:rFonts w:hint="eastAsia" w:ascii="宋体" w:hAnsi="宋体" w:cs="宋体"/>
          <w:color w:val="auto"/>
          <w:sz w:val="22"/>
          <w:highlight w:val="none"/>
          <w:u w:val="single"/>
        </w:rPr>
        <w:t xml:space="preserve">                                </w:t>
      </w:r>
    </w:p>
    <w:p>
      <w:pPr>
        <w:spacing w:line="440" w:lineRule="exact"/>
        <w:rPr>
          <w:rFonts w:ascii="宋体" w:hAnsi="宋体" w:cs="宋体"/>
          <w:color w:val="auto"/>
          <w:sz w:val="22"/>
          <w:highlight w:val="none"/>
        </w:rPr>
      </w:pPr>
      <w:r>
        <w:rPr>
          <w:rFonts w:hint="eastAsia" w:ascii="宋体" w:hAnsi="宋体" w:cs="宋体"/>
          <w:color w:val="auto"/>
          <w:sz w:val="22"/>
          <w:highlight w:val="none"/>
        </w:rPr>
        <w:t xml:space="preserve">    代理人无转委托权。</w:t>
      </w:r>
    </w:p>
    <w:p>
      <w:pPr>
        <w:spacing w:line="440" w:lineRule="exact"/>
        <w:ind w:firstLine="2955"/>
        <w:rPr>
          <w:rFonts w:ascii="宋体" w:hAnsi="宋体" w:cs="宋体"/>
          <w:color w:val="auto"/>
          <w:sz w:val="22"/>
          <w:highlight w:val="none"/>
        </w:rPr>
      </w:pPr>
      <w:r>
        <w:rPr>
          <w:rFonts w:hint="eastAsia" w:ascii="宋体" w:hAnsi="宋体" w:cs="宋体"/>
          <w:color w:val="auto"/>
          <w:sz w:val="22"/>
          <w:highlight w:val="none"/>
        </w:rPr>
        <w:t xml:space="preserve">          </w:t>
      </w:r>
    </w:p>
    <w:p>
      <w:pPr>
        <w:spacing w:line="440" w:lineRule="exact"/>
        <w:ind w:firstLine="4191" w:firstLineChars="1905"/>
        <w:rPr>
          <w:rFonts w:ascii="宋体" w:hAnsi="宋体" w:cs="宋体"/>
          <w:color w:val="auto"/>
          <w:sz w:val="22"/>
          <w:highlight w:val="none"/>
        </w:rPr>
      </w:pPr>
      <w:r>
        <w:rPr>
          <w:rFonts w:hint="eastAsia" w:ascii="宋体" w:hAnsi="宋体" w:cs="宋体"/>
          <w:color w:val="auto"/>
          <w:sz w:val="22"/>
          <w:highlight w:val="none"/>
        </w:rPr>
        <w:t>法定代表人（签字/电子签字）：</w:t>
      </w:r>
    </w:p>
    <w:p>
      <w:pPr>
        <w:spacing w:line="440" w:lineRule="exact"/>
        <w:ind w:firstLine="2955"/>
        <w:rPr>
          <w:rFonts w:ascii="宋体" w:hAnsi="宋体" w:cs="宋体"/>
          <w:color w:val="auto"/>
          <w:sz w:val="22"/>
          <w:highlight w:val="none"/>
        </w:rPr>
      </w:pPr>
      <w:r>
        <w:rPr>
          <w:rFonts w:hint="eastAsia" w:ascii="宋体" w:hAnsi="宋体" w:cs="宋体"/>
          <w:color w:val="auto"/>
          <w:sz w:val="22"/>
          <w:highlight w:val="none"/>
        </w:rPr>
        <w:t xml:space="preserve">           磋商供应商全称（电子签名/公章）：</w:t>
      </w:r>
    </w:p>
    <w:p>
      <w:pPr>
        <w:spacing w:line="440" w:lineRule="exact"/>
        <w:ind w:firstLine="2955"/>
        <w:rPr>
          <w:rFonts w:ascii="宋体" w:hAnsi="宋体" w:cs="宋体"/>
          <w:color w:val="auto"/>
          <w:sz w:val="22"/>
          <w:highlight w:val="none"/>
        </w:rPr>
      </w:pPr>
      <w:r>
        <w:rPr>
          <w:rFonts w:hint="eastAsia" w:ascii="宋体" w:hAnsi="宋体" w:cs="宋体"/>
          <w:color w:val="auto"/>
          <w:sz w:val="22"/>
          <w:highlight w:val="none"/>
        </w:rPr>
        <w:t xml:space="preserve">           日期：      年    月    日</w:t>
      </w:r>
    </w:p>
    <w:p>
      <w:pPr>
        <w:spacing w:line="440" w:lineRule="exact"/>
        <w:rPr>
          <w:rFonts w:ascii="宋体" w:hAnsi="宋体"/>
          <w:color w:val="auto"/>
          <w:sz w:val="22"/>
          <w:szCs w:val="22"/>
          <w:highlight w:val="none"/>
        </w:rPr>
      </w:pPr>
    </w:p>
    <w:p>
      <w:pPr>
        <w:spacing w:line="440" w:lineRule="exact"/>
        <w:rPr>
          <w:rFonts w:ascii="宋体" w:hAnsi="宋体"/>
          <w:color w:val="auto"/>
          <w:sz w:val="22"/>
          <w:szCs w:val="22"/>
          <w:highlight w:val="none"/>
        </w:rPr>
      </w:pPr>
      <w:r>
        <w:rPr>
          <w:rFonts w:hint="eastAsia" w:ascii="宋体" w:hAnsi="宋体"/>
          <w:color w:val="auto"/>
          <w:sz w:val="22"/>
          <w:szCs w:val="22"/>
          <w:highlight w:val="none"/>
        </w:rPr>
        <w:t>附：</w:t>
      </w:r>
    </w:p>
    <w:p>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授权代表姓名：</w:t>
      </w:r>
    </w:p>
    <w:p>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身份证号码：</w:t>
      </w:r>
    </w:p>
    <w:p>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职务：</w:t>
      </w:r>
    </w:p>
    <w:p>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手机号码：</w:t>
      </w:r>
    </w:p>
    <w:p>
      <w:pPr>
        <w:spacing w:line="440" w:lineRule="exact"/>
        <w:rPr>
          <w:color w:val="auto"/>
          <w:highlight w:val="none"/>
        </w:rPr>
      </w:pPr>
      <w:r>
        <w:rPr>
          <w:rFonts w:hint="eastAsia" w:ascii="宋体" w:hAnsi="宋体"/>
          <w:b/>
          <w:color w:val="auto"/>
          <w:sz w:val="24"/>
          <w:highlight w:val="none"/>
        </w:rPr>
        <w:t>附：授权代表身份证明</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pPr>
              <w:spacing w:line="440" w:lineRule="exact"/>
              <w:rPr>
                <w:rFonts w:ascii="宋体" w:hAnsi="宋体"/>
                <w:color w:val="auto"/>
                <w:sz w:val="22"/>
                <w:szCs w:val="22"/>
                <w:highlight w:val="none"/>
              </w:rPr>
            </w:pPr>
          </w:p>
          <w:p>
            <w:pPr>
              <w:spacing w:line="440" w:lineRule="exact"/>
              <w:rPr>
                <w:rFonts w:ascii="宋体" w:hAnsi="宋体"/>
                <w:color w:val="auto"/>
                <w:sz w:val="22"/>
                <w:szCs w:val="22"/>
                <w:highlight w:val="none"/>
              </w:rPr>
            </w:pPr>
          </w:p>
          <w:p>
            <w:pPr>
              <w:spacing w:line="440" w:lineRule="exact"/>
              <w:rPr>
                <w:rFonts w:ascii="宋体" w:hAnsi="宋体"/>
                <w:color w:val="auto"/>
                <w:sz w:val="22"/>
                <w:szCs w:val="22"/>
                <w:highlight w:val="none"/>
              </w:rPr>
            </w:pPr>
          </w:p>
          <w:p>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授权代表身份证复印件（扫描件）</w:t>
            </w:r>
          </w:p>
        </w:tc>
      </w:tr>
    </w:tbl>
    <w:p>
      <w:pPr>
        <w:spacing w:line="440" w:lineRule="exact"/>
        <w:rPr>
          <w:rFonts w:ascii="宋体" w:hAnsi="宋体"/>
          <w:b/>
          <w:bCs/>
          <w:color w:val="auto"/>
          <w:sz w:val="22"/>
          <w:szCs w:val="22"/>
          <w:highlight w:val="none"/>
        </w:rPr>
      </w:pPr>
    </w:p>
    <w:p>
      <w:pPr>
        <w:spacing w:line="440" w:lineRule="exact"/>
        <w:rPr>
          <w:rFonts w:ascii="宋体" w:hAnsi="宋体"/>
          <w:b/>
          <w:bCs/>
          <w:color w:val="auto"/>
          <w:sz w:val="22"/>
          <w:szCs w:val="22"/>
          <w:highlight w:val="none"/>
        </w:rPr>
      </w:pPr>
    </w:p>
    <w:p>
      <w:pPr>
        <w:spacing w:line="440" w:lineRule="exact"/>
        <w:rPr>
          <w:rFonts w:ascii="宋体" w:hAnsi="宋体"/>
          <w:b/>
          <w:bCs/>
          <w:color w:val="auto"/>
          <w:sz w:val="22"/>
          <w:szCs w:val="22"/>
          <w:highlight w:val="none"/>
        </w:rPr>
      </w:pPr>
    </w:p>
    <w:p>
      <w:pPr>
        <w:spacing w:line="460" w:lineRule="exact"/>
        <w:rPr>
          <w:rFonts w:ascii="新宋体" w:hAnsi="新宋体" w:eastAsia="新宋体"/>
          <w:b/>
          <w:bCs/>
          <w:color w:val="auto"/>
          <w:sz w:val="28"/>
          <w:szCs w:val="28"/>
          <w:highlight w:val="none"/>
        </w:rPr>
        <w:sectPr>
          <w:pgSz w:w="11906" w:h="16838"/>
          <w:pgMar w:top="1134" w:right="1134" w:bottom="1134" w:left="1134" w:header="851" w:footer="992" w:gutter="0"/>
          <w:cols w:space="720" w:num="1"/>
          <w:docGrid w:linePitch="312" w:charSpace="0"/>
        </w:sectPr>
      </w:pPr>
    </w:p>
    <w:p>
      <w:pPr>
        <w:spacing w:line="380" w:lineRule="exact"/>
        <w:jc w:val="center"/>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符合参加政府采购活动应当具备的一般条件的承诺函</w:t>
      </w:r>
    </w:p>
    <w:p>
      <w:pPr>
        <w:snapToGrid w:val="0"/>
        <w:spacing w:line="360" w:lineRule="auto"/>
        <w:rPr>
          <w:rFonts w:ascii="宋体" w:hAnsi="宋体" w:cs="仿宋_GB2312"/>
          <w:b/>
          <w:bCs/>
          <w:color w:val="auto"/>
          <w:sz w:val="22"/>
          <w:highlight w:val="none"/>
        </w:rPr>
      </w:pPr>
    </w:p>
    <w:p>
      <w:pPr>
        <w:snapToGrid w:val="0"/>
        <w:spacing w:line="360" w:lineRule="auto"/>
        <w:rPr>
          <w:rFonts w:ascii="宋体" w:hAnsi="宋体" w:cs="仿宋_GB2312"/>
          <w:b/>
          <w:bCs/>
          <w:color w:val="auto"/>
          <w:sz w:val="22"/>
          <w:highlight w:val="none"/>
        </w:rPr>
      </w:pPr>
      <w:r>
        <w:rPr>
          <w:rFonts w:hint="eastAsia" w:ascii="宋体" w:hAnsi="宋体" w:cs="仿宋_GB2312"/>
          <w:b/>
          <w:bCs/>
          <w:color w:val="auto"/>
          <w:sz w:val="22"/>
          <w:highlight w:val="none"/>
          <w:lang w:eastAsia="zh-CN"/>
        </w:rPr>
        <w:t>温州市生态环境局瓯海分局</w:t>
      </w:r>
      <w:r>
        <w:rPr>
          <w:rFonts w:hint="eastAsia" w:ascii="宋体" w:hAnsi="宋体" w:cs="仿宋_GB2312"/>
          <w:b/>
          <w:bCs/>
          <w:color w:val="auto"/>
          <w:sz w:val="22"/>
          <w:highlight w:val="none"/>
        </w:rPr>
        <w:t>、</w:t>
      </w:r>
      <w:r>
        <w:rPr>
          <w:rFonts w:hint="eastAsia" w:ascii="宋体" w:hAnsi="宋体" w:cs="仿宋_GB2312"/>
          <w:b/>
          <w:bCs/>
          <w:color w:val="auto"/>
          <w:sz w:val="22"/>
          <w:highlight w:val="none"/>
          <w:lang w:eastAsia="zh-CN"/>
        </w:rPr>
        <w:t>浙江科达工程项目管理有限公司</w:t>
      </w:r>
      <w:r>
        <w:rPr>
          <w:rFonts w:hint="eastAsia" w:ascii="宋体" w:hAnsi="宋体" w:cs="仿宋_GB2312"/>
          <w:b/>
          <w:bCs/>
          <w:color w:val="auto"/>
          <w:sz w:val="22"/>
          <w:highlight w:val="none"/>
        </w:rPr>
        <w:t>：</w:t>
      </w:r>
    </w:p>
    <w:p>
      <w:pPr>
        <w:snapToGrid w:val="0"/>
        <w:spacing w:line="360" w:lineRule="auto"/>
        <w:ind w:firstLine="440" w:firstLineChars="200"/>
        <w:rPr>
          <w:rFonts w:ascii="宋体" w:hAnsi="宋体" w:cs="仿宋_GB2312"/>
          <w:color w:val="auto"/>
          <w:sz w:val="22"/>
          <w:highlight w:val="none"/>
        </w:rPr>
      </w:pPr>
      <w:r>
        <w:rPr>
          <w:rFonts w:hint="eastAsia" w:ascii="宋体" w:hAnsi="宋体" w:cs="仿宋_GB2312"/>
          <w:color w:val="auto"/>
          <w:sz w:val="22"/>
          <w:highlight w:val="none"/>
        </w:rPr>
        <w:t>我方参与</w:t>
      </w:r>
      <w:r>
        <w:rPr>
          <w:rFonts w:hint="eastAsia" w:ascii="宋体" w:hAnsi="宋体" w:cs="仿宋_GB2312"/>
          <w:color w:val="auto"/>
          <w:sz w:val="22"/>
          <w:highlight w:val="none"/>
          <w:u w:val="single"/>
        </w:rPr>
        <w:t xml:space="preserve"> </w:t>
      </w:r>
      <w:r>
        <w:rPr>
          <w:rFonts w:ascii="宋体" w:hAnsi="宋体" w:cs="仿宋_GB2312"/>
          <w:color w:val="auto"/>
          <w:sz w:val="22"/>
          <w:highlight w:val="none"/>
          <w:u w:val="single"/>
        </w:rPr>
        <w:t xml:space="preserve">     </w:t>
      </w:r>
      <w:r>
        <w:rPr>
          <w:rFonts w:hint="eastAsia" w:ascii="宋体" w:hAnsi="宋体" w:cs="仿宋_GB2312"/>
          <w:color w:val="auto"/>
          <w:sz w:val="22"/>
          <w:highlight w:val="none"/>
          <w:u w:val="single"/>
        </w:rPr>
        <w:t>（项目名称）【项目编号：】</w:t>
      </w:r>
      <w:r>
        <w:rPr>
          <w:rFonts w:hint="eastAsia" w:ascii="宋体" w:hAnsi="宋体" w:cs="仿宋_GB2312"/>
          <w:color w:val="auto"/>
          <w:sz w:val="22"/>
          <w:highlight w:val="none"/>
        </w:rPr>
        <w:t>政府采购活动，郑重承诺：</w:t>
      </w:r>
    </w:p>
    <w:p>
      <w:pPr>
        <w:snapToGrid w:val="0"/>
        <w:spacing w:line="360" w:lineRule="auto"/>
        <w:ind w:firstLine="330" w:firstLineChars="150"/>
        <w:rPr>
          <w:rFonts w:ascii="宋体" w:hAnsi="宋体" w:cs="仿宋_GB2312"/>
          <w:color w:val="auto"/>
          <w:sz w:val="22"/>
          <w:highlight w:val="none"/>
        </w:rPr>
      </w:pPr>
      <w:r>
        <w:rPr>
          <w:rFonts w:hint="eastAsia" w:ascii="宋体" w:hAnsi="宋体" w:cs="仿宋_GB2312"/>
          <w:color w:val="auto"/>
          <w:sz w:val="22"/>
          <w:highlight w:val="none"/>
        </w:rPr>
        <w:t>（一）具备《中华人民共和国政府采购法》第二十二条第一款规定的条件：</w:t>
      </w:r>
    </w:p>
    <w:p>
      <w:pPr>
        <w:snapToGrid w:val="0"/>
        <w:spacing w:line="360" w:lineRule="auto"/>
        <w:ind w:firstLine="440" w:firstLineChars="200"/>
        <w:rPr>
          <w:rFonts w:ascii="宋体" w:hAnsi="宋体" w:cs="仿宋_GB2312"/>
          <w:color w:val="auto"/>
          <w:sz w:val="22"/>
          <w:highlight w:val="none"/>
        </w:rPr>
      </w:pPr>
      <w:r>
        <w:rPr>
          <w:rFonts w:hint="eastAsia" w:ascii="宋体" w:hAnsi="宋体" w:cs="仿宋_GB2312"/>
          <w:color w:val="auto"/>
          <w:sz w:val="22"/>
          <w:highlight w:val="none"/>
        </w:rPr>
        <w:t>1、</w:t>
      </w:r>
      <w:r>
        <w:rPr>
          <w:rFonts w:ascii="宋体" w:hAnsi="宋体" w:cs="仿宋_GB2312"/>
          <w:color w:val="auto"/>
          <w:sz w:val="22"/>
          <w:highlight w:val="none"/>
        </w:rPr>
        <w:t>具有独立承担民事责任的能力；</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w:t>
      </w:r>
      <w:r>
        <w:rPr>
          <w:rFonts w:ascii="宋体" w:hAnsi="宋体"/>
          <w:color w:val="auto"/>
          <w:sz w:val="22"/>
          <w:highlight w:val="none"/>
        </w:rPr>
        <w:t xml:space="preserve">具有良好的商业信誉和健全的财务会计制度；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w:t>
      </w:r>
      <w:r>
        <w:rPr>
          <w:rFonts w:ascii="宋体" w:hAnsi="宋体"/>
          <w:color w:val="auto"/>
          <w:sz w:val="22"/>
          <w:highlight w:val="none"/>
        </w:rPr>
        <w:t>具有履行合同所必需的设备和专业技术能力；</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w:t>
      </w:r>
      <w:r>
        <w:rPr>
          <w:rFonts w:ascii="宋体" w:hAnsi="宋体"/>
          <w:color w:val="auto"/>
          <w:sz w:val="22"/>
          <w:highlight w:val="none"/>
        </w:rPr>
        <w:t>有依法缴纳税收和社会保障资金的良好记录；</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w:t>
      </w:r>
      <w:r>
        <w:rPr>
          <w:rFonts w:ascii="宋体" w:hAnsi="宋体"/>
          <w:color w:val="auto"/>
          <w:sz w:val="22"/>
          <w:highlight w:val="none"/>
        </w:rPr>
        <w:t>参加政府采购活动前三年内，在经营活动中没有重大违法记录；</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6、</w:t>
      </w:r>
      <w:r>
        <w:rPr>
          <w:rFonts w:ascii="宋体" w:hAnsi="宋体"/>
          <w:color w:val="auto"/>
          <w:sz w:val="22"/>
          <w:highlight w:val="none"/>
        </w:rPr>
        <w:t>具有法律、行政法规规定的其他条件。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（二）未被信用中国（</w:t>
      </w:r>
      <w:r>
        <w:rPr>
          <w:rFonts w:ascii="宋体" w:hAnsi="宋体"/>
          <w:color w:val="auto"/>
          <w:sz w:val="22"/>
          <w:highlight w:val="none"/>
        </w:rPr>
        <w:t>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（三）不存在以下情况：</w:t>
      </w:r>
    </w:p>
    <w:p>
      <w:pPr>
        <w:snapToGrid w:val="0"/>
        <w:spacing w:line="360" w:lineRule="auto"/>
        <w:ind w:firstLine="440" w:firstLineChars="200"/>
        <w:rPr>
          <w:rFonts w:ascii="宋体" w:hAnsi="宋体" w:cs="仿宋_GB2312"/>
          <w:color w:val="auto"/>
          <w:sz w:val="22"/>
          <w:highlight w:val="none"/>
        </w:rPr>
      </w:pPr>
      <w:r>
        <w:rPr>
          <w:rFonts w:hint="eastAsia" w:ascii="宋体" w:hAnsi="宋体" w:cs="仿宋_GB2312"/>
          <w:color w:val="auto"/>
          <w:sz w:val="22"/>
          <w:highlight w:val="none"/>
        </w:rPr>
        <w:t>1、</w:t>
      </w:r>
      <w:r>
        <w:rPr>
          <w:rFonts w:ascii="宋体" w:hAnsi="宋体" w:cs="仿宋_GB2312"/>
          <w:color w:val="auto"/>
          <w:sz w:val="22"/>
          <w:highlight w:val="none"/>
        </w:rPr>
        <w:t>单位负责人为同一人或者存在直接控股、管理关系的不同供应商参加同一合同项下的政府采购活动的；</w:t>
      </w:r>
    </w:p>
    <w:p>
      <w:pPr>
        <w:snapToGrid w:val="0"/>
        <w:spacing w:line="360" w:lineRule="auto"/>
        <w:ind w:firstLine="440" w:firstLineChars="200"/>
        <w:rPr>
          <w:rFonts w:ascii="宋体" w:hAnsi="宋体" w:cs="仿宋_GB2312"/>
          <w:color w:val="auto"/>
          <w:sz w:val="22"/>
          <w:highlight w:val="none"/>
        </w:rPr>
      </w:pPr>
      <w:r>
        <w:rPr>
          <w:rFonts w:hint="eastAsia" w:ascii="宋体" w:hAnsi="宋体" w:cs="仿宋_GB2312"/>
          <w:color w:val="auto"/>
          <w:sz w:val="22"/>
          <w:highlight w:val="none"/>
        </w:rPr>
        <w:t>2、</w:t>
      </w:r>
      <w:r>
        <w:rPr>
          <w:rFonts w:ascii="宋体" w:hAnsi="宋体" w:cs="仿宋_GB2312"/>
          <w:color w:val="auto"/>
          <w:sz w:val="22"/>
          <w:highlight w:val="none"/>
        </w:rPr>
        <w:t>为采购项目提供整体设计、规范编制或者项目管理、监理、检测等服务后再参加该采购项目的其他采购活动的。</w:t>
      </w:r>
    </w:p>
    <w:p>
      <w:pPr>
        <w:snapToGrid w:val="0"/>
        <w:spacing w:line="360" w:lineRule="auto"/>
        <w:ind w:firstLine="440" w:firstLineChars="200"/>
        <w:rPr>
          <w:rFonts w:ascii="宋体" w:hAnsi="宋体" w:cs="仿宋_GB2312"/>
          <w:color w:val="auto"/>
          <w:sz w:val="22"/>
          <w:highlight w:val="none"/>
        </w:rPr>
      </w:pPr>
    </w:p>
    <w:p>
      <w:pPr>
        <w:snapToGrid w:val="0"/>
        <w:spacing w:line="360" w:lineRule="auto"/>
        <w:ind w:firstLine="440" w:firstLineChars="200"/>
        <w:rPr>
          <w:rFonts w:ascii="宋体" w:hAnsi="宋体" w:cs="仿宋_GB2312"/>
          <w:color w:val="auto"/>
          <w:sz w:val="22"/>
          <w:highlight w:val="none"/>
        </w:rPr>
      </w:pPr>
    </w:p>
    <w:p>
      <w:pPr>
        <w:snapToGrid w:val="0"/>
        <w:spacing w:line="360" w:lineRule="auto"/>
        <w:ind w:firstLine="440" w:firstLineChars="200"/>
        <w:rPr>
          <w:rFonts w:ascii="宋体" w:hAnsi="宋体" w:cs="仿宋_GB2312"/>
          <w:color w:val="auto"/>
          <w:sz w:val="22"/>
          <w:highlight w:val="none"/>
        </w:rPr>
      </w:pPr>
    </w:p>
    <w:p>
      <w:pPr>
        <w:spacing w:line="440" w:lineRule="exact"/>
        <w:ind w:firstLine="4400" w:firstLineChars="2000"/>
        <w:rPr>
          <w:rFonts w:ascii="宋体" w:hAnsi="宋体"/>
          <w:color w:val="auto"/>
          <w:sz w:val="22"/>
          <w:highlight w:val="none"/>
        </w:rPr>
      </w:pPr>
      <w:r>
        <w:rPr>
          <w:rFonts w:hint="eastAsia" w:ascii="宋体" w:hAnsi="宋体"/>
          <w:color w:val="auto"/>
          <w:sz w:val="22"/>
          <w:highlight w:val="none"/>
        </w:rPr>
        <w:t>供应商名称</w:t>
      </w:r>
      <w:r>
        <w:rPr>
          <w:rFonts w:hint="eastAsia" w:ascii="宋体" w:hAnsi="宋体" w:cs="宋体"/>
          <w:color w:val="auto"/>
          <w:sz w:val="22"/>
          <w:highlight w:val="none"/>
        </w:rPr>
        <w:t>（电子签名/公章）</w:t>
      </w:r>
      <w:r>
        <w:rPr>
          <w:rFonts w:ascii="宋体" w:hAnsi="宋体"/>
          <w:color w:val="auto"/>
          <w:sz w:val="22"/>
          <w:highlight w:val="none"/>
        </w:rPr>
        <w:t>：</w:t>
      </w:r>
    </w:p>
    <w:p>
      <w:pPr>
        <w:spacing w:line="440" w:lineRule="exact"/>
        <w:jc w:val="center"/>
        <w:rPr>
          <w:rFonts w:hint="eastAsia" w:ascii="宋体" w:hAnsi="宋体"/>
          <w:color w:val="auto"/>
          <w:sz w:val="22"/>
          <w:highlight w:val="none"/>
        </w:rPr>
      </w:pPr>
      <w:r>
        <w:rPr>
          <w:rFonts w:ascii="宋体" w:hAnsi="宋体"/>
          <w:color w:val="auto"/>
          <w:sz w:val="22"/>
          <w:highlight w:val="none"/>
        </w:rPr>
        <w:t xml:space="preserve">                    </w:t>
      </w:r>
      <w:r>
        <w:rPr>
          <w:rFonts w:hint="eastAsia" w:ascii="宋体" w:hAnsi="宋体"/>
          <w:color w:val="auto"/>
          <w:sz w:val="22"/>
          <w:highlight w:val="none"/>
        </w:rPr>
        <w:t>日期：</w:t>
      </w:r>
      <w:r>
        <w:rPr>
          <w:rFonts w:ascii="宋体" w:hAnsi="宋体"/>
          <w:color w:val="auto"/>
          <w:sz w:val="22"/>
          <w:highlight w:val="none"/>
        </w:rPr>
        <w:t xml:space="preserve">       年</w:t>
      </w:r>
      <w:r>
        <w:rPr>
          <w:rFonts w:hint="eastAsia" w:ascii="宋体" w:hAnsi="宋体"/>
          <w:color w:val="auto"/>
          <w:sz w:val="22"/>
          <w:highlight w:val="none"/>
        </w:rPr>
        <w:t xml:space="preserve"> </w:t>
      </w:r>
      <w:r>
        <w:rPr>
          <w:rFonts w:ascii="宋体" w:hAnsi="宋体"/>
          <w:color w:val="auto"/>
          <w:sz w:val="22"/>
          <w:highlight w:val="none"/>
        </w:rPr>
        <w:t xml:space="preserve">   </w:t>
      </w:r>
      <w:r>
        <w:rPr>
          <w:rFonts w:hint="eastAsia" w:ascii="宋体" w:hAnsi="宋体"/>
          <w:color w:val="auto"/>
          <w:sz w:val="22"/>
          <w:highlight w:val="none"/>
        </w:rPr>
        <w:t>月</w:t>
      </w:r>
      <w:r>
        <w:rPr>
          <w:rFonts w:ascii="宋体" w:hAnsi="宋体"/>
          <w:color w:val="auto"/>
          <w:sz w:val="22"/>
          <w:highlight w:val="none"/>
        </w:rPr>
        <w:t xml:space="preserve">     </w:t>
      </w:r>
      <w:r>
        <w:rPr>
          <w:rFonts w:hint="eastAsia" w:ascii="宋体" w:hAnsi="宋体"/>
          <w:color w:val="auto"/>
          <w:sz w:val="22"/>
          <w:highlight w:val="none"/>
        </w:rPr>
        <w:t>日</w:t>
      </w:r>
    </w:p>
    <w:p>
      <w:pPr>
        <w:spacing w:line="440" w:lineRule="exact"/>
        <w:jc w:val="center"/>
        <w:rPr>
          <w:rFonts w:hint="eastAsia" w:ascii="宋体" w:hAnsi="宋体"/>
          <w:color w:val="auto"/>
          <w:sz w:val="22"/>
          <w:highlight w:val="none"/>
        </w:rPr>
      </w:pPr>
    </w:p>
    <w:p>
      <w:pPr>
        <w:spacing w:line="440" w:lineRule="exact"/>
        <w:jc w:val="center"/>
        <w:rPr>
          <w:rFonts w:hint="eastAsia" w:ascii="宋体" w:hAnsi="宋体"/>
          <w:color w:val="auto"/>
          <w:sz w:val="22"/>
          <w:highlight w:val="none"/>
        </w:rPr>
      </w:pPr>
    </w:p>
    <w:p>
      <w:pPr>
        <w:spacing w:line="440" w:lineRule="exact"/>
        <w:rPr>
          <w:rFonts w:hint="eastAsia" w:ascii="宋体" w:hAnsi="宋体"/>
          <w:color w:val="auto"/>
          <w:sz w:val="22"/>
          <w:szCs w:val="22"/>
          <w:highlight w:val="none"/>
        </w:rPr>
      </w:pPr>
      <w:r>
        <w:rPr>
          <w:rFonts w:hint="eastAsia" w:ascii="宋体" w:hAnsi="宋体" w:cs="仿宋_GB2312"/>
          <w:color w:val="auto"/>
          <w:sz w:val="22"/>
          <w:szCs w:val="22"/>
          <w:highlight w:val="none"/>
        </w:rPr>
        <w:t>注：根据《</w:t>
      </w:r>
      <w:r>
        <w:rPr>
          <w:rFonts w:ascii="宋体" w:hAnsi="宋体" w:cs="仿宋_GB2312"/>
          <w:color w:val="auto"/>
          <w:sz w:val="22"/>
          <w:szCs w:val="22"/>
          <w:highlight w:val="none"/>
        </w:rPr>
        <w:t>关于规范政府采购供应商资格设定及资格审查的通知</w:t>
      </w:r>
      <w:r>
        <w:rPr>
          <w:rFonts w:hint="eastAsia" w:ascii="宋体" w:hAnsi="宋体" w:cs="仿宋_GB2312"/>
          <w:color w:val="auto"/>
          <w:sz w:val="22"/>
          <w:szCs w:val="22"/>
          <w:highlight w:val="none"/>
        </w:rPr>
        <w:t>》（</w:t>
      </w:r>
      <w:r>
        <w:rPr>
          <w:rFonts w:ascii="宋体" w:hAnsi="宋体" w:cs="仿宋_GB2312"/>
          <w:color w:val="auto"/>
          <w:sz w:val="22"/>
          <w:szCs w:val="22"/>
          <w:highlight w:val="none"/>
        </w:rPr>
        <w:t>浙财采监[2013]24号</w:t>
      </w:r>
      <w:r>
        <w:rPr>
          <w:rFonts w:hint="eastAsia" w:ascii="宋体" w:hAnsi="宋体" w:cs="仿宋_GB2312"/>
          <w:color w:val="auto"/>
          <w:sz w:val="22"/>
          <w:szCs w:val="22"/>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pStyle w:val="16"/>
        <w:rPr>
          <w:color w:val="auto"/>
          <w:highlight w:val="none"/>
        </w:rPr>
      </w:pPr>
    </w:p>
    <w:p>
      <w:pPr>
        <w:snapToGrid w:val="0"/>
        <w:spacing w:line="360" w:lineRule="auto"/>
        <w:jc w:val="center"/>
        <w:rPr>
          <w:rFonts w:hint="eastAsia" w:ascii="宋体" w:hAnsi="宋体" w:cs="宋体"/>
          <w:b/>
          <w:color w:val="auto"/>
          <w:sz w:val="24"/>
          <w:highlight w:val="none"/>
        </w:rPr>
      </w:pPr>
      <w:r>
        <w:rPr>
          <w:rFonts w:ascii="宋体" w:hAnsi="宋体"/>
          <w:b/>
          <w:color w:val="auto"/>
          <w:sz w:val="22"/>
          <w:highlight w:val="none"/>
        </w:rPr>
        <w:br w:type="page"/>
      </w:r>
      <w:r>
        <w:rPr>
          <w:rFonts w:hint="eastAsia" w:ascii="宋体" w:hAnsi="宋体" w:cs="宋体"/>
          <w:b/>
          <w:color w:val="auto"/>
          <w:sz w:val="24"/>
          <w:highlight w:val="none"/>
        </w:rPr>
        <w:t>（4）联合体协议书（</w:t>
      </w:r>
      <w:bookmarkStart w:id="156" w:name="_Hlk113552869"/>
      <w:r>
        <w:rPr>
          <w:rFonts w:hint="eastAsia" w:ascii="宋体" w:hAnsi="宋体" w:cs="宋体"/>
          <w:b/>
          <w:color w:val="auto"/>
          <w:sz w:val="24"/>
          <w:highlight w:val="none"/>
        </w:rPr>
        <w:t>如为联合体投标，请提供</w:t>
      </w:r>
      <w:bookmarkEnd w:id="156"/>
      <w:r>
        <w:rPr>
          <w:rFonts w:hint="eastAsia" w:ascii="宋体" w:hAnsi="宋体" w:cs="宋体"/>
          <w:b/>
          <w:color w:val="auto"/>
          <w:sz w:val="24"/>
          <w:highlight w:val="none"/>
        </w:rPr>
        <w:t>）</w:t>
      </w:r>
    </w:p>
    <w:p>
      <w:pPr>
        <w:snapToGrid w:val="0"/>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（联合体所有成员名称）</w:t>
      </w:r>
      <w:r>
        <w:rPr>
          <w:rFonts w:hint="eastAsia" w:ascii="宋体" w:hAnsi="宋体" w:cs="宋体"/>
          <w:color w:val="auto"/>
          <w:sz w:val="22"/>
          <w:szCs w:val="22"/>
          <w:highlight w:val="none"/>
        </w:rPr>
        <w:t>自愿</w:t>
      </w:r>
      <w:r>
        <w:rPr>
          <w:rFonts w:hint="eastAsia" w:ascii="宋体" w:hAnsi="宋体" w:cs="宋体"/>
          <w:color w:val="auto"/>
          <w:sz w:val="22"/>
          <w:szCs w:val="22"/>
          <w:highlight w:val="none"/>
          <w:lang w:val="zh-CN"/>
        </w:rPr>
        <w:t>组成一个联合体，以一个投标人的身份</w:t>
      </w:r>
      <w:r>
        <w:rPr>
          <w:rFonts w:hint="eastAsia" w:ascii="宋体" w:hAnsi="宋体" w:cs="宋体"/>
          <w:color w:val="auto"/>
          <w:sz w:val="22"/>
          <w:szCs w:val="22"/>
          <w:highlight w:val="none"/>
        </w:rPr>
        <w:t>参加</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项目【项目编号：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lang w:val="zh-CN"/>
        </w:rPr>
        <w:t xml:space="preserve">投标。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一、各方一致决定，</w:t>
      </w:r>
      <w:r>
        <w:rPr>
          <w:rFonts w:hint="eastAsia" w:ascii="宋体" w:hAnsi="宋体" w:cs="宋体"/>
          <w:color w:val="auto"/>
          <w:sz w:val="22"/>
          <w:szCs w:val="22"/>
          <w:highlight w:val="none"/>
          <w:u w:val="single"/>
        </w:rPr>
        <w:t>（某联合体成员名称）</w:t>
      </w:r>
      <w:r>
        <w:rPr>
          <w:rFonts w:hint="eastAsia" w:ascii="宋体" w:hAnsi="宋体" w:cs="宋体"/>
          <w:color w:val="auto"/>
          <w:sz w:val="22"/>
          <w:szCs w:val="22"/>
          <w:highlight w:val="none"/>
        </w:rPr>
        <w:t>为联合体</w:t>
      </w:r>
      <w:r>
        <w:rPr>
          <w:rFonts w:hint="eastAsia" w:ascii="宋体" w:hAnsi="宋体" w:cs="宋体"/>
          <w:color w:val="auto"/>
          <w:sz w:val="22"/>
          <w:szCs w:val="22"/>
          <w:highlight w:val="none"/>
          <w:lang w:val="zh-CN"/>
        </w:rPr>
        <w:t>牵头人</w:t>
      </w:r>
      <w:r>
        <w:rPr>
          <w:rFonts w:hint="eastAsia" w:ascii="宋体" w:hAnsi="宋体" w:cs="宋体"/>
          <w:color w:val="auto"/>
          <w:sz w:val="22"/>
          <w:szCs w:val="22"/>
          <w:highlight w:val="none"/>
        </w:rPr>
        <w:t>，代表所有联合体成员负责投标和合同实施阶段的主办、协调工作</w:t>
      </w:r>
      <w:r>
        <w:rPr>
          <w:rFonts w:hint="eastAsia" w:ascii="宋体" w:hAnsi="宋体" w:cs="宋体"/>
          <w:color w:val="auto"/>
          <w:sz w:val="22"/>
          <w:szCs w:val="22"/>
          <w:highlight w:val="none"/>
          <w:lang w:val="zh-CN"/>
        </w:rPr>
        <w:t>。</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w:t>
      </w:r>
      <w:r>
        <w:rPr>
          <w:rFonts w:hint="eastAsia" w:ascii="宋体" w:hAnsi="宋体" w:cs="宋体"/>
          <w:color w:val="auto"/>
          <w:sz w:val="22"/>
          <w:szCs w:val="22"/>
          <w:highlight w:val="none"/>
        </w:rPr>
        <w:t>所有联合体成员各方签署授权书，授权书载明的</w:t>
      </w:r>
      <w:r>
        <w:rPr>
          <w:rFonts w:hint="eastAsia" w:ascii="宋体" w:hAnsi="宋体" w:cs="宋体"/>
          <w:color w:val="auto"/>
          <w:sz w:val="22"/>
          <w:szCs w:val="22"/>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三、本次联合投标中，分工如下：</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（联合体成员1）</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（联合体成员2）</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四、联合体成员中小企业合同份额。</w:t>
      </w:r>
    </w:p>
    <w:p>
      <w:pPr>
        <w:snapToGrid w:val="0"/>
        <w:spacing w:line="360" w:lineRule="auto"/>
        <w:ind w:firstLine="576"/>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rPr>
        <w:t>（</w:t>
      </w:r>
      <w:bookmarkStart w:id="157" w:name="_Hlk101131882"/>
      <w:r>
        <w:rPr>
          <w:rFonts w:hint="eastAsia" w:ascii="宋体" w:hAnsi="宋体" w:cs="宋体"/>
          <w:color w:val="auto"/>
          <w:sz w:val="22"/>
          <w:szCs w:val="22"/>
          <w:highlight w:val="none"/>
          <w:u w:val="single"/>
        </w:rPr>
        <w:t>联合体成员X,……</w:t>
      </w:r>
      <w:bookmarkEnd w:id="157"/>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rPr>
        <w:t>提供的服务由小微企业承接，其合同份额占到合同总金额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color w:val="auto"/>
          <w:sz w:val="22"/>
          <w:szCs w:val="22"/>
          <w:highlight w:val="none"/>
          <w:lang w:val="zh-CN"/>
        </w:rPr>
        <w:t>。</w:t>
      </w:r>
      <w:r>
        <w:rPr>
          <w:rFonts w:hint="eastAsia" w:ascii="宋体" w:hAnsi="宋体" w:cs="宋体"/>
          <w:b/>
          <w:color w:val="auto"/>
          <w:sz w:val="22"/>
          <w:szCs w:val="22"/>
          <w:highlight w:val="none"/>
          <w:lang w:val="zh-CN"/>
        </w:rPr>
        <w:t>（</w:t>
      </w:r>
      <w:bookmarkStart w:id="158" w:name="_Hlk101133598"/>
      <w:r>
        <w:rPr>
          <w:rFonts w:hint="eastAsia" w:ascii="宋体" w:hAnsi="宋体" w:cs="宋体"/>
          <w:b/>
          <w:color w:val="auto"/>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highlight w:val="none"/>
        </w:rPr>
        <w:t>拟享受以上价格扣除政策的，填写有关内容。</w:t>
      </w:r>
      <w:bookmarkEnd w:id="158"/>
      <w:r>
        <w:rPr>
          <w:rFonts w:hint="eastAsia" w:ascii="宋体" w:hAnsi="宋体" w:cs="宋体"/>
          <w:b/>
          <w:color w:val="auto"/>
          <w:sz w:val="22"/>
          <w:szCs w:val="22"/>
          <w:highlight w:val="none"/>
          <w:lang w:val="zh-CN"/>
        </w:rPr>
        <w:t>）</w:t>
      </w:r>
    </w:p>
    <w:p>
      <w:pPr>
        <w:spacing w:line="360" w:lineRule="auto"/>
        <w:ind w:firstLine="440" w:firstLineChars="200"/>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2、</w:t>
      </w:r>
      <w:bookmarkStart w:id="159" w:name="_Hlk101133173"/>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highlight w:val="none"/>
          <w:lang w:val="zh-CN"/>
        </w:rPr>
        <w:t>）</w:t>
      </w:r>
      <w:bookmarkEnd w:id="159"/>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五、如果中标，</w:t>
      </w:r>
      <w:r>
        <w:rPr>
          <w:rFonts w:hint="eastAsia" w:ascii="宋体" w:hAnsi="宋体" w:cs="宋体"/>
          <w:color w:val="auto"/>
          <w:sz w:val="22"/>
          <w:szCs w:val="22"/>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六、有关本次联合投标的其他事宜：</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3、本协议提交采购人、采购代理机构后，联合体各方不得以任何形式对上述内容进行修改或撤销。</w:t>
      </w:r>
    </w:p>
    <w:p>
      <w:pPr>
        <w:snapToGrid w:val="0"/>
        <w:spacing w:line="360" w:lineRule="auto"/>
        <w:ind w:firstLine="4620" w:firstLine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pPr>
        <w:snapToGrid w:val="0"/>
        <w:spacing w:line="360" w:lineRule="auto"/>
        <w:ind w:firstLine="4620" w:firstLine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pPr>
        <w:snapToGrid w:val="0"/>
        <w:spacing w:line="360" w:lineRule="auto"/>
        <w:ind w:right="960"/>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w:t>
      </w:r>
    </w:p>
    <w:p>
      <w:pPr>
        <w:snapToGrid w:val="0"/>
        <w:spacing w:line="360" w:lineRule="auto"/>
        <w:jc w:val="righ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日期：  年  月   日</w:t>
      </w:r>
    </w:p>
    <w:p>
      <w:pPr>
        <w:widowControl/>
        <w:shd w:val="clear" w:color="auto" w:fill="FFFFFF"/>
        <w:spacing w:line="440" w:lineRule="atLeast"/>
        <w:ind w:firstLine="482"/>
        <w:jc w:val="left"/>
        <w:rPr>
          <w:rFonts w:ascii="宋体" w:hAnsi="宋体" w:cs="宋体"/>
          <w:color w:val="auto"/>
          <w:kern w:val="0"/>
          <w:sz w:val="22"/>
          <w:szCs w:val="22"/>
          <w:highlight w:val="none"/>
        </w:rPr>
      </w:pPr>
      <w:r>
        <w:rPr>
          <w:rFonts w:hint="eastAsia" w:ascii="宋体" w:hAnsi="宋体" w:cs="宋体"/>
          <w:color w:val="auto"/>
          <w:sz w:val="22"/>
          <w:szCs w:val="22"/>
          <w:highlight w:val="none"/>
        </w:rPr>
        <w:t>注：按本格式和要求提供。</w:t>
      </w:r>
    </w:p>
    <w:p>
      <w:pPr>
        <w:widowControl/>
        <w:snapToGrid w:val="0"/>
        <w:spacing w:line="360" w:lineRule="auto"/>
        <w:ind w:firstLine="440" w:firstLineChars="200"/>
        <w:jc w:val="left"/>
        <w:rPr>
          <w:rFonts w:ascii="宋体" w:hAnsi="宋体" w:cs="仿宋_GB2312"/>
          <w:color w:val="auto"/>
          <w:sz w:val="22"/>
          <w:highlight w:val="none"/>
        </w:rPr>
      </w:pPr>
    </w:p>
    <w:p>
      <w:pPr>
        <w:widowControl/>
        <w:snapToGrid w:val="0"/>
        <w:spacing w:line="360" w:lineRule="auto"/>
        <w:ind w:firstLine="440" w:firstLineChars="200"/>
        <w:jc w:val="left"/>
        <w:rPr>
          <w:rFonts w:ascii="宋体" w:hAnsi="宋体" w:cs="仿宋_GB2312"/>
          <w:color w:val="auto"/>
          <w:sz w:val="22"/>
          <w:highlight w:val="none"/>
        </w:rPr>
        <w:sectPr>
          <w:pgSz w:w="11906" w:h="16838"/>
          <w:pgMar w:top="1134" w:right="1134" w:bottom="1134" w:left="1134" w:header="851" w:footer="992" w:gutter="0"/>
          <w:cols w:space="720" w:num="1"/>
          <w:docGrid w:linePitch="312" w:charSpace="0"/>
        </w:sectPr>
      </w:pPr>
    </w:p>
    <w:p>
      <w:pPr>
        <w:snapToGrid w:val="0"/>
        <w:spacing w:line="360" w:lineRule="auto"/>
        <w:jc w:val="center"/>
        <w:rPr>
          <w:rFonts w:hint="eastAsia" w:ascii="宋体" w:hAnsi="宋体" w:cs="宋体"/>
          <w:b/>
          <w:color w:val="auto"/>
          <w:sz w:val="24"/>
          <w:highlight w:val="none"/>
        </w:rPr>
      </w:pPr>
      <w:bookmarkStart w:id="160" w:name="_Toc32149"/>
      <w:bookmarkStart w:id="161" w:name="_Toc11553"/>
      <w:bookmarkStart w:id="162" w:name="_Toc2082"/>
      <w:bookmarkStart w:id="163" w:name="_Toc28533"/>
      <w:r>
        <w:rPr>
          <w:rFonts w:hint="eastAsia" w:ascii="宋体" w:hAnsi="宋体" w:cs="宋体"/>
          <w:b/>
          <w:color w:val="auto"/>
          <w:sz w:val="24"/>
          <w:highlight w:val="none"/>
        </w:rPr>
        <w:t>（5）分包意向协议（如有分包，请根据格式提供）</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项目【项目编号：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lang w:val="en-US" w:eastAsia="zh-CN"/>
        </w:rPr>
        <w:t>成交供应商</w:t>
      </w:r>
      <w:r>
        <w:rPr>
          <w:rFonts w:hint="eastAsia" w:ascii="宋体" w:hAnsi="宋体" w:cs="宋体"/>
          <w:color w:val="auto"/>
          <w:sz w:val="22"/>
          <w:szCs w:val="22"/>
          <w:highlight w:val="none"/>
          <w:lang w:val="zh-CN"/>
        </w:rPr>
        <w:t>，将依法采取分包方式履行合同。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pPr>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pP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pPr>
        <w:snapToGrid w:val="0"/>
        <w:spacing w:line="360" w:lineRule="auto"/>
        <w:ind w:firstLine="576"/>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pPr>
        <w:spacing w:line="360" w:lineRule="auto"/>
        <w:ind w:firstLine="440" w:firstLineChars="200"/>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pPr>
        <w:snapToGrid w:val="0"/>
        <w:spacing w:line="360" w:lineRule="auto"/>
        <w:ind w:firstLine="576"/>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pPr>
        <w:snapToGrid w:val="0"/>
        <w:spacing w:line="360" w:lineRule="auto"/>
        <w:jc w:val="righ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分包供应商名称(电子签名/公章)：</w:t>
      </w:r>
    </w:p>
    <w:p>
      <w:pPr>
        <w:snapToGrid w:val="0"/>
        <w:spacing w:line="360" w:lineRule="auto"/>
        <w:ind w:firstLine="5280" w:firstLineChars="2400"/>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w:t>
      </w:r>
    </w:p>
    <w:p>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日期：  年  月   日</w:t>
      </w:r>
    </w:p>
    <w:p>
      <w:pPr>
        <w:rPr>
          <w:rFonts w:hint="eastAsia"/>
          <w:color w:val="auto"/>
          <w:highlight w:val="none"/>
          <w:lang w:val="zh-CN"/>
        </w:rPr>
      </w:pPr>
      <w:r>
        <w:rPr>
          <w:rFonts w:hint="eastAsia" w:ascii="宋体" w:hAnsi="宋体" w:cs="宋体"/>
          <w:color w:val="auto"/>
          <w:sz w:val="22"/>
          <w:szCs w:val="22"/>
          <w:highlight w:val="none"/>
        </w:rPr>
        <w:t>注：按本格式和要求提供。</w:t>
      </w:r>
    </w:p>
    <w:p>
      <w:pPr>
        <w:pStyle w:val="5"/>
        <w:spacing w:line="480" w:lineRule="exact"/>
        <w:rPr>
          <w:rFonts w:ascii="黑体" w:hAnsi="黑体"/>
          <w:color w:val="auto"/>
          <w:sz w:val="24"/>
          <w:szCs w:val="24"/>
          <w:highlight w:val="none"/>
        </w:rPr>
      </w:pPr>
      <w:r>
        <w:rPr>
          <w:rFonts w:hint="eastAsia"/>
          <w:color w:val="auto"/>
          <w:highlight w:val="none"/>
          <w:lang w:val="zh-CN" w:eastAsia="zh-CN"/>
        </w:rPr>
        <w:br w:type="page"/>
      </w:r>
      <w:bookmarkStart w:id="164" w:name="_Toc19375"/>
      <w:r>
        <w:rPr>
          <w:rFonts w:hint="eastAsia" w:ascii="黑体" w:hAnsi="黑体"/>
          <w:color w:val="auto"/>
          <w:sz w:val="24"/>
          <w:szCs w:val="24"/>
          <w:highlight w:val="none"/>
        </w:rPr>
        <w:t>附件五  商务条款、技术规格偏离表</w:t>
      </w:r>
      <w:bookmarkEnd w:id="153"/>
      <w:bookmarkEnd w:id="160"/>
      <w:bookmarkEnd w:id="161"/>
      <w:bookmarkEnd w:id="162"/>
      <w:bookmarkEnd w:id="163"/>
      <w:bookmarkEnd w:id="164"/>
    </w:p>
    <w:p>
      <w:pPr>
        <w:pStyle w:val="15"/>
        <w:adjustRightInd w:val="0"/>
        <w:snapToGrid w:val="0"/>
        <w:spacing w:line="440" w:lineRule="exact"/>
        <w:ind w:firstLine="422" w:firstLineChars="150"/>
        <w:jc w:val="center"/>
        <w:rPr>
          <w:rFonts w:ascii="宋体" w:hAnsi="宋体"/>
          <w:b/>
          <w:color w:val="auto"/>
          <w:sz w:val="28"/>
          <w:highlight w:val="none"/>
        </w:rPr>
      </w:pPr>
      <w:r>
        <w:rPr>
          <w:rFonts w:hint="eastAsia" w:ascii="宋体" w:hAnsi="宋体"/>
          <w:b/>
          <w:color w:val="auto"/>
          <w:sz w:val="28"/>
          <w:highlight w:val="none"/>
        </w:rPr>
        <w:t>商务条款、技术规格偏离表</w:t>
      </w:r>
    </w:p>
    <w:p>
      <w:pPr>
        <w:spacing w:line="380" w:lineRule="exact"/>
        <w:rPr>
          <w:rFonts w:ascii="宋体" w:hAnsi="宋体"/>
          <w:b/>
          <w:color w:val="auto"/>
          <w:sz w:val="22"/>
          <w:highlight w:val="none"/>
        </w:rPr>
      </w:pPr>
      <w:r>
        <w:rPr>
          <w:rFonts w:hint="eastAsia" w:ascii="宋体" w:hAnsi="宋体"/>
          <w:b/>
          <w:color w:val="auto"/>
          <w:sz w:val="22"/>
          <w:highlight w:val="none"/>
        </w:rPr>
        <w:t>项目名称：                                                  项目编号：</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tcPr>
          <w:p>
            <w:pPr>
              <w:spacing w:line="380" w:lineRule="exact"/>
              <w:jc w:val="center"/>
              <w:rPr>
                <w:rFonts w:ascii="宋体" w:hAnsi="宋体"/>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color w:val="auto"/>
                <w:sz w:val="22"/>
                <w:highlight w:val="none"/>
              </w:rPr>
            </w:pPr>
            <w:r>
              <w:rPr>
                <w:rFonts w:hint="eastAsia" w:ascii="宋体" w:hAnsi="宋体"/>
                <w:b/>
                <w:color w:val="auto"/>
                <w:sz w:val="22"/>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color w:val="auto"/>
                <w:sz w:val="22"/>
                <w:highlight w:val="none"/>
              </w:rPr>
            </w:pPr>
            <w:r>
              <w:rPr>
                <w:rFonts w:hint="eastAsia" w:ascii="宋体" w:hAnsi="宋体"/>
                <w:b/>
                <w:color w:val="auto"/>
                <w:sz w:val="22"/>
                <w:highlight w:val="none"/>
              </w:rPr>
              <w:t>磋商文件</w:t>
            </w:r>
          </w:p>
          <w:p>
            <w:pPr>
              <w:spacing w:line="380" w:lineRule="exact"/>
              <w:jc w:val="center"/>
              <w:rPr>
                <w:rFonts w:ascii="宋体" w:hAnsi="宋体"/>
                <w:b/>
                <w:color w:val="auto"/>
                <w:sz w:val="22"/>
                <w:highlight w:val="none"/>
              </w:rPr>
            </w:pPr>
            <w:r>
              <w:rPr>
                <w:rFonts w:hint="eastAsia" w:ascii="宋体" w:hAnsi="宋体"/>
                <w:b/>
                <w:color w:val="auto"/>
                <w:sz w:val="22"/>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color w:val="auto"/>
                <w:sz w:val="22"/>
                <w:highlight w:val="none"/>
              </w:rPr>
            </w:pPr>
            <w:r>
              <w:rPr>
                <w:rFonts w:hint="eastAsia" w:ascii="宋体" w:hAnsi="宋体"/>
                <w:b/>
                <w:color w:val="auto"/>
                <w:sz w:val="22"/>
                <w:highlight w:val="none"/>
              </w:rPr>
              <w:t>磋商文件</w:t>
            </w:r>
          </w:p>
          <w:p>
            <w:pPr>
              <w:spacing w:line="380" w:lineRule="exact"/>
              <w:jc w:val="center"/>
              <w:rPr>
                <w:rFonts w:ascii="宋体" w:hAnsi="宋体"/>
                <w:b/>
                <w:color w:val="auto"/>
                <w:sz w:val="22"/>
                <w:highlight w:val="none"/>
              </w:rPr>
            </w:pPr>
            <w:r>
              <w:rPr>
                <w:rFonts w:hint="eastAsia" w:ascii="宋体" w:hAnsi="宋体"/>
                <w:b/>
                <w:color w:val="auto"/>
                <w:sz w:val="22"/>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color w:val="auto"/>
                <w:sz w:val="22"/>
                <w:highlight w:val="none"/>
              </w:rPr>
            </w:pPr>
            <w:r>
              <w:rPr>
                <w:rFonts w:hint="eastAsia" w:ascii="宋体" w:hAnsi="宋体"/>
                <w:b/>
                <w:color w:val="auto"/>
                <w:sz w:val="22"/>
                <w:highlight w:val="none"/>
              </w:rPr>
              <w:t>响应文件</w:t>
            </w:r>
          </w:p>
          <w:p>
            <w:pPr>
              <w:spacing w:line="380" w:lineRule="exact"/>
              <w:jc w:val="center"/>
              <w:rPr>
                <w:rFonts w:ascii="宋体" w:hAnsi="宋体"/>
                <w:b/>
                <w:color w:val="auto"/>
                <w:sz w:val="22"/>
                <w:highlight w:val="none"/>
              </w:rPr>
            </w:pPr>
            <w:r>
              <w:rPr>
                <w:rFonts w:hint="eastAsia" w:ascii="宋体" w:hAnsi="宋体"/>
                <w:b/>
                <w:color w:val="auto"/>
                <w:sz w:val="22"/>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color w:val="auto"/>
                <w:sz w:val="22"/>
                <w:highlight w:val="none"/>
              </w:rPr>
            </w:pPr>
            <w:r>
              <w:rPr>
                <w:rFonts w:hint="eastAsia" w:ascii="宋体" w:hAnsi="宋体"/>
                <w:b/>
                <w:color w:val="auto"/>
                <w:sz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 w:val="22"/>
                <w:highlight w:val="none"/>
              </w:rPr>
            </w:pPr>
            <w:r>
              <w:rPr>
                <w:rFonts w:hint="eastAsia" w:ascii="宋体" w:hAnsi="宋体"/>
                <w:b/>
                <w:color w:val="auto"/>
                <w:sz w:val="22"/>
                <w:highlight w:val="none"/>
              </w:rPr>
              <w:t>技</w:t>
            </w:r>
          </w:p>
          <w:p>
            <w:pPr>
              <w:spacing w:line="380" w:lineRule="exact"/>
              <w:jc w:val="center"/>
              <w:rPr>
                <w:rFonts w:ascii="宋体" w:hAnsi="宋体"/>
                <w:b/>
                <w:color w:val="auto"/>
                <w:sz w:val="22"/>
                <w:highlight w:val="none"/>
              </w:rPr>
            </w:pPr>
            <w:r>
              <w:rPr>
                <w:rFonts w:hint="eastAsia" w:ascii="宋体" w:hAnsi="宋体"/>
                <w:b/>
                <w:color w:val="auto"/>
                <w:sz w:val="22"/>
                <w:highlight w:val="none"/>
              </w:rPr>
              <w:t>术</w:t>
            </w:r>
          </w:p>
          <w:p>
            <w:pPr>
              <w:spacing w:line="380" w:lineRule="exact"/>
              <w:jc w:val="center"/>
              <w:rPr>
                <w:rFonts w:ascii="宋体" w:hAnsi="宋体"/>
                <w:b/>
                <w:color w:val="auto"/>
                <w:sz w:val="22"/>
                <w:highlight w:val="none"/>
              </w:rPr>
            </w:pPr>
            <w:r>
              <w:rPr>
                <w:rFonts w:hint="eastAsia" w:ascii="宋体" w:hAnsi="宋体"/>
                <w:b/>
                <w:color w:val="auto"/>
                <w:sz w:val="22"/>
                <w:highlight w:val="none"/>
              </w:rPr>
              <w:t>规</w:t>
            </w:r>
          </w:p>
          <w:p>
            <w:pPr>
              <w:spacing w:line="380" w:lineRule="exact"/>
              <w:jc w:val="center"/>
              <w:rPr>
                <w:rFonts w:ascii="宋体" w:hAnsi="宋体"/>
                <w:b/>
                <w:color w:val="auto"/>
                <w:sz w:val="22"/>
                <w:highlight w:val="none"/>
              </w:rPr>
            </w:pPr>
            <w:r>
              <w:rPr>
                <w:rFonts w:hint="eastAsia" w:ascii="宋体" w:hAnsi="宋体"/>
                <w:b/>
                <w:color w:val="auto"/>
                <w:sz w:val="22"/>
                <w:highlight w:val="none"/>
              </w:rPr>
              <w:t>格</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 w:val="22"/>
                <w:highlight w:val="none"/>
              </w:rPr>
            </w:pPr>
            <w:r>
              <w:rPr>
                <w:rFonts w:hint="eastAsia" w:ascii="宋体" w:hAnsi="宋体"/>
                <w:b/>
                <w:color w:val="auto"/>
                <w:sz w:val="22"/>
                <w:highlight w:val="none"/>
              </w:rPr>
              <w:t>商</w:t>
            </w:r>
          </w:p>
          <w:p>
            <w:pPr>
              <w:spacing w:line="380" w:lineRule="exact"/>
              <w:jc w:val="center"/>
              <w:rPr>
                <w:rFonts w:ascii="宋体" w:hAnsi="宋体"/>
                <w:b/>
                <w:color w:val="auto"/>
                <w:sz w:val="22"/>
                <w:highlight w:val="none"/>
              </w:rPr>
            </w:pPr>
            <w:r>
              <w:rPr>
                <w:rFonts w:hint="eastAsia" w:ascii="宋体" w:hAnsi="宋体"/>
                <w:b/>
                <w:color w:val="auto"/>
                <w:sz w:val="22"/>
                <w:highlight w:val="none"/>
              </w:rPr>
              <w:t>务</w:t>
            </w:r>
          </w:p>
          <w:p>
            <w:pPr>
              <w:spacing w:line="380" w:lineRule="exact"/>
              <w:jc w:val="center"/>
              <w:rPr>
                <w:rFonts w:ascii="宋体" w:hAnsi="宋体"/>
                <w:b/>
                <w:color w:val="auto"/>
                <w:sz w:val="22"/>
                <w:highlight w:val="none"/>
              </w:rPr>
            </w:pPr>
            <w:r>
              <w:rPr>
                <w:rFonts w:hint="eastAsia" w:ascii="宋体" w:hAnsi="宋体"/>
                <w:b/>
                <w:color w:val="auto"/>
                <w:sz w:val="22"/>
                <w:highlight w:val="none"/>
              </w:rPr>
              <w:t>条</w:t>
            </w:r>
          </w:p>
          <w:p>
            <w:pPr>
              <w:spacing w:line="380" w:lineRule="exact"/>
              <w:jc w:val="center"/>
              <w:rPr>
                <w:rFonts w:ascii="宋体" w:hAnsi="宋体"/>
                <w:b/>
                <w:color w:val="auto"/>
                <w:sz w:val="22"/>
                <w:highlight w:val="none"/>
              </w:rPr>
            </w:pPr>
            <w:r>
              <w:rPr>
                <w:rFonts w:hint="eastAsia" w:ascii="宋体" w:hAnsi="宋体"/>
                <w:b/>
                <w:color w:val="auto"/>
                <w:sz w:val="22"/>
                <w:highlight w:val="none"/>
              </w:rPr>
              <w:t>款</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 w:val="22"/>
                <w:highlight w:val="none"/>
              </w:rPr>
            </w:pPr>
          </w:p>
        </w:tc>
      </w:tr>
    </w:tbl>
    <w:p>
      <w:pPr>
        <w:spacing w:line="440" w:lineRule="exact"/>
        <w:rPr>
          <w:rFonts w:ascii="宋体" w:hAnsi="宋体"/>
          <w:color w:val="auto"/>
          <w:sz w:val="22"/>
          <w:szCs w:val="22"/>
          <w:highlight w:val="none"/>
        </w:rPr>
      </w:pPr>
      <w:r>
        <w:rPr>
          <w:rFonts w:hint="eastAsia" w:ascii="宋体" w:hAnsi="宋体"/>
          <w:color w:val="auto"/>
          <w:sz w:val="22"/>
          <w:szCs w:val="22"/>
          <w:highlight w:val="none"/>
        </w:rPr>
        <w:t>注：没有填写此表视为完全响应磋商文件要求。</w:t>
      </w:r>
    </w:p>
    <w:p>
      <w:pPr>
        <w:spacing w:line="440" w:lineRule="exact"/>
        <w:ind w:firstLine="4400" w:firstLineChars="2000"/>
        <w:rPr>
          <w:rFonts w:ascii="宋体" w:hAnsi="宋体"/>
          <w:color w:val="auto"/>
          <w:sz w:val="22"/>
          <w:szCs w:val="22"/>
          <w:highlight w:val="none"/>
        </w:rPr>
      </w:pPr>
    </w:p>
    <w:p>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磋商供应商全称（电子签名/公章）：</w:t>
      </w:r>
    </w:p>
    <w:p>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 xml:space="preserve">日期：     年    月    日 </w:t>
      </w:r>
    </w:p>
    <w:p>
      <w:pPr>
        <w:pStyle w:val="5"/>
        <w:spacing w:line="240" w:lineRule="auto"/>
        <w:rPr>
          <w:rFonts w:ascii="黑体" w:hAnsi="黑体" w:cs="黑体"/>
          <w:color w:val="auto"/>
          <w:sz w:val="24"/>
          <w:szCs w:val="24"/>
          <w:highlight w:val="none"/>
        </w:rPr>
      </w:pPr>
      <w:bookmarkStart w:id="165" w:name="_Toc363487552"/>
      <w:r>
        <w:rPr>
          <w:rFonts w:hint="eastAsia" w:ascii="宋体" w:hAnsi="宋体" w:eastAsia="宋体"/>
          <w:color w:val="auto"/>
          <w:sz w:val="24"/>
          <w:szCs w:val="24"/>
          <w:highlight w:val="none"/>
        </w:rPr>
        <w:br w:type="page"/>
      </w:r>
      <w:bookmarkEnd w:id="154"/>
      <w:bookmarkEnd w:id="155"/>
      <w:bookmarkEnd w:id="165"/>
      <w:bookmarkStart w:id="166" w:name="_Toc9343381"/>
      <w:bookmarkStart w:id="167" w:name="_Toc12373403"/>
      <w:bookmarkStart w:id="168" w:name="_Toc49280913"/>
      <w:bookmarkStart w:id="169" w:name="_Toc15666"/>
      <w:bookmarkStart w:id="170" w:name="_Toc24893"/>
      <w:bookmarkStart w:id="171" w:name="_Toc7609"/>
      <w:bookmarkStart w:id="172" w:name="_Toc19495"/>
      <w:bookmarkStart w:id="173" w:name="_Toc1593"/>
      <w:bookmarkStart w:id="174" w:name="_Toc8294591"/>
      <w:bookmarkStart w:id="175" w:name="_Toc3741107"/>
      <w:bookmarkStart w:id="176" w:name="_Toc524600101"/>
      <w:bookmarkStart w:id="177" w:name="_Toc14682763"/>
      <w:bookmarkStart w:id="178" w:name="_Toc395528094"/>
      <w:bookmarkStart w:id="179" w:name="_Toc30488983"/>
      <w:bookmarkStart w:id="180" w:name="_Toc3741475"/>
      <w:bookmarkStart w:id="181" w:name="_Toc20616_WPSOffice_Level2"/>
      <w:bookmarkStart w:id="182" w:name="_Toc482309056"/>
      <w:r>
        <w:rPr>
          <w:rFonts w:hint="eastAsia" w:ascii="黑体" w:hAnsi="黑体" w:cs="黑体"/>
          <w:color w:val="auto"/>
          <w:sz w:val="24"/>
          <w:szCs w:val="24"/>
          <w:highlight w:val="none"/>
        </w:rPr>
        <w:t xml:space="preserve">附件六  </w:t>
      </w:r>
      <w:bookmarkEnd w:id="166"/>
      <w:bookmarkEnd w:id="167"/>
      <w:bookmarkEnd w:id="168"/>
      <w:r>
        <w:rPr>
          <w:rFonts w:hint="eastAsia" w:ascii="黑体" w:hAnsi="黑体" w:cs="黑体"/>
          <w:color w:val="auto"/>
          <w:sz w:val="24"/>
          <w:szCs w:val="24"/>
          <w:highlight w:val="none"/>
        </w:rPr>
        <w:t>投入本项目团队情况表</w:t>
      </w:r>
      <w:bookmarkEnd w:id="169"/>
      <w:bookmarkEnd w:id="170"/>
      <w:bookmarkEnd w:id="171"/>
      <w:bookmarkEnd w:id="172"/>
      <w:bookmarkEnd w:id="173"/>
    </w:p>
    <w:p>
      <w:pPr>
        <w:autoSpaceDE w:val="0"/>
        <w:autoSpaceDN w:val="0"/>
        <w:adjustRightInd w:val="0"/>
        <w:spacing w:line="400" w:lineRule="exact"/>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（1）项目负责人情况表</w:t>
      </w:r>
    </w:p>
    <w:p>
      <w:pPr>
        <w:widowControl/>
        <w:overflowPunct w:val="0"/>
        <w:autoSpaceDE w:val="0"/>
        <w:autoSpaceDN w:val="0"/>
        <w:adjustRightInd w:val="0"/>
        <w:spacing w:line="400" w:lineRule="atLeast"/>
        <w:ind w:left="2629"/>
        <w:jc w:val="left"/>
        <w:textAlignment w:val="baseline"/>
        <w:rPr>
          <w:rFonts w:ascii="宋体" w:hAnsi="宋体" w:cs="宋体"/>
          <w:b/>
          <w:color w:val="auto"/>
          <w:sz w:val="28"/>
          <w:szCs w:val="20"/>
          <w:highlight w:val="none"/>
        </w:rPr>
      </w:pPr>
    </w:p>
    <w:p>
      <w:pPr>
        <w:widowControl/>
        <w:overflowPunct w:val="0"/>
        <w:autoSpaceDE w:val="0"/>
        <w:autoSpaceDN w:val="0"/>
        <w:adjustRightInd w:val="0"/>
        <w:spacing w:line="400" w:lineRule="atLeast"/>
        <w:ind w:left="660" w:hanging="660" w:hangingChars="300"/>
        <w:jc w:val="left"/>
        <w:textAlignment w:val="baseline"/>
        <w:rPr>
          <w:rFonts w:ascii="宋体" w:hAnsi="宋体" w:cs="宋体"/>
          <w:color w:val="auto"/>
          <w:sz w:val="22"/>
          <w:szCs w:val="20"/>
          <w:highlight w:val="none"/>
        </w:rPr>
      </w:pPr>
      <w:r>
        <w:rPr>
          <w:rFonts w:hint="eastAsia" w:ascii="宋体" w:hAnsi="宋体" w:cs="宋体"/>
          <w:color w:val="auto"/>
          <w:sz w:val="22"/>
          <w:szCs w:val="20"/>
          <w:highlight w:val="none"/>
        </w:rPr>
        <w:t>项目名称：                                            项目编号：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r>
              <w:rPr>
                <w:rFonts w:hint="eastAsia" w:ascii="新宋体" w:hAnsi="新宋体" w:eastAsia="新宋体"/>
                <w:color w:val="auto"/>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r>
              <w:rPr>
                <w:rFonts w:hint="eastAsia" w:ascii="新宋体" w:hAnsi="新宋体" w:eastAsia="新宋体"/>
                <w:color w:val="auto"/>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新宋体" w:hAnsi="新宋体" w:eastAsia="新宋体"/>
                <w:color w:val="auto"/>
                <w:highlight w:val="none"/>
              </w:rPr>
            </w:pPr>
            <w:r>
              <w:rPr>
                <w:rFonts w:hint="eastAsia" w:ascii="新宋体" w:hAnsi="新宋体" w:eastAsia="新宋体"/>
                <w:color w:val="auto"/>
                <w:highlight w:val="none"/>
              </w:rPr>
              <w:t>职  称</w:t>
            </w:r>
          </w:p>
          <w:p>
            <w:pPr>
              <w:spacing w:line="260" w:lineRule="exact"/>
              <w:jc w:val="center"/>
              <w:rPr>
                <w:rFonts w:ascii="新宋体" w:hAnsi="新宋体" w:eastAsia="新宋体"/>
                <w:color w:val="auto"/>
                <w:highlight w:val="none"/>
              </w:rPr>
            </w:pPr>
            <w:r>
              <w:rPr>
                <w:rFonts w:hint="eastAsia" w:ascii="新宋体" w:hAnsi="新宋体" w:eastAsia="新宋体"/>
                <w:color w:val="auto"/>
                <w:highlight w:val="none"/>
              </w:rPr>
              <w:t>（或学位）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参加工作</w:t>
            </w:r>
          </w:p>
          <w:p>
            <w:pPr>
              <w:spacing w:line="2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r>
              <w:rPr>
                <w:rFonts w:hint="eastAsia" w:ascii="新宋体" w:hAnsi="新宋体" w:eastAsia="新宋体"/>
                <w:color w:val="auto"/>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r>
              <w:rPr>
                <w:rFonts w:hint="eastAsia" w:ascii="新宋体" w:hAnsi="新宋体" w:eastAsia="新宋体"/>
                <w:color w:val="auto"/>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新宋体" w:hAnsi="新宋体" w:eastAsia="新宋体"/>
                <w:color w:val="auto"/>
                <w:highlight w:val="none"/>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新宋体" w:hAnsi="新宋体" w:eastAsia="新宋体"/>
                <w:color w:val="auto"/>
                <w:sz w:val="22"/>
                <w:szCs w:val="22"/>
                <w:highlight w:val="none"/>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新宋体" w:hAnsi="新宋体" w:eastAsia="新宋体"/>
                <w:color w:val="auto"/>
                <w:sz w:val="22"/>
                <w:szCs w:val="22"/>
                <w:highlight w:val="none"/>
              </w:rPr>
            </w:pPr>
          </w:p>
        </w:tc>
      </w:tr>
    </w:tbl>
    <w:p>
      <w:pPr>
        <w:widowControl/>
        <w:overflowPunct w:val="0"/>
        <w:autoSpaceDE w:val="0"/>
        <w:autoSpaceDN w:val="0"/>
        <w:adjustRightInd w:val="0"/>
        <w:spacing w:line="340" w:lineRule="exact"/>
        <w:ind w:left="660" w:hanging="660" w:hangingChars="300"/>
        <w:jc w:val="left"/>
        <w:textAlignment w:val="baseline"/>
        <w:rPr>
          <w:rFonts w:ascii="宋体" w:hAnsi="宋体" w:cs="宋体"/>
          <w:color w:val="auto"/>
          <w:sz w:val="22"/>
          <w:szCs w:val="22"/>
          <w:highlight w:val="none"/>
        </w:rPr>
      </w:pPr>
      <w:r>
        <w:rPr>
          <w:rFonts w:hint="eastAsia" w:ascii="宋体" w:hAnsi="宋体" w:cs="宋体"/>
          <w:bCs/>
          <w:color w:val="auto"/>
          <w:sz w:val="22"/>
          <w:szCs w:val="20"/>
          <w:highlight w:val="none"/>
        </w:rPr>
        <w:t xml:space="preserve"> 注:1、</w:t>
      </w:r>
      <w:r>
        <w:rPr>
          <w:rFonts w:hint="eastAsia" w:ascii="宋体" w:hAnsi="宋体" w:cs="宋体"/>
          <w:color w:val="auto"/>
          <w:sz w:val="22"/>
          <w:szCs w:val="22"/>
          <w:highlight w:val="none"/>
        </w:rPr>
        <w:t>本表应附技术职称/资格证书、近期社保等证明扫描件；</w:t>
      </w:r>
    </w:p>
    <w:p>
      <w:pPr>
        <w:autoSpaceDE w:val="0"/>
        <w:autoSpaceDN w:val="0"/>
        <w:adjustRightInd w:val="0"/>
        <w:spacing w:line="400" w:lineRule="exact"/>
        <w:ind w:firstLine="440" w:firstLineChars="200"/>
        <w:jc w:val="left"/>
        <w:rPr>
          <w:rFonts w:ascii="宋体" w:hAnsi="宋体" w:cs="宋体"/>
          <w:bCs/>
          <w:snapToGrid w:val="0"/>
          <w:color w:val="auto"/>
          <w:sz w:val="22"/>
          <w:szCs w:val="22"/>
          <w:highlight w:val="none"/>
        </w:rPr>
      </w:pPr>
      <w:r>
        <w:rPr>
          <w:rFonts w:hint="eastAsia" w:ascii="宋体" w:hAnsi="宋体" w:cs="宋体"/>
          <w:bCs/>
          <w:snapToGrid w:val="0"/>
          <w:color w:val="auto"/>
          <w:sz w:val="22"/>
          <w:szCs w:val="22"/>
          <w:highlight w:val="none"/>
        </w:rPr>
        <w:t>2、本表可在不改变格式的情况下根据具体需要自行增减。</w:t>
      </w:r>
    </w:p>
    <w:p>
      <w:pPr>
        <w:autoSpaceDE w:val="0"/>
        <w:autoSpaceDN w:val="0"/>
        <w:adjustRightInd w:val="0"/>
        <w:spacing w:line="400" w:lineRule="exact"/>
        <w:jc w:val="left"/>
        <w:rPr>
          <w:rFonts w:ascii="宋体" w:hAnsi="宋体" w:cs="宋体"/>
          <w:b/>
          <w:bCs/>
          <w:snapToGrid w:val="0"/>
          <w:color w:val="auto"/>
          <w:sz w:val="22"/>
          <w:szCs w:val="22"/>
          <w:highlight w:val="none"/>
        </w:rPr>
      </w:pPr>
    </w:p>
    <w:p>
      <w:pPr>
        <w:pStyle w:val="15"/>
        <w:rPr>
          <w:color w:val="auto"/>
          <w:highlight w:val="none"/>
        </w:rPr>
      </w:pPr>
    </w:p>
    <w:p>
      <w:pPr>
        <w:pStyle w:val="2"/>
        <w:ind w:firstLine="3740" w:firstLineChars="1700"/>
        <w:rPr>
          <w:rFonts w:ascii="宋体" w:hAnsi="宋体" w:cs="宋体"/>
          <w:color w:val="auto"/>
          <w:sz w:val="22"/>
          <w:szCs w:val="22"/>
          <w:highlight w:val="none"/>
        </w:rPr>
      </w:pPr>
      <w:r>
        <w:rPr>
          <w:rFonts w:hint="eastAsia" w:ascii="宋体" w:hAnsi="宋体" w:cs="宋体"/>
          <w:color w:val="auto"/>
          <w:sz w:val="22"/>
          <w:szCs w:val="22"/>
          <w:highlight w:val="none"/>
        </w:rPr>
        <w:t>磋商供应商全称（电子签名/公章）：</w:t>
      </w:r>
    </w:p>
    <w:p>
      <w:pPr>
        <w:pStyle w:val="2"/>
        <w:ind w:firstLine="3740" w:firstLineChars="1700"/>
        <w:rPr>
          <w:rFonts w:hint="eastAsia" w:ascii="宋体" w:hAnsi="宋体" w:cs="宋体"/>
          <w:color w:val="auto"/>
          <w:sz w:val="22"/>
          <w:szCs w:val="22"/>
          <w:highlight w:val="none"/>
        </w:rPr>
        <w:sectPr>
          <w:headerReference r:id="rId9" w:type="default"/>
          <w:pgSz w:w="11906" w:h="16838"/>
          <w:pgMar w:top="1134" w:right="1134" w:bottom="1134" w:left="1134" w:header="851" w:footer="992" w:gutter="0"/>
          <w:cols w:space="720" w:num="1"/>
          <w:docGrid w:linePitch="312" w:charSpace="0"/>
        </w:sectPr>
      </w:pPr>
      <w:r>
        <w:rPr>
          <w:rFonts w:hint="eastAsia" w:ascii="宋体" w:hAnsi="宋体" w:cs="宋体"/>
          <w:color w:val="auto"/>
          <w:sz w:val="22"/>
          <w:szCs w:val="22"/>
          <w:highlight w:val="none"/>
        </w:rPr>
        <w:t xml:space="preserve">日期：     年    月    日 </w:t>
      </w:r>
    </w:p>
    <w:p>
      <w:pPr>
        <w:widowControl/>
        <w:overflowPunct w:val="0"/>
        <w:autoSpaceDE w:val="0"/>
        <w:autoSpaceDN w:val="0"/>
        <w:adjustRightInd w:val="0"/>
        <w:spacing w:line="400" w:lineRule="atLeast"/>
        <w:jc w:val="center"/>
        <w:textAlignment w:val="baseline"/>
        <w:rPr>
          <w:rFonts w:hint="eastAsia" w:ascii="宋体" w:hAnsi="宋体"/>
          <w:b/>
          <w:color w:val="auto"/>
          <w:kern w:val="0"/>
          <w:sz w:val="28"/>
          <w:szCs w:val="21"/>
          <w:highlight w:val="none"/>
        </w:rPr>
      </w:pPr>
      <w:r>
        <w:rPr>
          <w:rFonts w:hint="eastAsia" w:ascii="宋体" w:hAnsi="宋体"/>
          <w:b/>
          <w:color w:val="auto"/>
          <w:kern w:val="0"/>
          <w:sz w:val="28"/>
          <w:szCs w:val="21"/>
          <w:highlight w:val="none"/>
        </w:rPr>
        <w:t>（2）承诺投入的主要服务人员情况表</w:t>
      </w:r>
    </w:p>
    <w:p>
      <w:pPr>
        <w:tabs>
          <w:tab w:val="left" w:pos="1620"/>
        </w:tabs>
        <w:rPr>
          <w:rFonts w:hint="eastAsia" w:ascii="宋体" w:hAnsi="宋体"/>
          <w:color w:val="auto"/>
          <w:sz w:val="22"/>
          <w:szCs w:val="22"/>
          <w:highlight w:val="none"/>
        </w:rPr>
      </w:pPr>
      <w:r>
        <w:rPr>
          <w:rFonts w:hint="eastAsia" w:ascii="宋体" w:hAnsi="宋体"/>
          <w:color w:val="auto"/>
          <w:sz w:val="22"/>
          <w:szCs w:val="22"/>
          <w:highlight w:val="none"/>
        </w:rPr>
        <w:t xml:space="preserve">项目名称：                                                                             项目编号： </w:t>
      </w:r>
    </w:p>
    <w:tbl>
      <w:tblPr>
        <w:tblStyle w:val="38"/>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340"/>
        <w:gridCol w:w="957"/>
        <w:gridCol w:w="1149"/>
        <w:gridCol w:w="1340"/>
        <w:gridCol w:w="1447"/>
        <w:gridCol w:w="1615"/>
        <w:gridCol w:w="1340"/>
        <w:gridCol w:w="1669"/>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42" w:type="dxa"/>
            <w:noWrap w:val="0"/>
            <w:vAlign w:val="center"/>
          </w:tcPr>
          <w:p>
            <w:pPr>
              <w:rPr>
                <w:rFonts w:hint="eastAsia" w:ascii="宋体" w:hAnsi="宋体"/>
                <w:bCs/>
                <w:color w:val="auto"/>
                <w:sz w:val="22"/>
                <w:szCs w:val="22"/>
                <w:highlight w:val="none"/>
              </w:rPr>
            </w:pPr>
            <w:r>
              <w:rPr>
                <w:rFonts w:hint="eastAsia" w:ascii="宋体" w:hAnsi="宋体"/>
                <w:bCs/>
                <w:color w:val="auto"/>
                <w:sz w:val="22"/>
                <w:szCs w:val="22"/>
                <w:highlight w:val="none"/>
              </w:rPr>
              <w:t>序号</w:t>
            </w:r>
          </w:p>
        </w:tc>
        <w:tc>
          <w:tcPr>
            <w:tcW w:w="1340" w:type="dxa"/>
            <w:noWrap w:val="0"/>
            <w:vAlign w:val="center"/>
          </w:tcPr>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姓名</w:t>
            </w:r>
          </w:p>
        </w:tc>
        <w:tc>
          <w:tcPr>
            <w:tcW w:w="957" w:type="dxa"/>
            <w:noWrap w:val="0"/>
            <w:vAlign w:val="center"/>
          </w:tcPr>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性别</w:t>
            </w:r>
          </w:p>
        </w:tc>
        <w:tc>
          <w:tcPr>
            <w:tcW w:w="1149" w:type="dxa"/>
            <w:noWrap w:val="0"/>
            <w:vAlign w:val="center"/>
          </w:tcPr>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年龄</w:t>
            </w:r>
          </w:p>
        </w:tc>
        <w:tc>
          <w:tcPr>
            <w:tcW w:w="1340" w:type="dxa"/>
            <w:noWrap w:val="0"/>
            <w:vAlign w:val="center"/>
          </w:tcPr>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专业/年限</w:t>
            </w:r>
          </w:p>
        </w:tc>
        <w:tc>
          <w:tcPr>
            <w:tcW w:w="1447" w:type="dxa"/>
            <w:noWrap w:val="0"/>
            <w:vAlign w:val="center"/>
          </w:tcPr>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职称/</w:t>
            </w:r>
            <w:r>
              <w:rPr>
                <w:rFonts w:hint="eastAsia" w:ascii="宋体" w:hAnsi="宋体"/>
                <w:color w:val="auto"/>
                <w:sz w:val="22"/>
                <w:szCs w:val="22"/>
                <w:highlight w:val="none"/>
              </w:rPr>
              <w:t>资格</w:t>
            </w:r>
          </w:p>
        </w:tc>
        <w:tc>
          <w:tcPr>
            <w:tcW w:w="1615" w:type="dxa"/>
            <w:noWrap w:val="0"/>
            <w:vAlign w:val="center"/>
          </w:tcPr>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拟担任何种工作/职务</w:t>
            </w:r>
          </w:p>
        </w:tc>
        <w:tc>
          <w:tcPr>
            <w:tcW w:w="1340" w:type="dxa"/>
            <w:noWrap w:val="0"/>
            <w:vAlign w:val="center"/>
          </w:tcPr>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承诺</w:t>
            </w:r>
          </w:p>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到位率</w:t>
            </w:r>
          </w:p>
        </w:tc>
        <w:tc>
          <w:tcPr>
            <w:tcW w:w="1669" w:type="dxa"/>
            <w:noWrap w:val="0"/>
            <w:vAlign w:val="center"/>
          </w:tcPr>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到现场服务起止时间</w:t>
            </w:r>
          </w:p>
        </w:tc>
        <w:tc>
          <w:tcPr>
            <w:tcW w:w="3347" w:type="dxa"/>
            <w:noWrap w:val="0"/>
            <w:vAlign w:val="center"/>
          </w:tcPr>
          <w:p>
            <w:pPr>
              <w:jc w:val="center"/>
              <w:rPr>
                <w:rFonts w:hint="eastAsia" w:ascii="宋体" w:hAnsi="宋体"/>
                <w:bCs/>
                <w:color w:val="auto"/>
                <w:sz w:val="22"/>
                <w:szCs w:val="22"/>
                <w:highlight w:val="none"/>
              </w:rPr>
            </w:pPr>
            <w:r>
              <w:rPr>
                <w:rFonts w:hint="eastAsia" w:ascii="宋体" w:hAnsi="宋体"/>
                <w:bCs/>
                <w:color w:val="auto"/>
                <w:sz w:val="22"/>
                <w:szCs w:val="22"/>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957" w:type="dxa"/>
            <w:noWrap w:val="0"/>
            <w:vAlign w:val="center"/>
          </w:tcPr>
          <w:p>
            <w:pPr>
              <w:rPr>
                <w:rFonts w:hint="eastAsia" w:ascii="宋体" w:hAnsi="宋体"/>
                <w:color w:val="auto"/>
                <w:sz w:val="22"/>
                <w:szCs w:val="22"/>
                <w:highlight w:val="none"/>
              </w:rPr>
            </w:pPr>
          </w:p>
        </w:tc>
        <w:tc>
          <w:tcPr>
            <w:tcW w:w="1149"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447" w:type="dxa"/>
            <w:noWrap w:val="0"/>
            <w:vAlign w:val="center"/>
          </w:tcPr>
          <w:p>
            <w:pPr>
              <w:rPr>
                <w:rFonts w:hint="eastAsia" w:ascii="宋体" w:hAnsi="宋体"/>
                <w:color w:val="auto"/>
                <w:sz w:val="22"/>
                <w:szCs w:val="22"/>
                <w:highlight w:val="none"/>
              </w:rPr>
            </w:pPr>
          </w:p>
        </w:tc>
        <w:tc>
          <w:tcPr>
            <w:tcW w:w="1615"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669" w:type="dxa"/>
            <w:noWrap w:val="0"/>
            <w:vAlign w:val="center"/>
          </w:tcPr>
          <w:p>
            <w:pPr>
              <w:rPr>
                <w:rFonts w:hint="eastAsia" w:ascii="宋体" w:hAnsi="宋体"/>
                <w:color w:val="auto"/>
                <w:sz w:val="22"/>
                <w:szCs w:val="22"/>
                <w:highlight w:val="none"/>
              </w:rPr>
            </w:pPr>
          </w:p>
        </w:tc>
        <w:tc>
          <w:tcPr>
            <w:tcW w:w="3347" w:type="dxa"/>
            <w:noWrap w:val="0"/>
            <w:vAlign w:val="center"/>
          </w:tcPr>
          <w:p>
            <w:pP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957" w:type="dxa"/>
            <w:noWrap w:val="0"/>
            <w:vAlign w:val="center"/>
          </w:tcPr>
          <w:p>
            <w:pPr>
              <w:rPr>
                <w:rFonts w:hint="eastAsia" w:ascii="宋体" w:hAnsi="宋体"/>
                <w:color w:val="auto"/>
                <w:sz w:val="22"/>
                <w:szCs w:val="22"/>
                <w:highlight w:val="none"/>
              </w:rPr>
            </w:pPr>
          </w:p>
        </w:tc>
        <w:tc>
          <w:tcPr>
            <w:tcW w:w="1149"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447" w:type="dxa"/>
            <w:noWrap w:val="0"/>
            <w:vAlign w:val="center"/>
          </w:tcPr>
          <w:p>
            <w:pPr>
              <w:rPr>
                <w:rFonts w:hint="eastAsia" w:ascii="宋体" w:hAnsi="宋体"/>
                <w:color w:val="auto"/>
                <w:sz w:val="22"/>
                <w:szCs w:val="22"/>
                <w:highlight w:val="none"/>
              </w:rPr>
            </w:pPr>
          </w:p>
        </w:tc>
        <w:tc>
          <w:tcPr>
            <w:tcW w:w="1615"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669" w:type="dxa"/>
            <w:noWrap w:val="0"/>
            <w:vAlign w:val="center"/>
          </w:tcPr>
          <w:p>
            <w:pPr>
              <w:rPr>
                <w:rFonts w:hint="eastAsia" w:ascii="宋体" w:hAnsi="宋体"/>
                <w:color w:val="auto"/>
                <w:sz w:val="22"/>
                <w:szCs w:val="22"/>
                <w:highlight w:val="none"/>
              </w:rPr>
            </w:pPr>
          </w:p>
        </w:tc>
        <w:tc>
          <w:tcPr>
            <w:tcW w:w="3347" w:type="dxa"/>
            <w:noWrap w:val="0"/>
            <w:vAlign w:val="center"/>
          </w:tcPr>
          <w:p>
            <w:pPr>
              <w:pStyle w:val="23"/>
              <w:ind w:left="5250"/>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957" w:type="dxa"/>
            <w:noWrap w:val="0"/>
            <w:vAlign w:val="center"/>
          </w:tcPr>
          <w:p>
            <w:pPr>
              <w:rPr>
                <w:rFonts w:hint="eastAsia" w:ascii="宋体" w:hAnsi="宋体"/>
                <w:color w:val="auto"/>
                <w:sz w:val="22"/>
                <w:szCs w:val="22"/>
                <w:highlight w:val="none"/>
              </w:rPr>
            </w:pPr>
          </w:p>
        </w:tc>
        <w:tc>
          <w:tcPr>
            <w:tcW w:w="1149"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447" w:type="dxa"/>
            <w:noWrap w:val="0"/>
            <w:vAlign w:val="center"/>
          </w:tcPr>
          <w:p>
            <w:pPr>
              <w:rPr>
                <w:rFonts w:hint="eastAsia" w:ascii="宋体" w:hAnsi="宋体"/>
                <w:color w:val="auto"/>
                <w:sz w:val="22"/>
                <w:szCs w:val="22"/>
                <w:highlight w:val="none"/>
              </w:rPr>
            </w:pPr>
          </w:p>
        </w:tc>
        <w:tc>
          <w:tcPr>
            <w:tcW w:w="1615"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669" w:type="dxa"/>
            <w:noWrap w:val="0"/>
            <w:vAlign w:val="center"/>
          </w:tcPr>
          <w:p>
            <w:pPr>
              <w:rPr>
                <w:rFonts w:hint="eastAsia" w:ascii="宋体" w:hAnsi="宋体"/>
                <w:color w:val="auto"/>
                <w:sz w:val="22"/>
                <w:szCs w:val="22"/>
                <w:highlight w:val="none"/>
              </w:rPr>
            </w:pPr>
          </w:p>
        </w:tc>
        <w:tc>
          <w:tcPr>
            <w:tcW w:w="3347" w:type="dxa"/>
            <w:noWrap w:val="0"/>
            <w:vAlign w:val="center"/>
          </w:tcPr>
          <w:p>
            <w:pP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957" w:type="dxa"/>
            <w:noWrap w:val="0"/>
            <w:vAlign w:val="center"/>
          </w:tcPr>
          <w:p>
            <w:pPr>
              <w:rPr>
                <w:rFonts w:hint="eastAsia" w:ascii="宋体" w:hAnsi="宋体"/>
                <w:color w:val="auto"/>
                <w:sz w:val="22"/>
                <w:szCs w:val="22"/>
                <w:highlight w:val="none"/>
              </w:rPr>
            </w:pPr>
          </w:p>
        </w:tc>
        <w:tc>
          <w:tcPr>
            <w:tcW w:w="1149"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447" w:type="dxa"/>
            <w:noWrap w:val="0"/>
            <w:vAlign w:val="center"/>
          </w:tcPr>
          <w:p>
            <w:pPr>
              <w:rPr>
                <w:rFonts w:hint="eastAsia" w:ascii="宋体" w:hAnsi="宋体"/>
                <w:color w:val="auto"/>
                <w:sz w:val="22"/>
                <w:szCs w:val="22"/>
                <w:highlight w:val="none"/>
              </w:rPr>
            </w:pPr>
          </w:p>
        </w:tc>
        <w:tc>
          <w:tcPr>
            <w:tcW w:w="1615"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669" w:type="dxa"/>
            <w:noWrap w:val="0"/>
            <w:vAlign w:val="center"/>
          </w:tcPr>
          <w:p>
            <w:pPr>
              <w:rPr>
                <w:rFonts w:hint="eastAsia" w:ascii="宋体" w:hAnsi="宋体"/>
                <w:color w:val="auto"/>
                <w:sz w:val="22"/>
                <w:szCs w:val="22"/>
                <w:highlight w:val="none"/>
              </w:rPr>
            </w:pPr>
          </w:p>
        </w:tc>
        <w:tc>
          <w:tcPr>
            <w:tcW w:w="3347" w:type="dxa"/>
            <w:noWrap w:val="0"/>
            <w:vAlign w:val="center"/>
          </w:tcPr>
          <w:p>
            <w:pP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957" w:type="dxa"/>
            <w:noWrap w:val="0"/>
            <w:vAlign w:val="center"/>
          </w:tcPr>
          <w:p>
            <w:pPr>
              <w:rPr>
                <w:rFonts w:hint="eastAsia" w:ascii="宋体" w:hAnsi="宋体"/>
                <w:color w:val="auto"/>
                <w:sz w:val="22"/>
                <w:szCs w:val="22"/>
                <w:highlight w:val="none"/>
              </w:rPr>
            </w:pPr>
          </w:p>
        </w:tc>
        <w:tc>
          <w:tcPr>
            <w:tcW w:w="1149"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447" w:type="dxa"/>
            <w:noWrap w:val="0"/>
            <w:vAlign w:val="center"/>
          </w:tcPr>
          <w:p>
            <w:pPr>
              <w:rPr>
                <w:rFonts w:hint="eastAsia" w:ascii="宋体" w:hAnsi="宋体"/>
                <w:color w:val="auto"/>
                <w:sz w:val="22"/>
                <w:szCs w:val="22"/>
                <w:highlight w:val="none"/>
              </w:rPr>
            </w:pPr>
          </w:p>
        </w:tc>
        <w:tc>
          <w:tcPr>
            <w:tcW w:w="1615"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669" w:type="dxa"/>
            <w:noWrap w:val="0"/>
            <w:vAlign w:val="center"/>
          </w:tcPr>
          <w:p>
            <w:pPr>
              <w:rPr>
                <w:rFonts w:hint="eastAsia" w:ascii="宋体" w:hAnsi="宋体"/>
                <w:color w:val="auto"/>
                <w:sz w:val="22"/>
                <w:szCs w:val="22"/>
                <w:highlight w:val="none"/>
              </w:rPr>
            </w:pPr>
          </w:p>
        </w:tc>
        <w:tc>
          <w:tcPr>
            <w:tcW w:w="3347" w:type="dxa"/>
            <w:noWrap w:val="0"/>
            <w:vAlign w:val="center"/>
          </w:tcPr>
          <w:p>
            <w:pP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957" w:type="dxa"/>
            <w:noWrap w:val="0"/>
            <w:vAlign w:val="center"/>
          </w:tcPr>
          <w:p>
            <w:pPr>
              <w:rPr>
                <w:rFonts w:hint="eastAsia" w:ascii="宋体" w:hAnsi="宋体"/>
                <w:color w:val="auto"/>
                <w:sz w:val="22"/>
                <w:szCs w:val="22"/>
                <w:highlight w:val="none"/>
              </w:rPr>
            </w:pPr>
          </w:p>
        </w:tc>
        <w:tc>
          <w:tcPr>
            <w:tcW w:w="1149"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447" w:type="dxa"/>
            <w:noWrap w:val="0"/>
            <w:vAlign w:val="center"/>
          </w:tcPr>
          <w:p>
            <w:pPr>
              <w:rPr>
                <w:rFonts w:hint="eastAsia" w:ascii="宋体" w:hAnsi="宋体"/>
                <w:color w:val="auto"/>
                <w:sz w:val="22"/>
                <w:szCs w:val="22"/>
                <w:highlight w:val="none"/>
              </w:rPr>
            </w:pPr>
          </w:p>
        </w:tc>
        <w:tc>
          <w:tcPr>
            <w:tcW w:w="1615"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669" w:type="dxa"/>
            <w:noWrap w:val="0"/>
            <w:vAlign w:val="center"/>
          </w:tcPr>
          <w:p>
            <w:pPr>
              <w:rPr>
                <w:rFonts w:hint="eastAsia" w:ascii="宋体" w:hAnsi="宋体"/>
                <w:color w:val="auto"/>
                <w:sz w:val="22"/>
                <w:szCs w:val="22"/>
                <w:highlight w:val="none"/>
              </w:rPr>
            </w:pPr>
          </w:p>
        </w:tc>
        <w:tc>
          <w:tcPr>
            <w:tcW w:w="3347" w:type="dxa"/>
            <w:noWrap w:val="0"/>
            <w:vAlign w:val="center"/>
          </w:tcPr>
          <w:p>
            <w:pP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957" w:type="dxa"/>
            <w:noWrap w:val="0"/>
            <w:vAlign w:val="center"/>
          </w:tcPr>
          <w:p>
            <w:pPr>
              <w:rPr>
                <w:rFonts w:hint="eastAsia" w:ascii="宋体" w:hAnsi="宋体"/>
                <w:color w:val="auto"/>
                <w:sz w:val="22"/>
                <w:szCs w:val="22"/>
                <w:highlight w:val="none"/>
              </w:rPr>
            </w:pPr>
          </w:p>
        </w:tc>
        <w:tc>
          <w:tcPr>
            <w:tcW w:w="1149"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447" w:type="dxa"/>
            <w:noWrap w:val="0"/>
            <w:vAlign w:val="center"/>
          </w:tcPr>
          <w:p>
            <w:pPr>
              <w:rPr>
                <w:rFonts w:hint="eastAsia" w:ascii="宋体" w:hAnsi="宋体"/>
                <w:color w:val="auto"/>
                <w:sz w:val="22"/>
                <w:szCs w:val="22"/>
                <w:highlight w:val="none"/>
              </w:rPr>
            </w:pPr>
          </w:p>
        </w:tc>
        <w:tc>
          <w:tcPr>
            <w:tcW w:w="1615"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669" w:type="dxa"/>
            <w:noWrap w:val="0"/>
            <w:vAlign w:val="center"/>
          </w:tcPr>
          <w:p>
            <w:pPr>
              <w:rPr>
                <w:rFonts w:hint="eastAsia" w:ascii="宋体" w:hAnsi="宋体"/>
                <w:color w:val="auto"/>
                <w:sz w:val="22"/>
                <w:szCs w:val="22"/>
                <w:highlight w:val="none"/>
              </w:rPr>
            </w:pPr>
          </w:p>
        </w:tc>
        <w:tc>
          <w:tcPr>
            <w:tcW w:w="3347" w:type="dxa"/>
            <w:noWrap w:val="0"/>
            <w:vAlign w:val="center"/>
          </w:tcPr>
          <w:p>
            <w:pP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957" w:type="dxa"/>
            <w:noWrap w:val="0"/>
            <w:vAlign w:val="center"/>
          </w:tcPr>
          <w:p>
            <w:pPr>
              <w:rPr>
                <w:rFonts w:hint="eastAsia" w:ascii="宋体" w:hAnsi="宋体"/>
                <w:color w:val="auto"/>
                <w:sz w:val="22"/>
                <w:szCs w:val="22"/>
                <w:highlight w:val="none"/>
              </w:rPr>
            </w:pPr>
          </w:p>
        </w:tc>
        <w:tc>
          <w:tcPr>
            <w:tcW w:w="1149"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447" w:type="dxa"/>
            <w:noWrap w:val="0"/>
            <w:vAlign w:val="center"/>
          </w:tcPr>
          <w:p>
            <w:pPr>
              <w:rPr>
                <w:rFonts w:hint="eastAsia" w:ascii="宋体" w:hAnsi="宋体"/>
                <w:color w:val="auto"/>
                <w:sz w:val="22"/>
                <w:szCs w:val="22"/>
                <w:highlight w:val="none"/>
              </w:rPr>
            </w:pPr>
          </w:p>
        </w:tc>
        <w:tc>
          <w:tcPr>
            <w:tcW w:w="1615"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669" w:type="dxa"/>
            <w:noWrap w:val="0"/>
            <w:vAlign w:val="center"/>
          </w:tcPr>
          <w:p>
            <w:pPr>
              <w:rPr>
                <w:rFonts w:hint="eastAsia" w:ascii="宋体" w:hAnsi="宋体"/>
                <w:color w:val="auto"/>
                <w:sz w:val="22"/>
                <w:szCs w:val="22"/>
                <w:highlight w:val="none"/>
              </w:rPr>
            </w:pPr>
          </w:p>
        </w:tc>
        <w:tc>
          <w:tcPr>
            <w:tcW w:w="3347" w:type="dxa"/>
            <w:noWrap w:val="0"/>
            <w:vAlign w:val="center"/>
          </w:tcPr>
          <w:p>
            <w:pP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2"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r>
              <w:rPr>
                <w:rFonts w:ascii="宋体" w:hAnsi="宋体"/>
                <w:color w:val="auto"/>
                <w:sz w:val="22"/>
                <w:szCs w:val="22"/>
                <w:highlight w:val="none"/>
              </w:rPr>
              <w:t>……</w:t>
            </w:r>
          </w:p>
        </w:tc>
        <w:tc>
          <w:tcPr>
            <w:tcW w:w="957" w:type="dxa"/>
            <w:noWrap w:val="0"/>
            <w:vAlign w:val="center"/>
          </w:tcPr>
          <w:p>
            <w:pPr>
              <w:rPr>
                <w:rFonts w:hint="eastAsia" w:ascii="宋体" w:hAnsi="宋体"/>
                <w:color w:val="auto"/>
                <w:sz w:val="22"/>
                <w:szCs w:val="22"/>
                <w:highlight w:val="none"/>
              </w:rPr>
            </w:pPr>
          </w:p>
        </w:tc>
        <w:tc>
          <w:tcPr>
            <w:tcW w:w="1149"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447" w:type="dxa"/>
            <w:noWrap w:val="0"/>
            <w:vAlign w:val="center"/>
          </w:tcPr>
          <w:p>
            <w:pPr>
              <w:rPr>
                <w:rFonts w:hint="eastAsia" w:ascii="宋体" w:hAnsi="宋体"/>
                <w:color w:val="auto"/>
                <w:sz w:val="22"/>
                <w:szCs w:val="22"/>
                <w:highlight w:val="none"/>
              </w:rPr>
            </w:pPr>
          </w:p>
        </w:tc>
        <w:tc>
          <w:tcPr>
            <w:tcW w:w="1615" w:type="dxa"/>
            <w:noWrap w:val="0"/>
            <w:vAlign w:val="center"/>
          </w:tcPr>
          <w:p>
            <w:pPr>
              <w:rPr>
                <w:rFonts w:hint="eastAsia" w:ascii="宋体" w:hAnsi="宋体"/>
                <w:color w:val="auto"/>
                <w:sz w:val="22"/>
                <w:szCs w:val="22"/>
                <w:highlight w:val="none"/>
              </w:rPr>
            </w:pPr>
          </w:p>
        </w:tc>
        <w:tc>
          <w:tcPr>
            <w:tcW w:w="1340" w:type="dxa"/>
            <w:noWrap w:val="0"/>
            <w:vAlign w:val="center"/>
          </w:tcPr>
          <w:p>
            <w:pPr>
              <w:rPr>
                <w:rFonts w:hint="eastAsia" w:ascii="宋体" w:hAnsi="宋体"/>
                <w:color w:val="auto"/>
                <w:sz w:val="22"/>
                <w:szCs w:val="22"/>
                <w:highlight w:val="none"/>
              </w:rPr>
            </w:pPr>
          </w:p>
        </w:tc>
        <w:tc>
          <w:tcPr>
            <w:tcW w:w="1669" w:type="dxa"/>
            <w:noWrap w:val="0"/>
            <w:vAlign w:val="center"/>
          </w:tcPr>
          <w:p>
            <w:pPr>
              <w:rPr>
                <w:rFonts w:hint="eastAsia" w:ascii="宋体" w:hAnsi="宋体"/>
                <w:color w:val="auto"/>
                <w:sz w:val="22"/>
                <w:szCs w:val="22"/>
                <w:highlight w:val="none"/>
              </w:rPr>
            </w:pPr>
          </w:p>
        </w:tc>
        <w:tc>
          <w:tcPr>
            <w:tcW w:w="3347" w:type="dxa"/>
            <w:noWrap w:val="0"/>
            <w:vAlign w:val="center"/>
          </w:tcPr>
          <w:p>
            <w:pP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746" w:type="dxa"/>
            <w:gridSpan w:val="10"/>
            <w:noWrap w:val="0"/>
            <w:vAlign w:val="center"/>
          </w:tcPr>
          <w:p>
            <w:pPr>
              <w:rPr>
                <w:rFonts w:hint="eastAsia" w:ascii="宋体" w:hAnsi="宋体"/>
                <w:color w:val="auto"/>
                <w:sz w:val="22"/>
                <w:szCs w:val="22"/>
                <w:highlight w:val="none"/>
              </w:rPr>
            </w:pPr>
            <w:r>
              <w:rPr>
                <w:rFonts w:hint="eastAsia" w:ascii="宋体" w:hAnsi="宋体"/>
                <w:color w:val="auto"/>
                <w:sz w:val="22"/>
                <w:szCs w:val="22"/>
                <w:highlight w:val="none"/>
              </w:rPr>
              <w:t>承诺：一旦我公司中标，将实行项目负责人负责制，我方保证并配备上述项目管理机构及人员。上述填报内容真实，若不真实，愿按有关规定接受处理。</w:t>
            </w:r>
          </w:p>
        </w:tc>
      </w:tr>
    </w:tbl>
    <w:p>
      <w:pPr>
        <w:tabs>
          <w:tab w:val="left" w:pos="1620"/>
        </w:tabs>
        <w:spacing w:line="360" w:lineRule="exact"/>
        <w:ind w:right="-107" w:firstLine="110" w:firstLineChars="50"/>
        <w:rPr>
          <w:rFonts w:hint="eastAsia" w:ascii="宋体" w:hAnsi="宋体"/>
          <w:color w:val="auto"/>
          <w:sz w:val="22"/>
          <w:szCs w:val="22"/>
          <w:highlight w:val="none"/>
        </w:rPr>
      </w:pPr>
      <w:r>
        <w:rPr>
          <w:rFonts w:hint="eastAsia" w:ascii="宋体" w:hAnsi="宋体"/>
          <w:color w:val="auto"/>
          <w:sz w:val="22"/>
          <w:szCs w:val="22"/>
          <w:highlight w:val="none"/>
        </w:rPr>
        <w:t xml:space="preserve">注：1. </w:t>
      </w:r>
      <w:r>
        <w:rPr>
          <w:rFonts w:ascii="Arial" w:hAnsi="Arial" w:cs="Arial"/>
          <w:b/>
          <w:snapToGrid w:val="0"/>
          <w:color w:val="auto"/>
          <w:sz w:val="22"/>
          <w:szCs w:val="22"/>
          <w:highlight w:val="none"/>
        </w:rPr>
        <w:t>我方拟派驻本项目的项目负责人、服务、安全、材料以及各主要专业工种负责人均已列入</w:t>
      </w:r>
      <w:r>
        <w:rPr>
          <w:rFonts w:hint="eastAsia" w:ascii="宋体" w:hAnsi="宋体"/>
          <w:color w:val="auto"/>
          <w:sz w:val="22"/>
          <w:szCs w:val="22"/>
          <w:highlight w:val="none"/>
        </w:rPr>
        <w:t>；</w:t>
      </w:r>
    </w:p>
    <w:p>
      <w:pPr>
        <w:tabs>
          <w:tab w:val="left" w:pos="1620"/>
        </w:tabs>
        <w:spacing w:line="360" w:lineRule="exact"/>
        <w:ind w:firstLine="539" w:firstLineChars="245"/>
        <w:rPr>
          <w:rFonts w:hint="eastAsia" w:ascii="宋体" w:hAnsi="宋体"/>
          <w:color w:val="auto"/>
          <w:sz w:val="22"/>
          <w:szCs w:val="22"/>
          <w:highlight w:val="none"/>
        </w:rPr>
      </w:pPr>
      <w:r>
        <w:rPr>
          <w:rFonts w:hint="eastAsia" w:ascii="宋体" w:hAnsi="宋体"/>
          <w:color w:val="auto"/>
          <w:sz w:val="22"/>
          <w:szCs w:val="22"/>
          <w:highlight w:val="none"/>
        </w:rPr>
        <w:t>2．</w:t>
      </w:r>
      <w:r>
        <w:rPr>
          <w:rFonts w:ascii="Arial" w:hAnsi="Arial" w:cs="Arial"/>
          <w:b/>
          <w:snapToGrid w:val="0"/>
          <w:color w:val="auto"/>
          <w:sz w:val="22"/>
          <w:szCs w:val="22"/>
          <w:highlight w:val="none"/>
        </w:rPr>
        <w:t>本表人员有资格证书的应随表提交职称、资格证书复印件（加盖公章）</w:t>
      </w:r>
      <w:r>
        <w:rPr>
          <w:rFonts w:hint="eastAsia" w:ascii="宋体" w:hAnsi="宋体"/>
          <w:color w:val="auto"/>
          <w:sz w:val="22"/>
          <w:szCs w:val="22"/>
          <w:highlight w:val="none"/>
        </w:rPr>
        <w:t>。</w:t>
      </w:r>
    </w:p>
    <w:p>
      <w:pPr>
        <w:tabs>
          <w:tab w:val="left" w:pos="1620"/>
        </w:tabs>
        <w:spacing w:line="360" w:lineRule="exact"/>
        <w:ind w:right="-107" w:firstLine="550" w:firstLineChars="25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3. ▲</w:t>
      </w:r>
      <w:r>
        <w:rPr>
          <w:rFonts w:hint="eastAsia" w:ascii="宋体" w:hAnsi="宋体" w:eastAsia="宋体" w:cs="Times New Roman"/>
          <w:b/>
          <w:bCs/>
          <w:color w:val="auto"/>
          <w:sz w:val="22"/>
          <w:szCs w:val="22"/>
          <w:highlight w:val="none"/>
          <w:u w:val="single"/>
        </w:rPr>
        <w:t>此表格上所列的人未经采购人允许，不得擅自更改。</w:t>
      </w:r>
    </w:p>
    <w:p>
      <w:pPr>
        <w:tabs>
          <w:tab w:val="left" w:pos="1620"/>
        </w:tabs>
        <w:spacing w:line="360" w:lineRule="exact"/>
        <w:ind w:right="-107" w:firstLine="550" w:firstLineChars="25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4. ▲</w:t>
      </w:r>
      <w:r>
        <w:rPr>
          <w:rFonts w:hint="eastAsia" w:ascii="宋体" w:hAnsi="宋体" w:eastAsia="宋体" w:cs="Times New Roman"/>
          <w:b/>
          <w:bCs/>
          <w:color w:val="auto"/>
          <w:sz w:val="22"/>
          <w:szCs w:val="22"/>
          <w:highlight w:val="none"/>
          <w:u w:val="single"/>
        </w:rPr>
        <w:t>如遇特殊情况需要更改，则提供的替代人员的各方面均不得低于被替代人员，并提供相关证明材料给采购人确认之后方可更改。</w:t>
      </w:r>
    </w:p>
    <w:p>
      <w:pPr>
        <w:pStyle w:val="15"/>
        <w:rPr>
          <w:color w:val="auto"/>
          <w:highlight w:val="none"/>
        </w:rPr>
      </w:pPr>
    </w:p>
    <w:p>
      <w:pPr>
        <w:rPr>
          <w:color w:val="auto"/>
          <w:highlight w:val="none"/>
        </w:rPr>
      </w:pPr>
    </w:p>
    <w:p>
      <w:pPr>
        <w:spacing w:line="440" w:lineRule="exact"/>
        <w:ind w:firstLine="4400" w:firstLineChars="2000"/>
        <w:rPr>
          <w:rFonts w:ascii="宋体" w:hAnsi="宋体" w:cs="宋体"/>
          <w:color w:val="auto"/>
          <w:sz w:val="22"/>
          <w:szCs w:val="22"/>
          <w:highlight w:val="none"/>
        </w:rPr>
      </w:pPr>
    </w:p>
    <w:p>
      <w:pPr>
        <w:pStyle w:val="2"/>
        <w:ind w:firstLine="440"/>
        <w:jc w:val="center"/>
        <w:rPr>
          <w:rFonts w:ascii="宋体" w:hAnsi="宋体" w:cs="宋体"/>
          <w:color w:val="auto"/>
          <w:sz w:val="22"/>
          <w:szCs w:val="28"/>
          <w:highlight w:val="none"/>
        </w:rPr>
      </w:pPr>
      <w:r>
        <w:rPr>
          <w:rFonts w:hint="eastAsia"/>
          <w:color w:val="auto"/>
          <w:sz w:val="22"/>
          <w:szCs w:val="28"/>
          <w:highlight w:val="none"/>
        </w:rPr>
        <w:t xml:space="preserve">                               </w:t>
      </w:r>
      <w:r>
        <w:rPr>
          <w:rFonts w:hint="eastAsia" w:ascii="宋体" w:hAnsi="宋体" w:cs="宋体"/>
          <w:color w:val="auto"/>
          <w:sz w:val="22"/>
          <w:szCs w:val="28"/>
          <w:highlight w:val="none"/>
        </w:rPr>
        <w:t xml:space="preserve"> 磋商供应商全称（电子签名/公章）：</w:t>
      </w:r>
    </w:p>
    <w:p>
      <w:pPr>
        <w:pStyle w:val="2"/>
        <w:ind w:firstLine="440"/>
        <w:jc w:val="center"/>
        <w:rPr>
          <w:rFonts w:hint="eastAsia" w:ascii="宋体" w:hAnsi="宋体" w:cs="宋体"/>
          <w:color w:val="auto"/>
          <w:sz w:val="22"/>
          <w:szCs w:val="28"/>
          <w:highlight w:val="none"/>
        </w:rPr>
        <w:sectPr>
          <w:pgSz w:w="16838" w:h="11906" w:orient="landscape"/>
          <w:pgMar w:top="1134" w:right="1134" w:bottom="1134" w:left="1134" w:header="851" w:footer="992" w:gutter="0"/>
          <w:cols w:space="720" w:num="1"/>
          <w:docGrid w:linePitch="312" w:charSpace="0"/>
        </w:sectPr>
      </w:pPr>
      <w:r>
        <w:rPr>
          <w:rFonts w:hint="eastAsia" w:ascii="宋体" w:hAnsi="宋体" w:cs="宋体"/>
          <w:color w:val="auto"/>
          <w:sz w:val="22"/>
          <w:szCs w:val="28"/>
          <w:highlight w:val="none"/>
        </w:rPr>
        <w:t xml:space="preserve">                        日期：     年    月    日 </w:t>
      </w:r>
    </w:p>
    <w:p>
      <w:pPr>
        <w:pStyle w:val="5"/>
        <w:spacing w:line="480" w:lineRule="exact"/>
        <w:rPr>
          <w:rFonts w:hint="eastAsia" w:ascii="黑体" w:hAnsi="黑体"/>
          <w:color w:val="auto"/>
          <w:sz w:val="24"/>
          <w:szCs w:val="24"/>
          <w:highlight w:val="none"/>
        </w:rPr>
      </w:pPr>
      <w:bookmarkStart w:id="183" w:name="_Toc522220186"/>
      <w:bookmarkStart w:id="184" w:name="_Toc95395561"/>
      <w:bookmarkStart w:id="185" w:name="_Toc21206"/>
      <w:bookmarkStart w:id="186" w:name="_Toc11063"/>
      <w:bookmarkStart w:id="187" w:name="_Toc89461797"/>
      <w:r>
        <w:rPr>
          <w:rFonts w:hint="eastAsia" w:ascii="黑体" w:hAnsi="黑体"/>
          <w:color w:val="auto"/>
          <w:sz w:val="24"/>
          <w:szCs w:val="24"/>
          <w:highlight w:val="none"/>
        </w:rPr>
        <w:t>附件</w:t>
      </w:r>
      <w:r>
        <w:rPr>
          <w:rFonts w:hint="eastAsia" w:ascii="黑体" w:hAnsi="黑体"/>
          <w:color w:val="auto"/>
          <w:sz w:val="24"/>
          <w:szCs w:val="24"/>
          <w:highlight w:val="none"/>
          <w:lang w:val="en-US" w:eastAsia="zh-CN"/>
        </w:rPr>
        <w:t>七</w:t>
      </w:r>
      <w:r>
        <w:rPr>
          <w:rFonts w:hint="eastAsia" w:ascii="黑体" w:hAnsi="黑体"/>
          <w:color w:val="auto"/>
          <w:sz w:val="24"/>
          <w:szCs w:val="24"/>
          <w:highlight w:val="none"/>
        </w:rPr>
        <w:t xml:space="preserve">  岗位员工配置计划表</w:t>
      </w:r>
      <w:bookmarkEnd w:id="183"/>
      <w:bookmarkEnd w:id="184"/>
      <w:bookmarkEnd w:id="185"/>
      <w:bookmarkEnd w:id="186"/>
      <w:bookmarkEnd w:id="187"/>
    </w:p>
    <w:p>
      <w:pPr>
        <w:pStyle w:val="21"/>
        <w:spacing w:line="400" w:lineRule="atLeast"/>
        <w:ind w:left="562" w:hanging="562"/>
        <w:jc w:val="center"/>
        <w:rPr>
          <w:rFonts w:hint="eastAsia" w:hAnsi="宋体" w:cs="宋体"/>
          <w:b/>
          <w:bCs/>
          <w:color w:val="auto"/>
          <w:sz w:val="22"/>
          <w:szCs w:val="22"/>
          <w:highlight w:val="none"/>
        </w:rPr>
      </w:pPr>
      <w:r>
        <w:rPr>
          <w:rFonts w:hint="eastAsia" w:hAnsi="宋体" w:cs="宋体"/>
          <w:b/>
          <w:color w:val="auto"/>
          <w:sz w:val="28"/>
          <w:highlight w:val="none"/>
        </w:rPr>
        <w:t>岗位员工配置计划表</w:t>
      </w:r>
    </w:p>
    <w:p>
      <w:pPr>
        <w:spacing w:line="360" w:lineRule="auto"/>
        <w:ind w:firstLine="552" w:firstLineChars="250"/>
        <w:rPr>
          <w:rFonts w:hint="eastAsia" w:ascii="宋体" w:hAnsi="宋体" w:cs="宋体"/>
          <w:b/>
          <w:color w:val="auto"/>
          <w:sz w:val="22"/>
          <w:szCs w:val="22"/>
          <w:highlight w:val="none"/>
        </w:rPr>
      </w:pPr>
    </w:p>
    <w:p>
      <w:pPr>
        <w:spacing w:line="360" w:lineRule="auto"/>
        <w:ind w:firstLine="552" w:firstLineChars="250"/>
        <w:rPr>
          <w:rFonts w:hint="eastAsia" w:ascii="宋体" w:hAnsi="宋体" w:cs="宋体"/>
          <w:color w:val="auto"/>
          <w:sz w:val="22"/>
          <w:szCs w:val="22"/>
          <w:highlight w:val="none"/>
        </w:rPr>
      </w:pPr>
      <w:r>
        <w:rPr>
          <w:rFonts w:hint="eastAsia" w:ascii="宋体" w:hAnsi="宋体" w:cs="宋体"/>
          <w:b/>
          <w:color w:val="auto"/>
          <w:sz w:val="22"/>
          <w:szCs w:val="22"/>
          <w:highlight w:val="none"/>
        </w:rPr>
        <w:t xml:space="preserve">项目名称：                </w:t>
      </w:r>
      <w:r>
        <w:rPr>
          <w:rFonts w:hint="eastAsia" w:ascii="宋体" w:hAnsi="宋体" w:cs="宋体"/>
          <w:bCs/>
          <w:color w:val="auto"/>
          <w:szCs w:val="21"/>
          <w:highlight w:val="none"/>
        </w:rPr>
        <w:t xml:space="preserve"> </w:t>
      </w:r>
      <w:r>
        <w:rPr>
          <w:rFonts w:hint="eastAsia" w:ascii="宋体" w:hAnsi="宋体" w:cs="宋体"/>
          <w:b/>
          <w:color w:val="auto"/>
          <w:sz w:val="22"/>
          <w:szCs w:val="22"/>
          <w:highlight w:val="none"/>
        </w:rPr>
        <w:t xml:space="preserve">                        项目编号： </w:t>
      </w:r>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32"/>
        <w:gridCol w:w="2132"/>
        <w:gridCol w:w="3044"/>
        <w:gridCol w:w="18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岗位</w:t>
            </w:r>
          </w:p>
        </w:tc>
        <w:tc>
          <w:tcPr>
            <w:tcW w:w="2132" w:type="dxa"/>
            <w:noWrap w:val="0"/>
            <w:vAlign w:val="top"/>
          </w:tcPr>
          <w:p>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人数</w:t>
            </w:r>
          </w:p>
        </w:tc>
        <w:tc>
          <w:tcPr>
            <w:tcW w:w="3044" w:type="dxa"/>
            <w:noWrap w:val="0"/>
            <w:vAlign w:val="top"/>
          </w:tcPr>
          <w:p>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现 场 承 担 工 作</w:t>
            </w:r>
          </w:p>
        </w:tc>
        <w:tc>
          <w:tcPr>
            <w:tcW w:w="1800" w:type="dxa"/>
            <w:noWrap w:val="0"/>
            <w:vAlign w:val="top"/>
          </w:tcPr>
          <w:p>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2132" w:type="dxa"/>
            <w:noWrap w:val="0"/>
            <w:vAlign w:val="top"/>
          </w:tcPr>
          <w:p>
            <w:pPr>
              <w:snapToGrid w:val="0"/>
              <w:spacing w:line="360" w:lineRule="auto"/>
              <w:rPr>
                <w:rFonts w:hint="eastAsia" w:ascii="宋体" w:hAnsi="宋体" w:cs="宋体"/>
                <w:color w:val="auto"/>
                <w:sz w:val="22"/>
                <w:szCs w:val="22"/>
                <w:highlight w:val="none"/>
              </w:rPr>
            </w:pPr>
          </w:p>
        </w:tc>
        <w:tc>
          <w:tcPr>
            <w:tcW w:w="3044" w:type="dxa"/>
            <w:noWrap w:val="0"/>
            <w:vAlign w:val="top"/>
          </w:tcPr>
          <w:p>
            <w:pPr>
              <w:snapToGrid w:val="0"/>
              <w:spacing w:line="360" w:lineRule="auto"/>
              <w:rPr>
                <w:rFonts w:hint="eastAsia" w:ascii="宋体" w:hAnsi="宋体" w:cs="宋体"/>
                <w:color w:val="auto"/>
                <w:sz w:val="22"/>
                <w:szCs w:val="22"/>
                <w:highlight w:val="none"/>
              </w:rPr>
            </w:pPr>
          </w:p>
        </w:tc>
        <w:tc>
          <w:tcPr>
            <w:tcW w:w="1800" w:type="dxa"/>
            <w:noWrap w:val="0"/>
            <w:vAlign w:val="top"/>
          </w:tcPr>
          <w:p>
            <w:pPr>
              <w:snapToGrid w:val="0"/>
              <w:spacing w:line="360" w:lineRule="auto"/>
              <w:rPr>
                <w:rFonts w:hint="eastAsia" w:ascii="宋体" w:hAnsi="宋体" w:cs="宋体"/>
                <w:color w:val="auto"/>
                <w:sz w:val="22"/>
                <w:szCs w:val="22"/>
                <w:highlight w:val="none"/>
              </w:rPr>
            </w:pPr>
          </w:p>
        </w:tc>
      </w:tr>
    </w:tbl>
    <w:p>
      <w:pPr>
        <w:pStyle w:val="29"/>
        <w:spacing w:beforeLines="50" w:line="360" w:lineRule="auto"/>
        <w:ind w:left="886" w:leftChars="106" w:hanging="663"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注：此表仅提供了表格形式，</w:t>
      </w:r>
      <w:r>
        <w:rPr>
          <w:rFonts w:hint="eastAsia" w:ascii="宋体" w:hAnsi="宋体" w:cs="宋体"/>
          <w:color w:val="auto"/>
          <w:sz w:val="22"/>
          <w:szCs w:val="22"/>
          <w:highlight w:val="none"/>
          <w:lang w:eastAsia="zh-CN"/>
        </w:rPr>
        <w:t>磋商供应商</w:t>
      </w:r>
      <w:r>
        <w:rPr>
          <w:rFonts w:hint="eastAsia" w:ascii="宋体" w:hAnsi="宋体" w:cs="宋体"/>
          <w:color w:val="auto"/>
          <w:sz w:val="22"/>
          <w:szCs w:val="22"/>
          <w:highlight w:val="none"/>
        </w:rPr>
        <w:t>可按此表格复制。</w:t>
      </w:r>
    </w:p>
    <w:p>
      <w:pPr>
        <w:rPr>
          <w:color w:val="auto"/>
          <w:highlight w:val="none"/>
        </w:rPr>
      </w:pPr>
    </w:p>
    <w:p>
      <w:pPr>
        <w:pStyle w:val="2"/>
        <w:ind w:firstLine="440"/>
        <w:jc w:val="center"/>
        <w:rPr>
          <w:rFonts w:ascii="宋体" w:hAnsi="宋体" w:cs="宋体"/>
          <w:color w:val="auto"/>
          <w:sz w:val="22"/>
          <w:szCs w:val="28"/>
          <w:highlight w:val="none"/>
        </w:rPr>
      </w:pPr>
      <w:r>
        <w:rPr>
          <w:rFonts w:hint="eastAsia" w:ascii="宋体" w:hAnsi="宋体" w:cs="宋体"/>
          <w:color w:val="auto"/>
          <w:sz w:val="22"/>
          <w:szCs w:val="28"/>
          <w:highlight w:val="none"/>
        </w:rPr>
        <w:t xml:space="preserve">  </w:t>
      </w:r>
      <w:r>
        <w:rPr>
          <w:rFonts w:hint="eastAsia" w:ascii="宋体" w:hAnsi="宋体" w:cs="宋体"/>
          <w:color w:val="auto"/>
          <w:sz w:val="22"/>
          <w:szCs w:val="28"/>
          <w:highlight w:val="none"/>
          <w:lang w:val="en-US" w:eastAsia="zh-CN"/>
        </w:rPr>
        <w:t xml:space="preserve">     </w:t>
      </w:r>
      <w:r>
        <w:rPr>
          <w:rFonts w:hint="eastAsia" w:ascii="宋体" w:hAnsi="宋体" w:cs="宋体"/>
          <w:color w:val="auto"/>
          <w:sz w:val="22"/>
          <w:szCs w:val="28"/>
          <w:highlight w:val="none"/>
        </w:rPr>
        <w:t xml:space="preserve"> 磋商供应商全称（电子签名/公章）：</w:t>
      </w:r>
    </w:p>
    <w:p>
      <w:pPr>
        <w:pStyle w:val="2"/>
        <w:ind w:firstLine="440"/>
        <w:jc w:val="center"/>
        <w:rPr>
          <w:rFonts w:ascii="宋体" w:hAnsi="宋体" w:cs="宋体"/>
          <w:color w:val="auto"/>
          <w:sz w:val="22"/>
          <w:szCs w:val="28"/>
          <w:highlight w:val="none"/>
        </w:rPr>
      </w:pPr>
      <w:r>
        <w:rPr>
          <w:rFonts w:hint="eastAsia" w:ascii="宋体" w:hAnsi="宋体" w:cs="宋体"/>
          <w:color w:val="auto"/>
          <w:sz w:val="22"/>
          <w:szCs w:val="28"/>
          <w:highlight w:val="none"/>
        </w:rPr>
        <w:t xml:space="preserve">日期：     年    月    日 </w:t>
      </w:r>
    </w:p>
    <w:p>
      <w:pPr>
        <w:pStyle w:val="15"/>
        <w:rPr>
          <w:color w:val="auto"/>
          <w:highlight w:val="none"/>
        </w:rPr>
        <w:sectPr>
          <w:pgSz w:w="11906" w:h="16838"/>
          <w:pgMar w:top="1134" w:right="1134" w:bottom="1134" w:left="1134" w:header="851" w:footer="992" w:gutter="0"/>
          <w:cols w:space="720" w:num="1"/>
          <w:docGrid w:linePitch="312" w:charSpace="0"/>
        </w:sectPr>
      </w:pPr>
    </w:p>
    <w:bookmarkEnd w:id="174"/>
    <w:bookmarkEnd w:id="175"/>
    <w:bookmarkEnd w:id="176"/>
    <w:bookmarkEnd w:id="177"/>
    <w:bookmarkEnd w:id="178"/>
    <w:bookmarkEnd w:id="179"/>
    <w:bookmarkEnd w:id="180"/>
    <w:bookmarkEnd w:id="181"/>
    <w:bookmarkEnd w:id="182"/>
    <w:p>
      <w:pPr>
        <w:pStyle w:val="5"/>
        <w:spacing w:line="240" w:lineRule="auto"/>
        <w:rPr>
          <w:rFonts w:ascii="黑体" w:hAnsi="黑体" w:cs="黑体"/>
          <w:color w:val="auto"/>
          <w:sz w:val="24"/>
          <w:szCs w:val="24"/>
          <w:highlight w:val="none"/>
        </w:rPr>
      </w:pPr>
      <w:bookmarkStart w:id="188" w:name="_Toc31034"/>
      <w:bookmarkStart w:id="189" w:name="_Toc8623"/>
      <w:bookmarkStart w:id="190" w:name="_Toc16851"/>
      <w:bookmarkStart w:id="191" w:name="_Toc20388"/>
      <w:bookmarkStart w:id="192" w:name="_Toc31024"/>
      <w:bookmarkStart w:id="193" w:name="_Toc24517"/>
      <w:bookmarkStart w:id="194" w:name="_Toc14682764"/>
      <w:bookmarkStart w:id="195" w:name="_Toc524600104"/>
      <w:bookmarkStart w:id="196" w:name="_Toc3741108"/>
      <w:bookmarkStart w:id="197" w:name="_Toc11371_WPSOffice_Level2"/>
      <w:bookmarkStart w:id="198" w:name="_Toc8294592"/>
      <w:bookmarkStart w:id="199" w:name="_Toc524449522"/>
      <w:bookmarkStart w:id="200" w:name="_Toc3741476"/>
      <w:bookmarkStart w:id="201" w:name="_Toc30488984"/>
      <w:r>
        <w:rPr>
          <w:rFonts w:hint="eastAsia" w:ascii="黑体" w:hAnsi="黑体" w:cs="黑体"/>
          <w:color w:val="auto"/>
          <w:sz w:val="24"/>
          <w:szCs w:val="24"/>
          <w:highlight w:val="none"/>
        </w:rPr>
        <w:t>附件</w:t>
      </w:r>
      <w:r>
        <w:rPr>
          <w:rFonts w:hint="eastAsia" w:ascii="黑体" w:hAnsi="黑体" w:cs="黑体"/>
          <w:color w:val="auto"/>
          <w:sz w:val="24"/>
          <w:szCs w:val="24"/>
          <w:highlight w:val="none"/>
          <w:lang w:val="en-US" w:eastAsia="zh-CN"/>
        </w:rPr>
        <w:t>八</w:t>
      </w:r>
      <w:r>
        <w:rPr>
          <w:rFonts w:hint="eastAsia" w:ascii="黑体" w:hAnsi="黑体" w:cs="黑体"/>
          <w:color w:val="auto"/>
          <w:sz w:val="24"/>
          <w:szCs w:val="24"/>
          <w:highlight w:val="none"/>
        </w:rPr>
        <w:t xml:space="preserve">  同类项目业绩</w:t>
      </w:r>
      <w:bookmarkEnd w:id="188"/>
      <w:bookmarkEnd w:id="189"/>
      <w:bookmarkEnd w:id="190"/>
      <w:bookmarkEnd w:id="191"/>
      <w:bookmarkEnd w:id="192"/>
      <w:bookmarkEnd w:id="193"/>
    </w:p>
    <w:p>
      <w:pPr>
        <w:jc w:val="center"/>
        <w:rPr>
          <w:rFonts w:ascii="宋体" w:hAnsi="宋体"/>
          <w:b/>
          <w:color w:val="auto"/>
          <w:sz w:val="28"/>
          <w:szCs w:val="28"/>
          <w:highlight w:val="none"/>
        </w:rPr>
      </w:pPr>
      <w:r>
        <w:rPr>
          <w:rFonts w:hint="eastAsia" w:ascii="宋体" w:hAnsi="宋体"/>
          <w:b/>
          <w:color w:val="auto"/>
          <w:sz w:val="28"/>
          <w:szCs w:val="28"/>
          <w:highlight w:val="none"/>
        </w:rPr>
        <w:t>同类项目业绩</w:t>
      </w:r>
    </w:p>
    <w:p>
      <w:pPr>
        <w:spacing w:line="380" w:lineRule="exact"/>
        <w:ind w:left="-357" w:leftChars="-170" w:firstLine="216" w:firstLineChars="98"/>
        <w:rPr>
          <w:rFonts w:ascii="宋体" w:hAnsi="宋体" w:cs="宋体"/>
          <w:b/>
          <w:bCs/>
          <w:color w:val="auto"/>
          <w:sz w:val="22"/>
          <w:szCs w:val="22"/>
          <w:highlight w:val="none"/>
        </w:rPr>
      </w:pPr>
    </w:p>
    <w:p>
      <w:pPr>
        <w:spacing w:line="380" w:lineRule="exact"/>
        <w:ind w:left="-357" w:leftChars="-170" w:firstLine="216" w:firstLineChars="98"/>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92" w:type="dxa"/>
            <w:shd w:val="clear" w:color="auto" w:fill="D9D9D9"/>
            <w:vAlign w:val="center"/>
          </w:tcPr>
          <w:p>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36" w:type="dxa"/>
            <w:shd w:val="clear" w:color="auto" w:fill="D9D9D9"/>
            <w:vAlign w:val="center"/>
          </w:tcPr>
          <w:p>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60" w:type="dxa"/>
            <w:shd w:val="clear" w:color="auto" w:fill="D9D9D9"/>
            <w:vAlign w:val="center"/>
          </w:tcPr>
          <w:p>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45" w:type="dxa"/>
            <w:shd w:val="clear" w:color="auto" w:fill="D9D9D9"/>
            <w:vAlign w:val="center"/>
          </w:tcPr>
          <w:p>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2615" w:type="dxa"/>
            <w:shd w:val="clear" w:color="auto" w:fill="D9D9D9"/>
            <w:vAlign w:val="center"/>
          </w:tcPr>
          <w:p>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color w:val="auto"/>
                <w:sz w:val="22"/>
                <w:szCs w:val="22"/>
                <w:highlight w:val="none"/>
              </w:rPr>
            </w:pPr>
          </w:p>
        </w:tc>
        <w:tc>
          <w:tcPr>
            <w:tcW w:w="2192" w:type="dxa"/>
            <w:vAlign w:val="center"/>
          </w:tcPr>
          <w:p>
            <w:pPr>
              <w:spacing w:line="380" w:lineRule="exact"/>
              <w:jc w:val="center"/>
              <w:rPr>
                <w:rFonts w:ascii="宋体" w:hAnsi="宋体" w:cs="宋体"/>
                <w:b/>
                <w:bCs/>
                <w:color w:val="auto"/>
                <w:sz w:val="22"/>
                <w:szCs w:val="22"/>
                <w:highlight w:val="none"/>
              </w:rPr>
            </w:pPr>
          </w:p>
        </w:tc>
        <w:tc>
          <w:tcPr>
            <w:tcW w:w="1636" w:type="dxa"/>
            <w:vAlign w:val="center"/>
          </w:tcPr>
          <w:p>
            <w:pPr>
              <w:spacing w:line="380" w:lineRule="exact"/>
              <w:jc w:val="center"/>
              <w:rPr>
                <w:rFonts w:ascii="宋体" w:hAnsi="宋体" w:cs="宋体"/>
                <w:b/>
                <w:bCs/>
                <w:color w:val="auto"/>
                <w:sz w:val="22"/>
                <w:szCs w:val="22"/>
                <w:highlight w:val="none"/>
              </w:rPr>
            </w:pPr>
          </w:p>
        </w:tc>
        <w:tc>
          <w:tcPr>
            <w:tcW w:w="1260" w:type="dxa"/>
            <w:vAlign w:val="center"/>
          </w:tcPr>
          <w:p>
            <w:pPr>
              <w:spacing w:line="380" w:lineRule="exact"/>
              <w:jc w:val="center"/>
              <w:rPr>
                <w:rFonts w:ascii="宋体" w:hAnsi="宋体" w:cs="宋体"/>
                <w:b/>
                <w:bCs/>
                <w:color w:val="auto"/>
                <w:sz w:val="22"/>
                <w:szCs w:val="22"/>
                <w:highlight w:val="none"/>
              </w:rPr>
            </w:pPr>
          </w:p>
        </w:tc>
        <w:tc>
          <w:tcPr>
            <w:tcW w:w="1345" w:type="dxa"/>
            <w:vAlign w:val="center"/>
          </w:tcPr>
          <w:p>
            <w:pPr>
              <w:spacing w:line="380" w:lineRule="exact"/>
              <w:jc w:val="center"/>
              <w:rPr>
                <w:rFonts w:ascii="宋体" w:hAnsi="宋体" w:cs="宋体"/>
                <w:b/>
                <w:bCs/>
                <w:color w:val="auto"/>
                <w:sz w:val="22"/>
                <w:szCs w:val="22"/>
                <w:highlight w:val="none"/>
              </w:rPr>
            </w:pPr>
          </w:p>
        </w:tc>
        <w:tc>
          <w:tcPr>
            <w:tcW w:w="2615" w:type="dxa"/>
            <w:vAlign w:val="center"/>
          </w:tcPr>
          <w:p>
            <w:pPr>
              <w:spacing w:line="380" w:lineRule="exact"/>
              <w:jc w:val="center"/>
              <w:rPr>
                <w:rFonts w:ascii="宋体" w:hAnsi="宋体" w:cs="宋体"/>
                <w:b/>
                <w:bCs/>
                <w:color w:val="auto"/>
                <w:sz w:val="22"/>
                <w:szCs w:val="22"/>
                <w:highlight w:val="none"/>
              </w:rPr>
            </w:pPr>
          </w:p>
        </w:tc>
      </w:tr>
    </w:tbl>
    <w:p>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注：根据评分细则的要求提供相关业绩及证明材料。</w:t>
      </w:r>
    </w:p>
    <w:p>
      <w:pPr>
        <w:spacing w:line="440" w:lineRule="exact"/>
        <w:ind w:firstLine="4400" w:firstLineChars="2000"/>
        <w:rPr>
          <w:rFonts w:ascii="宋体" w:hAnsi="宋体" w:cs="宋体"/>
          <w:color w:val="auto"/>
          <w:sz w:val="22"/>
          <w:szCs w:val="22"/>
          <w:highlight w:val="none"/>
        </w:rPr>
      </w:pPr>
    </w:p>
    <w:p>
      <w:pPr>
        <w:pStyle w:val="16"/>
        <w:rPr>
          <w:color w:val="auto"/>
          <w:highlight w:val="none"/>
        </w:rPr>
      </w:pPr>
      <w:r>
        <w:rPr>
          <w:rFonts w:hint="eastAsia"/>
          <w:color w:val="auto"/>
          <w:highlight w:val="none"/>
        </w:rPr>
        <w:t xml:space="preserve">  </w:t>
      </w:r>
    </w:p>
    <w:bookmarkEnd w:id="194"/>
    <w:bookmarkEnd w:id="195"/>
    <w:bookmarkEnd w:id="196"/>
    <w:bookmarkEnd w:id="197"/>
    <w:bookmarkEnd w:id="198"/>
    <w:bookmarkEnd w:id="199"/>
    <w:bookmarkEnd w:id="200"/>
    <w:bookmarkEnd w:id="201"/>
    <w:p>
      <w:pPr>
        <w:pStyle w:val="2"/>
        <w:ind w:firstLine="440"/>
        <w:jc w:val="center"/>
        <w:rPr>
          <w:rFonts w:ascii="宋体" w:hAnsi="宋体" w:cs="宋体"/>
          <w:color w:val="auto"/>
          <w:sz w:val="22"/>
          <w:szCs w:val="28"/>
          <w:highlight w:val="none"/>
        </w:rPr>
      </w:pPr>
      <w:bookmarkStart w:id="202" w:name="_Toc10560"/>
      <w:bookmarkStart w:id="203" w:name="_Toc524273184"/>
      <w:bookmarkStart w:id="204" w:name="_Toc2338623"/>
      <w:bookmarkStart w:id="205" w:name="_Toc195502587"/>
      <w:bookmarkStart w:id="206" w:name="_Toc195502497"/>
      <w:bookmarkStart w:id="207" w:name="_Toc202085297"/>
      <w:r>
        <w:rPr>
          <w:rFonts w:hint="eastAsia" w:ascii="宋体" w:hAnsi="宋体" w:cs="宋体"/>
          <w:color w:val="auto"/>
          <w:sz w:val="22"/>
          <w:szCs w:val="28"/>
          <w:highlight w:val="none"/>
        </w:rPr>
        <w:t xml:space="preserve">        磋商供应商全称（电子签名/公章）：</w:t>
      </w:r>
    </w:p>
    <w:p>
      <w:pPr>
        <w:pStyle w:val="2"/>
        <w:ind w:firstLine="440"/>
        <w:jc w:val="center"/>
        <w:rPr>
          <w:rFonts w:ascii="宋体" w:hAnsi="宋体" w:cs="宋体"/>
          <w:color w:val="auto"/>
          <w:sz w:val="22"/>
          <w:szCs w:val="28"/>
          <w:highlight w:val="none"/>
        </w:rPr>
      </w:pPr>
      <w:r>
        <w:rPr>
          <w:rFonts w:hint="eastAsia" w:ascii="宋体" w:hAnsi="宋体" w:cs="宋体"/>
          <w:color w:val="auto"/>
          <w:sz w:val="22"/>
          <w:szCs w:val="28"/>
          <w:highlight w:val="none"/>
        </w:rPr>
        <w:t xml:space="preserve">日期：     年    月    日 </w:t>
      </w:r>
    </w:p>
    <w:p>
      <w:pPr>
        <w:pStyle w:val="2"/>
        <w:ind w:firstLine="440"/>
        <w:jc w:val="center"/>
        <w:rPr>
          <w:rFonts w:ascii="宋体" w:hAnsi="宋体" w:cs="宋体"/>
          <w:color w:val="auto"/>
          <w:sz w:val="22"/>
          <w:szCs w:val="28"/>
          <w:highlight w:val="none"/>
        </w:rPr>
      </w:pPr>
    </w:p>
    <w:p>
      <w:pPr>
        <w:pStyle w:val="2"/>
        <w:ind w:firstLine="440"/>
        <w:jc w:val="center"/>
        <w:rPr>
          <w:rFonts w:ascii="宋体" w:hAnsi="宋体" w:cs="宋体"/>
          <w:color w:val="auto"/>
          <w:sz w:val="22"/>
          <w:szCs w:val="28"/>
          <w:highlight w:val="none"/>
        </w:rPr>
      </w:pPr>
    </w:p>
    <w:p>
      <w:pPr>
        <w:pStyle w:val="2"/>
        <w:ind w:firstLine="440"/>
        <w:jc w:val="center"/>
        <w:rPr>
          <w:rFonts w:ascii="宋体" w:hAnsi="宋体" w:cs="宋体"/>
          <w:color w:val="auto"/>
          <w:sz w:val="22"/>
          <w:szCs w:val="28"/>
          <w:highlight w:val="none"/>
        </w:rPr>
      </w:pPr>
    </w:p>
    <w:p>
      <w:pPr>
        <w:pStyle w:val="2"/>
        <w:ind w:firstLine="440"/>
        <w:jc w:val="center"/>
        <w:rPr>
          <w:rFonts w:ascii="宋体" w:hAnsi="宋体" w:cs="宋体"/>
          <w:color w:val="auto"/>
          <w:sz w:val="22"/>
          <w:szCs w:val="28"/>
          <w:highlight w:val="none"/>
        </w:rPr>
      </w:pPr>
    </w:p>
    <w:p>
      <w:pPr>
        <w:pStyle w:val="2"/>
        <w:ind w:firstLine="440"/>
        <w:jc w:val="center"/>
        <w:rPr>
          <w:rFonts w:ascii="宋体" w:hAnsi="宋体" w:cs="宋体"/>
          <w:color w:val="auto"/>
          <w:sz w:val="22"/>
          <w:szCs w:val="28"/>
          <w:highlight w:val="none"/>
        </w:rPr>
      </w:pPr>
    </w:p>
    <w:p>
      <w:pPr>
        <w:pStyle w:val="5"/>
        <w:spacing w:line="240" w:lineRule="auto"/>
        <w:rPr>
          <w:rFonts w:ascii="黑体" w:hAnsi="黑体" w:cs="黑体"/>
          <w:color w:val="auto"/>
          <w:sz w:val="24"/>
          <w:szCs w:val="24"/>
          <w:highlight w:val="none"/>
        </w:rPr>
      </w:pPr>
      <w:bookmarkStart w:id="208" w:name="_Toc9818"/>
      <w:bookmarkStart w:id="209" w:name="_Toc7850"/>
      <w:bookmarkStart w:id="210" w:name="_Toc27994"/>
      <w:bookmarkStart w:id="211" w:name="_Toc24584"/>
      <w:bookmarkStart w:id="212" w:name="_Toc6605"/>
      <w:r>
        <w:rPr>
          <w:rFonts w:hint="eastAsia" w:ascii="黑体" w:hAnsi="黑体" w:cs="黑体"/>
          <w:color w:val="auto"/>
          <w:sz w:val="24"/>
          <w:szCs w:val="24"/>
          <w:highlight w:val="none"/>
        </w:rPr>
        <w:t>附件</w:t>
      </w:r>
      <w:r>
        <w:rPr>
          <w:rFonts w:hint="eastAsia" w:ascii="黑体" w:hAnsi="黑体" w:cs="黑体"/>
          <w:color w:val="auto"/>
          <w:sz w:val="24"/>
          <w:szCs w:val="24"/>
          <w:highlight w:val="none"/>
          <w:lang w:val="en-US" w:eastAsia="zh-CN"/>
        </w:rPr>
        <w:t>九</w:t>
      </w:r>
      <w:r>
        <w:rPr>
          <w:rFonts w:hint="eastAsia" w:ascii="黑体" w:hAnsi="黑体" w:cs="黑体"/>
          <w:color w:val="auto"/>
          <w:sz w:val="24"/>
          <w:szCs w:val="24"/>
          <w:highlight w:val="none"/>
        </w:rPr>
        <w:t xml:space="preserve">  政府采购政策功能相关说明</w:t>
      </w:r>
      <w:bookmarkEnd w:id="202"/>
      <w:bookmarkEnd w:id="203"/>
      <w:bookmarkEnd w:id="208"/>
      <w:bookmarkEnd w:id="209"/>
      <w:bookmarkEnd w:id="210"/>
      <w:bookmarkEnd w:id="211"/>
      <w:bookmarkEnd w:id="212"/>
    </w:p>
    <w:p>
      <w:pPr>
        <w:spacing w:line="440" w:lineRule="exact"/>
        <w:ind w:left="649" w:hanging="649" w:hangingChars="294"/>
        <w:jc w:val="center"/>
        <w:rPr>
          <w:rFonts w:ascii="宋体" w:hAnsi="宋体" w:cs="宋体"/>
          <w:b/>
          <w:color w:val="auto"/>
          <w:sz w:val="22"/>
          <w:szCs w:val="22"/>
          <w:highlight w:val="none"/>
        </w:rPr>
      </w:pPr>
      <w:r>
        <w:rPr>
          <w:rFonts w:hint="eastAsia" w:ascii="宋体" w:hAnsi="宋体" w:cs="宋体"/>
          <w:b/>
          <w:color w:val="auto"/>
          <w:sz w:val="22"/>
          <w:szCs w:val="22"/>
          <w:highlight w:val="none"/>
        </w:rPr>
        <w:t>（1）小、微企业（含监狱企业、残疾人福利性单位）扶持政策说明</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1.   文件依据</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（1）关于印发《政府采购促进中小企业发展暂行办法》的通知（财库〔2020〕46号）</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（4）《工业和信息化部、国家统计局、国家发展和改革委员会、财政部关于印发中小企业划型标准规定的通知》（工信部联企业[2011]300号）</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（3）财政部、司法部《关于政府采购支持监狱企业发展有关问题的通知》（财库〔2014〕68号）</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（4）《财政部 民政部 中国残疾人联合会关于促进残疾人就业政府采购政策的通知》（财库〔2017〕 141号）</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2.   中小企业应具备的条件：</w:t>
      </w:r>
    </w:p>
    <w:p>
      <w:pPr>
        <w:spacing w:line="440" w:lineRule="atLeast"/>
        <w:rPr>
          <w:rFonts w:ascii="宋体" w:hAnsi="宋体" w:cs="宋体"/>
          <w:b/>
          <w:color w:val="auto"/>
          <w:sz w:val="22"/>
          <w:szCs w:val="22"/>
          <w:highlight w:val="none"/>
        </w:rPr>
      </w:pPr>
      <w:r>
        <w:rPr>
          <w:rFonts w:hint="eastAsia" w:ascii="宋体" w:hAnsi="宋体" w:cs="宋体"/>
          <w:b/>
          <w:color w:val="auto"/>
          <w:sz w:val="22"/>
          <w:szCs w:val="22"/>
          <w:highlight w:val="none"/>
        </w:rPr>
        <w:t>（1）符合中小企业划分标准；</w:t>
      </w:r>
    </w:p>
    <w:p>
      <w:pPr>
        <w:spacing w:line="440" w:lineRule="atLeast"/>
        <w:rPr>
          <w:rFonts w:ascii="宋体" w:hAnsi="宋体" w:cs="宋体"/>
          <w:b/>
          <w:color w:val="auto"/>
          <w:sz w:val="22"/>
          <w:szCs w:val="22"/>
          <w:highlight w:val="none"/>
        </w:rPr>
      </w:pPr>
      <w:r>
        <w:rPr>
          <w:rFonts w:hint="eastAsia" w:ascii="宋体" w:hAnsi="宋体" w:cs="宋体"/>
          <w:b/>
          <w:color w:val="auto"/>
          <w:sz w:val="22"/>
          <w:szCs w:val="22"/>
          <w:highlight w:val="none"/>
        </w:rPr>
        <w:t>（2）在货物采购项目中，货物由中小企业制造，即货物由中小企业生产且使用该中小企业商号或者注册商标；</w:t>
      </w:r>
    </w:p>
    <w:p>
      <w:pPr>
        <w:spacing w:line="440" w:lineRule="atLeast"/>
        <w:rPr>
          <w:rFonts w:ascii="宋体" w:hAnsi="宋体" w:cs="宋体"/>
          <w:b/>
          <w:color w:val="auto"/>
          <w:sz w:val="22"/>
          <w:szCs w:val="22"/>
          <w:highlight w:val="none"/>
        </w:rPr>
      </w:pPr>
      <w:r>
        <w:rPr>
          <w:rFonts w:hint="eastAsia" w:ascii="宋体" w:hAnsi="宋体" w:cs="宋体"/>
          <w:b/>
          <w:color w:val="auto"/>
          <w:sz w:val="22"/>
          <w:szCs w:val="22"/>
          <w:highlight w:val="none"/>
        </w:rPr>
        <w:t>（3）在工程采购项目中，工程由中小企业承建，即工程施工单位为中小企业；</w:t>
      </w:r>
    </w:p>
    <w:p>
      <w:pPr>
        <w:spacing w:line="440" w:lineRule="atLeast"/>
        <w:rPr>
          <w:rFonts w:ascii="宋体" w:hAnsi="宋体" w:cs="宋体"/>
          <w:b/>
          <w:color w:val="auto"/>
          <w:sz w:val="22"/>
          <w:szCs w:val="22"/>
          <w:highlight w:val="none"/>
        </w:rPr>
      </w:pPr>
      <w:r>
        <w:rPr>
          <w:rFonts w:hint="eastAsia" w:ascii="宋体" w:hAnsi="宋体" w:cs="宋体"/>
          <w:b/>
          <w:color w:val="auto"/>
          <w:sz w:val="22"/>
          <w:szCs w:val="22"/>
          <w:highlight w:val="none"/>
        </w:rPr>
        <w:t>（4）在服务采购项目中，服务由中小企业承接，即提供服务的人员为中小企业依照《中华人民共和国劳动合同法》订立劳动合同的从业人员。</w:t>
      </w:r>
    </w:p>
    <w:p>
      <w:pPr>
        <w:spacing w:line="440" w:lineRule="atLeast"/>
        <w:rPr>
          <w:rFonts w:ascii="宋体" w:hAnsi="宋体" w:cs="宋体"/>
          <w:b/>
          <w:color w:val="auto"/>
          <w:sz w:val="22"/>
          <w:szCs w:val="22"/>
          <w:highlight w:val="none"/>
        </w:rPr>
      </w:pPr>
      <w:r>
        <w:rPr>
          <w:rFonts w:hint="eastAsia" w:ascii="宋体" w:hAnsi="宋体" w:cs="宋体"/>
          <w:b/>
          <w:color w:val="auto"/>
          <w:sz w:val="22"/>
          <w:szCs w:val="22"/>
          <w:highlight w:val="none"/>
        </w:rPr>
        <w:t>（5）在货物采购项目中，供应商提供的货物既有中小企业制造货物，也有大型企业制造货物的，不享受本办法规定的中小企业扶持政策。</w:t>
      </w:r>
    </w:p>
    <w:p>
      <w:pPr>
        <w:spacing w:line="440" w:lineRule="atLeast"/>
        <w:rPr>
          <w:rFonts w:ascii="宋体" w:hAnsi="宋体" w:cs="宋体"/>
          <w:b/>
          <w:color w:val="auto"/>
          <w:sz w:val="22"/>
          <w:szCs w:val="22"/>
          <w:highlight w:val="none"/>
        </w:rPr>
      </w:pPr>
      <w:r>
        <w:rPr>
          <w:rFonts w:hint="eastAsia" w:ascii="宋体" w:hAnsi="宋体" w:cs="宋体"/>
          <w:b/>
          <w:color w:val="auto"/>
          <w:sz w:val="22"/>
          <w:szCs w:val="22"/>
          <w:highlight w:val="none"/>
        </w:rPr>
        <w:t>（6）以联合体形式参加政府采购活动，联合体各方均为中小企业的，联合体视同中小企业。其中，联合体各方均为小微企业的，联合体视同小微企业。</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 xml:space="preserve">3.   </w:t>
      </w:r>
      <w:r>
        <w:rPr>
          <w:rFonts w:hint="eastAsia" w:ascii="宋体" w:hAnsi="宋体" w:cs="宋体"/>
          <w:color w:val="auto"/>
          <w:sz w:val="22"/>
          <w:szCs w:val="22"/>
          <w:highlight w:val="none"/>
          <w:u w:val="single"/>
        </w:rPr>
        <w:t>中小企业应提供以下证明材料（</w:t>
      </w:r>
      <w:r>
        <w:rPr>
          <w:rFonts w:hint="eastAsia" w:ascii="宋体" w:hAnsi="宋体" w:cs="宋体"/>
          <w:color w:val="auto"/>
          <w:sz w:val="22"/>
          <w:szCs w:val="22"/>
          <w:highlight w:val="none"/>
          <w:u w:val="single"/>
          <w:lang w:val="en-US" w:eastAsia="zh-CN"/>
        </w:rPr>
        <w:t>资格</w:t>
      </w:r>
      <w:r>
        <w:rPr>
          <w:rFonts w:hint="eastAsia" w:ascii="宋体" w:hAnsi="宋体" w:cs="宋体"/>
          <w:color w:val="auto"/>
          <w:sz w:val="22"/>
          <w:szCs w:val="22"/>
          <w:highlight w:val="none"/>
          <w:u w:val="single"/>
        </w:rPr>
        <w:t>文件中）</w:t>
      </w:r>
      <w:r>
        <w:rPr>
          <w:rFonts w:hint="eastAsia" w:ascii="宋体" w:hAnsi="宋体" w:cs="宋体"/>
          <w:color w:val="auto"/>
          <w:sz w:val="22"/>
          <w:szCs w:val="22"/>
          <w:highlight w:val="none"/>
        </w:rPr>
        <w:t>：</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《中小企业声明函》（加盖供应商公章，格式见附件1）</w:t>
      </w:r>
    </w:p>
    <w:p>
      <w:pPr>
        <w:spacing w:line="440" w:lineRule="atLeas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   监狱企业应提供以下证明材料（</w:t>
      </w:r>
      <w:r>
        <w:rPr>
          <w:rFonts w:hint="eastAsia" w:ascii="宋体" w:hAnsi="宋体" w:cs="宋体"/>
          <w:color w:val="auto"/>
          <w:sz w:val="22"/>
          <w:szCs w:val="22"/>
          <w:highlight w:val="none"/>
          <w:u w:val="single"/>
          <w:lang w:val="en-US" w:eastAsia="zh-CN"/>
        </w:rPr>
        <w:t>资格</w:t>
      </w:r>
      <w:r>
        <w:rPr>
          <w:rFonts w:hint="eastAsia" w:ascii="宋体" w:hAnsi="宋体" w:cs="宋体"/>
          <w:color w:val="auto"/>
          <w:sz w:val="22"/>
          <w:szCs w:val="22"/>
          <w:highlight w:val="none"/>
          <w:u w:val="single"/>
        </w:rPr>
        <w:t>文件中</w:t>
      </w:r>
      <w:r>
        <w:rPr>
          <w:rFonts w:hint="eastAsia" w:ascii="宋体" w:hAnsi="宋体" w:cs="宋体"/>
          <w:color w:val="auto"/>
          <w:sz w:val="22"/>
          <w:szCs w:val="22"/>
          <w:highlight w:val="none"/>
        </w:rPr>
        <w:t>）：</w:t>
      </w:r>
    </w:p>
    <w:p>
      <w:pPr>
        <w:spacing w:line="440" w:lineRule="atLeas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（1）监狱企业参加政府采购活动时，应当提供由省级以上监狱管理局、戒毒管理局(含新疆生产建设兵团)出具的属于监狱企业的证明文件（加盖供应商公章）。在政府采购活动中，监狱企业视同小型、微型企业。</w:t>
      </w:r>
    </w:p>
    <w:p>
      <w:pPr>
        <w:spacing w:line="440" w:lineRule="atLeas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color w:val="auto"/>
          <w:sz w:val="22"/>
          <w:szCs w:val="22"/>
          <w:highlight w:val="none"/>
          <w:u w:val="single"/>
        </w:rPr>
        <w:t>残疾人福利性单位应提供以下证明材料（</w:t>
      </w:r>
      <w:r>
        <w:rPr>
          <w:rFonts w:hint="eastAsia" w:ascii="宋体" w:hAnsi="宋体" w:cs="宋体"/>
          <w:color w:val="auto"/>
          <w:sz w:val="22"/>
          <w:szCs w:val="22"/>
          <w:highlight w:val="none"/>
          <w:u w:val="single"/>
          <w:lang w:val="en-US" w:eastAsia="zh-CN"/>
        </w:rPr>
        <w:t>资格</w:t>
      </w:r>
      <w:r>
        <w:rPr>
          <w:rFonts w:hint="eastAsia" w:ascii="宋体" w:hAnsi="宋体" w:cs="宋体"/>
          <w:color w:val="auto"/>
          <w:sz w:val="22"/>
          <w:szCs w:val="22"/>
          <w:highlight w:val="none"/>
          <w:u w:val="single"/>
        </w:rPr>
        <w:t>文件中）</w:t>
      </w:r>
      <w:r>
        <w:rPr>
          <w:rFonts w:hint="eastAsia" w:ascii="宋体" w:hAnsi="宋体" w:cs="宋体"/>
          <w:color w:val="auto"/>
          <w:sz w:val="22"/>
          <w:szCs w:val="22"/>
          <w:highlight w:val="none"/>
        </w:rPr>
        <w:t>：</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（1）残疾人福利性单位声明函（加盖供应商公章，格式见附件2）。</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color w:val="auto"/>
          <w:sz w:val="22"/>
          <w:szCs w:val="22"/>
          <w:highlight w:val="none"/>
        </w:rPr>
        <w:t>附件1：</w:t>
      </w:r>
    </w:p>
    <w:p>
      <w:pPr>
        <w:pStyle w:val="15"/>
        <w:spacing w:after="0"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中小企业声明函（工程、服务）</w:t>
      </w:r>
    </w:p>
    <w:p>
      <w:pPr>
        <w:pStyle w:val="15"/>
        <w:spacing w:after="0" w:line="440" w:lineRule="exact"/>
        <w:rPr>
          <w:rFonts w:ascii="宋体" w:hAnsi="宋体" w:cs="宋体"/>
          <w:b/>
          <w:color w:val="auto"/>
          <w:sz w:val="22"/>
          <w:szCs w:val="22"/>
          <w:highlight w:val="none"/>
        </w:rPr>
      </w:pPr>
    </w:p>
    <w:p>
      <w:pPr>
        <w:pStyle w:val="15"/>
        <w:spacing w:after="0" w:line="480" w:lineRule="exact"/>
        <w:ind w:right="-1"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88"/>
        <w:tabs>
          <w:tab w:val="left" w:pos="1025"/>
        </w:tabs>
        <w:spacing w:line="480" w:lineRule="exact"/>
        <w:ind w:firstLine="440"/>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color w:val="auto"/>
          <w:sz w:val="22"/>
          <w:highlight w:val="none"/>
          <w:u w:val="single"/>
          <w:lang w:val="en-US" w:eastAsia="zh-CN"/>
        </w:rPr>
        <w:t>商务与租赁</w:t>
      </w:r>
      <w:r>
        <w:rPr>
          <w:rFonts w:hint="eastAsia" w:ascii="宋体" w:hAnsi="宋体" w:cs="宋体"/>
          <w:color w:val="auto"/>
          <w:sz w:val="22"/>
          <w:highlight w:val="none"/>
          <w:u w:val="single"/>
        </w:rPr>
        <w:t>行业</w:t>
      </w:r>
      <w:r>
        <w:rPr>
          <w:rFonts w:hint="eastAsia" w:ascii="宋体" w:hAnsi="宋体" w:cs="宋体"/>
          <w:color w:val="auto"/>
          <w:sz w:val="22"/>
          <w:highlight w:val="none"/>
        </w:rPr>
        <w:t>）；承建（承接）企业为</w:t>
      </w:r>
      <w:r>
        <w:rPr>
          <w:rFonts w:hint="eastAsia" w:ascii="宋体" w:hAnsi="宋体" w:cs="宋体"/>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rPr>
        <w:tab/>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rPr>
        <w:tab/>
      </w:r>
      <w:r>
        <w:rPr>
          <w:rFonts w:hint="eastAsia"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rPr>
        <w:tab/>
      </w:r>
      <w:r>
        <w:rPr>
          <w:rFonts w:hint="eastAsia" w:ascii="宋体" w:hAnsi="宋体" w:cs="宋体"/>
          <w:color w:val="auto"/>
          <w:sz w:val="22"/>
          <w:highlight w:val="none"/>
        </w:rPr>
        <w:t>万元，属于</w:t>
      </w:r>
      <w:r>
        <w:rPr>
          <w:rFonts w:hint="eastAsia" w:ascii="宋体" w:hAnsi="宋体" w:cs="宋体"/>
          <w:color w:val="auto"/>
          <w:sz w:val="22"/>
          <w:highlight w:val="none"/>
          <w:u w:val="single"/>
        </w:rPr>
        <w:t>（中型企业、小型企业、微型企业）</w:t>
      </w:r>
      <w:r>
        <w:rPr>
          <w:rFonts w:hint="eastAsia" w:ascii="宋体" w:hAnsi="宋体" w:cs="宋体"/>
          <w:color w:val="auto"/>
          <w:sz w:val="22"/>
          <w:highlight w:val="none"/>
        </w:rPr>
        <w:t>；</w:t>
      </w:r>
    </w:p>
    <w:p>
      <w:pPr>
        <w:pStyle w:val="88"/>
        <w:tabs>
          <w:tab w:val="left" w:pos="1243"/>
          <w:tab w:val="left" w:pos="1806"/>
          <w:tab w:val="left" w:pos="5005"/>
          <w:tab w:val="left" w:pos="7213"/>
        </w:tabs>
        <w:spacing w:line="480" w:lineRule="exact"/>
        <w:ind w:right="258" w:firstLine="440"/>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color w:val="auto"/>
          <w:sz w:val="22"/>
          <w:highlight w:val="none"/>
          <w:u w:val="single"/>
          <w:lang w:val="en-US" w:eastAsia="zh-CN"/>
        </w:rPr>
        <w:t>商务与租赁</w:t>
      </w:r>
      <w:r>
        <w:rPr>
          <w:rFonts w:hint="eastAsia" w:ascii="宋体" w:hAnsi="宋体" w:cs="宋体"/>
          <w:color w:val="auto"/>
          <w:sz w:val="22"/>
          <w:highlight w:val="none"/>
          <w:u w:val="single"/>
        </w:rPr>
        <w:t>行业</w:t>
      </w:r>
      <w:r>
        <w:rPr>
          <w:rFonts w:hint="eastAsia" w:ascii="宋体" w:hAnsi="宋体" w:cs="宋体"/>
          <w:color w:val="auto"/>
          <w:sz w:val="22"/>
          <w:highlight w:val="none"/>
        </w:rPr>
        <w:t>）；承建（承接）企业为</w:t>
      </w:r>
      <w:r>
        <w:rPr>
          <w:rFonts w:hint="eastAsia" w:ascii="宋体" w:hAnsi="宋体" w:cs="宋体"/>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rPr>
        <w:tab/>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万元，属于</w:t>
      </w:r>
      <w:r>
        <w:rPr>
          <w:rFonts w:hint="eastAsia" w:ascii="宋体" w:hAnsi="宋体" w:cs="宋体"/>
          <w:color w:val="auto"/>
          <w:sz w:val="22"/>
          <w:highlight w:val="none"/>
          <w:u w:val="single"/>
        </w:rPr>
        <w:t>（中型企业、小型企业、微型企业）</w:t>
      </w:r>
      <w:r>
        <w:rPr>
          <w:rFonts w:hint="eastAsia" w:ascii="宋体" w:hAnsi="宋体" w:cs="宋体"/>
          <w:color w:val="auto"/>
          <w:sz w:val="22"/>
          <w:highlight w:val="none"/>
        </w:rPr>
        <w:t>；</w:t>
      </w:r>
    </w:p>
    <w:p>
      <w:pPr>
        <w:pStyle w:val="15"/>
        <w:spacing w:after="0" w:line="480" w:lineRule="exact"/>
        <w:ind w:left="860"/>
        <w:rPr>
          <w:rFonts w:ascii="宋体" w:hAnsi="宋体" w:cs="宋体"/>
          <w:color w:val="auto"/>
          <w:sz w:val="22"/>
          <w:szCs w:val="22"/>
          <w:highlight w:val="none"/>
        </w:rPr>
      </w:pPr>
      <w:r>
        <w:rPr>
          <w:rFonts w:hint="eastAsia" w:ascii="宋体" w:hAnsi="宋体" w:cs="宋体"/>
          <w:color w:val="auto"/>
          <w:sz w:val="22"/>
          <w:szCs w:val="22"/>
          <w:highlight w:val="none"/>
        </w:rPr>
        <w:t>……</w:t>
      </w:r>
    </w:p>
    <w:p>
      <w:pPr>
        <w:pStyle w:val="15"/>
        <w:spacing w:after="0" w:line="480" w:lineRule="exact"/>
        <w:ind w:right="417" w:firstLine="645"/>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pPr>
        <w:pStyle w:val="15"/>
        <w:spacing w:after="0" w:line="480" w:lineRule="exact"/>
        <w:ind w:right="375" w:firstLine="860"/>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pPr>
        <w:pStyle w:val="15"/>
        <w:spacing w:after="0" w:line="480" w:lineRule="exact"/>
        <w:ind w:left="4060" w:right="2166"/>
        <w:rPr>
          <w:rFonts w:ascii="宋体" w:hAnsi="宋体" w:cs="宋体"/>
          <w:color w:val="auto"/>
          <w:sz w:val="22"/>
          <w:szCs w:val="22"/>
          <w:highlight w:val="none"/>
        </w:rPr>
      </w:pPr>
    </w:p>
    <w:p>
      <w:pPr>
        <w:pStyle w:val="15"/>
        <w:spacing w:after="0" w:line="480" w:lineRule="exact"/>
        <w:ind w:left="4060" w:right="2166"/>
        <w:rPr>
          <w:rFonts w:ascii="宋体" w:hAnsi="宋体" w:cs="宋体"/>
          <w:color w:val="auto"/>
          <w:sz w:val="22"/>
          <w:szCs w:val="22"/>
          <w:highlight w:val="none"/>
        </w:rPr>
      </w:pPr>
      <w:r>
        <w:rPr>
          <w:rFonts w:hint="eastAsia" w:ascii="宋体" w:hAnsi="宋体" w:cs="宋体"/>
          <w:color w:val="auto"/>
          <w:sz w:val="22"/>
          <w:szCs w:val="22"/>
          <w:highlight w:val="none"/>
        </w:rPr>
        <w:t>企业名称（盖章）：</w:t>
      </w:r>
    </w:p>
    <w:p>
      <w:pPr>
        <w:pStyle w:val="15"/>
        <w:spacing w:after="0" w:line="480" w:lineRule="exact"/>
        <w:ind w:left="4060" w:right="2166"/>
        <w:rPr>
          <w:rFonts w:ascii="宋体" w:hAnsi="宋体" w:cs="宋体"/>
          <w:color w:val="auto"/>
          <w:sz w:val="22"/>
          <w:szCs w:val="22"/>
          <w:highlight w:val="none"/>
        </w:rPr>
      </w:pPr>
      <w:r>
        <w:rPr>
          <w:rFonts w:hint="eastAsia" w:ascii="宋体" w:hAnsi="宋体" w:cs="宋体"/>
          <w:color w:val="auto"/>
          <w:sz w:val="22"/>
          <w:szCs w:val="22"/>
          <w:highlight w:val="none"/>
        </w:rPr>
        <w:t>日期：</w:t>
      </w:r>
    </w:p>
    <w:p>
      <w:pPr>
        <w:pStyle w:val="35"/>
        <w:shd w:val="clear" w:color="auto" w:fill="FFFFFF"/>
        <w:spacing w:before="0" w:beforeAutospacing="0" w:after="0" w:afterAutospacing="0" w:line="480" w:lineRule="exact"/>
        <w:rPr>
          <w:color w:val="auto"/>
          <w:sz w:val="22"/>
          <w:szCs w:val="22"/>
          <w:highlight w:val="none"/>
        </w:rPr>
      </w:pPr>
    </w:p>
    <w:p>
      <w:pPr>
        <w:pStyle w:val="35"/>
        <w:shd w:val="clear" w:color="auto" w:fill="FFFFFF"/>
        <w:spacing w:before="0" w:beforeAutospacing="0" w:after="0" w:afterAutospacing="0" w:line="480" w:lineRule="exact"/>
        <w:rPr>
          <w:color w:val="auto"/>
          <w:sz w:val="22"/>
          <w:szCs w:val="22"/>
          <w:highlight w:val="none"/>
        </w:rPr>
      </w:pPr>
    </w:p>
    <w:p>
      <w:pPr>
        <w:pStyle w:val="35"/>
        <w:shd w:val="clear" w:color="auto" w:fill="FFFFFF"/>
        <w:spacing w:before="0" w:beforeAutospacing="0" w:after="0" w:afterAutospacing="0" w:line="480" w:lineRule="exact"/>
        <w:rPr>
          <w:color w:val="auto"/>
          <w:sz w:val="22"/>
          <w:szCs w:val="22"/>
          <w:highlight w:val="none"/>
        </w:rPr>
      </w:pPr>
    </w:p>
    <w:p>
      <w:pPr>
        <w:pStyle w:val="35"/>
        <w:shd w:val="clear" w:color="auto" w:fill="FFFFFF"/>
        <w:spacing w:before="0" w:beforeAutospacing="0" w:after="0" w:afterAutospacing="0" w:line="480" w:lineRule="exact"/>
        <w:rPr>
          <w:color w:val="auto"/>
          <w:sz w:val="22"/>
          <w:szCs w:val="22"/>
          <w:highlight w:val="none"/>
        </w:rPr>
      </w:pP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说明：</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从业人员、营业收入、资产总额填报上一年度数据，无上一年度数据的新成立企业可不填报。</w:t>
      </w:r>
    </w:p>
    <w:p>
      <w:pPr>
        <w:spacing w:line="440" w:lineRule="exact"/>
        <w:rPr>
          <w:rFonts w:ascii="宋体" w:hAnsi="宋体" w:cs="宋体"/>
          <w:color w:val="auto"/>
          <w:sz w:val="22"/>
          <w:szCs w:val="22"/>
          <w:highlight w:val="none"/>
        </w:rPr>
      </w:pPr>
    </w:p>
    <w:p>
      <w:pPr>
        <w:spacing w:line="440" w:lineRule="exact"/>
        <w:rPr>
          <w:rFonts w:ascii="宋体" w:hAnsi="宋体" w:cs="宋体"/>
          <w:color w:val="auto"/>
          <w:sz w:val="22"/>
          <w:szCs w:val="22"/>
          <w:highlight w:val="none"/>
        </w:rPr>
      </w:pPr>
    </w:p>
    <w:p>
      <w:pPr>
        <w:pStyle w:val="18"/>
        <w:ind w:right="-252"/>
        <w:rPr>
          <w:rFonts w:cs="宋体"/>
          <w:color w:val="auto"/>
          <w:sz w:val="22"/>
          <w:szCs w:val="22"/>
          <w:highlight w:val="none"/>
        </w:rPr>
      </w:pPr>
    </w:p>
    <w:p>
      <w:pPr>
        <w:pStyle w:val="18"/>
        <w:ind w:right="-252"/>
        <w:rPr>
          <w:rFonts w:cs="宋体"/>
          <w:color w:val="auto"/>
          <w:sz w:val="22"/>
          <w:szCs w:val="22"/>
          <w:highlight w:val="none"/>
        </w:rPr>
      </w:pPr>
    </w:p>
    <w:p>
      <w:pPr>
        <w:pStyle w:val="18"/>
        <w:ind w:right="-252"/>
        <w:rPr>
          <w:rFonts w:cs="宋体"/>
          <w:color w:val="auto"/>
          <w:sz w:val="22"/>
          <w:szCs w:val="22"/>
          <w:highlight w:val="none"/>
        </w:rPr>
      </w:pPr>
    </w:p>
    <w:p>
      <w:pPr>
        <w:pStyle w:val="18"/>
        <w:ind w:right="-252"/>
        <w:rPr>
          <w:rFonts w:cs="宋体"/>
          <w:color w:val="auto"/>
          <w:sz w:val="22"/>
          <w:szCs w:val="22"/>
          <w:highlight w:val="none"/>
        </w:rPr>
      </w:pPr>
    </w:p>
    <w:p>
      <w:pPr>
        <w:pStyle w:val="18"/>
        <w:ind w:right="-252"/>
        <w:rPr>
          <w:rFonts w:cs="宋体"/>
          <w:color w:val="auto"/>
          <w:sz w:val="22"/>
          <w:szCs w:val="22"/>
          <w:highlight w:val="none"/>
        </w:rPr>
      </w:pP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附件2：</w:t>
      </w:r>
    </w:p>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残疾人福利性单位声明函</w:t>
      </w:r>
    </w:p>
    <w:p>
      <w:pPr>
        <w:spacing w:line="588" w:lineRule="exact"/>
        <w:rPr>
          <w:rFonts w:ascii="宋体" w:hAnsi="宋体" w:cs="宋体"/>
          <w:b/>
          <w:color w:val="auto"/>
          <w:spacing w:val="6"/>
          <w:sz w:val="22"/>
          <w:szCs w:val="22"/>
          <w:highlight w:val="none"/>
        </w:rPr>
      </w:pPr>
    </w:p>
    <w:p>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pPr>
        <w:spacing w:line="588" w:lineRule="exact"/>
        <w:ind w:firstLine="440" w:firstLineChars="200"/>
        <w:rPr>
          <w:rFonts w:ascii="宋体" w:hAnsi="宋体" w:cs="宋体"/>
          <w:color w:val="auto"/>
          <w:sz w:val="22"/>
          <w:szCs w:val="22"/>
          <w:highlight w:val="none"/>
        </w:rPr>
      </w:pPr>
    </w:p>
    <w:p>
      <w:pPr>
        <w:spacing w:line="588" w:lineRule="exact"/>
        <w:ind w:firstLine="440" w:firstLineChars="200"/>
        <w:rPr>
          <w:rFonts w:ascii="宋体" w:hAnsi="宋体" w:cs="宋体"/>
          <w:color w:val="auto"/>
          <w:sz w:val="22"/>
          <w:szCs w:val="22"/>
          <w:highlight w:val="none"/>
        </w:rPr>
      </w:pPr>
    </w:p>
    <w:p>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pPr>
        <w:adjustRightInd w:val="0"/>
        <w:snapToGrid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日  期：      年    月     日</w:t>
      </w:r>
    </w:p>
    <w:p>
      <w:pPr>
        <w:pStyle w:val="15"/>
        <w:spacing w:after="0"/>
        <w:rPr>
          <w:rFonts w:ascii="宋体" w:hAnsi="宋体" w:cs="宋体"/>
          <w:color w:val="auto"/>
          <w:sz w:val="22"/>
          <w:szCs w:val="22"/>
          <w:highlight w:val="none"/>
        </w:rPr>
      </w:pPr>
    </w:p>
    <w:p>
      <w:pPr>
        <w:pStyle w:val="15"/>
        <w:spacing w:after="0"/>
        <w:rPr>
          <w:rFonts w:ascii="宋体" w:hAnsi="宋体" w:cs="宋体"/>
          <w:color w:val="auto"/>
          <w:sz w:val="22"/>
          <w:szCs w:val="22"/>
          <w:highlight w:val="none"/>
        </w:rPr>
      </w:pPr>
    </w:p>
    <w:p>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1、如中标，将在中标公告中将此残疾人福利性单位声明函予以公示，接受社会监督；</w:t>
      </w:r>
    </w:p>
    <w:p>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2、供应商提供的《残疾人福利性单位声明函》与事实不符的，依照《政府采购法》第七十七条第一款的规定追究法律责任。</w:t>
      </w:r>
    </w:p>
    <w:p>
      <w:pPr>
        <w:spacing w:line="420" w:lineRule="exact"/>
        <w:rPr>
          <w:color w:val="auto"/>
          <w:highlight w:val="none"/>
        </w:rPr>
      </w:pPr>
    </w:p>
    <w:p>
      <w:pPr>
        <w:pStyle w:val="15"/>
        <w:spacing w:after="0"/>
        <w:rPr>
          <w:color w:val="auto"/>
          <w:highlight w:val="none"/>
        </w:rPr>
      </w:pPr>
    </w:p>
    <w:p>
      <w:pPr>
        <w:pStyle w:val="15"/>
        <w:spacing w:after="0"/>
        <w:rPr>
          <w:color w:val="auto"/>
          <w:highlight w:val="none"/>
        </w:rPr>
      </w:pPr>
    </w:p>
    <w:p>
      <w:pPr>
        <w:spacing w:line="440" w:lineRule="exact"/>
        <w:rPr>
          <w:b/>
          <w:color w:val="auto"/>
          <w:highlight w:val="none"/>
        </w:rPr>
      </w:pPr>
    </w:p>
    <w:p>
      <w:pPr>
        <w:pStyle w:val="15"/>
        <w:spacing w:after="0"/>
        <w:rPr>
          <w:color w:val="auto"/>
          <w:highlight w:val="none"/>
        </w:rPr>
      </w:pPr>
    </w:p>
    <w:p>
      <w:pPr>
        <w:pStyle w:val="15"/>
        <w:spacing w:after="0"/>
        <w:rPr>
          <w:color w:val="auto"/>
          <w:highlight w:val="none"/>
        </w:rPr>
      </w:pPr>
    </w:p>
    <w:p>
      <w:pPr>
        <w:pStyle w:val="15"/>
        <w:spacing w:after="0"/>
        <w:rPr>
          <w:color w:val="auto"/>
          <w:highlight w:val="none"/>
        </w:rPr>
      </w:pPr>
    </w:p>
    <w:p>
      <w:pPr>
        <w:pStyle w:val="15"/>
        <w:spacing w:after="0"/>
        <w:rPr>
          <w:color w:val="auto"/>
          <w:highlight w:val="none"/>
        </w:rPr>
      </w:pPr>
    </w:p>
    <w:p>
      <w:pPr>
        <w:pStyle w:val="15"/>
        <w:spacing w:after="0"/>
        <w:rPr>
          <w:color w:val="auto"/>
          <w:highlight w:val="none"/>
        </w:rPr>
      </w:pPr>
    </w:p>
    <w:p>
      <w:pPr>
        <w:pStyle w:val="15"/>
        <w:spacing w:after="0"/>
        <w:rPr>
          <w:color w:val="auto"/>
          <w:highlight w:val="none"/>
        </w:rPr>
      </w:pPr>
    </w:p>
    <w:p>
      <w:pPr>
        <w:spacing w:line="360" w:lineRule="auto"/>
        <w:jc w:val="center"/>
        <w:outlineLvl w:val="0"/>
        <w:rPr>
          <w:rFonts w:ascii="黑体" w:hAnsi="黑体" w:eastAsia="黑体"/>
          <w:b/>
          <w:bCs/>
          <w:color w:val="auto"/>
          <w:kern w:val="44"/>
          <w:sz w:val="36"/>
          <w:szCs w:val="36"/>
          <w:highlight w:val="none"/>
        </w:rPr>
      </w:pPr>
      <w:r>
        <w:rPr>
          <w:b/>
          <w:color w:val="auto"/>
          <w:highlight w:val="none"/>
        </w:rPr>
        <w:br w:type="page"/>
      </w:r>
      <w:bookmarkStart w:id="213" w:name="_Toc19295"/>
      <w:bookmarkStart w:id="214" w:name="_Toc19636"/>
      <w:bookmarkStart w:id="215" w:name="_Toc19298"/>
      <w:bookmarkStart w:id="216" w:name="_Toc5621"/>
      <w:bookmarkStart w:id="217" w:name="_Toc4580"/>
      <w:r>
        <w:rPr>
          <w:rFonts w:hint="eastAsia" w:ascii="黑体" w:hAnsi="黑体" w:eastAsia="黑体"/>
          <w:b/>
          <w:bCs/>
          <w:color w:val="auto"/>
          <w:kern w:val="44"/>
          <w:sz w:val="36"/>
          <w:szCs w:val="36"/>
          <w:highlight w:val="none"/>
        </w:rPr>
        <w:t>第五部分   采购内容及要求</w:t>
      </w:r>
      <w:bookmarkEnd w:id="204"/>
      <w:bookmarkEnd w:id="205"/>
      <w:bookmarkEnd w:id="206"/>
      <w:bookmarkEnd w:id="207"/>
      <w:bookmarkEnd w:id="213"/>
      <w:bookmarkEnd w:id="214"/>
      <w:bookmarkEnd w:id="215"/>
      <w:bookmarkEnd w:id="216"/>
      <w:bookmarkEnd w:id="217"/>
    </w:p>
    <w:p>
      <w:pPr>
        <w:pStyle w:val="5"/>
        <w:spacing w:line="680" w:lineRule="exact"/>
        <w:jc w:val="center"/>
        <w:rPr>
          <w:rFonts w:hint="eastAsia" w:ascii="宋体" w:hAnsi="宋体" w:eastAsia="宋体" w:cs="宋体"/>
          <w:color w:val="auto"/>
          <w:sz w:val="28"/>
          <w:szCs w:val="28"/>
          <w:highlight w:val="none"/>
        </w:rPr>
      </w:pPr>
      <w:bookmarkStart w:id="218" w:name="_Toc29015"/>
      <w:bookmarkStart w:id="219" w:name="_Toc113106558"/>
      <w:bookmarkStart w:id="220" w:name="_Toc28404"/>
      <w:bookmarkStart w:id="221" w:name="_Toc27133"/>
      <w:bookmarkStart w:id="222" w:name="_Toc17529"/>
      <w:bookmarkStart w:id="223" w:name="_Toc41"/>
      <w:bookmarkStart w:id="224" w:name="_Toc51055750"/>
      <w:bookmarkStart w:id="225" w:name="_Toc467576654"/>
      <w:bookmarkStart w:id="226" w:name="_Toc26215"/>
      <w:bookmarkStart w:id="227" w:name="_Toc6413"/>
      <w:bookmarkStart w:id="228" w:name="_Toc522220192"/>
      <w:bookmarkStart w:id="229" w:name="_Toc460707940"/>
      <w:bookmarkStart w:id="230" w:name="_Toc9969"/>
      <w:bookmarkStart w:id="231" w:name="_Toc22027"/>
      <w:bookmarkStart w:id="232" w:name="_Toc8982"/>
      <w:bookmarkStart w:id="233" w:name="_Toc30658"/>
      <w:bookmarkStart w:id="234" w:name="_Toc195502588"/>
      <w:bookmarkStart w:id="235" w:name="_Toc195502498"/>
      <w:bookmarkStart w:id="236" w:name="_Toc202085298"/>
      <w:r>
        <w:rPr>
          <w:rFonts w:hint="eastAsia" w:ascii="宋体" w:hAnsi="宋体" w:eastAsia="宋体" w:cs="宋体"/>
          <w:color w:val="auto"/>
          <w:sz w:val="28"/>
          <w:szCs w:val="28"/>
          <w:highlight w:val="none"/>
        </w:rPr>
        <w:t>一、概 述</w:t>
      </w:r>
      <w:bookmarkEnd w:id="218"/>
      <w:bookmarkEnd w:id="219"/>
      <w:bookmarkEnd w:id="220"/>
      <w:bookmarkEnd w:id="221"/>
      <w:bookmarkEnd w:id="222"/>
      <w:bookmarkEnd w:id="223"/>
      <w:bookmarkEnd w:id="224"/>
      <w:bookmarkEnd w:id="225"/>
      <w:bookmarkEnd w:id="226"/>
      <w:bookmarkEnd w:id="227"/>
    </w:p>
    <w:bookmarkEnd w:id="228"/>
    <w:bookmarkEnd w:id="229"/>
    <w:p>
      <w:pPr>
        <w:pStyle w:val="24"/>
        <w:keepNext w:val="0"/>
        <w:keepLines w:val="0"/>
        <w:pageBreakBefore w:val="0"/>
        <w:widowControl w:val="0"/>
        <w:tabs>
          <w:tab w:val="left" w:pos="540"/>
        </w:tabs>
        <w:kinsoku/>
        <w:wordWrap/>
        <w:overflowPunct/>
        <w:topLinePunct w:val="0"/>
        <w:autoSpaceDE/>
        <w:autoSpaceDN/>
        <w:bidi w:val="0"/>
        <w:adjustRightInd/>
        <w:snapToGrid/>
        <w:spacing w:after="0" w:line="440" w:lineRule="exact"/>
        <w:ind w:left="550" w:leftChars="0" w:hanging="550" w:hangingChars="25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   </w:t>
      </w:r>
      <w:r>
        <w:rPr>
          <w:rFonts w:hint="eastAsia" w:ascii="宋体" w:hAnsi="宋体" w:cs="Arial"/>
          <w:color w:val="auto"/>
          <w:sz w:val="22"/>
          <w:szCs w:val="22"/>
          <w:highlight w:val="none"/>
          <w:lang w:eastAsia="zh-CN"/>
        </w:rPr>
        <w:t>温州市生态环境局瓯海分局</w:t>
      </w:r>
      <w:r>
        <w:rPr>
          <w:rFonts w:hint="eastAsia" w:ascii="宋体" w:hAnsi="宋体" w:cs="Arial"/>
          <w:color w:val="auto"/>
          <w:sz w:val="22"/>
          <w:szCs w:val="22"/>
          <w:highlight w:val="none"/>
        </w:rPr>
        <w:t>地点位于</w:t>
      </w:r>
      <w:r>
        <w:rPr>
          <w:rFonts w:hint="eastAsia" w:ascii="宋体" w:hAnsi="宋体" w:cs="宋体"/>
          <w:color w:val="auto"/>
          <w:kern w:val="0"/>
          <w:sz w:val="22"/>
          <w:szCs w:val="22"/>
          <w:highlight w:val="none"/>
          <w:lang w:bidi="ar"/>
        </w:rPr>
        <w:t>浙江省温州市瓯海区</w:t>
      </w:r>
      <w:r>
        <w:rPr>
          <w:rFonts w:hint="eastAsia" w:ascii="宋体" w:hAnsi="宋体" w:cs="宋体"/>
          <w:color w:val="auto"/>
          <w:kern w:val="0"/>
          <w:sz w:val="22"/>
          <w:szCs w:val="22"/>
          <w:highlight w:val="none"/>
          <w:lang w:val="en-US" w:eastAsia="zh-CN" w:bidi="ar"/>
        </w:rPr>
        <w:t>行政中心2号楼8楼</w:t>
      </w:r>
      <w:r>
        <w:rPr>
          <w:rFonts w:hint="eastAsia" w:ascii="宋体" w:hAnsi="宋体" w:cs="宋体"/>
          <w:color w:val="auto"/>
          <w:kern w:val="0"/>
          <w:sz w:val="22"/>
          <w:szCs w:val="22"/>
          <w:highlight w:val="none"/>
        </w:rPr>
        <w:t>。</w:t>
      </w:r>
    </w:p>
    <w:p>
      <w:pPr>
        <w:keepNext w:val="0"/>
        <w:keepLines w:val="0"/>
        <w:pageBreakBefore w:val="0"/>
        <w:widowControl/>
        <w:tabs>
          <w:tab w:val="left" w:pos="540"/>
        </w:tabs>
        <w:kinsoku/>
        <w:wordWrap/>
        <w:overflowPunct/>
        <w:topLinePunct w:val="0"/>
        <w:autoSpaceDE/>
        <w:autoSpaceDN/>
        <w:bidi w:val="0"/>
        <w:adjustRightInd/>
        <w:snapToGrid w:val="0"/>
        <w:spacing w:line="440" w:lineRule="exact"/>
        <w:ind w:left="550" w:hanging="550" w:hangingChars="25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   此份</w:t>
      </w:r>
      <w:r>
        <w:rPr>
          <w:rFonts w:hint="eastAsia" w:ascii="宋体" w:hAnsi="宋体" w:cs="宋体"/>
          <w:color w:val="auto"/>
          <w:sz w:val="22"/>
          <w:szCs w:val="22"/>
          <w:highlight w:val="none"/>
          <w:lang w:eastAsia="zh-CN"/>
        </w:rPr>
        <w:t>采购</w:t>
      </w:r>
      <w:r>
        <w:rPr>
          <w:rFonts w:hint="eastAsia" w:ascii="宋体" w:hAnsi="宋体" w:cs="宋体"/>
          <w:color w:val="auto"/>
          <w:sz w:val="22"/>
          <w:szCs w:val="22"/>
          <w:highlight w:val="none"/>
        </w:rPr>
        <w:t>内容及技术要求书是</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文件的一部分，包括所有条款的具体说明及技术要求，</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需在各自技术和商务占优势的基础上对本次采购服务进行</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报价。</w:t>
      </w:r>
    </w:p>
    <w:p>
      <w:pPr>
        <w:keepNext w:val="0"/>
        <w:keepLines w:val="0"/>
        <w:pageBreakBefore w:val="0"/>
        <w:widowControl/>
        <w:tabs>
          <w:tab w:val="left" w:pos="540"/>
        </w:tabs>
        <w:kinsoku/>
        <w:wordWrap/>
        <w:overflowPunct/>
        <w:topLinePunct w:val="0"/>
        <w:autoSpaceDE/>
        <w:autoSpaceDN/>
        <w:bidi w:val="0"/>
        <w:adjustRightInd/>
        <w:snapToGrid w:val="0"/>
        <w:spacing w:line="440" w:lineRule="exact"/>
        <w:ind w:left="550" w:hanging="550" w:hangingChars="25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   现场踏勘：各</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于投标截止时间前可自行到采购人校区进行踏勘 ，以获取本次投标所需的现场资料及数据，</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若未到现场踏勘，引起的一切后果均由其自行负责，由此造成</w:t>
      </w:r>
      <w:r>
        <w:rPr>
          <w:rFonts w:hint="eastAsia" w:ascii="宋体" w:hAnsi="宋体" w:cs="宋体"/>
          <w:color w:val="auto"/>
          <w:sz w:val="22"/>
          <w:szCs w:val="22"/>
          <w:highlight w:val="none"/>
          <w:lang w:eastAsia="zh-CN"/>
        </w:rPr>
        <w:t>磋商报价</w:t>
      </w:r>
      <w:r>
        <w:rPr>
          <w:rFonts w:hint="eastAsia" w:ascii="宋体" w:hAnsi="宋体" w:cs="宋体"/>
          <w:color w:val="auto"/>
          <w:sz w:val="22"/>
          <w:szCs w:val="22"/>
          <w:highlight w:val="none"/>
        </w:rPr>
        <w:t>的偏差均不予调整。</w:t>
      </w:r>
    </w:p>
    <w:p>
      <w:pPr>
        <w:widowControl/>
        <w:tabs>
          <w:tab w:val="left" w:pos="540"/>
        </w:tabs>
        <w:snapToGrid w:val="0"/>
        <w:spacing w:line="440" w:lineRule="exact"/>
        <w:ind w:left="550" w:hanging="550" w:hangingChars="2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4. ▲</w:t>
      </w:r>
      <w:r>
        <w:rPr>
          <w:rFonts w:hint="eastAsia" w:ascii="宋体" w:hAnsi="宋体" w:cs="宋体"/>
          <w:color w:val="auto"/>
          <w:sz w:val="22"/>
          <w:szCs w:val="22"/>
          <w:highlight w:val="none"/>
          <w:u w:val="single"/>
          <w:lang w:eastAsia="zh-CN"/>
        </w:rPr>
        <w:t>磋商供应商</w:t>
      </w:r>
      <w:r>
        <w:rPr>
          <w:rFonts w:hint="eastAsia" w:ascii="宋体" w:hAnsi="宋体" w:cs="宋体"/>
          <w:color w:val="auto"/>
          <w:sz w:val="22"/>
          <w:szCs w:val="22"/>
          <w:highlight w:val="none"/>
          <w:u w:val="single"/>
        </w:rPr>
        <w:t>必须完成</w:t>
      </w:r>
      <w:r>
        <w:rPr>
          <w:rFonts w:hint="eastAsia" w:ascii="宋体" w:hAnsi="宋体" w:cs="宋体"/>
          <w:color w:val="auto"/>
          <w:sz w:val="22"/>
          <w:szCs w:val="22"/>
          <w:highlight w:val="none"/>
          <w:u w:val="single"/>
          <w:lang w:eastAsia="zh-CN"/>
        </w:rPr>
        <w:t>采购</w:t>
      </w:r>
      <w:r>
        <w:rPr>
          <w:rFonts w:hint="eastAsia" w:ascii="宋体" w:hAnsi="宋体" w:cs="宋体"/>
          <w:color w:val="auto"/>
          <w:sz w:val="22"/>
          <w:szCs w:val="22"/>
          <w:highlight w:val="none"/>
          <w:u w:val="single"/>
        </w:rPr>
        <w:t>内容和合同（基本要求、价格和服务）规定义务，不允许只对部分内容进行投标。</w:t>
      </w:r>
    </w:p>
    <w:p>
      <w:pPr>
        <w:widowControl/>
        <w:tabs>
          <w:tab w:val="left" w:pos="540"/>
        </w:tabs>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   本次项目服务的标准、规范，应符合国家有关条例及规范。</w:t>
      </w:r>
    </w:p>
    <w:p>
      <w:pPr>
        <w:widowControl/>
        <w:tabs>
          <w:tab w:val="left" w:pos="540"/>
        </w:tabs>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   在投标之前，</w:t>
      </w:r>
      <w:r>
        <w:rPr>
          <w:rFonts w:hint="eastAsia" w:ascii="宋体" w:hAnsi="宋体" w:cs="宋体"/>
          <w:color w:val="auto"/>
          <w:sz w:val="22"/>
          <w:szCs w:val="22"/>
          <w:highlight w:val="none"/>
          <w:lang w:eastAsia="zh-CN"/>
        </w:rPr>
        <w:t>磋商供应商</w:t>
      </w:r>
      <w:r>
        <w:rPr>
          <w:rFonts w:hint="eastAsia" w:ascii="宋体" w:hAnsi="宋体" w:cs="宋体"/>
          <w:color w:val="auto"/>
          <w:sz w:val="22"/>
          <w:szCs w:val="22"/>
          <w:highlight w:val="none"/>
        </w:rPr>
        <w:t>须仔细阅读</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文件，如发现有任何疑问、冲突或问题，</w:t>
      </w:r>
      <w:r>
        <w:rPr>
          <w:rFonts w:hint="eastAsia" w:ascii="宋体" w:hAnsi="宋体" w:cs="宋体"/>
          <w:color w:val="auto"/>
          <w:sz w:val="22"/>
          <w:szCs w:val="22"/>
          <w:highlight w:val="none"/>
          <w:lang w:eastAsia="zh-CN"/>
        </w:rPr>
        <w:t>磋商供应商</w:t>
      </w:r>
      <w:r>
        <w:rPr>
          <w:rFonts w:hint="eastAsia" w:ascii="宋体" w:hAnsi="宋体" w:cs="宋体"/>
          <w:color w:val="auto"/>
          <w:sz w:val="22"/>
          <w:szCs w:val="22"/>
          <w:highlight w:val="none"/>
        </w:rPr>
        <w:t>须在答疑截止时间前以书面形式向采购</w:t>
      </w:r>
      <w:r>
        <w:rPr>
          <w:rFonts w:hint="eastAsia" w:ascii="宋体" w:hAnsi="宋体" w:cs="宋体"/>
          <w:color w:val="auto"/>
          <w:sz w:val="22"/>
          <w:szCs w:val="22"/>
          <w:highlight w:val="none"/>
          <w:lang w:eastAsia="zh-CN"/>
        </w:rPr>
        <w:t>代理</w:t>
      </w:r>
      <w:r>
        <w:rPr>
          <w:rFonts w:hint="eastAsia" w:ascii="宋体" w:hAnsi="宋体" w:cs="宋体"/>
          <w:color w:val="auto"/>
          <w:sz w:val="22"/>
          <w:szCs w:val="22"/>
          <w:highlight w:val="none"/>
        </w:rPr>
        <w:t>机构提出。逾期不再作答复，有关风险及责任由</w:t>
      </w:r>
      <w:r>
        <w:rPr>
          <w:rFonts w:hint="eastAsia" w:ascii="宋体" w:hAnsi="宋体" w:cs="宋体"/>
          <w:color w:val="auto"/>
          <w:sz w:val="22"/>
          <w:szCs w:val="22"/>
          <w:highlight w:val="none"/>
          <w:lang w:eastAsia="zh-CN"/>
        </w:rPr>
        <w:t>磋商供应商</w:t>
      </w:r>
      <w:r>
        <w:rPr>
          <w:rFonts w:hint="eastAsia" w:ascii="宋体" w:hAnsi="宋体" w:cs="宋体"/>
          <w:color w:val="auto"/>
          <w:sz w:val="22"/>
          <w:szCs w:val="22"/>
          <w:highlight w:val="none"/>
        </w:rPr>
        <w:t>自行承担。</w:t>
      </w:r>
    </w:p>
    <w:p>
      <w:pPr>
        <w:keepNext w:val="0"/>
        <w:keepLines w:val="0"/>
        <w:pageBreakBefore w:val="0"/>
        <w:widowControl/>
        <w:tabs>
          <w:tab w:val="left" w:pos="540"/>
        </w:tabs>
        <w:kinsoku/>
        <w:wordWrap/>
        <w:overflowPunct/>
        <w:topLinePunct w:val="0"/>
        <w:autoSpaceDE/>
        <w:autoSpaceDN/>
        <w:bidi w:val="0"/>
        <w:adjustRightInd/>
        <w:snapToGrid w:val="0"/>
        <w:spacing w:line="440" w:lineRule="exact"/>
        <w:ind w:left="525" w:leftChars="250" w:firstLine="0" w:firstLineChars="0"/>
        <w:textAlignment w:val="auto"/>
        <w:rPr>
          <w:rFonts w:hint="eastAsia" w:ascii="宋体" w:hAnsi="宋体" w:eastAsia="宋体" w:cs="宋体"/>
          <w:color w:val="auto"/>
          <w:sz w:val="22"/>
          <w:szCs w:val="22"/>
          <w:highlight w:val="none"/>
        </w:rPr>
      </w:pPr>
    </w:p>
    <w:p>
      <w:pPr>
        <w:pStyle w:val="5"/>
        <w:spacing w:line="680" w:lineRule="exact"/>
        <w:jc w:val="center"/>
        <w:rPr>
          <w:rFonts w:hint="eastAsia" w:ascii="宋体" w:hAnsi="宋体" w:eastAsia="宋体" w:cs="宋体"/>
          <w:color w:val="auto"/>
          <w:sz w:val="28"/>
          <w:szCs w:val="28"/>
          <w:highlight w:val="none"/>
        </w:rPr>
      </w:pPr>
      <w:bookmarkStart w:id="237" w:name="_Toc17136"/>
      <w:bookmarkStart w:id="238" w:name="_Toc11465"/>
      <w:r>
        <w:rPr>
          <w:rFonts w:hint="eastAsia" w:ascii="宋体" w:hAnsi="宋体" w:eastAsia="宋体" w:cs="宋体"/>
          <w:color w:val="auto"/>
          <w:sz w:val="28"/>
          <w:szCs w:val="28"/>
          <w:highlight w:val="none"/>
        </w:rPr>
        <w:t>二、采购内容及要求</w:t>
      </w:r>
      <w:bookmarkEnd w:id="237"/>
      <w:bookmarkEnd w:id="238"/>
    </w:p>
    <w:p>
      <w:pPr>
        <w:keepNext w:val="0"/>
        <w:keepLines w:val="0"/>
        <w:pageBreakBefore w:val="0"/>
        <w:widowControl w:val="0"/>
        <w:numPr>
          <w:ilvl w:val="0"/>
          <w:numId w:val="10"/>
        </w:numPr>
        <w:kinsoku/>
        <w:wordWrap/>
        <w:overflowPunct/>
        <w:topLinePunct w:val="0"/>
        <w:autoSpaceDE/>
        <w:autoSpaceDN/>
        <w:bidi w:val="0"/>
        <w:adjustRightInd/>
        <w:snapToGrid w:val="0"/>
        <w:spacing w:line="400" w:lineRule="exact"/>
        <w:ind w:left="0" w:leftChars="0" w:firstLine="422" w:firstLineChars="200"/>
        <w:textAlignment w:val="auto"/>
        <w:rPr>
          <w:rFonts w:hint="eastAsia" w:ascii="宋体" w:hAnsi="宋体" w:eastAsia="宋体" w:cs="宋体"/>
          <w:b/>
          <w:bCs/>
          <w:color w:val="auto"/>
          <w:sz w:val="21"/>
          <w:szCs w:val="21"/>
          <w:highlight w:val="none"/>
          <w:lang w:eastAsia="zh-CN" w:bidi="ar-SA"/>
        </w:rPr>
      </w:pPr>
      <w:r>
        <w:rPr>
          <w:rFonts w:hint="eastAsia" w:ascii="宋体" w:hAnsi="宋体" w:eastAsia="宋体" w:cs="宋体"/>
          <w:b/>
          <w:bCs/>
          <w:color w:val="auto"/>
          <w:sz w:val="21"/>
          <w:szCs w:val="21"/>
          <w:highlight w:val="none"/>
          <w:lang w:eastAsia="zh-CN" w:bidi="ar-SA"/>
        </w:rPr>
        <w:t>项目</w:t>
      </w:r>
      <w:r>
        <w:rPr>
          <w:rFonts w:hint="eastAsia" w:ascii="宋体" w:hAnsi="宋体" w:eastAsia="宋体" w:cs="宋体"/>
          <w:b/>
          <w:bCs/>
          <w:color w:val="auto"/>
          <w:sz w:val="21"/>
          <w:szCs w:val="21"/>
          <w:highlight w:val="none"/>
          <w:lang w:val="en-US" w:eastAsia="zh-CN" w:bidi="ar-SA"/>
        </w:rPr>
        <w:t>背景</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default" w:ascii="Times New Roman" w:hAnsi="Times New Roman" w:cs="Times New Roman"/>
          <w:highlight w:val="none"/>
        </w:rPr>
        <w:t>为认真贯彻党的二十届三中全会关于建立新污染物协同治理和环境风险管控体系的重大决策部署，落实《新污染物治理行动方案》（国办发〔2022〕15号，以下简称《行动方案》）关于开展新污染物治理试点工作的有关部署要求，根据生态环境部办公厅《关于印发新污染物治理试点工作方案的通知》精神，探索解决新污染物治理工作中存在的突出问题，发挥试点引领作用，支撑新污染物治理行动举措落实落地，推动瓯海电镀园区绿色低碳、高质量发展，经研究，决定开展温州市瓯海区电镀行业新污染物全链条管控体系试点工作</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400" w:lineRule="exact"/>
        <w:ind w:left="0" w:leftChars="0" w:firstLine="422" w:firstLineChars="200"/>
        <w:textAlignment w:val="auto"/>
        <w:rPr>
          <w:rFonts w:hint="default" w:ascii="宋体" w:hAnsi="宋体" w:eastAsia="宋体" w:cs="宋体"/>
          <w:b/>
          <w:bCs/>
          <w:color w:val="auto"/>
          <w:sz w:val="21"/>
          <w:szCs w:val="21"/>
          <w:highlight w:val="none"/>
          <w:lang w:eastAsia="zh-CN" w:bidi="ar-SA"/>
        </w:rPr>
      </w:pPr>
      <w:bookmarkStart w:id="239" w:name="_Toc22101"/>
      <w:r>
        <w:rPr>
          <w:rFonts w:hint="eastAsia" w:ascii="宋体" w:hAnsi="宋体" w:eastAsia="宋体" w:cs="宋体"/>
          <w:b/>
          <w:bCs/>
          <w:color w:val="auto"/>
          <w:sz w:val="21"/>
          <w:szCs w:val="21"/>
          <w:highlight w:val="none"/>
          <w:lang w:eastAsia="zh-CN" w:bidi="ar-SA"/>
        </w:rPr>
        <w:t>工作</w:t>
      </w:r>
      <w:r>
        <w:rPr>
          <w:rFonts w:hint="default" w:ascii="宋体" w:hAnsi="宋体" w:eastAsia="宋体" w:cs="宋体"/>
          <w:b/>
          <w:bCs/>
          <w:color w:val="auto"/>
          <w:sz w:val="21"/>
          <w:szCs w:val="21"/>
          <w:highlight w:val="none"/>
          <w:lang w:eastAsia="zh-CN" w:bidi="ar-SA"/>
        </w:rPr>
        <w:t>目标</w:t>
      </w:r>
      <w:bookmarkEnd w:id="239"/>
    </w:p>
    <w:p>
      <w:pPr>
        <w:ind w:firstLine="640"/>
        <w:rPr>
          <w:rFonts w:hint="default" w:ascii="Times New Roman" w:hAnsi="Times New Roman" w:cs="Times New Roman"/>
          <w:highlight w:val="none"/>
        </w:rPr>
      </w:pPr>
      <w:r>
        <w:rPr>
          <w:rFonts w:hint="default" w:ascii="Times New Roman" w:hAnsi="Times New Roman" w:cs="Times New Roman"/>
          <w:highlight w:val="none"/>
        </w:rPr>
        <w:t>针对温州市瓯海区电镀行业集中的产业结构特点，以及电镀园区配套污水处理设施的优势，选取瓯海电镀园区中电镀企业及污水处理厂为对象，以精准治污、科学治污、依法治污为工</w:t>
      </w:r>
      <w:r>
        <w:rPr>
          <w:rFonts w:hint="default" w:ascii="Times New Roman" w:hAnsi="Times New Roman" w:cs="Times New Roman"/>
          <w:color w:val="auto"/>
          <w:highlight w:val="none"/>
        </w:rPr>
        <w:t>作方向，基于污染物</w:t>
      </w:r>
      <w:r>
        <w:rPr>
          <w:rFonts w:hint="eastAsia" w:cs="Times New Roman"/>
          <w:color w:val="auto"/>
          <w:highlight w:val="none"/>
          <w:lang w:eastAsia="zh-CN"/>
        </w:rPr>
        <w:t>全链条</w:t>
      </w:r>
      <w:r>
        <w:rPr>
          <w:rFonts w:hint="default" w:ascii="Times New Roman" w:hAnsi="Times New Roman" w:cs="Times New Roman"/>
          <w:color w:val="auto"/>
          <w:highlight w:val="none"/>
        </w:rPr>
        <w:t>风险管控理念，</w:t>
      </w:r>
      <w:r>
        <w:rPr>
          <w:rFonts w:hint="eastAsia" w:cs="Times New Roman"/>
          <w:color w:val="auto"/>
          <w:highlight w:val="none"/>
          <w:lang w:eastAsia="zh-CN"/>
        </w:rPr>
        <w:t>查明</w:t>
      </w:r>
      <w:r>
        <w:rPr>
          <w:rFonts w:hint="default" w:ascii="Times New Roman" w:hAnsi="Times New Roman" w:cs="Times New Roman"/>
          <w:color w:val="auto"/>
          <w:highlight w:val="none"/>
        </w:rPr>
        <w:t>电镀废水中具体全氟类污染物</w:t>
      </w:r>
      <w:r>
        <w:rPr>
          <w:rFonts w:hint="eastAsia" w:cs="Times New Roman"/>
          <w:color w:val="auto"/>
          <w:highlight w:val="none"/>
          <w:lang w:eastAsia="zh-CN"/>
        </w:rPr>
        <w:t>种类</w:t>
      </w:r>
      <w:r>
        <w:rPr>
          <w:rFonts w:hint="default" w:ascii="Times New Roman" w:hAnsi="Times New Roman" w:cs="Times New Roman"/>
          <w:color w:val="auto"/>
          <w:highlight w:val="none"/>
        </w:rPr>
        <w:t>，摸</w:t>
      </w:r>
      <w:r>
        <w:rPr>
          <w:rFonts w:hint="default" w:ascii="Times New Roman" w:hAnsi="Times New Roman" w:cs="Times New Roman"/>
          <w:highlight w:val="none"/>
        </w:rPr>
        <w:t>清电镀行业新污染物</w:t>
      </w:r>
      <w:r>
        <w:rPr>
          <w:rFonts w:hint="eastAsia" w:cs="Times New Roman"/>
          <w:highlight w:val="none"/>
          <w:lang w:eastAsia="zh-CN"/>
        </w:rPr>
        <w:t>全氟化合物污染</w:t>
      </w:r>
      <w:r>
        <w:rPr>
          <w:rFonts w:hint="default" w:ascii="Times New Roman" w:hAnsi="Times New Roman" w:cs="Times New Roman"/>
          <w:highlight w:val="none"/>
        </w:rPr>
        <w:t>排放底数，</w:t>
      </w:r>
      <w:r>
        <w:rPr>
          <w:rFonts w:hint="eastAsia" w:cs="Times New Roman"/>
          <w:highlight w:val="none"/>
          <w:lang w:eastAsia="zh-CN"/>
        </w:rPr>
        <w:t>评估</w:t>
      </w:r>
      <w:r>
        <w:rPr>
          <w:rFonts w:hint="default" w:ascii="Times New Roman" w:hAnsi="Times New Roman" w:cs="Times New Roman"/>
          <w:highlight w:val="none"/>
        </w:rPr>
        <w:t>新污染物</w:t>
      </w:r>
      <w:r>
        <w:rPr>
          <w:rFonts w:hint="eastAsia" w:cs="Times New Roman"/>
          <w:highlight w:val="none"/>
          <w:lang w:eastAsia="zh-CN"/>
        </w:rPr>
        <w:t>全氟化合物</w:t>
      </w:r>
      <w:r>
        <w:rPr>
          <w:rFonts w:hint="default" w:ascii="Times New Roman" w:hAnsi="Times New Roman" w:cs="Times New Roman"/>
          <w:highlight w:val="none"/>
        </w:rPr>
        <w:t>对电镀园区周边环境的风险影响，</w:t>
      </w:r>
      <w:r>
        <w:rPr>
          <w:rFonts w:hint="eastAsia" w:cs="Times New Roman"/>
          <w:highlight w:val="none"/>
          <w:lang w:eastAsia="zh-CN"/>
        </w:rPr>
        <w:t>制定</w:t>
      </w:r>
      <w:r>
        <w:rPr>
          <w:rFonts w:hint="default" w:ascii="Times New Roman" w:hAnsi="Times New Roman" w:cs="Times New Roman"/>
          <w:highlight w:val="none"/>
        </w:rPr>
        <w:t>源头管理、过程控制</w:t>
      </w:r>
      <w:r>
        <w:rPr>
          <w:rFonts w:hint="eastAsia" w:cs="Times New Roman"/>
          <w:highlight w:val="none"/>
          <w:lang w:eastAsia="zh-CN"/>
        </w:rPr>
        <w:t>、末端治理全链条管控方案</w:t>
      </w:r>
      <w:r>
        <w:rPr>
          <w:rFonts w:hint="default" w:ascii="Times New Roman" w:hAnsi="Times New Roman" w:cs="Times New Roman"/>
          <w:highlight w:val="none"/>
        </w:rPr>
        <w:t>，有效解决电镀园区新污染物</w:t>
      </w:r>
      <w:r>
        <w:rPr>
          <w:rFonts w:hint="eastAsia" w:cs="Times New Roman"/>
          <w:highlight w:val="none"/>
          <w:lang w:eastAsia="zh-CN"/>
        </w:rPr>
        <w:t>排放底数</w:t>
      </w:r>
      <w:r>
        <w:rPr>
          <w:rFonts w:hint="default" w:ascii="Times New Roman" w:hAnsi="Times New Roman" w:cs="Times New Roman"/>
          <w:highlight w:val="none"/>
        </w:rPr>
        <w:t>不清晰、新污染物的管控机制尚不明确、新污染物全</w:t>
      </w:r>
      <w:r>
        <w:rPr>
          <w:rFonts w:hint="eastAsia" w:cs="Times New Roman"/>
          <w:highlight w:val="none"/>
          <w:lang w:eastAsia="zh-CN"/>
        </w:rPr>
        <w:t>链条</w:t>
      </w:r>
      <w:r>
        <w:rPr>
          <w:rFonts w:hint="default" w:ascii="Times New Roman" w:hAnsi="Times New Roman" w:cs="Times New Roman"/>
          <w:highlight w:val="none"/>
        </w:rPr>
        <w:t>管理方法尚未确立等主要问题，建设电镀行业新污染物管控的“瓯海样板”。</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bCs/>
          <w:color w:val="auto"/>
          <w:sz w:val="21"/>
          <w:szCs w:val="21"/>
          <w:highlight w:val="none"/>
          <w:lang w:val="en-US" w:eastAsia="zh-CN" w:bidi="ar-SA"/>
        </w:rPr>
      </w:pPr>
      <w:r>
        <w:rPr>
          <w:rFonts w:hint="eastAsia" w:ascii="宋体" w:hAnsi="宋体" w:cs="宋体"/>
          <w:b/>
          <w:bCs/>
          <w:color w:val="auto"/>
          <w:sz w:val="21"/>
          <w:szCs w:val="21"/>
          <w:highlight w:val="none"/>
          <w:lang w:val="en-US" w:eastAsia="zh-CN" w:bidi="ar-SA"/>
        </w:rPr>
        <w:t>（三）</w:t>
      </w:r>
      <w:r>
        <w:rPr>
          <w:rFonts w:hint="eastAsia" w:ascii="宋体" w:hAnsi="宋体" w:eastAsia="宋体" w:cs="宋体"/>
          <w:b/>
          <w:bCs/>
          <w:color w:val="auto"/>
          <w:sz w:val="21"/>
          <w:szCs w:val="21"/>
          <w:highlight w:val="none"/>
          <w:lang w:val="en-US" w:eastAsia="zh-CN" w:bidi="ar-SA"/>
        </w:rPr>
        <w:t>主要任务</w:t>
      </w:r>
    </w:p>
    <w:p>
      <w:pPr>
        <w:pStyle w:val="145"/>
        <w:numPr>
          <w:ilvl w:val="255"/>
          <w:numId w:val="0"/>
        </w:numPr>
        <w:spacing w:line="560" w:lineRule="exact"/>
        <w:ind w:firstLine="420" w:firstLineChars="20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1、电镀园区新污染物全面筛查</w:t>
      </w:r>
    </w:p>
    <w:p>
      <w:pPr>
        <w:ind w:firstLine="64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对温州市瓯海电镀园区不同的电镀工艺进行全面调研，针对电镀园区电镀企业，</w:t>
      </w:r>
      <w:r>
        <w:rPr>
          <w:rFonts w:hint="eastAsia" w:cs="Times New Roman"/>
          <w:b w:val="0"/>
          <w:kern w:val="2"/>
          <w:sz w:val="21"/>
          <w:szCs w:val="22"/>
          <w:highlight w:val="none"/>
          <w:lang w:val="en-US" w:eastAsia="zh-CN" w:bidi="ar-SA"/>
        </w:rPr>
        <w:t>园区</w:t>
      </w:r>
      <w:r>
        <w:rPr>
          <w:rFonts w:hint="default" w:ascii="Times New Roman" w:hAnsi="Times New Roman" w:eastAsia="宋体" w:cs="Times New Roman"/>
          <w:b w:val="0"/>
          <w:kern w:val="2"/>
          <w:sz w:val="21"/>
          <w:szCs w:val="22"/>
          <w:highlight w:val="none"/>
          <w:lang w:val="en-US" w:eastAsia="zh-CN" w:bidi="ar-SA"/>
        </w:rPr>
        <w:t>污水处理厂，按照生产周期进行至少2次水样采集，监测指标为</w:t>
      </w:r>
      <w:r>
        <w:rPr>
          <w:rFonts w:hint="default" w:ascii="Times New Roman" w:hAnsi="Times New Roman" w:eastAsia="宋体" w:cs="Times New Roman"/>
          <w:b w:val="0"/>
          <w:color w:val="auto"/>
          <w:kern w:val="2"/>
          <w:sz w:val="21"/>
          <w:szCs w:val="22"/>
          <w:highlight w:val="none"/>
          <w:lang w:val="en-US" w:eastAsia="zh-CN" w:bidi="ar-SA"/>
        </w:rPr>
        <w:t>全氟化合物</w:t>
      </w:r>
      <w:r>
        <w:rPr>
          <w:rFonts w:hint="default" w:ascii="Times New Roman" w:hAnsi="Times New Roman" w:eastAsia="宋体" w:cs="Times New Roman"/>
          <w:b w:val="0"/>
          <w:kern w:val="2"/>
          <w:sz w:val="21"/>
          <w:szCs w:val="22"/>
          <w:highlight w:val="none"/>
          <w:lang w:val="en-US" w:eastAsia="zh-CN" w:bidi="ar-SA"/>
        </w:rPr>
        <w:t>。在周边1公里范围内采集地表水、农田、地下水、河道底泥样品，监测指标为全氟化合物。通过区域划分与数据采集，综合考虑历史数据、文献数据与国际标准，确立瓯海电镀园区的全氟化合物类新污染物的</w:t>
      </w:r>
      <w:r>
        <w:rPr>
          <w:rFonts w:hint="eastAsia" w:cs="Times New Roman"/>
          <w:b w:val="0"/>
          <w:kern w:val="2"/>
          <w:sz w:val="21"/>
          <w:szCs w:val="22"/>
          <w:highlight w:val="none"/>
          <w:lang w:val="en-US" w:eastAsia="zh-CN" w:bidi="ar-SA"/>
        </w:rPr>
        <w:t>排放种类及排放底数</w:t>
      </w:r>
      <w:r>
        <w:rPr>
          <w:rFonts w:hint="default" w:ascii="Times New Roman" w:hAnsi="Times New Roman" w:eastAsia="宋体" w:cs="Times New Roman"/>
          <w:b w:val="0"/>
          <w:kern w:val="2"/>
          <w:sz w:val="21"/>
          <w:szCs w:val="22"/>
          <w:highlight w:val="none"/>
          <w:lang w:val="en-US" w:eastAsia="zh-CN" w:bidi="ar-SA"/>
        </w:rPr>
        <w:t>。</w:t>
      </w:r>
    </w:p>
    <w:p>
      <w:pPr>
        <w:pStyle w:val="145"/>
        <w:numPr>
          <w:ilvl w:val="255"/>
          <w:numId w:val="0"/>
        </w:numPr>
        <w:spacing w:line="560" w:lineRule="exact"/>
        <w:ind w:firstLine="420" w:firstLineChars="20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2、建立电镀行业风险源清单</w:t>
      </w:r>
    </w:p>
    <w:p>
      <w:pPr>
        <w:ind w:firstLine="64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参照《化学物质环境与健康危害评估技术导则（试行）》、《化学物质环境与健康暴露评估技术导则（试行）》、《化学物质环境与健康风险表征技术导则（试行）》等技术文件，提出电镀行业具体的全氟化合物</w:t>
      </w:r>
      <w:r>
        <w:rPr>
          <w:rFonts w:hint="eastAsia" w:cs="Times New Roman"/>
          <w:b w:val="0"/>
          <w:kern w:val="2"/>
          <w:sz w:val="21"/>
          <w:szCs w:val="22"/>
          <w:highlight w:val="none"/>
          <w:lang w:val="en-US" w:eastAsia="zh-CN" w:bidi="ar-SA"/>
        </w:rPr>
        <w:t>重点管控企业清单及</w:t>
      </w:r>
      <w:r>
        <w:rPr>
          <w:rFonts w:hint="default" w:ascii="Times New Roman" w:hAnsi="Times New Roman" w:eastAsia="宋体" w:cs="Times New Roman"/>
          <w:b w:val="0"/>
          <w:kern w:val="2"/>
          <w:sz w:val="21"/>
          <w:szCs w:val="22"/>
          <w:highlight w:val="none"/>
          <w:lang w:val="en-US" w:eastAsia="zh-CN" w:bidi="ar-SA"/>
        </w:rPr>
        <w:t>管控物质清单。</w:t>
      </w:r>
    </w:p>
    <w:p>
      <w:pPr>
        <w:pStyle w:val="145"/>
        <w:numPr>
          <w:ilvl w:val="255"/>
          <w:numId w:val="0"/>
        </w:numPr>
        <w:spacing w:line="560" w:lineRule="exact"/>
        <w:ind w:firstLine="420" w:firstLineChars="20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3、加强电镀行业涉全氟化合物管控机制建设</w:t>
      </w:r>
    </w:p>
    <w:p>
      <w:pPr>
        <w:overflowPunct w:val="0"/>
        <w:ind w:firstLine="643"/>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（1）提出电镀行业涉全氟化合物数据报备制度</w:t>
      </w:r>
    </w:p>
    <w:p>
      <w:pPr>
        <w:ind w:firstLine="64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提出涉全氟化合物项目报备管理要求建议，阐述全氟化合物对环境、生态和健康的潜在影响，列出具体的污染防治措施、监测和管理计划。</w:t>
      </w:r>
    </w:p>
    <w:p>
      <w:pPr>
        <w:overflowPunct w:val="0"/>
        <w:ind w:firstLine="643"/>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（2）提出排污许可涉全氟化合物管控建议</w:t>
      </w:r>
    </w:p>
    <w:p>
      <w:pPr>
        <w:ind w:firstLine="64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按照</w:t>
      </w:r>
      <w:r>
        <w:rPr>
          <w:rFonts w:hint="eastAsia" w:ascii="Times New Roman" w:hAnsi="Times New Roman" w:eastAsia="宋体" w:cs="Times New Roman"/>
          <w:b w:val="0"/>
          <w:kern w:val="2"/>
          <w:sz w:val="21"/>
          <w:szCs w:val="22"/>
          <w:highlight w:val="none"/>
          <w:lang w:val="en-US" w:eastAsia="zh-CN" w:bidi="ar-SA"/>
        </w:rPr>
        <w:t>现在已有的管理制度</w:t>
      </w:r>
      <w:r>
        <w:rPr>
          <w:rFonts w:hint="default" w:ascii="Times New Roman" w:hAnsi="Times New Roman" w:eastAsia="宋体" w:cs="Times New Roman"/>
          <w:b w:val="0"/>
          <w:kern w:val="2"/>
          <w:sz w:val="21"/>
          <w:szCs w:val="22"/>
          <w:highlight w:val="none"/>
          <w:lang w:val="en-US" w:eastAsia="zh-CN" w:bidi="ar-SA"/>
        </w:rPr>
        <w:t>文件要求，结合电镀行业全氟化合物管控物质清单及其污染防治措施，对电镀行业全氟化合物纳入排污许可管理提出建议。</w:t>
      </w:r>
    </w:p>
    <w:p>
      <w:pPr>
        <w:overflowPunct w:val="0"/>
        <w:ind w:firstLine="643"/>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（3）提出电镀行业全氟化合物清洁生产建议</w:t>
      </w:r>
    </w:p>
    <w:p>
      <w:pPr>
        <w:ind w:firstLine="64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在源头管控方面，探索制定电镀行业铬雾抑制剂等涉全氟化合物的原辅料采购使用管控措施，并明确相关报备程序的实施流程。在生产过程方面，鼓励企业对镀铬生产线开展全封闭等有效减少铬雾产生的技术升级改造。</w:t>
      </w:r>
    </w:p>
    <w:p>
      <w:pPr>
        <w:pStyle w:val="145"/>
        <w:numPr>
          <w:ilvl w:val="255"/>
          <w:numId w:val="0"/>
        </w:numPr>
        <w:spacing w:line="560" w:lineRule="exact"/>
        <w:ind w:firstLine="56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（4）探索电镀园区涉全氟化合物化学品替代途径</w:t>
      </w:r>
    </w:p>
    <w:p>
      <w:pPr>
        <w:ind w:firstLine="640"/>
        <w:rPr>
          <w:rFonts w:hint="default" w:ascii="Times New Roman" w:hAnsi="Times New Roman" w:eastAsia="宋体" w:cs="Times New Roman"/>
          <w:b w:val="0"/>
          <w:kern w:val="2"/>
          <w:sz w:val="21"/>
          <w:szCs w:val="22"/>
          <w:highlight w:val="none"/>
          <w:lang w:val="en-US" w:eastAsia="zh-CN" w:bidi="ar-SA"/>
        </w:rPr>
      </w:pPr>
      <w:r>
        <w:rPr>
          <w:rFonts w:hint="default" w:ascii="Times New Roman" w:hAnsi="Times New Roman" w:eastAsia="宋体" w:cs="Times New Roman"/>
          <w:b w:val="0"/>
          <w:kern w:val="2"/>
          <w:sz w:val="21"/>
          <w:szCs w:val="22"/>
          <w:highlight w:val="none"/>
          <w:lang w:val="en-US" w:eastAsia="zh-CN" w:bidi="ar-SA"/>
        </w:rPr>
        <w:t>参考《优先评估化学物质筛选技术导则》（HJ 1229-2021）等国内外资料，根据区域内全氟化合物等重点污染物，全面收集涉全氟化合物化学物质的危害、暴露等数据，并根据电镀行业涉全氟化合物化学品使用情况，统筹经济效益与环境效应，探索源头非全氟化合物替代途径。</w:t>
      </w:r>
    </w:p>
    <w:p>
      <w:pPr>
        <w:ind w:firstLine="640"/>
        <w:rPr>
          <w:rFonts w:hint="default" w:ascii="Times New Roman" w:hAnsi="Times New Roman" w:eastAsia="宋体" w:cs="Times New Roman"/>
          <w:b w:val="0"/>
          <w:kern w:val="2"/>
          <w:sz w:val="21"/>
          <w:szCs w:val="22"/>
          <w:highlight w:val="none"/>
          <w:lang w:val="en-US" w:eastAsia="zh-CN" w:bidi="ar-SA"/>
        </w:rPr>
      </w:pPr>
    </w:p>
    <w:p>
      <w:pPr>
        <w:numPr>
          <w:ilvl w:val="0"/>
          <w:numId w:val="11"/>
        </w:numPr>
        <w:ind w:firstLine="640"/>
        <w:rPr>
          <w:rFonts w:hint="eastAsia" w:cs="Times New Roman"/>
          <w:b w:val="0"/>
          <w:color w:val="0000FF"/>
          <w:kern w:val="2"/>
          <w:sz w:val="21"/>
          <w:szCs w:val="22"/>
          <w:highlight w:val="none"/>
          <w:lang w:val="en-US" w:eastAsia="zh-CN" w:bidi="ar-SA"/>
        </w:rPr>
      </w:pPr>
      <w:r>
        <w:rPr>
          <w:rFonts w:hint="eastAsia" w:cs="Times New Roman"/>
          <w:b w:val="0"/>
          <w:color w:val="0000FF"/>
          <w:kern w:val="2"/>
          <w:sz w:val="21"/>
          <w:szCs w:val="22"/>
          <w:highlight w:val="none"/>
          <w:lang w:val="en-US" w:eastAsia="zh-CN" w:bidi="ar-SA"/>
        </w:rPr>
        <w:t>试点成果提炼与宣传</w:t>
      </w:r>
    </w:p>
    <w:p>
      <w:pPr>
        <w:ind w:firstLine="640"/>
        <w:rPr>
          <w:rFonts w:hint="default" w:ascii="Times New Roman" w:hAnsi="Times New Roman" w:cs="Times New Roman"/>
          <w:color w:val="0000FF"/>
          <w:highlight w:val="none"/>
        </w:rPr>
      </w:pPr>
      <w:r>
        <w:rPr>
          <w:rFonts w:hint="eastAsia" w:cs="Times New Roman"/>
          <w:b w:val="0"/>
          <w:color w:val="0000FF"/>
          <w:kern w:val="2"/>
          <w:sz w:val="21"/>
          <w:szCs w:val="22"/>
          <w:highlight w:val="none"/>
          <w:lang w:val="en-US" w:eastAsia="zh-CN" w:bidi="ar-SA"/>
        </w:rPr>
        <w:t xml:space="preserve"> 完成</w:t>
      </w:r>
      <w:r>
        <w:rPr>
          <w:rFonts w:hint="default" w:ascii="Times New Roman" w:hAnsi="Times New Roman" w:cs="Times New Roman"/>
          <w:color w:val="0000FF"/>
          <w:highlight w:val="none"/>
        </w:rPr>
        <w:t>项目验收，提炼创新成果，最终将本试点项目形成的电镀行业新污染物治理与全链条监管体系进行示范推广。</w:t>
      </w:r>
    </w:p>
    <w:p>
      <w:pPr>
        <w:numPr>
          <w:ilvl w:val="0"/>
          <w:numId w:val="0"/>
        </w:numPr>
        <w:rPr>
          <w:rFonts w:hint="default" w:cs="Times New Roman"/>
          <w:b w:val="0"/>
          <w:kern w:val="2"/>
          <w:sz w:val="21"/>
          <w:szCs w:val="22"/>
          <w:highlight w:val="none"/>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val="0"/>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进度要求</w:t>
      </w:r>
    </w:p>
    <w:p>
      <w:pPr>
        <w:numPr>
          <w:ilvl w:val="0"/>
          <w:numId w:val="12"/>
        </w:numPr>
        <w:ind w:firstLine="643"/>
        <w:rPr>
          <w:rFonts w:hint="default" w:ascii="Times New Roman" w:hAnsi="Times New Roman" w:eastAsia="宋体" w:cs="Times New Roman"/>
          <w:b w:val="0"/>
          <w:bCs w:val="0"/>
          <w:kern w:val="2"/>
          <w:sz w:val="21"/>
          <w:szCs w:val="22"/>
          <w:highlight w:val="none"/>
          <w:shd w:val="clear"/>
          <w:lang w:val="en-US" w:eastAsia="zh-CN" w:bidi="ar-SA"/>
        </w:rPr>
      </w:pPr>
      <w:r>
        <w:rPr>
          <w:rFonts w:hint="eastAsia" w:ascii="Times New Roman" w:hAnsi="Times New Roman" w:eastAsia="宋体" w:cs="Times New Roman"/>
          <w:b w:val="0"/>
          <w:bCs w:val="0"/>
          <w:kern w:val="2"/>
          <w:sz w:val="21"/>
          <w:szCs w:val="22"/>
          <w:highlight w:val="none"/>
          <w:shd w:val="clear"/>
          <w:lang w:val="en-US" w:eastAsia="zh-CN" w:bidi="ar-SA"/>
        </w:rPr>
        <w:t>时间节点：</w:t>
      </w:r>
      <w:r>
        <w:rPr>
          <w:rFonts w:hint="default" w:ascii="Times New Roman" w:hAnsi="Times New Roman" w:eastAsia="宋体" w:cs="Times New Roman"/>
          <w:b w:val="0"/>
          <w:bCs w:val="0"/>
          <w:kern w:val="2"/>
          <w:sz w:val="21"/>
          <w:szCs w:val="22"/>
          <w:highlight w:val="none"/>
          <w:shd w:val="clear"/>
          <w:lang w:val="en-US" w:eastAsia="zh-CN" w:bidi="ar-SA"/>
        </w:rPr>
        <w:t>2025年</w:t>
      </w:r>
      <w:r>
        <w:rPr>
          <w:rFonts w:hint="eastAsia" w:cs="Times New Roman"/>
          <w:b w:val="0"/>
          <w:bCs w:val="0"/>
          <w:kern w:val="2"/>
          <w:sz w:val="21"/>
          <w:szCs w:val="22"/>
          <w:highlight w:val="none"/>
          <w:shd w:val="clear"/>
          <w:lang w:val="en-US" w:eastAsia="zh-CN" w:bidi="ar-SA"/>
        </w:rPr>
        <w:t>3</w:t>
      </w:r>
      <w:r>
        <w:rPr>
          <w:rFonts w:hint="default" w:ascii="Times New Roman" w:hAnsi="Times New Roman" w:eastAsia="宋体" w:cs="Times New Roman"/>
          <w:b w:val="0"/>
          <w:bCs w:val="0"/>
          <w:kern w:val="2"/>
          <w:sz w:val="21"/>
          <w:szCs w:val="22"/>
          <w:highlight w:val="none"/>
          <w:shd w:val="clear"/>
          <w:lang w:val="en-US" w:eastAsia="zh-CN" w:bidi="ar-SA"/>
        </w:rPr>
        <w:t>月-2025年</w:t>
      </w:r>
      <w:r>
        <w:rPr>
          <w:rFonts w:hint="eastAsia" w:cs="Times New Roman"/>
          <w:b w:val="0"/>
          <w:bCs w:val="0"/>
          <w:kern w:val="2"/>
          <w:sz w:val="21"/>
          <w:szCs w:val="22"/>
          <w:highlight w:val="none"/>
          <w:shd w:val="clear"/>
          <w:lang w:val="en-US" w:eastAsia="zh-CN" w:bidi="ar-SA"/>
        </w:rPr>
        <w:t>10</w:t>
      </w:r>
      <w:r>
        <w:rPr>
          <w:rFonts w:hint="default" w:ascii="Times New Roman" w:hAnsi="Times New Roman" w:eastAsia="宋体" w:cs="Times New Roman"/>
          <w:b w:val="0"/>
          <w:bCs w:val="0"/>
          <w:kern w:val="2"/>
          <w:sz w:val="21"/>
          <w:szCs w:val="22"/>
          <w:highlight w:val="none"/>
          <w:shd w:val="clear"/>
          <w:lang w:val="en-US" w:eastAsia="zh-CN" w:bidi="ar-SA"/>
        </w:rPr>
        <w:t>月</w:t>
      </w:r>
    </w:p>
    <w:p>
      <w:pPr>
        <w:numPr>
          <w:ilvl w:val="0"/>
          <w:numId w:val="12"/>
        </w:numPr>
        <w:ind w:left="0" w:leftChars="0" w:firstLine="643" w:firstLineChars="0"/>
        <w:rPr>
          <w:rFonts w:hint="eastAsia" w:ascii="Times New Roman" w:hAnsi="Times New Roman" w:eastAsia="宋体" w:cs="Times New Roman"/>
          <w:b w:val="0"/>
          <w:bCs w:val="0"/>
          <w:kern w:val="2"/>
          <w:sz w:val="21"/>
          <w:szCs w:val="22"/>
          <w:highlight w:val="none"/>
          <w:shd w:val="clear"/>
          <w:lang w:val="en-US" w:eastAsia="zh-CN" w:bidi="ar-SA"/>
        </w:rPr>
      </w:pPr>
      <w:r>
        <w:rPr>
          <w:rFonts w:hint="eastAsia" w:ascii="Times New Roman" w:hAnsi="Times New Roman" w:eastAsia="宋体" w:cs="Times New Roman"/>
          <w:b w:val="0"/>
          <w:bCs w:val="0"/>
          <w:kern w:val="2"/>
          <w:sz w:val="21"/>
          <w:szCs w:val="22"/>
          <w:highlight w:val="none"/>
          <w:shd w:val="clear"/>
          <w:lang w:val="en-US" w:eastAsia="zh-CN" w:bidi="ar-SA"/>
        </w:rPr>
        <w:t>成果报告</w:t>
      </w:r>
    </w:p>
    <w:p>
      <w:pPr>
        <w:numPr>
          <w:ilvl w:val="0"/>
          <w:numId w:val="13"/>
        </w:numPr>
        <w:ind w:left="425" w:leftChars="0" w:hanging="425" w:firstLineChars="0"/>
        <w:rPr>
          <w:rFonts w:hint="default" w:ascii="Times New Roman" w:hAnsi="Times New Roman" w:eastAsia="宋体" w:cs="Times New Roman"/>
          <w:b w:val="0"/>
          <w:bCs w:val="0"/>
          <w:kern w:val="2"/>
          <w:sz w:val="21"/>
          <w:szCs w:val="22"/>
          <w:highlight w:val="none"/>
          <w:shd w:val="clear"/>
          <w:lang w:val="en-US" w:eastAsia="zh-CN" w:bidi="ar-SA"/>
        </w:rPr>
      </w:pPr>
      <w:r>
        <w:rPr>
          <w:rFonts w:hint="eastAsia" w:cs="Times New Roman"/>
          <w:b w:val="0"/>
          <w:bCs w:val="0"/>
          <w:kern w:val="2"/>
          <w:sz w:val="21"/>
          <w:szCs w:val="22"/>
          <w:highlight w:val="none"/>
          <w:shd w:val="clear"/>
          <w:lang w:val="en-US" w:eastAsia="zh-CN" w:bidi="ar-SA"/>
        </w:rPr>
        <w:t>2025年5月底前，</w:t>
      </w:r>
      <w:r>
        <w:rPr>
          <w:rFonts w:hint="default" w:ascii="Times New Roman" w:hAnsi="Times New Roman" w:eastAsia="宋体" w:cs="Times New Roman"/>
          <w:b w:val="0"/>
          <w:bCs w:val="0"/>
          <w:kern w:val="2"/>
          <w:sz w:val="21"/>
          <w:szCs w:val="22"/>
          <w:highlight w:val="none"/>
          <w:shd w:val="clear"/>
          <w:lang w:val="en-US" w:eastAsia="zh-CN" w:bidi="ar-SA"/>
        </w:rPr>
        <w:t>开展电镀行业新污染物调查与监测，编制《瓯海区电镀行业新污染物现状分析报告》；</w:t>
      </w:r>
    </w:p>
    <w:p>
      <w:pPr>
        <w:numPr>
          <w:ilvl w:val="0"/>
          <w:numId w:val="13"/>
        </w:numPr>
        <w:ind w:left="425" w:leftChars="0" w:hanging="425" w:firstLineChars="0"/>
        <w:rPr>
          <w:rFonts w:hint="default" w:ascii="Times New Roman" w:hAnsi="Times New Roman" w:eastAsia="宋体" w:cs="Times New Roman"/>
          <w:b w:val="0"/>
          <w:bCs w:val="0"/>
          <w:kern w:val="2"/>
          <w:sz w:val="21"/>
          <w:szCs w:val="22"/>
          <w:highlight w:val="none"/>
          <w:shd w:val="clear"/>
          <w:lang w:val="en-US" w:eastAsia="zh-CN" w:bidi="ar-SA"/>
        </w:rPr>
      </w:pPr>
      <w:r>
        <w:rPr>
          <w:rFonts w:hint="eastAsia" w:cs="Times New Roman"/>
          <w:b w:val="0"/>
          <w:bCs w:val="0"/>
          <w:kern w:val="2"/>
          <w:sz w:val="21"/>
          <w:szCs w:val="22"/>
          <w:highlight w:val="none"/>
          <w:shd w:val="clear"/>
          <w:lang w:val="en-US" w:eastAsia="zh-CN" w:bidi="ar-SA"/>
        </w:rPr>
        <w:t>2025年7月底前，</w:t>
      </w:r>
      <w:r>
        <w:rPr>
          <w:rFonts w:hint="default" w:ascii="Times New Roman" w:hAnsi="Times New Roman" w:eastAsia="宋体" w:cs="Times New Roman"/>
          <w:b w:val="0"/>
          <w:bCs w:val="0"/>
          <w:kern w:val="2"/>
          <w:sz w:val="21"/>
          <w:szCs w:val="22"/>
          <w:highlight w:val="none"/>
          <w:shd w:val="clear"/>
          <w:lang w:val="en-US" w:eastAsia="zh-CN" w:bidi="ar-SA"/>
        </w:rPr>
        <w:t>编制《瓯海区电镀行业全氟化合物风险评估报告》</w:t>
      </w:r>
      <w:r>
        <w:rPr>
          <w:rFonts w:hint="eastAsia" w:cs="Times New Roman"/>
          <w:b w:val="0"/>
          <w:bCs w:val="0"/>
          <w:kern w:val="2"/>
          <w:sz w:val="21"/>
          <w:szCs w:val="22"/>
          <w:highlight w:val="none"/>
          <w:shd w:val="clear"/>
          <w:lang w:val="en-US" w:eastAsia="zh-CN" w:bidi="ar-SA"/>
        </w:rPr>
        <w:t>，</w:t>
      </w:r>
      <w:r>
        <w:rPr>
          <w:rFonts w:hint="default" w:ascii="Times New Roman" w:hAnsi="Times New Roman" w:eastAsia="宋体" w:cs="Times New Roman"/>
          <w:b w:val="0"/>
          <w:bCs w:val="0"/>
          <w:kern w:val="2"/>
          <w:sz w:val="21"/>
          <w:szCs w:val="22"/>
          <w:highlight w:val="none"/>
          <w:shd w:val="clear"/>
          <w:lang w:val="en-US" w:eastAsia="zh-CN" w:bidi="ar-SA"/>
        </w:rPr>
        <w:t>制定《瓯海电镀园区全氟化合物全链条监管体系》</w:t>
      </w:r>
      <w:r>
        <w:rPr>
          <w:rFonts w:hint="eastAsia" w:eastAsia="宋体" w:cs="Times New Roman"/>
          <w:b w:val="0"/>
          <w:bCs w:val="0"/>
          <w:kern w:val="2"/>
          <w:sz w:val="21"/>
          <w:szCs w:val="22"/>
          <w:highlight w:val="none"/>
          <w:shd w:val="clear"/>
          <w:lang w:val="en-US" w:eastAsia="zh-CN" w:bidi="ar-SA"/>
        </w:rPr>
        <w:t>；</w:t>
      </w:r>
    </w:p>
    <w:p>
      <w:pPr>
        <w:numPr>
          <w:ilvl w:val="0"/>
          <w:numId w:val="13"/>
        </w:numPr>
        <w:ind w:left="425" w:leftChars="0" w:hanging="425" w:firstLineChars="0"/>
        <w:rPr>
          <w:rFonts w:hint="default" w:ascii="Times New Roman" w:hAnsi="Times New Roman" w:eastAsia="宋体" w:cs="Times New Roman"/>
          <w:b w:val="0"/>
          <w:bCs w:val="0"/>
          <w:kern w:val="2"/>
          <w:sz w:val="21"/>
          <w:szCs w:val="22"/>
          <w:highlight w:val="none"/>
          <w:shd w:val="clear"/>
          <w:lang w:val="en-US" w:eastAsia="zh-CN" w:bidi="ar-SA"/>
        </w:rPr>
      </w:pPr>
      <w:r>
        <w:rPr>
          <w:rFonts w:hint="eastAsia" w:cs="Times New Roman"/>
          <w:b w:val="0"/>
          <w:bCs w:val="0"/>
          <w:kern w:val="2"/>
          <w:sz w:val="21"/>
          <w:szCs w:val="22"/>
          <w:highlight w:val="none"/>
          <w:shd w:val="clear"/>
          <w:lang w:val="en-US" w:eastAsia="zh-CN" w:bidi="ar-SA"/>
        </w:rPr>
        <w:t>2025年8月初，</w:t>
      </w:r>
      <w:r>
        <w:rPr>
          <w:rFonts w:hint="default" w:ascii="Times New Roman" w:hAnsi="Times New Roman" w:eastAsia="宋体" w:cs="Times New Roman"/>
          <w:b w:val="0"/>
          <w:bCs w:val="0"/>
          <w:kern w:val="2"/>
          <w:sz w:val="21"/>
          <w:szCs w:val="22"/>
          <w:highlight w:val="none"/>
          <w:shd w:val="clear"/>
          <w:lang w:val="en-US" w:eastAsia="zh-CN" w:bidi="ar-SA"/>
        </w:rPr>
        <w:t>选取典型企业开展</w:t>
      </w:r>
      <w:r>
        <w:rPr>
          <w:rFonts w:hint="eastAsia" w:cs="Times New Roman"/>
          <w:b w:val="0"/>
          <w:bCs w:val="0"/>
          <w:kern w:val="2"/>
          <w:sz w:val="21"/>
          <w:szCs w:val="22"/>
          <w:highlight w:val="none"/>
          <w:shd w:val="clear"/>
          <w:lang w:val="en-US" w:eastAsia="zh-CN" w:bidi="ar-SA"/>
        </w:rPr>
        <w:t>全氟化合物全链条监管体系实践；</w:t>
      </w:r>
    </w:p>
    <w:p>
      <w:pPr>
        <w:numPr>
          <w:ilvl w:val="0"/>
          <w:numId w:val="13"/>
        </w:numPr>
        <w:ind w:left="425" w:leftChars="0" w:hanging="425" w:firstLineChars="0"/>
        <w:rPr>
          <w:rFonts w:hint="default" w:ascii="Times New Roman" w:hAnsi="Times New Roman" w:eastAsia="宋体" w:cs="Times New Roman"/>
          <w:b w:val="0"/>
          <w:bCs w:val="0"/>
          <w:color w:val="0000FF"/>
          <w:kern w:val="2"/>
          <w:sz w:val="21"/>
          <w:szCs w:val="22"/>
          <w:highlight w:val="none"/>
          <w:shd w:val="clear"/>
          <w:lang w:val="en-US" w:eastAsia="zh-CN" w:bidi="ar-SA"/>
        </w:rPr>
      </w:pPr>
      <w:r>
        <w:rPr>
          <w:rFonts w:hint="eastAsia" w:cs="Times New Roman"/>
          <w:b w:val="0"/>
          <w:bCs w:val="0"/>
          <w:color w:val="0000FF"/>
          <w:kern w:val="2"/>
          <w:sz w:val="21"/>
          <w:szCs w:val="22"/>
          <w:highlight w:val="none"/>
          <w:shd w:val="clear"/>
          <w:lang w:val="en-US" w:eastAsia="zh-CN" w:bidi="ar-SA"/>
        </w:rPr>
        <w:t>2025年9月底前，完成典型企业新污染物全氟化合物管控成效评估，提炼典型案例。</w:t>
      </w:r>
    </w:p>
    <w:p>
      <w:pPr>
        <w:numPr>
          <w:ilvl w:val="0"/>
          <w:numId w:val="12"/>
        </w:numPr>
        <w:ind w:left="0" w:leftChars="0" w:firstLine="643" w:firstLineChars="0"/>
        <w:rPr>
          <w:rFonts w:hint="eastAsia" w:ascii="Times New Roman" w:hAnsi="Times New Roman" w:eastAsia="宋体" w:cs="Times New Roman"/>
          <w:b w:val="0"/>
          <w:bCs w:val="0"/>
          <w:kern w:val="2"/>
          <w:sz w:val="21"/>
          <w:szCs w:val="22"/>
          <w:highlight w:val="none"/>
          <w:shd w:val="clear"/>
          <w:lang w:val="en-US" w:eastAsia="zh-CN" w:bidi="ar-SA"/>
        </w:rPr>
      </w:pPr>
      <w:r>
        <w:rPr>
          <w:rFonts w:hint="eastAsia" w:ascii="Times New Roman" w:hAnsi="Times New Roman" w:eastAsia="宋体" w:cs="Times New Roman"/>
          <w:b w:val="0"/>
          <w:bCs w:val="0"/>
          <w:kern w:val="2"/>
          <w:sz w:val="21"/>
          <w:szCs w:val="22"/>
          <w:highlight w:val="none"/>
          <w:shd w:val="clear"/>
          <w:lang w:val="en-US" w:eastAsia="zh-CN" w:bidi="ar-SA"/>
        </w:rPr>
        <w:t>成果验收</w:t>
      </w:r>
    </w:p>
    <w:p>
      <w:pPr>
        <w:numPr>
          <w:ilvl w:val="0"/>
          <w:numId w:val="0"/>
        </w:numPr>
        <w:ind w:left="643" w:leftChars="0"/>
        <w:rPr>
          <w:rFonts w:hint="default" w:ascii="Times New Roman" w:hAnsi="Times New Roman" w:eastAsia="宋体" w:cs="Times New Roman"/>
          <w:b w:val="0"/>
          <w:bCs w:val="0"/>
          <w:kern w:val="2"/>
          <w:sz w:val="21"/>
          <w:szCs w:val="22"/>
          <w:highlight w:val="none"/>
          <w:shd w:val="clear"/>
          <w:lang w:val="en-US" w:eastAsia="zh-CN" w:bidi="ar-SA"/>
        </w:rPr>
      </w:pPr>
      <w:r>
        <w:rPr>
          <w:rFonts w:hint="eastAsia" w:ascii="Times New Roman" w:hAnsi="Times New Roman" w:eastAsia="宋体" w:cs="Times New Roman"/>
          <w:b w:val="0"/>
          <w:bCs w:val="0"/>
          <w:kern w:val="2"/>
          <w:sz w:val="21"/>
          <w:szCs w:val="22"/>
          <w:highlight w:val="none"/>
          <w:shd w:val="clear"/>
          <w:lang w:val="en-US" w:eastAsia="zh-CN" w:bidi="ar-SA"/>
        </w:rPr>
        <w:t>（1）时间：</w:t>
      </w:r>
      <w:r>
        <w:rPr>
          <w:rFonts w:hint="default" w:ascii="Times New Roman" w:hAnsi="Times New Roman" w:eastAsia="宋体" w:cs="Times New Roman"/>
          <w:b w:val="0"/>
          <w:bCs w:val="0"/>
          <w:kern w:val="2"/>
          <w:sz w:val="21"/>
          <w:szCs w:val="22"/>
          <w:highlight w:val="none"/>
          <w:shd w:val="clear"/>
          <w:lang w:val="en-US" w:eastAsia="zh-CN" w:bidi="ar-SA"/>
        </w:rPr>
        <w:t>2025年10月</w:t>
      </w:r>
    </w:p>
    <w:p>
      <w:pPr>
        <w:ind w:firstLine="640"/>
        <w:rPr>
          <w:rFonts w:hint="default" w:ascii="Times New Roman" w:hAnsi="Times New Roman" w:eastAsia="宋体" w:cs="Times New Roman"/>
          <w:b w:val="0"/>
          <w:bCs w:val="0"/>
          <w:kern w:val="2"/>
          <w:sz w:val="21"/>
          <w:szCs w:val="22"/>
          <w:highlight w:val="none"/>
          <w:shd w:val="clear"/>
          <w:lang w:val="en-US" w:eastAsia="zh-CN" w:bidi="ar-SA"/>
        </w:rPr>
      </w:pPr>
      <w:r>
        <w:rPr>
          <w:rFonts w:hint="eastAsia" w:ascii="Times New Roman" w:hAnsi="Times New Roman" w:eastAsia="宋体" w:cs="Times New Roman"/>
          <w:b w:val="0"/>
          <w:bCs w:val="0"/>
          <w:kern w:val="2"/>
          <w:sz w:val="21"/>
          <w:szCs w:val="22"/>
          <w:highlight w:val="none"/>
          <w:shd w:val="clear"/>
          <w:lang w:val="en-US" w:eastAsia="zh-CN" w:bidi="ar-SA"/>
        </w:rPr>
        <w:t>（2）验收要求：</w:t>
      </w:r>
      <w:r>
        <w:rPr>
          <w:rFonts w:hint="default" w:ascii="Times New Roman" w:hAnsi="Times New Roman" w:eastAsia="宋体" w:cs="Times New Roman"/>
          <w:b w:val="0"/>
          <w:bCs w:val="0"/>
          <w:kern w:val="2"/>
          <w:sz w:val="21"/>
          <w:szCs w:val="22"/>
          <w:highlight w:val="none"/>
          <w:shd w:val="clear"/>
          <w:lang w:val="en-US" w:eastAsia="zh-CN" w:bidi="ar-SA"/>
        </w:rPr>
        <w:t>提交项目验收申请，组织验收评审会，提炼创新成果，最终将本试点项目形成的电镀行业新污染物治理与全链条监管体系进行示范推广。</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200"/>
        <w:textAlignment w:val="auto"/>
        <w:rPr>
          <w:rFonts w:hint="eastAsia" w:ascii="宋体" w:hAnsi="宋体" w:eastAsia="宋体" w:cs="宋体"/>
          <w:b/>
          <w:bCs/>
          <w:color w:val="auto"/>
          <w:sz w:val="21"/>
          <w:szCs w:val="21"/>
          <w:highlight w:val="none"/>
          <w:lang w:val="en-US" w:eastAsia="zh-CN" w:bidi="ar-SA"/>
        </w:rPr>
      </w:pPr>
    </w:p>
    <w:p>
      <w:pPr>
        <w:pStyle w:val="92"/>
        <w:keepNext w:val="0"/>
        <w:keepLines w:val="0"/>
        <w:pageBreakBefore w:val="0"/>
        <w:widowControl w:val="0"/>
        <w:numPr>
          <w:ilvl w:val="0"/>
          <w:numId w:val="14"/>
        </w:numPr>
        <w:shd w:val="clear" w:color="auto" w:fill="auto"/>
        <w:tabs>
          <w:tab w:val="left" w:pos="927"/>
          <w:tab w:val="left" w:pos="993"/>
        </w:tabs>
        <w:kinsoku/>
        <w:wordWrap/>
        <w:overflowPunct/>
        <w:topLinePunct w:val="0"/>
        <w:autoSpaceDE/>
        <w:autoSpaceDN/>
        <w:bidi w:val="0"/>
        <w:adjustRightInd/>
        <w:snapToGrid w:val="0"/>
        <w:spacing w:line="400" w:lineRule="exact"/>
        <w:ind w:left="0" w:leftChars="0" w:firstLine="0" w:firstLineChars="0"/>
        <w:jc w:val="center"/>
        <w:textAlignment w:val="auto"/>
        <w:outlineLvl w:val="1"/>
        <w:rPr>
          <w:rFonts w:hint="eastAsia" w:ascii="Arial" w:hAnsi="Arial" w:eastAsia="宋体" w:cs="Arial"/>
          <w:b/>
          <w:color w:val="auto"/>
          <w:sz w:val="24"/>
          <w:szCs w:val="24"/>
          <w:highlight w:val="none"/>
          <w:lang w:val="en-US" w:eastAsia="zh-CN"/>
        </w:rPr>
      </w:pPr>
      <w:bookmarkStart w:id="240" w:name="_Toc13495"/>
      <w:bookmarkStart w:id="241" w:name="_Toc6725"/>
      <w:bookmarkStart w:id="242" w:name="_Toc5620"/>
      <w:bookmarkStart w:id="243" w:name="_Toc6510"/>
      <w:bookmarkStart w:id="244" w:name="_Toc19644"/>
      <w:r>
        <w:rPr>
          <w:rFonts w:hint="eastAsia" w:ascii="Arial" w:hAnsi="Arial" w:eastAsia="宋体" w:cs="Arial"/>
          <w:b/>
          <w:color w:val="auto"/>
          <w:sz w:val="24"/>
          <w:szCs w:val="24"/>
          <w:highlight w:val="none"/>
          <w:lang w:val="en-US" w:eastAsia="zh-CN"/>
        </w:rPr>
        <w:t>商务要求</w:t>
      </w:r>
      <w:bookmarkEnd w:id="240"/>
      <w:bookmarkEnd w:id="241"/>
      <w:bookmarkEnd w:id="242"/>
      <w:bookmarkEnd w:id="243"/>
      <w:bookmarkEnd w:id="244"/>
    </w:p>
    <w:p>
      <w:pPr>
        <w:keepNext w:val="0"/>
        <w:keepLines w:val="0"/>
        <w:pageBreakBefore w:val="0"/>
        <w:widowControl w:val="0"/>
        <w:numPr>
          <w:ilvl w:val="0"/>
          <w:numId w:val="15"/>
        </w:numPr>
        <w:kinsoku/>
        <w:wordWrap/>
        <w:overflowPunct/>
        <w:topLinePunct w:val="0"/>
        <w:autoSpaceDE/>
        <w:autoSpaceDN/>
        <w:bidi w:val="0"/>
        <w:snapToGrid w:val="0"/>
        <w:spacing w:line="400" w:lineRule="exact"/>
        <w:ind w:left="0" w:leftChars="0" w:firstLine="422" w:firstLineChars="200"/>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服务期限：</w:t>
      </w:r>
      <w:r>
        <w:rPr>
          <w:rFonts w:hint="eastAsia" w:ascii="宋体" w:hAnsi="宋体" w:eastAsia="宋体" w:cs="Times New Roman"/>
          <w:color w:val="auto"/>
          <w:szCs w:val="21"/>
          <w:highlight w:val="none"/>
        </w:rPr>
        <w:t>自合同生效之日起</w:t>
      </w:r>
      <w:r>
        <w:rPr>
          <w:rFonts w:hint="eastAsia" w:ascii="宋体" w:hAnsi="宋体" w:eastAsia="宋体" w:cs="Times New Roman"/>
          <w:color w:val="auto"/>
          <w:szCs w:val="21"/>
          <w:highlight w:val="none"/>
          <w:lang w:val="en-US" w:eastAsia="zh-CN"/>
        </w:rPr>
        <w:t>至</w:t>
      </w:r>
      <w:r>
        <w:rPr>
          <w:rFonts w:hint="eastAsia" w:ascii="宋体" w:hAnsi="宋体" w:eastAsia="宋体" w:cs="宋体"/>
          <w:color w:val="auto"/>
          <w:sz w:val="21"/>
          <w:szCs w:val="21"/>
          <w:highlight w:val="none"/>
          <w:lang w:eastAsia="zh-CN" w:bidi="ar-SA"/>
        </w:rPr>
        <w:t>上级电镀行业整治验收</w:t>
      </w:r>
      <w:r>
        <w:rPr>
          <w:rFonts w:hint="eastAsia" w:ascii="宋体" w:hAnsi="宋体" w:eastAsia="宋体" w:cs="宋体"/>
          <w:color w:val="auto"/>
          <w:sz w:val="21"/>
          <w:szCs w:val="21"/>
          <w:highlight w:val="none"/>
          <w:lang w:val="en-US" w:eastAsia="zh-CN" w:bidi="ar-SA"/>
        </w:rPr>
        <w:t>通过并向采购人提交所有成果资料之日止。</w:t>
      </w:r>
    </w:p>
    <w:p>
      <w:pPr>
        <w:keepNext w:val="0"/>
        <w:keepLines w:val="0"/>
        <w:pageBreakBefore w:val="0"/>
        <w:widowControl w:val="0"/>
        <w:numPr>
          <w:ilvl w:val="0"/>
          <w:numId w:val="15"/>
        </w:numPr>
        <w:kinsoku/>
        <w:wordWrap/>
        <w:overflowPunct/>
        <w:topLinePunct w:val="0"/>
        <w:autoSpaceDE/>
        <w:autoSpaceDN/>
        <w:bidi w:val="0"/>
        <w:snapToGrid w:val="0"/>
        <w:spacing w:line="400" w:lineRule="exact"/>
        <w:ind w:left="0" w:leftChars="0" w:firstLine="422" w:firstLineChars="200"/>
        <w:textAlignment w:val="auto"/>
        <w:rPr>
          <w:rFonts w:hint="eastAsia" w:ascii="宋体" w:hAnsi="宋体" w:eastAsia="宋体" w:cs="Times New Roman"/>
          <w:b/>
          <w:bCs/>
          <w:color w:val="auto"/>
          <w:szCs w:val="21"/>
          <w:highlight w:val="none"/>
        </w:rPr>
      </w:pPr>
      <w:r>
        <w:rPr>
          <w:rFonts w:hint="eastAsia" w:ascii="Arial" w:hAnsi="Arial" w:eastAsia="宋体" w:cs="Arial"/>
          <w:b/>
          <w:bCs/>
          <w:color w:val="auto"/>
          <w:szCs w:val="21"/>
          <w:highlight w:val="none"/>
          <w:lang w:val="en-US" w:eastAsia="zh-CN"/>
        </w:rPr>
        <w:t>报价要求：</w:t>
      </w:r>
    </w:p>
    <w:p>
      <w:pPr>
        <w:pStyle w:val="12"/>
        <w:pageBreakBefore w:val="0"/>
        <w:numPr>
          <w:ilvl w:val="0"/>
          <w:numId w:val="16"/>
        </w:numPr>
        <w:kinsoku/>
        <w:wordWrap/>
        <w:overflowPunct/>
        <w:topLinePunct w:val="0"/>
        <w:autoSpaceDE/>
        <w:autoSpaceDN/>
        <w:bidi w:val="0"/>
        <w:spacing w:line="400" w:lineRule="exact"/>
        <w:ind w:left="0" w:leftChars="0" w:firstLine="403"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投标报价应为完成全部工作所发生的所有费用，并承担一切风险责任，包括但不限于人员工资（加班费、社保、住房公积金及各种福利等所有相关费用）、税金、利润、管理费用、完成全部工作所发生的相关技术咨询服务费、</w:t>
      </w:r>
      <w:r>
        <w:rPr>
          <w:rFonts w:hint="eastAsia" w:ascii="Times New Roman" w:hAnsi="Times New Roman" w:eastAsia="宋体" w:cs="Times New Roman"/>
          <w:color w:val="0000FF"/>
          <w:kern w:val="2"/>
          <w:sz w:val="21"/>
          <w:szCs w:val="22"/>
          <w:highlight w:val="none"/>
          <w:lang w:val="en-US" w:eastAsia="zh-CN" w:bidi="ar-SA"/>
        </w:rPr>
        <w:t>样品采集与检测分析费用、</w:t>
      </w:r>
      <w:r>
        <w:rPr>
          <w:rFonts w:hint="eastAsia" w:ascii="宋体" w:hAnsi="宋体" w:eastAsia="宋体" w:cs="宋体"/>
          <w:color w:val="auto"/>
          <w:sz w:val="21"/>
          <w:szCs w:val="21"/>
          <w:highlight w:val="none"/>
          <w:lang w:val="en-US" w:eastAsia="zh-CN" w:bidi="ar-SA"/>
        </w:rPr>
        <w:t>专家费用（报告及方案的专家论证、验收费用）</w:t>
      </w:r>
      <w:r>
        <w:rPr>
          <w:rFonts w:hint="eastAsia" w:ascii="宋体" w:hAnsi="宋体" w:cs="宋体"/>
          <w:color w:val="auto"/>
          <w:sz w:val="21"/>
          <w:szCs w:val="21"/>
          <w:highlight w:val="none"/>
          <w:lang w:val="en-US" w:eastAsia="zh-CN" w:bidi="ar-SA"/>
        </w:rPr>
        <w:t>、</w:t>
      </w:r>
      <w:r>
        <w:rPr>
          <w:rFonts w:hint="eastAsia" w:ascii="Times New Roman" w:hAnsi="Times New Roman" w:eastAsia="宋体" w:cs="Times New Roman"/>
          <w:color w:val="0000FF"/>
          <w:kern w:val="2"/>
          <w:sz w:val="21"/>
          <w:szCs w:val="22"/>
          <w:highlight w:val="none"/>
          <w:lang w:val="en-US" w:eastAsia="zh-CN" w:bidi="ar-SA"/>
        </w:rPr>
        <w:t>招标代理费、宣传</w:t>
      </w:r>
      <w:r>
        <w:rPr>
          <w:rFonts w:hint="eastAsia" w:ascii="宋体" w:hAnsi="宋体" w:eastAsia="宋体" w:cs="宋体"/>
          <w:color w:val="auto"/>
          <w:sz w:val="21"/>
          <w:szCs w:val="21"/>
          <w:highlight w:val="none"/>
          <w:lang w:val="en-US" w:eastAsia="zh-CN" w:bidi="ar-SA"/>
        </w:rPr>
        <w:t>等一切费用。投标人应结合本次项目特点，市场行情及供应商自身的技术，管理水平，竞争能力，确定最终报价。</w:t>
      </w:r>
    </w:p>
    <w:p>
      <w:pPr>
        <w:pStyle w:val="12"/>
        <w:pageBreakBefore w:val="0"/>
        <w:numPr>
          <w:ilvl w:val="0"/>
          <w:numId w:val="16"/>
        </w:numPr>
        <w:kinsoku/>
        <w:wordWrap/>
        <w:overflowPunct/>
        <w:topLinePunct w:val="0"/>
        <w:autoSpaceDE/>
        <w:autoSpaceDN/>
        <w:bidi w:val="0"/>
        <w:spacing w:line="400" w:lineRule="exact"/>
        <w:ind w:left="0" w:leftChars="0" w:firstLine="403" w:firstLine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投标人认为完成本招标文件规定的工作内容所发生的一切费用均应计入报价，凡未列入的，将被认为均已包含在报价中。</w:t>
      </w:r>
    </w:p>
    <w:p>
      <w:pPr>
        <w:keepNext w:val="0"/>
        <w:keepLines w:val="0"/>
        <w:pageBreakBefore w:val="0"/>
        <w:widowControl w:val="0"/>
        <w:numPr>
          <w:ilvl w:val="0"/>
          <w:numId w:val="15"/>
        </w:numPr>
        <w:kinsoku/>
        <w:wordWrap/>
        <w:overflowPunct/>
        <w:topLinePunct w:val="0"/>
        <w:autoSpaceDE/>
        <w:autoSpaceDN/>
        <w:bidi w:val="0"/>
        <w:snapToGrid w:val="0"/>
        <w:spacing w:line="400" w:lineRule="exact"/>
        <w:ind w:left="0" w:leftChars="0" w:firstLine="422" w:firstLineChars="200"/>
        <w:textAlignment w:val="auto"/>
        <w:rPr>
          <w:rFonts w:hint="eastAsia" w:ascii="Arial" w:hAnsi="Arial" w:eastAsia="宋体" w:cs="Arial"/>
          <w:b/>
          <w:bCs/>
          <w:color w:val="auto"/>
          <w:szCs w:val="21"/>
          <w:highlight w:val="none"/>
          <w:lang w:val="en-US" w:eastAsia="zh-CN"/>
        </w:rPr>
      </w:pPr>
      <w:r>
        <w:rPr>
          <w:rFonts w:hint="eastAsia" w:ascii="Arial" w:hAnsi="Arial" w:eastAsia="宋体" w:cs="Arial"/>
          <w:b/>
          <w:bCs/>
          <w:color w:val="auto"/>
          <w:szCs w:val="21"/>
          <w:highlight w:val="none"/>
          <w:lang w:val="en-US" w:eastAsia="zh-CN"/>
        </w:rPr>
        <w:t>付款方式：</w:t>
      </w:r>
    </w:p>
    <w:p>
      <w:pPr>
        <w:pStyle w:val="12"/>
        <w:pageBreakBefore w:val="0"/>
        <w:numPr>
          <w:ilvl w:val="0"/>
          <w:numId w:val="5"/>
        </w:numPr>
        <w:kinsoku/>
        <w:wordWrap/>
        <w:overflowPunct/>
        <w:topLinePunct w:val="0"/>
        <w:autoSpaceDE/>
        <w:autoSpaceDN/>
        <w:bidi w:val="0"/>
        <w:spacing w:line="400" w:lineRule="exact"/>
        <w:ind w:left="0" w:leftChars="0" w:firstLine="403"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签订且具备实施条件后7个工作日内，采购人向中标人支付年度预算金额的40%作为预付款（预付款抵作进度款）。（在签订合同时，中标人明确表示无需预付款或者主动要求降低预付款比例的，采购人可不适用前述规定。根据浙财采监[2022]3号文件执行。）</w:t>
      </w:r>
    </w:p>
    <w:p>
      <w:pPr>
        <w:pStyle w:val="12"/>
        <w:pageBreakBefore w:val="0"/>
        <w:numPr>
          <w:ilvl w:val="0"/>
          <w:numId w:val="5"/>
        </w:numPr>
        <w:kinsoku/>
        <w:wordWrap/>
        <w:overflowPunct/>
        <w:topLinePunct w:val="0"/>
        <w:autoSpaceDE/>
        <w:autoSpaceDN/>
        <w:bidi w:val="0"/>
        <w:spacing w:line="400" w:lineRule="exact"/>
        <w:ind w:left="0" w:leftChars="0" w:firstLine="403" w:firstLineChars="0"/>
        <w:textAlignment w:val="auto"/>
        <w:rPr>
          <w:rFonts w:hint="eastAsia" w:ascii="宋体" w:hAnsi="宋体" w:eastAsia="宋体" w:cs="宋体"/>
          <w:color w:val="auto"/>
          <w:sz w:val="21"/>
          <w:szCs w:val="21"/>
          <w:highlight w:val="none"/>
          <w:lang w:val="en-US" w:eastAsia="zh-CN"/>
        </w:rPr>
      </w:pPr>
      <w:bookmarkStart w:id="245" w:name="_Toc8858"/>
      <w:r>
        <w:rPr>
          <w:rFonts w:hint="eastAsia" w:ascii="宋体" w:hAnsi="宋体" w:cs="宋体"/>
          <w:color w:val="auto"/>
          <w:szCs w:val="21"/>
          <w:highlight w:val="none"/>
          <w:lang w:eastAsia="zh-CN"/>
        </w:rPr>
        <w:t>服务期限结束后收到中标人发票之日起7个工作日内</w:t>
      </w:r>
      <w:r>
        <w:rPr>
          <w:rFonts w:hint="eastAsia" w:ascii="宋体" w:hAnsi="宋体" w:cs="宋体"/>
          <w:color w:val="auto"/>
          <w:szCs w:val="21"/>
          <w:highlight w:val="none"/>
          <w:lang w:val="en-US" w:eastAsia="zh-CN"/>
        </w:rPr>
        <w:t>一次性</w:t>
      </w:r>
      <w:r>
        <w:rPr>
          <w:rFonts w:hint="eastAsia" w:ascii="宋体" w:hAnsi="宋体" w:cs="宋体"/>
          <w:color w:val="auto"/>
          <w:szCs w:val="21"/>
          <w:highlight w:val="none"/>
          <w:lang w:eastAsia="zh-CN"/>
        </w:rPr>
        <w:t>支付</w:t>
      </w:r>
      <w:r>
        <w:rPr>
          <w:rFonts w:hint="eastAsia" w:ascii="宋体" w:hAnsi="宋体" w:cs="宋体"/>
          <w:color w:val="auto"/>
          <w:szCs w:val="21"/>
          <w:highlight w:val="none"/>
          <w:lang w:val="en-US" w:eastAsia="zh-CN"/>
        </w:rPr>
        <w:t>合同价款</w:t>
      </w:r>
      <w:r>
        <w:rPr>
          <w:rFonts w:hint="eastAsia" w:ascii="宋体" w:hAnsi="宋体" w:eastAsia="宋体" w:cs="宋体"/>
          <w:color w:val="auto"/>
          <w:sz w:val="21"/>
          <w:szCs w:val="21"/>
          <w:highlight w:val="none"/>
          <w:lang w:val="en-US" w:eastAsia="zh-CN"/>
        </w:rPr>
        <w:t>。</w:t>
      </w:r>
    </w:p>
    <w:p>
      <w:pPr>
        <w:pStyle w:val="3"/>
        <w:keepNext w:val="0"/>
        <w:keepLines w:val="0"/>
        <w:pageBreakBefore w:val="0"/>
        <w:widowControl w:val="0"/>
        <w:kinsoku/>
        <w:wordWrap/>
        <w:overflowPunct/>
        <w:topLinePunct w:val="0"/>
        <w:autoSpaceDE/>
        <w:autoSpaceDN/>
        <w:bidi w:val="0"/>
        <w:adjustRightInd/>
        <w:spacing w:after="0" w:line="400" w:lineRule="exact"/>
        <w:ind w:left="0" w:leftChars="0" w:firstLine="420" w:firstLineChars="200"/>
        <w:textAlignment w:val="auto"/>
        <w:rPr>
          <w:rFonts w:hint="eastAsia" w:ascii="宋体" w:hAnsi="Times New Roman" w:eastAsia="宋体" w:cs="宋体"/>
          <w:b w:val="0"/>
          <w:bCs w:val="0"/>
          <w:color w:val="auto"/>
          <w:sz w:val="21"/>
          <w:szCs w:val="21"/>
          <w:highlight w:val="none"/>
          <w:lang w:val="en-US" w:eastAsia="zh-CN" w:bidi="ar-SA"/>
        </w:rPr>
      </w:pPr>
      <w:r>
        <w:rPr>
          <w:rFonts w:hint="eastAsia" w:ascii="宋体" w:hAnsi="Times New Roman" w:eastAsia="宋体" w:cs="宋体"/>
          <w:b w:val="0"/>
          <w:bCs w:val="0"/>
          <w:color w:val="auto"/>
          <w:sz w:val="21"/>
          <w:szCs w:val="21"/>
          <w:highlight w:val="none"/>
          <w:lang w:val="en-US" w:eastAsia="zh-CN" w:bidi="ar-SA"/>
        </w:rPr>
        <w:t>备注：（1）对于满足合同约定支付条件的，采购人自收到发票后7个工作日内将资金支付到合同约定的中标人账户。</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20" w:firstLineChars="200"/>
        <w:textAlignment w:val="auto"/>
        <w:outlineLvl w:val="9"/>
        <w:rPr>
          <w:rFonts w:hint="eastAsia" w:ascii="宋体" w:hAnsi="Times New Roman" w:eastAsia="宋体" w:cs="宋体"/>
          <w:b w:val="0"/>
          <w:bCs w:val="0"/>
          <w:color w:val="auto"/>
          <w:sz w:val="21"/>
          <w:szCs w:val="21"/>
          <w:highlight w:val="none"/>
          <w:lang w:val="en-US" w:eastAsia="zh-CN" w:bidi="ar-SA"/>
        </w:rPr>
      </w:pPr>
      <w:r>
        <w:rPr>
          <w:rFonts w:hint="eastAsia" w:ascii="宋体" w:hAnsi="Times New Roman" w:eastAsia="宋体" w:cs="宋体"/>
          <w:b w:val="0"/>
          <w:bCs w:val="0"/>
          <w:color w:val="auto"/>
          <w:sz w:val="21"/>
          <w:szCs w:val="21"/>
          <w:highlight w:val="none"/>
          <w:lang w:val="en-US" w:eastAsia="zh-CN" w:bidi="ar-SA"/>
        </w:rPr>
        <w:t>（2）中标人必须开具合同金额100%的正式税务发票。</w:t>
      </w:r>
    </w:p>
    <w:p>
      <w:pPr>
        <w:pStyle w:val="6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20" w:firstLineChars="200"/>
        <w:textAlignment w:val="auto"/>
        <w:outlineLvl w:val="9"/>
        <w:rPr>
          <w:rFonts w:hint="eastAsia" w:ascii="宋体" w:hAnsi="Times New Roman" w:eastAsia="宋体" w:cs="宋体"/>
          <w:b w:val="0"/>
          <w:bCs w:val="0"/>
          <w:color w:val="auto"/>
          <w:sz w:val="21"/>
          <w:szCs w:val="21"/>
          <w:highlight w:val="none"/>
          <w:lang w:val="en-US" w:eastAsia="zh-CN" w:bidi="ar-SA"/>
        </w:rPr>
      </w:pPr>
      <w:r>
        <w:rPr>
          <w:rFonts w:hint="eastAsia" w:ascii="宋体" w:hAnsi="Times New Roman" w:eastAsia="宋体" w:cs="宋体"/>
          <w:b w:val="0"/>
          <w:bCs w:val="0"/>
          <w:color w:val="auto"/>
          <w:sz w:val="21"/>
          <w:szCs w:val="21"/>
          <w:highlight w:val="none"/>
          <w:lang w:val="en-US" w:eastAsia="zh-CN" w:bidi="ar-SA"/>
        </w:rPr>
        <w:t>（3）</w:t>
      </w:r>
      <w:r>
        <w:rPr>
          <w:rFonts w:hint="eastAsia"/>
          <w:color w:val="auto"/>
          <w:highlight w:val="none"/>
          <w:lang w:val="en-US" w:eastAsia="zh-CN"/>
        </w:rPr>
        <w:t>根据项目实际实施情况，款项支付时间延期的，双方协商解决</w:t>
      </w:r>
      <w:r>
        <w:rPr>
          <w:rFonts w:hint="eastAsia" w:ascii="宋体" w:hAnsi="Times New Roman" w:eastAsia="宋体" w:cs="宋体"/>
          <w:b w:val="0"/>
          <w:bCs w:val="0"/>
          <w:color w:val="auto"/>
          <w:sz w:val="21"/>
          <w:szCs w:val="21"/>
          <w:highlight w:val="none"/>
          <w:lang w:val="en-US" w:eastAsia="zh-CN" w:bidi="ar-SA"/>
        </w:rPr>
        <w:t>。</w:t>
      </w:r>
    </w:p>
    <w:bookmarkEnd w:id="245"/>
    <w:p>
      <w:pPr>
        <w:keepNext w:val="0"/>
        <w:keepLines w:val="0"/>
        <w:pageBreakBefore w:val="0"/>
        <w:widowControl/>
        <w:tabs>
          <w:tab w:val="left" w:pos="709"/>
        </w:tabs>
        <w:kinsoku/>
        <w:wordWrap/>
        <w:overflowPunct/>
        <w:topLinePunct w:val="0"/>
        <w:autoSpaceDE w:val="0"/>
        <w:autoSpaceDN w:val="0"/>
        <w:bidi w:val="0"/>
        <w:adjustRightInd w:val="0"/>
        <w:spacing w:line="440" w:lineRule="exact"/>
        <w:textAlignment w:val="bottom"/>
        <w:rPr>
          <w:rFonts w:hint="eastAsia" w:ascii="宋体" w:hAnsi="宋体" w:eastAsia="宋体" w:cs="宋体"/>
          <w:color w:val="auto"/>
          <w:sz w:val="22"/>
          <w:szCs w:val="22"/>
          <w:highlight w:val="none"/>
        </w:rPr>
      </w:pPr>
    </w:p>
    <w:p>
      <w:pPr>
        <w:keepNext w:val="0"/>
        <w:keepLines w:val="0"/>
        <w:pageBreakBefore w:val="0"/>
        <w:kinsoku/>
        <w:wordWrap/>
        <w:overflowPunct/>
        <w:topLinePunct w:val="0"/>
        <w:bidi w:val="0"/>
        <w:spacing w:line="440" w:lineRule="exact"/>
        <w:rPr>
          <w:rFonts w:hint="eastAsia" w:ascii="宋体" w:hAnsi="宋体" w:eastAsia="宋体" w:cs="宋体"/>
          <w:b/>
          <w:color w:val="auto"/>
          <w:sz w:val="22"/>
          <w:szCs w:val="22"/>
          <w:highlight w:val="none"/>
        </w:rPr>
      </w:pPr>
    </w:p>
    <w:p>
      <w:pPr>
        <w:keepNext w:val="0"/>
        <w:keepLines w:val="0"/>
        <w:pageBreakBefore w:val="0"/>
        <w:kinsoku/>
        <w:wordWrap/>
        <w:overflowPunct/>
        <w:topLinePunct w:val="0"/>
        <w:bidi w:val="0"/>
        <w:spacing w:line="440" w:lineRule="exact"/>
        <w:rPr>
          <w:rFonts w:hint="eastAsia" w:ascii="宋体" w:hAnsi="宋体" w:eastAsia="宋体" w:cs="宋体"/>
          <w:b/>
          <w:bCs/>
          <w:color w:val="auto"/>
          <w:kern w:val="44"/>
          <w:sz w:val="22"/>
          <w:szCs w:val="22"/>
          <w:highlight w:val="none"/>
        </w:rPr>
      </w:pPr>
      <w:r>
        <w:rPr>
          <w:rFonts w:hint="eastAsia" w:ascii="宋体" w:hAnsi="宋体" w:eastAsia="宋体" w:cs="宋体"/>
          <w:b/>
          <w:bCs/>
          <w:color w:val="auto"/>
          <w:kern w:val="44"/>
          <w:sz w:val="22"/>
          <w:szCs w:val="22"/>
          <w:highlight w:val="none"/>
        </w:rPr>
        <w:br w:type="page"/>
      </w:r>
    </w:p>
    <w:p>
      <w:pPr>
        <w:pStyle w:val="14"/>
        <w:spacing w:line="360" w:lineRule="auto"/>
        <w:jc w:val="center"/>
        <w:outlineLvl w:val="0"/>
        <w:rPr>
          <w:rFonts w:ascii="宋体" w:hAnsi="宋体"/>
          <w:color w:val="auto"/>
          <w:sz w:val="24"/>
          <w:highlight w:val="none"/>
        </w:rPr>
      </w:pPr>
      <w:bookmarkStart w:id="246" w:name="_Toc6357"/>
      <w:r>
        <w:rPr>
          <w:rFonts w:hint="eastAsia" w:ascii="黑体" w:hAnsi="黑体" w:eastAsia="黑体"/>
          <w:b/>
          <w:bCs/>
          <w:color w:val="auto"/>
          <w:kern w:val="44"/>
          <w:sz w:val="36"/>
          <w:szCs w:val="36"/>
          <w:highlight w:val="none"/>
        </w:rPr>
        <w:t>第六部分   磋商原则及方法</w:t>
      </w:r>
      <w:bookmarkEnd w:id="230"/>
      <w:bookmarkEnd w:id="231"/>
      <w:bookmarkEnd w:id="232"/>
      <w:bookmarkEnd w:id="233"/>
      <w:bookmarkEnd w:id="246"/>
    </w:p>
    <w:p>
      <w:pPr>
        <w:spacing w:line="440" w:lineRule="exact"/>
        <w:ind w:left="548" w:leftChars="261"/>
        <w:rPr>
          <w:rFonts w:ascii="宋体" w:hAnsi="宋体"/>
          <w:color w:val="auto"/>
          <w:sz w:val="22"/>
          <w:szCs w:val="22"/>
          <w:highlight w:val="none"/>
        </w:rPr>
      </w:pPr>
      <w:r>
        <w:rPr>
          <w:rFonts w:hint="eastAsia" w:ascii="宋体" w:hAnsi="宋体"/>
          <w:color w:val="auto"/>
          <w:sz w:val="22"/>
          <w:szCs w:val="22"/>
          <w:highlight w:val="none"/>
        </w:rPr>
        <w:t>根据《中华人民共和国政府采购法》、</w:t>
      </w:r>
      <w:r>
        <w:rPr>
          <w:rFonts w:ascii="宋体" w:hAnsi="宋体" w:cs="宋体"/>
          <w:color w:val="auto"/>
          <w:kern w:val="0"/>
          <w:sz w:val="22"/>
          <w:szCs w:val="22"/>
          <w:highlight w:val="none"/>
        </w:rPr>
        <w:t>《政府采购竞争性磋商采购方式管理暂行办法</w:t>
      </w:r>
      <w:r>
        <w:rPr>
          <w:rFonts w:hint="eastAsia" w:ascii="宋体" w:hAnsi="宋体" w:cs="宋体"/>
          <w:color w:val="auto"/>
          <w:kern w:val="0"/>
          <w:sz w:val="22"/>
          <w:szCs w:val="22"/>
          <w:highlight w:val="none"/>
        </w:rPr>
        <w:t>》</w:t>
      </w:r>
      <w:r>
        <w:rPr>
          <w:rFonts w:hint="eastAsia" w:ascii="宋体" w:hAnsi="宋体"/>
          <w:color w:val="auto"/>
          <w:sz w:val="22"/>
          <w:szCs w:val="22"/>
          <w:highlight w:val="none"/>
        </w:rPr>
        <w:t>等法律、法规制定本磋商原则和方法。</w:t>
      </w:r>
    </w:p>
    <w:p>
      <w:pPr>
        <w:spacing w:line="440" w:lineRule="exact"/>
        <w:rPr>
          <w:rFonts w:ascii="宋体" w:hAnsi="宋体"/>
          <w:b/>
          <w:color w:val="auto"/>
          <w:sz w:val="22"/>
          <w:szCs w:val="22"/>
          <w:highlight w:val="none"/>
        </w:rPr>
      </w:pPr>
      <w:r>
        <w:rPr>
          <w:rFonts w:hint="eastAsia" w:ascii="宋体" w:hAnsi="宋体"/>
          <w:b/>
          <w:color w:val="auto"/>
          <w:sz w:val="22"/>
          <w:szCs w:val="22"/>
          <w:highlight w:val="none"/>
        </w:rPr>
        <w:t>一、 总  则</w:t>
      </w:r>
    </w:p>
    <w:p>
      <w:pPr>
        <w:spacing w:line="440" w:lineRule="exact"/>
        <w:ind w:left="548" w:leftChars="261"/>
        <w:rPr>
          <w:rFonts w:ascii="宋体" w:hAnsi="宋体"/>
          <w:color w:val="auto"/>
          <w:sz w:val="22"/>
          <w:szCs w:val="22"/>
          <w:highlight w:val="none"/>
        </w:rPr>
      </w:pPr>
      <w:r>
        <w:rPr>
          <w:rFonts w:hint="eastAsia" w:ascii="宋体" w:hAnsi="宋体"/>
          <w:color w:val="auto"/>
          <w:sz w:val="22"/>
          <w:szCs w:val="22"/>
          <w:highlight w:val="none"/>
        </w:rPr>
        <w:t>评审工作遵循“公平、公正、科学、择优”原则和“诚实、信誉、效率”的服务原则。最大限度的保护采购人权益，严格按照磋商文件的要求，对响应文件进行综合评审。磋商供应商不得以任何方式干扰政府采购工作的进行，一经发现其响应文件将被拒绝。</w:t>
      </w:r>
    </w:p>
    <w:p>
      <w:pPr>
        <w:spacing w:line="440" w:lineRule="exact"/>
        <w:rPr>
          <w:rFonts w:ascii="宋体" w:hAnsi="宋体"/>
          <w:b/>
          <w:color w:val="auto"/>
          <w:sz w:val="22"/>
          <w:szCs w:val="22"/>
          <w:highlight w:val="none"/>
        </w:rPr>
      </w:pPr>
      <w:r>
        <w:rPr>
          <w:rFonts w:hint="eastAsia" w:ascii="宋体" w:hAnsi="宋体"/>
          <w:b/>
          <w:color w:val="auto"/>
          <w:sz w:val="22"/>
          <w:szCs w:val="22"/>
          <w:highlight w:val="none"/>
        </w:rPr>
        <w:t>二、 磋商程序</w:t>
      </w:r>
    </w:p>
    <w:p>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采购代理机构签收、开始解密磋商响应文件；</w:t>
      </w:r>
    </w:p>
    <w:p>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磋商供应商解密磋商响应文件；</w:t>
      </w:r>
    </w:p>
    <w:p>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采购代理机构结束解密磋商响应文件；</w:t>
      </w:r>
    </w:p>
    <w:p>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   磋商小组在线符合性审查；</w:t>
      </w:r>
    </w:p>
    <w:p>
      <w:pPr>
        <w:spacing w:line="440" w:lineRule="exact"/>
        <w:ind w:left="440" w:hanging="440" w:hangingChars="200"/>
        <w:rPr>
          <w:rFonts w:ascii="宋体" w:hAnsi="宋体"/>
          <w:color w:val="auto"/>
          <w:sz w:val="22"/>
          <w:szCs w:val="22"/>
          <w:highlight w:val="none"/>
        </w:rPr>
      </w:pPr>
      <w:r>
        <w:rPr>
          <w:rFonts w:hint="eastAsia" w:ascii="宋体" w:hAnsi="宋体"/>
          <w:color w:val="auto"/>
          <w:sz w:val="22"/>
          <w:szCs w:val="22"/>
          <w:highlight w:val="none"/>
        </w:rPr>
        <w:t xml:space="preserve">6.   </w:t>
      </w:r>
      <w:r>
        <w:rPr>
          <w:rFonts w:hint="eastAsia" w:ascii="宋体" w:hAnsi="宋体" w:cs="宋体"/>
          <w:color w:val="auto"/>
          <w:sz w:val="22"/>
          <w:szCs w:val="22"/>
          <w:highlight w:val="none"/>
        </w:rPr>
        <w:t>开启第二轮报价；</w:t>
      </w:r>
      <w:r>
        <w:rPr>
          <w:rFonts w:ascii="宋体" w:hAnsi="宋体"/>
          <w:color w:val="auto"/>
          <w:sz w:val="22"/>
          <w:szCs w:val="22"/>
          <w:highlight w:val="none"/>
        </w:rPr>
        <w:t xml:space="preserve"> </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7</w:t>
      </w:r>
      <w:r>
        <w:rPr>
          <w:rFonts w:ascii="宋体" w:hAnsi="宋体" w:cs="宋体"/>
          <w:color w:val="auto"/>
          <w:sz w:val="22"/>
          <w:szCs w:val="22"/>
          <w:highlight w:val="none"/>
        </w:rPr>
        <w:t xml:space="preserve">.   </w:t>
      </w:r>
      <w:r>
        <w:rPr>
          <w:rFonts w:hint="eastAsia" w:ascii="宋体" w:hAnsi="宋体"/>
          <w:color w:val="auto"/>
          <w:sz w:val="22"/>
          <w:szCs w:val="22"/>
          <w:highlight w:val="none"/>
        </w:rPr>
        <w:t>接着按照统一的标准与供应商进行在线磋商；（如需要）</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8</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磋商小组对磋商响应文件进行评审；</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9</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在系统上公布评审结果。</w:t>
      </w:r>
    </w:p>
    <w:p>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pPr>
        <w:spacing w:line="440" w:lineRule="exact"/>
        <w:rPr>
          <w:rFonts w:ascii="宋体" w:hAnsi="宋体"/>
          <w:b/>
          <w:color w:val="auto"/>
          <w:sz w:val="22"/>
          <w:szCs w:val="22"/>
          <w:highlight w:val="none"/>
        </w:rPr>
      </w:pPr>
      <w:r>
        <w:rPr>
          <w:rFonts w:hint="eastAsia" w:ascii="宋体" w:hAnsi="宋体"/>
          <w:b/>
          <w:color w:val="auto"/>
          <w:sz w:val="22"/>
          <w:szCs w:val="22"/>
          <w:highlight w:val="none"/>
        </w:rPr>
        <w:t>三、 评审办法</w:t>
      </w:r>
    </w:p>
    <w:p>
      <w:pPr>
        <w:spacing w:line="440" w:lineRule="exact"/>
        <w:ind w:left="550" w:hanging="550" w:hangingChars="25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   本次评审采用综合评分法，总分100分，其中商务技术</w:t>
      </w:r>
      <w:r>
        <w:rPr>
          <w:rFonts w:hint="eastAsia" w:ascii="宋体" w:hAnsi="宋体"/>
          <w:color w:val="auto"/>
          <w:sz w:val="22"/>
          <w:szCs w:val="22"/>
          <w:highlight w:val="none"/>
          <w:lang w:val="en-US" w:eastAsia="zh-CN"/>
        </w:rPr>
        <w:t>90</w:t>
      </w:r>
      <w:r>
        <w:rPr>
          <w:rFonts w:hint="eastAsia" w:ascii="宋体" w:hAnsi="宋体"/>
          <w:color w:val="auto"/>
          <w:sz w:val="22"/>
          <w:szCs w:val="22"/>
          <w:highlight w:val="none"/>
        </w:rPr>
        <w:t>分（商务技术权值</w:t>
      </w:r>
      <w:r>
        <w:rPr>
          <w:rFonts w:hint="eastAsia" w:ascii="宋体" w:hAnsi="宋体"/>
          <w:color w:val="auto"/>
          <w:sz w:val="22"/>
          <w:szCs w:val="22"/>
          <w:highlight w:val="none"/>
          <w:lang w:val="en-US" w:eastAsia="zh-CN"/>
        </w:rPr>
        <w:t>90</w:t>
      </w:r>
      <w:r>
        <w:rPr>
          <w:rFonts w:hint="eastAsia" w:ascii="宋体" w:hAnsi="宋体"/>
          <w:color w:val="auto"/>
          <w:sz w:val="22"/>
          <w:szCs w:val="22"/>
          <w:highlight w:val="none"/>
        </w:rPr>
        <w:t>%），价格</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分（价格权值</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%）。即最大限度地满足竞争性磋商文件实质性要求前提下，按照竞争性磋商文件中规定的各项评分内容评审后，以评审总得分最高的磋商供应商，作为成交候选供应商。</w:t>
      </w:r>
    </w:p>
    <w:p>
      <w:pPr>
        <w:spacing w:line="440" w:lineRule="exact"/>
        <w:ind w:left="550" w:hanging="550" w:hangingChars="25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w:t>
      </w:r>
      <w:r>
        <w:rPr>
          <w:rFonts w:ascii="宋体" w:hAnsi="宋体"/>
          <w:color w:val="auto"/>
          <w:sz w:val="22"/>
          <w:szCs w:val="22"/>
          <w:highlight w:val="none"/>
        </w:rPr>
        <w:t xml:space="preserve">   根据</w:t>
      </w:r>
      <w:r>
        <w:rPr>
          <w:rFonts w:hint="eastAsia" w:ascii="宋体" w:hAnsi="宋体"/>
          <w:color w:val="auto"/>
          <w:sz w:val="22"/>
          <w:szCs w:val="22"/>
          <w:highlight w:val="none"/>
        </w:rPr>
        <w:t>《财政部关于政府采购竞争性磋商采购方式管理暂行办法有关问题的补充通知》（财库【2015】124号文件）的规定，采用竞争性磋商采购方式采购的政府购买服务项目（含政府和社会资本合作项目），在采购过程中符合要求的供应商只有2家的，竞争性磋商采购活动可以继续进行。采购过程中符合要求的供应商只有1家的，应当终止竞争性磋商采购活动。</w:t>
      </w:r>
    </w:p>
    <w:p>
      <w:pPr>
        <w:spacing w:line="44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四、 评分细则</w:t>
      </w:r>
    </w:p>
    <w:p>
      <w:pPr>
        <w:spacing w:line="440" w:lineRule="exact"/>
        <w:rPr>
          <w:rFonts w:ascii="宋体" w:hAnsi="宋体"/>
          <w:color w:val="auto"/>
          <w:sz w:val="22"/>
          <w:szCs w:val="22"/>
          <w:highlight w:val="none"/>
        </w:rPr>
      </w:pPr>
      <w:r>
        <w:rPr>
          <w:rFonts w:hint="eastAsia" w:ascii="宋体" w:hAnsi="宋体"/>
          <w:color w:val="auto"/>
          <w:sz w:val="22"/>
          <w:szCs w:val="22"/>
          <w:highlight w:val="none"/>
        </w:rPr>
        <w:t>1.   商务技术分的评定（</w:t>
      </w:r>
      <w:r>
        <w:rPr>
          <w:rFonts w:hint="eastAsia" w:ascii="宋体" w:hAnsi="宋体"/>
          <w:color w:val="auto"/>
          <w:sz w:val="22"/>
          <w:szCs w:val="22"/>
          <w:highlight w:val="none"/>
          <w:lang w:val="en-US" w:eastAsia="zh-CN"/>
        </w:rPr>
        <w:t>90</w:t>
      </w:r>
      <w:r>
        <w:rPr>
          <w:rFonts w:hint="eastAsia" w:ascii="宋体" w:hAnsi="宋体"/>
          <w:color w:val="auto"/>
          <w:sz w:val="22"/>
          <w:szCs w:val="22"/>
          <w:highlight w:val="none"/>
        </w:rPr>
        <w:t>分）</w:t>
      </w:r>
    </w:p>
    <w:p>
      <w:pPr>
        <w:spacing w:line="440" w:lineRule="exact"/>
        <w:ind w:left="548" w:leftChars="261"/>
        <w:rPr>
          <w:rFonts w:ascii="宋体" w:hAnsi="宋体"/>
          <w:color w:val="auto"/>
          <w:sz w:val="22"/>
          <w:szCs w:val="22"/>
          <w:highlight w:val="none"/>
        </w:rPr>
      </w:pPr>
      <w:r>
        <w:rPr>
          <w:rFonts w:hint="eastAsia" w:ascii="宋体" w:hAnsi="宋体"/>
          <w:color w:val="auto"/>
          <w:sz w:val="22"/>
          <w:szCs w:val="22"/>
          <w:highlight w:val="none"/>
        </w:rPr>
        <w:t>各磋商小组成员按下列评分内容进行评定，每人一份评分计算表，由磋商小组成员各自评定独立打分并记实名。如某张评分表的一项评分内容分值超过规定的范围，则该评分表无效。磋商小组成员对磋商供应商的各项评分内容评分的合计分的算术平均值为该磋商供应商商务技术的最终得分（四舍五入，保留小数点后二位）。</w:t>
      </w:r>
    </w:p>
    <w:p>
      <w:pPr>
        <w:spacing w:line="360" w:lineRule="exact"/>
        <w:rPr>
          <w:rFonts w:ascii="宋体" w:hAnsi="宋体" w:cs="宋体"/>
          <w:b/>
          <w:color w:val="auto"/>
          <w:sz w:val="22"/>
          <w:szCs w:val="22"/>
          <w:highlight w:val="none"/>
        </w:rPr>
      </w:pPr>
      <w:r>
        <w:rPr>
          <w:rFonts w:hint="eastAsia" w:ascii="宋体" w:hAnsi="宋体" w:cs="宋体"/>
          <w:b/>
          <w:color w:val="auto"/>
          <w:sz w:val="22"/>
          <w:szCs w:val="22"/>
          <w:highlight w:val="none"/>
        </w:rPr>
        <w:t>商务技术</w:t>
      </w:r>
      <w:r>
        <w:rPr>
          <w:rFonts w:hint="eastAsia" w:ascii="宋体" w:hAnsi="宋体" w:cs="宋体"/>
          <w:b/>
          <w:color w:val="auto"/>
          <w:sz w:val="22"/>
          <w:szCs w:val="22"/>
          <w:highlight w:val="none"/>
          <w:lang w:val="en-US" w:eastAsia="zh-CN"/>
        </w:rPr>
        <w:t>90</w:t>
      </w:r>
      <w:r>
        <w:rPr>
          <w:rFonts w:hint="eastAsia" w:ascii="宋体" w:hAnsi="宋体" w:cs="宋体"/>
          <w:b/>
          <w:color w:val="auto"/>
          <w:sz w:val="22"/>
          <w:szCs w:val="22"/>
          <w:highlight w:val="none"/>
        </w:rPr>
        <w:t>分</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29"/>
        <w:gridCol w:w="729"/>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序号</w:t>
            </w:r>
          </w:p>
        </w:tc>
        <w:tc>
          <w:tcPr>
            <w:tcW w:w="630"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评分内容</w:t>
            </w:r>
          </w:p>
        </w:tc>
        <w:tc>
          <w:tcPr>
            <w:tcW w:w="374"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分值</w:t>
            </w:r>
          </w:p>
        </w:tc>
        <w:tc>
          <w:tcPr>
            <w:tcW w:w="3599"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w:t>
            </w:r>
          </w:p>
        </w:tc>
        <w:tc>
          <w:tcPr>
            <w:tcW w:w="630"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lang w:val="en-US" w:eastAsia="zh-CN"/>
              </w:rPr>
              <w:t>供应商</w:t>
            </w:r>
            <w:r>
              <w:rPr>
                <w:rFonts w:hint="eastAsia" w:ascii="宋体" w:hAnsi="宋体" w:eastAsia="宋体" w:cs="宋体"/>
                <w:color w:val="auto"/>
                <w:spacing w:val="-2"/>
                <w:sz w:val="22"/>
                <w:szCs w:val="22"/>
                <w:highlight w:val="none"/>
              </w:rPr>
              <w:t>体系认证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spacing w:val="-2"/>
                <w:sz w:val="22"/>
                <w:szCs w:val="22"/>
                <w:highlight w:val="none"/>
                <w:lang w:val="en-US" w:eastAsia="zh-CN"/>
              </w:rPr>
              <w:t>3分</w:t>
            </w:r>
            <w:r>
              <w:rPr>
                <w:rFonts w:hint="eastAsia" w:ascii="宋体" w:hAnsi="宋体" w:eastAsia="宋体" w:cs="宋体"/>
                <w:color w:val="auto"/>
                <w:spacing w:val="-2"/>
                <w:sz w:val="22"/>
                <w:szCs w:val="22"/>
                <w:highlight w:val="none"/>
                <w:lang w:eastAsia="zh-CN"/>
              </w:rPr>
              <w:t>）</w:t>
            </w:r>
          </w:p>
        </w:tc>
        <w:tc>
          <w:tcPr>
            <w:tcW w:w="374"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3599" w:type="pct"/>
            <w:noWrap w:val="0"/>
            <w:tcMar>
              <w:top w:w="0" w:type="dxa"/>
              <w:left w:w="57" w:type="dxa"/>
              <w:bottom w:w="0" w:type="dxa"/>
              <w:right w:w="57" w:type="dxa"/>
            </w:tcMar>
            <w:vAlign w:val="center"/>
          </w:tcPr>
          <w:p>
            <w:pPr>
              <w:pStyle w:val="16"/>
              <w:keepNext w:val="0"/>
              <w:keepLines w:val="0"/>
              <w:pageBreakBefore w:val="0"/>
              <w:widowControl/>
              <w:suppressLineNumbers w:val="0"/>
              <w:tabs>
                <w:tab w:val="left" w:pos="482"/>
                <w:tab w:val="left" w:pos="2183"/>
                <w:tab w:val="left" w:pos="3884"/>
                <w:tab w:val="left" w:pos="5585"/>
              </w:tabs>
              <w:kinsoku/>
              <w:wordWrap/>
              <w:overflowPunct/>
              <w:topLinePunct w:val="0"/>
              <w:autoSpaceDE/>
              <w:autoSpaceDN/>
              <w:bidi w:val="0"/>
              <w:adjustRightInd/>
              <w:snapToGrid/>
              <w:spacing w:before="0" w:beforeAutospacing="0" w:after="0" w:afterAutospacing="0" w:line="380" w:lineRule="exact"/>
              <w:ind w:left="0" w:leftChars="0" w:right="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供应商具有质量体系认证证书、环境管理体系认证证书、</w:t>
            </w:r>
            <w:r>
              <w:rPr>
                <w:rFonts w:hint="eastAsia" w:ascii="宋体" w:hAnsi="宋体" w:eastAsia="宋体" w:cs="宋体"/>
                <w:color w:val="auto"/>
                <w:sz w:val="22"/>
                <w:szCs w:val="22"/>
                <w:highlight w:val="none"/>
              </w:rPr>
              <w:t>职业健康安全管理体系认证</w:t>
            </w:r>
            <w:r>
              <w:rPr>
                <w:rFonts w:hint="eastAsia" w:ascii="宋体" w:hAnsi="宋体" w:eastAsia="宋体" w:cs="宋体"/>
                <w:color w:val="auto"/>
                <w:sz w:val="22"/>
                <w:szCs w:val="22"/>
                <w:highlight w:val="none"/>
                <w:lang w:val="en-US" w:eastAsia="zh-CN"/>
              </w:rPr>
              <w:t>证书，每个得1分，最高得3分；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注：认证证书的有效性认定：须提供以上证书扫描件加盖单位公章，并以开标当天在全国认证认可信息公共服务平台 (http://cx.cnca.cn/CertECloud/result/skipResultList）查询到相关证书信息，否则不得分。如因系统故障无法查询，则以供应商提供的证明材料为准。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395"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630" w:type="pct"/>
            <w:shd w:val="clear" w:color="auto" w:fill="auto"/>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8"/>
                <w:sz w:val="22"/>
                <w:szCs w:val="22"/>
                <w:highlight w:val="none"/>
              </w:rPr>
            </w:pPr>
            <w:r>
              <w:rPr>
                <w:rFonts w:hint="eastAsia" w:ascii="宋体" w:hAnsi="宋体" w:eastAsia="宋体" w:cs="宋体"/>
                <w:color w:val="auto"/>
                <w:kern w:val="28"/>
                <w:sz w:val="22"/>
                <w:szCs w:val="22"/>
                <w:highlight w:val="none"/>
              </w:rPr>
              <w:t>供应商</w:t>
            </w:r>
            <w:r>
              <w:rPr>
                <w:rFonts w:hint="eastAsia" w:ascii="宋体" w:hAnsi="宋体" w:eastAsia="宋体" w:cs="宋体"/>
                <w:color w:val="auto"/>
                <w:kern w:val="28"/>
                <w:sz w:val="22"/>
                <w:szCs w:val="22"/>
                <w:highlight w:val="none"/>
                <w:lang w:eastAsia="zh-CN"/>
              </w:rPr>
              <w:t>科研</w:t>
            </w:r>
            <w:r>
              <w:rPr>
                <w:rFonts w:hint="eastAsia" w:ascii="宋体" w:hAnsi="宋体" w:eastAsia="宋体" w:cs="宋体"/>
                <w:color w:val="auto"/>
                <w:kern w:val="28"/>
                <w:sz w:val="22"/>
                <w:szCs w:val="22"/>
                <w:highlight w:val="none"/>
              </w:rPr>
              <w:t>能力</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eastAsia="zh-CN"/>
              </w:rPr>
              <w:t>（</w:t>
            </w:r>
            <w:r>
              <w:rPr>
                <w:rFonts w:hint="eastAsia" w:ascii="宋体" w:hAnsi="宋体" w:eastAsia="宋体" w:cs="宋体"/>
                <w:color w:val="auto"/>
                <w:kern w:val="28"/>
                <w:sz w:val="22"/>
                <w:szCs w:val="22"/>
                <w:highlight w:val="none"/>
                <w:lang w:val="en-US" w:eastAsia="zh-CN"/>
              </w:rPr>
              <w:t>9分</w:t>
            </w:r>
            <w:r>
              <w:rPr>
                <w:rFonts w:hint="eastAsia" w:ascii="宋体" w:hAnsi="宋体" w:eastAsia="宋体" w:cs="宋体"/>
                <w:color w:val="auto"/>
                <w:kern w:val="28"/>
                <w:sz w:val="22"/>
                <w:szCs w:val="22"/>
                <w:highlight w:val="none"/>
                <w:lang w:eastAsia="zh-CN"/>
              </w:rPr>
              <w:t>）</w:t>
            </w: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9</w:t>
            </w:r>
          </w:p>
        </w:tc>
        <w:tc>
          <w:tcPr>
            <w:tcW w:w="3599" w:type="pct"/>
            <w:shd w:val="clear" w:color="auto" w:fill="auto"/>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bidi="ar-SA"/>
              </w:rPr>
              <w:t>2.1.供应商具有主持完成全氟化合物相关国家行业标准制定的，一项得3分，最高得6分；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bidi="ar-SA"/>
              </w:rPr>
              <w:t>2.2.供应商具有主持完成全氟化合物相关团体标准或技术规范制定的，一项得0.5分，最高得1.5分；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bidi="ar-SA"/>
              </w:rPr>
              <w:t>2.3.供应商具有市场监督部门颁发的土壤或水质类国家标准物证书的，一项得0.5分，最高得1.5分；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bidi="ar-SA"/>
              </w:rPr>
              <w:t>注：需提供相应的证明材料</w:t>
            </w:r>
            <w:bookmarkStart w:id="247" w:name="OLE_LINK3"/>
            <w:r>
              <w:rPr>
                <w:rFonts w:hint="eastAsia" w:ascii="宋体" w:hAnsi="宋体" w:eastAsia="宋体" w:cs="宋体"/>
                <w:color w:val="auto"/>
                <w:kern w:val="28"/>
                <w:sz w:val="22"/>
                <w:szCs w:val="22"/>
                <w:highlight w:val="none"/>
                <w:lang w:val="en-US" w:eastAsia="zh-CN" w:bidi="ar-SA"/>
              </w:rPr>
              <w:t>，否则不予认可。</w:t>
            </w:r>
            <w:bookmarkEnd w:id="2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30" w:type="pct"/>
            <w:shd w:val="clear" w:color="auto" w:fill="auto"/>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8"/>
                <w:sz w:val="22"/>
                <w:szCs w:val="22"/>
                <w:highlight w:val="none"/>
                <w:lang w:val="en-US" w:eastAsia="zh-CN"/>
              </w:rPr>
            </w:pPr>
            <w:r>
              <w:rPr>
                <w:rFonts w:hint="eastAsia" w:ascii="宋体" w:hAnsi="宋体" w:eastAsia="宋体" w:cs="宋体"/>
                <w:color w:val="auto"/>
                <w:kern w:val="28"/>
                <w:sz w:val="22"/>
                <w:szCs w:val="22"/>
                <w:highlight w:val="none"/>
                <w:lang w:val="en-US" w:eastAsia="zh-CN"/>
              </w:rPr>
              <w:t>实验室配置</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rPr>
              <w:t>（4分）</w:t>
            </w: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4</w:t>
            </w:r>
          </w:p>
        </w:tc>
        <w:tc>
          <w:tcPr>
            <w:tcW w:w="3599" w:type="pct"/>
            <w:shd w:val="clear" w:color="auto" w:fill="auto"/>
            <w:noWrap w:val="0"/>
            <w:tcMar>
              <w:top w:w="0" w:type="dxa"/>
              <w:left w:w="57" w:type="dxa"/>
              <w:bottom w:w="0" w:type="dxa"/>
              <w:right w:w="57" w:type="dxa"/>
            </w:tcMar>
            <w:vAlign w:val="center"/>
          </w:tcPr>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40" w:firstLineChars="200"/>
              <w:jc w:val="both"/>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bidi="ar-SA"/>
              </w:rPr>
              <w:t xml:space="preserve">供应商实验室仪器有配备满足本项目分析要求的高效液相色谱串联四级杆质谱仪、全自动固相萃取系统（仪）、浓缩仪的， </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40" w:firstLineChars="200"/>
              <w:jc w:val="both"/>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bidi="ar-SA"/>
              </w:rPr>
              <w:t>①全部具备，得4分；</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40" w:firstLineChars="200"/>
              <w:jc w:val="both"/>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bidi="ar-SA"/>
              </w:rPr>
              <w:t>②具有任意2台检测设备的，得3分；</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40" w:firstLineChars="200"/>
              <w:jc w:val="both"/>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bidi="ar-SA"/>
              </w:rPr>
              <w:t>③具有1台任意检测设备的，得2分；</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40" w:firstLineChars="200"/>
              <w:jc w:val="both"/>
              <w:rPr>
                <w:rFonts w:hint="eastAsia" w:ascii="宋体" w:hAnsi="宋体" w:eastAsia="宋体" w:cs="宋体"/>
                <w:color w:val="auto"/>
                <w:kern w:val="28"/>
                <w:sz w:val="22"/>
                <w:szCs w:val="22"/>
                <w:highlight w:val="none"/>
                <w:lang w:val="en-US" w:eastAsia="zh-CN" w:bidi="ar-SA"/>
              </w:rPr>
            </w:pPr>
            <w:r>
              <w:rPr>
                <w:rFonts w:hint="eastAsia" w:ascii="宋体" w:hAnsi="宋体" w:eastAsia="宋体" w:cs="宋体"/>
                <w:color w:val="auto"/>
                <w:kern w:val="28"/>
                <w:sz w:val="22"/>
                <w:szCs w:val="22"/>
                <w:highlight w:val="none"/>
                <w:lang w:val="en-US" w:eastAsia="zh-CN" w:bidi="ar-SA"/>
              </w:rPr>
              <w:t>④无相关设备不得分。</w:t>
            </w:r>
          </w:p>
          <w:p>
            <w:pPr>
              <w:keepNext w:val="0"/>
              <w:keepLines w:val="0"/>
              <w:pageBreakBefore w:val="0"/>
              <w:widowControl/>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40" w:firstLineChars="200"/>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注：</w:t>
            </w:r>
            <w:r>
              <w:rPr>
                <w:rFonts w:hint="eastAsia" w:ascii="宋体" w:hAnsi="宋体" w:cs="宋体"/>
                <w:color w:val="auto"/>
                <w:sz w:val="22"/>
                <w:szCs w:val="22"/>
                <w:highlight w:val="none"/>
                <w:lang w:val="en-US" w:eastAsia="zh-CN"/>
              </w:rPr>
              <w:t>提供仪器照片及购置发票等证明材料</w:t>
            </w:r>
            <w:r>
              <w:rPr>
                <w:rFonts w:hint="eastAsia" w:ascii="宋体" w:hAnsi="宋体" w:eastAsia="宋体" w:cs="宋体"/>
                <w:color w:val="auto"/>
                <w:kern w:val="28"/>
                <w:sz w:val="22"/>
                <w:szCs w:val="22"/>
                <w:highlight w:val="none"/>
                <w:lang w:val="en-US" w:eastAsia="zh-CN" w:bidi="ar-SA"/>
              </w:rPr>
              <w:t>，否则不予认可。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630"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项目负责人</w:t>
            </w:r>
            <w:r>
              <w:rPr>
                <w:rFonts w:hint="eastAsia" w:ascii="宋体" w:hAnsi="宋体" w:eastAsia="宋体" w:cs="宋体"/>
                <w:color w:val="auto"/>
                <w:sz w:val="22"/>
                <w:szCs w:val="22"/>
                <w:highlight w:val="none"/>
                <w:lang w:eastAsia="zh-CN"/>
              </w:rPr>
              <w:t>评价（</w:t>
            </w:r>
            <w:r>
              <w:rPr>
                <w:rFonts w:hint="eastAsia" w:ascii="宋体" w:hAnsi="宋体" w:eastAsia="宋体" w:cs="宋体"/>
                <w:color w:val="auto"/>
                <w:sz w:val="22"/>
                <w:szCs w:val="22"/>
                <w:highlight w:val="none"/>
                <w:lang w:val="en-US" w:eastAsia="zh-CN"/>
              </w:rPr>
              <w:t>13分</w:t>
            </w:r>
            <w:r>
              <w:rPr>
                <w:rFonts w:hint="eastAsia" w:ascii="宋体" w:hAnsi="宋体" w:eastAsia="宋体" w:cs="宋体"/>
                <w:color w:val="auto"/>
                <w:sz w:val="22"/>
                <w:szCs w:val="22"/>
                <w:highlight w:val="none"/>
                <w:lang w:eastAsia="zh-CN"/>
              </w:rPr>
              <w:t>）</w:t>
            </w: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13</w:t>
            </w:r>
          </w:p>
        </w:tc>
        <w:tc>
          <w:tcPr>
            <w:tcW w:w="3599" w:type="pct"/>
            <w:shd w:val="clear" w:color="auto" w:fill="auto"/>
            <w:noWrap w:val="0"/>
            <w:tcMar>
              <w:top w:w="0" w:type="dxa"/>
              <w:left w:w="57" w:type="dxa"/>
              <w:bottom w:w="0" w:type="dxa"/>
              <w:right w:w="57"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2"/>
                <w:sz w:val="22"/>
                <w:szCs w:val="22"/>
                <w:highlight w:val="none"/>
                <w:lang w:val="en-US" w:eastAsia="zh-CN"/>
              </w:rPr>
              <w:t>4.1</w:t>
            </w:r>
            <w:r>
              <w:rPr>
                <w:rFonts w:hint="eastAsia" w:ascii="宋体" w:hAnsi="宋体" w:eastAsia="宋体" w:cs="宋体"/>
                <w:color w:val="auto"/>
                <w:sz w:val="22"/>
                <w:szCs w:val="22"/>
                <w:highlight w:val="none"/>
              </w:rPr>
              <w:t>项目负责人具有环境类</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eastAsia="zh-CN"/>
              </w:rPr>
              <w:t>化工类</w:t>
            </w:r>
            <w:r>
              <w:rPr>
                <w:rFonts w:hint="eastAsia" w:ascii="宋体" w:hAnsi="宋体" w:eastAsia="宋体" w:cs="宋体"/>
                <w:color w:val="auto"/>
                <w:sz w:val="22"/>
                <w:szCs w:val="22"/>
                <w:highlight w:val="none"/>
              </w:rPr>
              <w:t>技术职称</w:t>
            </w:r>
            <w:r>
              <w:rPr>
                <w:rFonts w:hint="eastAsia" w:ascii="宋体" w:hAnsi="宋体" w:eastAsia="宋体" w:cs="宋体"/>
                <w:color w:val="auto"/>
                <w:sz w:val="22"/>
                <w:szCs w:val="22"/>
                <w:highlight w:val="none"/>
                <w:lang w:val="en-US" w:eastAsia="zh-CN"/>
              </w:rPr>
              <w:t>的：正</w:t>
            </w:r>
            <w:r>
              <w:rPr>
                <w:rFonts w:hint="eastAsia" w:ascii="宋体" w:hAnsi="宋体" w:eastAsia="宋体" w:cs="宋体"/>
                <w:color w:val="auto"/>
                <w:sz w:val="22"/>
                <w:szCs w:val="22"/>
                <w:highlight w:val="none"/>
              </w:rPr>
              <w:t>高级工程师</w:t>
            </w:r>
            <w:r>
              <w:rPr>
                <w:rFonts w:hint="eastAsia" w:ascii="宋体" w:hAnsi="宋体" w:eastAsia="宋体" w:cs="宋体"/>
                <w:color w:val="auto"/>
                <w:sz w:val="22"/>
                <w:szCs w:val="22"/>
                <w:highlight w:val="none"/>
                <w:lang w:val="en-US" w:eastAsia="zh-CN"/>
              </w:rPr>
              <w:t>得2分，高级工程师得1分，其余不得分。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4.2 具有主持国家级项目经验的得4分；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4.3 获得国家级环境保护科学技术奖的得4分；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4.4 自2021年1月1日以来完成新污染物治理研究相关业绩的得3分（业绩所述的新污染物指</w:t>
            </w:r>
            <w:r>
              <w:rPr>
                <w:rFonts w:hint="eastAsia" w:ascii="宋体" w:hAnsi="宋体" w:eastAsia="宋体" w:cs="宋体"/>
                <w:i w:val="0"/>
                <w:iCs w:val="0"/>
                <w:caps w:val="0"/>
                <w:color w:val="auto"/>
                <w:spacing w:val="0"/>
                <w:sz w:val="22"/>
                <w:szCs w:val="22"/>
                <w:highlight w:val="none"/>
                <w:shd w:val="clear" w:fill="FFFFFF"/>
              </w:rPr>
              <w:t>持久性有机污染物（POPs）</w:t>
            </w:r>
            <w:r>
              <w:rPr>
                <w:rFonts w:hint="eastAsia" w:ascii="宋体" w:hAnsi="宋体" w:eastAsia="宋体" w:cs="宋体"/>
                <w:color w:val="auto"/>
                <w:sz w:val="22"/>
                <w:szCs w:val="2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注：①提供项目负责人相应证书扫描件加盖公章。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②提供项目负责人的社保证明：社保证明是指磋商响应截止时间前个人最近</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个月的社保缴费证明或其他能够证明参加社保的有效证明材料；若公司注册未满</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个月的，须出具书面说明。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③业绩证明材料须提供合同扫描件</w:t>
            </w:r>
            <w:r>
              <w:rPr>
                <w:rFonts w:hint="eastAsia" w:ascii="宋体" w:hAnsi="宋体" w:eastAsia="宋体" w:cs="宋体"/>
                <w:bCs/>
                <w:color w:val="auto"/>
                <w:kern w:val="2"/>
                <w:sz w:val="22"/>
                <w:szCs w:val="22"/>
                <w:highlight w:val="none"/>
                <w:lang w:eastAsia="zh-CN"/>
              </w:rPr>
              <w:t>加盖公章，或者提供合同和合同期内任一期发票扫描件加盖公章。业绩认定时间以合同签订时间为准。若业绩证明材料中</w:t>
            </w:r>
            <w:r>
              <w:rPr>
                <w:rFonts w:hint="eastAsia" w:ascii="宋体" w:hAnsi="宋体" w:eastAsia="宋体" w:cs="宋体"/>
                <w:bCs/>
                <w:color w:val="auto"/>
                <w:kern w:val="2"/>
                <w:sz w:val="22"/>
                <w:szCs w:val="22"/>
                <w:highlight w:val="none"/>
                <w:lang w:val="en-US" w:eastAsia="zh-CN"/>
              </w:rPr>
              <w:t>不能明确</w:t>
            </w:r>
            <w:r>
              <w:rPr>
                <w:rFonts w:hint="eastAsia" w:ascii="宋体" w:hAnsi="宋体" w:eastAsia="宋体" w:cs="宋体"/>
                <w:bCs/>
                <w:color w:val="auto"/>
                <w:kern w:val="2"/>
                <w:sz w:val="22"/>
                <w:szCs w:val="22"/>
                <w:highlight w:val="none"/>
                <w:lang w:eastAsia="zh-CN"/>
              </w:rPr>
              <w:t>体现项目负责人信息</w:t>
            </w:r>
            <w:r>
              <w:rPr>
                <w:rFonts w:hint="eastAsia" w:ascii="宋体" w:hAnsi="宋体" w:eastAsia="宋体" w:cs="宋体"/>
                <w:bCs/>
                <w:color w:val="auto"/>
                <w:kern w:val="2"/>
                <w:sz w:val="22"/>
                <w:szCs w:val="22"/>
                <w:highlight w:val="none"/>
                <w:lang w:val="en-US" w:eastAsia="zh-CN"/>
              </w:rPr>
              <w:t>或业绩特征的</w:t>
            </w:r>
            <w:r>
              <w:rPr>
                <w:rFonts w:hint="eastAsia" w:ascii="宋体" w:hAnsi="宋体" w:eastAsia="宋体" w:cs="宋体"/>
                <w:bCs/>
                <w:color w:val="auto"/>
                <w:kern w:val="2"/>
                <w:sz w:val="22"/>
                <w:szCs w:val="22"/>
                <w:highlight w:val="none"/>
                <w:lang w:eastAsia="zh-CN"/>
              </w:rPr>
              <w:t>，需另外提供业主证明材料并加盖公章，不提供或提供资料不齐的不得分。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630"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项目组其他成员配备情况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6分</w:t>
            </w:r>
            <w:r>
              <w:rPr>
                <w:rFonts w:hint="eastAsia" w:ascii="宋体" w:hAnsi="宋体" w:eastAsia="宋体" w:cs="宋体"/>
                <w:color w:val="auto"/>
                <w:sz w:val="22"/>
                <w:szCs w:val="22"/>
                <w:highlight w:val="none"/>
                <w:lang w:eastAsia="zh-CN"/>
              </w:rPr>
              <w:t>）</w:t>
            </w: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3599"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项目组成员</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除项目负责人外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资质情况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按下列情况打分：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具有环境影响评价工程师证书</w:t>
            </w:r>
            <w:r>
              <w:rPr>
                <w:rFonts w:hint="eastAsia" w:ascii="宋体" w:hAnsi="宋体" w:eastAsia="宋体" w:cs="宋体"/>
                <w:color w:val="auto"/>
                <w:sz w:val="22"/>
                <w:szCs w:val="22"/>
                <w:highlight w:val="none"/>
              </w:rPr>
              <w:t>的一个得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最高得3分；同时</w:t>
            </w:r>
            <w:r>
              <w:rPr>
                <w:rFonts w:hint="eastAsia" w:ascii="宋体" w:hAnsi="宋体" w:eastAsia="宋体" w:cs="宋体"/>
                <w:color w:val="auto"/>
                <w:sz w:val="22"/>
                <w:szCs w:val="22"/>
                <w:highlight w:val="none"/>
              </w:rPr>
              <w:t>具有环境类</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eastAsia="zh-CN"/>
              </w:rPr>
              <w:t>化工</w:t>
            </w:r>
            <w:r>
              <w:rPr>
                <w:rFonts w:hint="eastAsia" w:ascii="宋体" w:hAnsi="宋体" w:eastAsia="宋体" w:cs="宋体"/>
                <w:color w:val="auto"/>
                <w:sz w:val="22"/>
                <w:szCs w:val="22"/>
                <w:highlight w:val="none"/>
              </w:rPr>
              <w:t>类相关专业中级工程师技术职称</w:t>
            </w:r>
            <w:r>
              <w:rPr>
                <w:rFonts w:hint="eastAsia" w:ascii="宋体" w:hAnsi="宋体" w:eastAsia="宋体" w:cs="宋体"/>
                <w:color w:val="auto"/>
                <w:sz w:val="22"/>
                <w:szCs w:val="22"/>
                <w:highlight w:val="none"/>
                <w:lang w:val="en-US" w:eastAsia="zh-CN"/>
              </w:rPr>
              <w:t>的，每人加0.5分；同时</w:t>
            </w:r>
            <w:r>
              <w:rPr>
                <w:rFonts w:hint="eastAsia" w:ascii="宋体" w:hAnsi="宋体" w:eastAsia="宋体" w:cs="宋体"/>
                <w:color w:val="auto"/>
                <w:sz w:val="22"/>
                <w:szCs w:val="22"/>
                <w:highlight w:val="none"/>
              </w:rPr>
              <w:t>具有环境类</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eastAsia="zh-CN"/>
              </w:rPr>
              <w:t>化工</w:t>
            </w:r>
            <w:r>
              <w:rPr>
                <w:rFonts w:hint="eastAsia" w:ascii="宋体" w:hAnsi="宋体" w:eastAsia="宋体" w:cs="宋体"/>
                <w:color w:val="auto"/>
                <w:sz w:val="22"/>
                <w:szCs w:val="22"/>
                <w:highlight w:val="none"/>
              </w:rPr>
              <w:t>类相关专业</w:t>
            </w:r>
            <w:r>
              <w:rPr>
                <w:rFonts w:hint="eastAsia" w:ascii="宋体" w:hAnsi="宋体" w:eastAsia="宋体" w:cs="宋体"/>
                <w:color w:val="auto"/>
                <w:sz w:val="22"/>
                <w:szCs w:val="22"/>
                <w:highlight w:val="none"/>
                <w:lang w:val="en-US" w:eastAsia="zh-CN"/>
              </w:rPr>
              <w:t>高</w:t>
            </w:r>
            <w:r>
              <w:rPr>
                <w:rFonts w:hint="eastAsia" w:ascii="宋体" w:hAnsi="宋体" w:eastAsia="宋体" w:cs="宋体"/>
                <w:color w:val="auto"/>
                <w:sz w:val="22"/>
                <w:szCs w:val="22"/>
                <w:highlight w:val="none"/>
              </w:rPr>
              <w:t>级</w:t>
            </w:r>
            <w:r>
              <w:rPr>
                <w:rFonts w:hint="eastAsia" w:ascii="宋体" w:hAnsi="宋体" w:eastAsia="宋体" w:cs="宋体"/>
                <w:color w:val="auto"/>
                <w:sz w:val="22"/>
                <w:szCs w:val="22"/>
                <w:highlight w:val="none"/>
                <w:lang w:val="en-US" w:eastAsia="zh-CN"/>
              </w:rPr>
              <w:t>及以上</w:t>
            </w:r>
            <w:r>
              <w:rPr>
                <w:rFonts w:hint="eastAsia" w:ascii="宋体" w:hAnsi="宋体" w:eastAsia="宋体" w:cs="宋体"/>
                <w:color w:val="auto"/>
                <w:sz w:val="22"/>
                <w:szCs w:val="22"/>
                <w:highlight w:val="none"/>
              </w:rPr>
              <w:t>工程师技术职称</w:t>
            </w:r>
            <w:r>
              <w:rPr>
                <w:rFonts w:hint="eastAsia" w:ascii="宋体" w:hAnsi="宋体" w:eastAsia="宋体" w:cs="宋体"/>
                <w:color w:val="auto"/>
                <w:sz w:val="22"/>
                <w:szCs w:val="22"/>
                <w:highlight w:val="none"/>
                <w:lang w:val="en-US" w:eastAsia="zh-CN"/>
              </w:rPr>
              <w:t>的，每人加1分；本项最高得6分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注：①需提供</w:t>
            </w:r>
            <w:r>
              <w:rPr>
                <w:rFonts w:hint="eastAsia" w:ascii="宋体" w:hAnsi="宋体" w:cs="宋体"/>
                <w:color w:val="auto"/>
                <w:sz w:val="22"/>
                <w:szCs w:val="22"/>
                <w:highlight w:val="none"/>
                <w:lang w:val="en-US" w:eastAsia="zh-CN"/>
              </w:rPr>
              <w:t>相关</w:t>
            </w:r>
            <w:r>
              <w:rPr>
                <w:rFonts w:hint="eastAsia" w:ascii="宋体" w:hAnsi="宋体" w:eastAsia="宋体" w:cs="宋体"/>
                <w:color w:val="auto"/>
                <w:sz w:val="22"/>
                <w:szCs w:val="22"/>
                <w:highlight w:val="none"/>
              </w:rPr>
              <w:t>证书</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highlight w:val="none"/>
              </w:rPr>
              <w:t>扫描件并加盖公章。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②提供以上人员的社保证明：社保证明是指磋商响应截止时间前个人最近</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个月的社保缴费证明或其他能够证明参加社保的有效证明材料；若公司注册未满</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个月的，须出具书面说明。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③每人仅计取一次分数，以最高分计。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rPr>
              <w:t>④</w:t>
            </w:r>
            <w:r>
              <w:rPr>
                <w:rFonts w:hint="eastAsia" w:ascii="宋体" w:hAnsi="宋体" w:eastAsia="宋体" w:cs="宋体"/>
                <w:bCs/>
                <w:color w:val="auto"/>
                <w:kern w:val="2"/>
                <w:sz w:val="22"/>
                <w:szCs w:val="22"/>
                <w:highlight w:val="none"/>
                <w:lang w:eastAsia="zh-CN"/>
              </w:rPr>
              <w:t>扫描件加盖投标人公章或电子签章，不提供或提供资料不齐的不得分。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vMerge w:val="restar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630" w:type="pct"/>
            <w:vMerge w:val="restar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技术服务方案（42分）</w:t>
            </w: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3599" w:type="pct"/>
            <w:shd w:val="clear" w:color="auto" w:fill="auto"/>
            <w:noWrap w:val="0"/>
            <w:tcMar>
              <w:top w:w="0" w:type="dxa"/>
              <w:left w:w="57" w:type="dxa"/>
              <w:bottom w:w="0" w:type="dxa"/>
              <w:right w:w="57" w:type="dxa"/>
            </w:tcMar>
            <w:vAlign w:val="center"/>
          </w:tcPr>
          <w:p>
            <w:pPr>
              <w:pStyle w:val="2"/>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40" w:firstLineChars="20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6.1</w:t>
            </w:r>
            <w:r>
              <w:rPr>
                <w:rFonts w:hint="eastAsia" w:ascii="宋体" w:hAnsi="宋体" w:eastAsia="宋体" w:cs="宋体"/>
                <w:color w:val="auto"/>
                <w:kern w:val="0"/>
                <w:sz w:val="22"/>
                <w:szCs w:val="22"/>
                <w:highlight w:val="none"/>
              </w:rPr>
              <w:t>对本次项目背景、</w:t>
            </w:r>
            <w:r>
              <w:rPr>
                <w:rFonts w:hint="eastAsia" w:ascii="宋体" w:hAnsi="宋体" w:eastAsia="宋体" w:cs="宋体"/>
                <w:color w:val="auto"/>
                <w:kern w:val="0"/>
                <w:sz w:val="22"/>
                <w:szCs w:val="22"/>
                <w:highlight w:val="none"/>
                <w:lang w:val="en-US" w:eastAsia="zh-CN"/>
              </w:rPr>
              <w:t>试点建设</w:t>
            </w:r>
            <w:r>
              <w:rPr>
                <w:rFonts w:hint="eastAsia" w:ascii="宋体" w:hAnsi="宋体" w:eastAsia="宋体" w:cs="宋体"/>
                <w:color w:val="auto"/>
                <w:kern w:val="0"/>
                <w:sz w:val="22"/>
                <w:szCs w:val="22"/>
                <w:highlight w:val="none"/>
              </w:rPr>
              <w:t>任务等方面的分析理解。</w:t>
            </w:r>
          </w:p>
          <w:p>
            <w:pPr>
              <w:keepNext w:val="0"/>
              <w:keepLines w:val="0"/>
              <w:pageBreakBefore w:val="0"/>
              <w:numPr>
                <w:ilvl w:val="0"/>
                <w:numId w:val="17"/>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理解透彻，分析全面、到位，有利于任务开展</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分；</w:t>
            </w:r>
          </w:p>
          <w:p>
            <w:pPr>
              <w:keepNext w:val="0"/>
              <w:keepLines w:val="0"/>
              <w:pageBreakBefore w:val="0"/>
              <w:numPr>
                <w:ilvl w:val="0"/>
                <w:numId w:val="17"/>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理解分析基本正确到位，部分稍有欠缺</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w:t>
            </w:r>
          </w:p>
          <w:p>
            <w:pPr>
              <w:keepNext w:val="0"/>
              <w:keepLines w:val="0"/>
              <w:pageBreakBefore w:val="0"/>
              <w:numPr>
                <w:ilvl w:val="0"/>
                <w:numId w:val="17"/>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理解分析比较浅显欠缺的</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p>
            <w:pPr>
              <w:keepNext w:val="0"/>
              <w:keepLines w:val="0"/>
              <w:pageBreakBefore w:val="0"/>
              <w:numPr>
                <w:ilvl w:val="0"/>
                <w:numId w:val="17"/>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30"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3599" w:type="pct"/>
            <w:shd w:val="clear" w:color="auto" w:fill="auto"/>
            <w:noWrap w:val="0"/>
            <w:tcMar>
              <w:top w:w="0" w:type="dxa"/>
              <w:left w:w="57" w:type="dxa"/>
              <w:bottom w:w="0" w:type="dxa"/>
              <w:right w:w="57" w:type="dxa"/>
            </w:tcMar>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6.2</w:t>
            </w:r>
            <w:r>
              <w:rPr>
                <w:rFonts w:hint="eastAsia" w:ascii="宋体" w:hAnsi="宋体" w:eastAsia="宋体" w:cs="宋体"/>
                <w:color w:val="auto"/>
                <w:kern w:val="0"/>
                <w:sz w:val="22"/>
                <w:szCs w:val="22"/>
                <w:highlight w:val="none"/>
              </w:rPr>
              <w:t>对</w:t>
            </w:r>
            <w:r>
              <w:rPr>
                <w:rFonts w:hint="eastAsia" w:ascii="宋体" w:hAnsi="宋体" w:eastAsia="宋体" w:cs="宋体"/>
                <w:color w:val="auto"/>
                <w:sz w:val="22"/>
                <w:szCs w:val="22"/>
                <w:highlight w:val="none"/>
                <w:lang w:val="en-US" w:eastAsia="zh-CN"/>
              </w:rPr>
              <w:t>瓯海区</w:t>
            </w:r>
            <w:r>
              <w:rPr>
                <w:rFonts w:hint="eastAsia" w:ascii="宋体" w:hAnsi="宋体" w:eastAsia="宋体" w:cs="宋体"/>
                <w:color w:val="auto"/>
                <w:sz w:val="22"/>
                <w:szCs w:val="22"/>
                <w:highlight w:val="none"/>
              </w:rPr>
              <w:t>电镀</w:t>
            </w:r>
            <w:r>
              <w:rPr>
                <w:rFonts w:hint="eastAsia" w:ascii="宋体" w:hAnsi="宋体" w:eastAsia="宋体" w:cs="宋体"/>
                <w:color w:val="auto"/>
                <w:sz w:val="22"/>
                <w:szCs w:val="22"/>
                <w:highlight w:val="none"/>
                <w:lang w:val="en-US" w:eastAsia="zh-CN"/>
              </w:rPr>
              <w:t>行业基础状况及电镀行业新污染物PFOS防治工作</w:t>
            </w:r>
            <w:r>
              <w:rPr>
                <w:rFonts w:hint="eastAsia" w:ascii="宋体" w:hAnsi="宋体" w:eastAsia="宋体" w:cs="宋体"/>
                <w:color w:val="auto"/>
                <w:kern w:val="0"/>
                <w:sz w:val="22"/>
                <w:szCs w:val="22"/>
                <w:highlight w:val="none"/>
              </w:rPr>
              <w:t>的掌握和分析。</w:t>
            </w:r>
          </w:p>
          <w:p>
            <w:pPr>
              <w:keepNext w:val="0"/>
              <w:keepLines w:val="0"/>
              <w:pageBreakBefore w:val="0"/>
              <w:numPr>
                <w:ilvl w:val="0"/>
                <w:numId w:val="18"/>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对现状全面熟悉、充分掌握，相关分析科学合理、客观深入、详细到位，有利于项目实施</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分；</w:t>
            </w:r>
          </w:p>
          <w:p>
            <w:pPr>
              <w:keepNext w:val="0"/>
              <w:keepLines w:val="0"/>
              <w:pageBreakBefore w:val="0"/>
              <w:numPr>
                <w:ilvl w:val="0"/>
                <w:numId w:val="18"/>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对现状有一定的熟悉掌握，相关分析基本合理到位</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w:t>
            </w:r>
          </w:p>
          <w:p>
            <w:pPr>
              <w:keepNext w:val="0"/>
              <w:keepLines w:val="0"/>
              <w:pageBreakBefore w:val="0"/>
              <w:numPr>
                <w:ilvl w:val="0"/>
                <w:numId w:val="18"/>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熟悉掌握度较差，分析内容比较简单欠缺</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p>
            <w:pPr>
              <w:keepNext w:val="0"/>
              <w:keepLines w:val="0"/>
              <w:pageBreakBefore w:val="0"/>
              <w:numPr>
                <w:ilvl w:val="0"/>
                <w:numId w:val="18"/>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30"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3599" w:type="pct"/>
            <w:shd w:val="clear" w:color="auto" w:fill="auto"/>
            <w:noWrap w:val="0"/>
            <w:tcMar>
              <w:top w:w="0" w:type="dxa"/>
              <w:left w:w="57" w:type="dxa"/>
              <w:bottom w:w="0" w:type="dxa"/>
              <w:right w:w="57"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6.3</w:t>
            </w:r>
            <w:r>
              <w:rPr>
                <w:rFonts w:hint="eastAsia" w:ascii="宋体" w:hAnsi="宋体" w:eastAsia="宋体" w:cs="宋体"/>
                <w:color w:val="auto"/>
                <w:sz w:val="22"/>
                <w:szCs w:val="22"/>
                <w:highlight w:val="none"/>
              </w:rPr>
              <w:t>项目工作思路和方法</w:t>
            </w:r>
          </w:p>
          <w:p>
            <w:pPr>
              <w:keepNext w:val="0"/>
              <w:keepLines w:val="0"/>
              <w:pageBreakBefore w:val="0"/>
              <w:numPr>
                <w:ilvl w:val="0"/>
                <w:numId w:val="19"/>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应设计适合于本项目各项工作任务的工作思路和方法。工作思路清晰明确，方法科学合理规范、具体全面，可行性强的得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pPr>
              <w:keepNext w:val="0"/>
              <w:keepLines w:val="0"/>
              <w:pageBreakBefore w:val="0"/>
              <w:numPr>
                <w:ilvl w:val="0"/>
                <w:numId w:val="19"/>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工作思路和方法基本合理可行规范的得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pPr>
              <w:keepNext w:val="0"/>
              <w:keepLines w:val="0"/>
              <w:pageBreakBefore w:val="0"/>
              <w:numPr>
                <w:ilvl w:val="0"/>
                <w:numId w:val="19"/>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工作思路和方法描述简单，合理性可行性较欠缺的得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pPr>
              <w:keepNext w:val="0"/>
              <w:keepLines w:val="0"/>
              <w:pageBreakBefore w:val="0"/>
              <w:numPr>
                <w:ilvl w:val="0"/>
                <w:numId w:val="19"/>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30"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3599" w:type="pct"/>
            <w:shd w:val="clear" w:color="auto" w:fill="auto"/>
            <w:noWrap w:val="0"/>
            <w:tcMar>
              <w:top w:w="0" w:type="dxa"/>
              <w:left w:w="57" w:type="dxa"/>
              <w:bottom w:w="0" w:type="dxa"/>
              <w:right w:w="57"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6.4</w:t>
            </w:r>
            <w:r>
              <w:rPr>
                <w:rFonts w:hint="eastAsia" w:ascii="宋体" w:hAnsi="宋体" w:eastAsia="宋体" w:cs="宋体"/>
                <w:color w:val="auto"/>
                <w:sz w:val="22"/>
                <w:szCs w:val="22"/>
                <w:highlight w:val="none"/>
              </w:rPr>
              <w:t>项目成果设定</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提出对项目成果要求的整体理解及各技术成果的具体内容，根据理解及成果具体内容等进行评分。</w:t>
            </w:r>
          </w:p>
          <w:p>
            <w:pPr>
              <w:keepNext w:val="0"/>
              <w:keepLines w:val="0"/>
              <w:pageBreakBefore w:val="0"/>
              <w:numPr>
                <w:ilvl w:val="0"/>
                <w:numId w:val="2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对项目成果要求的整</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体理解准确到位，对成果的内容设计全面完整、逻辑清晰、重点突出，符合采购需求的得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pPr>
              <w:keepNext w:val="0"/>
              <w:keepLines w:val="0"/>
              <w:pageBreakBefore w:val="0"/>
              <w:numPr>
                <w:ilvl w:val="0"/>
                <w:numId w:val="2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理解基本到位，成果内容设计基本完整的得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pPr>
              <w:keepNext w:val="0"/>
              <w:keepLines w:val="0"/>
              <w:pageBreakBefore w:val="0"/>
              <w:numPr>
                <w:ilvl w:val="0"/>
                <w:numId w:val="2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理解较差，项目成果内容设计较为简单或不完整的得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pPr>
              <w:keepNext w:val="0"/>
              <w:keepLines w:val="0"/>
              <w:pageBreakBefore w:val="0"/>
              <w:numPr>
                <w:ilvl w:val="0"/>
                <w:numId w:val="2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630"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3599" w:type="pct"/>
            <w:shd w:val="clear" w:color="auto" w:fill="auto"/>
            <w:noWrap w:val="0"/>
            <w:tcMar>
              <w:top w:w="0" w:type="dxa"/>
              <w:left w:w="57" w:type="dxa"/>
              <w:bottom w:w="0" w:type="dxa"/>
              <w:right w:w="57"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6.5</w:t>
            </w:r>
            <w:r>
              <w:rPr>
                <w:rFonts w:hint="eastAsia" w:ascii="宋体" w:hAnsi="宋体" w:eastAsia="宋体" w:cs="宋体"/>
                <w:color w:val="auto"/>
                <w:sz w:val="22"/>
                <w:szCs w:val="22"/>
                <w:highlight w:val="none"/>
              </w:rPr>
              <w:t>质量控制管理措施</w:t>
            </w:r>
          </w:p>
          <w:p>
            <w:pPr>
              <w:keepNext w:val="0"/>
              <w:keepLines w:val="0"/>
              <w:pageBreakBefore w:val="0"/>
              <w:numPr>
                <w:ilvl w:val="0"/>
                <w:numId w:val="21"/>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各阶段工作质量控制管理措施科学、可行，质量保证体系完备周全，并具有针对性应对措施，有利于项目实施</w:t>
            </w:r>
            <w:r>
              <w:rPr>
                <w:rFonts w:hint="eastAsia" w:ascii="宋体" w:hAnsi="宋体" w:eastAsia="宋体" w:cs="宋体"/>
                <w:color w:val="auto"/>
                <w:sz w:val="22"/>
                <w:szCs w:val="22"/>
                <w:highlight w:val="none"/>
                <w:lang w:eastAsia="zh-CN"/>
              </w:rPr>
              <w:t>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pPr>
              <w:keepNext w:val="0"/>
              <w:keepLines w:val="0"/>
              <w:pageBreakBefore w:val="0"/>
              <w:numPr>
                <w:ilvl w:val="0"/>
                <w:numId w:val="21"/>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质量控制管理措施及质量保证体系基本完整，应对措施合理可行的得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pPr>
              <w:keepNext w:val="0"/>
              <w:keepLines w:val="0"/>
              <w:pageBreakBefore w:val="0"/>
              <w:numPr>
                <w:ilvl w:val="0"/>
                <w:numId w:val="21"/>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质量控制管理措施及质量保证体系较为简单，应对措施可行性较差的得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pPr>
              <w:keepNext w:val="0"/>
              <w:keepLines w:val="0"/>
              <w:pageBreakBefore w:val="0"/>
              <w:numPr>
                <w:ilvl w:val="0"/>
                <w:numId w:val="21"/>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p>
        </w:tc>
        <w:tc>
          <w:tcPr>
            <w:tcW w:w="630"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eastAsia="zh-CN"/>
              </w:rPr>
            </w:pP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3599" w:type="pct"/>
            <w:shd w:val="clear" w:color="auto" w:fill="auto"/>
            <w:noWrap w:val="0"/>
            <w:tcMar>
              <w:top w:w="0" w:type="dxa"/>
              <w:left w:w="57" w:type="dxa"/>
              <w:bottom w:w="0" w:type="dxa"/>
              <w:right w:w="57"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6.6</w:t>
            </w:r>
            <w:r>
              <w:rPr>
                <w:rFonts w:hint="eastAsia" w:ascii="宋体" w:hAnsi="宋体" w:eastAsia="宋体" w:cs="宋体"/>
                <w:color w:val="auto"/>
                <w:sz w:val="22"/>
                <w:szCs w:val="22"/>
                <w:highlight w:val="none"/>
              </w:rPr>
              <w:t>数据资料安全保密制度、措施</w:t>
            </w:r>
          </w:p>
          <w:p>
            <w:pPr>
              <w:keepNext w:val="0"/>
              <w:keepLines w:val="0"/>
              <w:pageBreakBefore w:val="0"/>
              <w:numPr>
                <w:ilvl w:val="0"/>
                <w:numId w:val="22"/>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安全保密制度完备周全，措施科学、合理、可行的得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pPr>
              <w:keepNext w:val="0"/>
              <w:keepLines w:val="0"/>
              <w:pageBreakBefore w:val="0"/>
              <w:numPr>
                <w:ilvl w:val="0"/>
                <w:numId w:val="22"/>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制度及保障措施基本完整、可行的得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pPr>
              <w:keepNext w:val="0"/>
              <w:keepLines w:val="0"/>
              <w:pageBreakBefore w:val="0"/>
              <w:numPr>
                <w:ilvl w:val="0"/>
                <w:numId w:val="22"/>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制度及保障措施简单，内容明显欠缺不足的得</w:t>
            </w:r>
            <w:r>
              <w:rPr>
                <w:rStyle w:val="131"/>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pPr>
              <w:keepNext w:val="0"/>
              <w:keepLines w:val="0"/>
              <w:pageBreakBefore w:val="0"/>
              <w:numPr>
                <w:ilvl w:val="0"/>
                <w:numId w:val="22"/>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400" w:firstLine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未提供的不得分</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p>
        </w:tc>
        <w:tc>
          <w:tcPr>
            <w:tcW w:w="630" w:type="pct"/>
            <w:vMerge w:val="continue"/>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eastAsia="zh-CN"/>
              </w:rPr>
            </w:pPr>
          </w:p>
        </w:tc>
        <w:tc>
          <w:tcPr>
            <w:tcW w:w="374" w:type="pct"/>
            <w:shd w:val="clear" w:color="auto" w:fill="auto"/>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3599" w:type="pct"/>
            <w:shd w:val="clear" w:color="auto" w:fill="auto"/>
            <w:noWrap w:val="0"/>
            <w:tcMar>
              <w:top w:w="0" w:type="dxa"/>
              <w:left w:w="57" w:type="dxa"/>
              <w:bottom w:w="0" w:type="dxa"/>
              <w:right w:w="57" w:type="dxa"/>
            </w:tcMar>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6.7</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val="en-US" w:eastAsia="zh-CN"/>
              </w:rPr>
              <w:t>实施</w:t>
            </w:r>
            <w:r>
              <w:rPr>
                <w:rFonts w:hint="eastAsia" w:ascii="宋体" w:hAnsi="宋体" w:eastAsia="宋体" w:cs="宋体"/>
                <w:color w:val="auto"/>
                <w:sz w:val="22"/>
                <w:szCs w:val="22"/>
                <w:highlight w:val="none"/>
              </w:rPr>
              <w:t>组织方案（包括项目组织管理、任务分工、人员整体配置及各阶段人员安排、设备资源投入</w:t>
            </w:r>
            <w:r>
              <w:rPr>
                <w:rFonts w:hint="eastAsia" w:ascii="宋体" w:hAnsi="宋体" w:eastAsia="宋体" w:cs="宋体"/>
                <w:color w:val="auto"/>
                <w:sz w:val="22"/>
                <w:szCs w:val="22"/>
                <w:highlight w:val="none"/>
                <w:lang w:val="en-US" w:eastAsia="zh-CN"/>
              </w:rPr>
              <w:t>以及</w:t>
            </w:r>
            <w:r>
              <w:rPr>
                <w:rFonts w:hint="eastAsia" w:ascii="宋体" w:hAnsi="宋体" w:eastAsia="宋体" w:cs="宋体"/>
                <w:color w:val="auto"/>
                <w:sz w:val="22"/>
                <w:szCs w:val="22"/>
                <w:highlight w:val="none"/>
              </w:rPr>
              <w:t>应急响应措施等）</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方案内容科学合理、完整具体，严谨规范，针对性强，满足采购人要求，有利于项目实施的得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方案基本完整、可行、规范的得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方案简单，可行性较差，内容明显欠缺不足的得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vMerge w:val="restar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strike w:val="0"/>
                <w:color w:val="auto"/>
                <w:sz w:val="22"/>
                <w:szCs w:val="22"/>
                <w:highlight w:val="none"/>
                <w:lang w:val="en-US" w:eastAsia="zh-CN"/>
              </w:rPr>
              <w:t>7</w:t>
            </w:r>
          </w:p>
        </w:tc>
        <w:tc>
          <w:tcPr>
            <w:tcW w:w="630" w:type="pct"/>
            <w:vMerge w:val="restar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strike/>
                <w:color w:val="auto"/>
                <w:sz w:val="22"/>
                <w:szCs w:val="22"/>
                <w:highlight w:val="none"/>
                <w:lang w:val="en-US" w:eastAsia="zh-CN"/>
              </w:rPr>
            </w:pPr>
            <w:r>
              <w:rPr>
                <w:rFonts w:hint="eastAsia" w:ascii="宋体" w:hAnsi="宋体" w:eastAsia="宋体" w:cs="宋体"/>
                <w:strike w:val="0"/>
                <w:color w:val="auto"/>
                <w:sz w:val="22"/>
                <w:szCs w:val="22"/>
                <w:highlight w:val="none"/>
                <w:lang w:val="en-US" w:eastAsia="zh-CN"/>
              </w:rPr>
              <w:t>服务响应及技术延伸服务能力（12分）</w:t>
            </w:r>
          </w:p>
        </w:tc>
        <w:tc>
          <w:tcPr>
            <w:tcW w:w="374"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strike/>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3599" w:type="pct"/>
            <w:noWrap w:val="0"/>
            <w:tcMar>
              <w:top w:w="0" w:type="dxa"/>
              <w:left w:w="57" w:type="dxa"/>
              <w:bottom w:w="0" w:type="dxa"/>
              <w:right w:w="57"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7.1</w:t>
            </w:r>
            <w:r>
              <w:rPr>
                <w:rFonts w:hint="eastAsia" w:ascii="宋体" w:hAnsi="宋体" w:eastAsia="宋体" w:cs="宋体"/>
                <w:color w:val="auto"/>
                <w:sz w:val="22"/>
                <w:szCs w:val="22"/>
                <w:highlight w:val="none"/>
              </w:rPr>
              <w:t>服务响应能力</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根据供应商设立的服务机构（以工商登记证明为准）能否提供快速便捷的服务响应能力综合评价打分。</w:t>
            </w:r>
          </w:p>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240" w:lineRule="auto"/>
              <w:ind w:left="400" w:leftChars="0" w:right="0" w:right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rPr>
              <w:t>能提供快速便捷的服务响应能力的得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240" w:lineRule="auto"/>
              <w:ind w:left="400" w:leftChars="0" w:right="0" w:rightChars="0"/>
              <w:jc w:val="both"/>
              <w:textAlignment w:val="auto"/>
              <w:rPr>
                <w:rFonts w:hint="eastAsia"/>
                <w:highlight w:val="none"/>
              </w:rPr>
            </w:pPr>
            <w:r>
              <w:rPr>
                <w:rFonts w:hint="eastAsia" w:ascii="宋体" w:hAnsi="宋体" w:eastAsia="宋体" w:cs="宋体"/>
                <w:color w:val="auto"/>
                <w:sz w:val="22"/>
                <w:szCs w:val="22"/>
                <w:highlight w:val="none"/>
                <w:lang w:val="en-US" w:eastAsia="zh-CN"/>
              </w:rPr>
              <w:t>②</w:t>
            </w:r>
            <w:r>
              <w:rPr>
                <w:rFonts w:hint="eastAsia" w:ascii="宋体" w:hAnsi="宋体" w:eastAsia="宋体" w:cs="宋体"/>
                <w:color w:val="auto"/>
                <w:sz w:val="22"/>
                <w:szCs w:val="22"/>
                <w:highlight w:val="none"/>
              </w:rPr>
              <w:t>服务响应能力</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lang w:eastAsia="zh-CN"/>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z w:val="22"/>
                <w:szCs w:val="22"/>
                <w:highlight w:val="none"/>
              </w:rPr>
              <w:t>服务响应能力较差的得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vMerge w:val="continue"/>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p>
        </w:tc>
        <w:tc>
          <w:tcPr>
            <w:tcW w:w="630" w:type="pct"/>
            <w:vMerge w:val="continue"/>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p>
        </w:tc>
        <w:tc>
          <w:tcPr>
            <w:tcW w:w="374"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3599" w:type="pct"/>
            <w:noWrap w:val="0"/>
            <w:tcMar>
              <w:top w:w="0" w:type="dxa"/>
              <w:left w:w="57" w:type="dxa"/>
              <w:bottom w:w="0" w:type="dxa"/>
              <w:right w:w="57" w:type="dxa"/>
            </w:tcMar>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7.2服务保障方案及技术支持延伸服务</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①能为本项目提供完善的项目全过程服务保障方案及技术支持延伸服务，能确保项目后期正常有序运行得6分；</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②服务保障方案及技术支持延伸服务较为一般得4分；</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③服务保障方案及技术支持延伸服务较不足的得2分；</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④未提供不得分。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5"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630"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业绩（1分）</w:t>
            </w:r>
          </w:p>
        </w:tc>
        <w:tc>
          <w:tcPr>
            <w:tcW w:w="374"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3599" w:type="pct"/>
            <w:noWrap w:val="0"/>
            <w:tcMar>
              <w:top w:w="0" w:type="dxa"/>
              <w:left w:w="57" w:type="dxa"/>
              <w:bottom w:w="0"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8.供应商自2021年1月1日以来完成新污染物治理研究相关业绩的得1分（业绩所述的新污染物指持久性有机污染物（POPs））</w:t>
            </w:r>
            <w:r>
              <w:rPr>
                <w:rFonts w:hint="eastAsia" w:ascii="宋体" w:hAnsi="宋体" w:eastAsia="宋体" w:cs="宋体"/>
                <w:color w:val="auto"/>
                <w:sz w:val="22"/>
                <w:szCs w:val="22"/>
                <w:highlight w:val="none"/>
                <w:lang w:eastAsia="zh-CN"/>
              </w:rPr>
              <w:t>。</w:t>
            </w:r>
          </w:p>
          <w:p>
            <w:pPr>
              <w:pStyle w:val="2"/>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bCs/>
                <w:color w:val="auto"/>
                <w:kern w:val="2"/>
                <w:sz w:val="22"/>
                <w:szCs w:val="22"/>
                <w:highlight w:val="none"/>
                <w:lang w:val="en-US" w:eastAsia="zh-CN"/>
              </w:rPr>
              <w:t>业绩证明材料须提供合同扫描件</w:t>
            </w:r>
            <w:r>
              <w:rPr>
                <w:rFonts w:hint="eastAsia" w:ascii="宋体" w:hAnsi="宋体" w:eastAsia="宋体" w:cs="宋体"/>
                <w:bCs/>
                <w:color w:val="auto"/>
                <w:kern w:val="2"/>
                <w:sz w:val="22"/>
                <w:szCs w:val="22"/>
                <w:highlight w:val="none"/>
                <w:lang w:eastAsia="zh-CN"/>
              </w:rPr>
              <w:t>加盖公章，或者提供合同和合同期内任一期发票扫描件加盖公章。业绩认定时间以合同签订时间为准。若业绩证明材料中</w:t>
            </w:r>
            <w:r>
              <w:rPr>
                <w:rFonts w:hint="eastAsia" w:ascii="宋体" w:hAnsi="宋体" w:eastAsia="宋体" w:cs="宋体"/>
                <w:bCs/>
                <w:color w:val="auto"/>
                <w:kern w:val="2"/>
                <w:sz w:val="22"/>
                <w:szCs w:val="22"/>
                <w:highlight w:val="none"/>
                <w:lang w:val="en-US" w:eastAsia="zh-CN"/>
              </w:rPr>
              <w:t>不能明确</w:t>
            </w:r>
            <w:r>
              <w:rPr>
                <w:rFonts w:hint="eastAsia" w:ascii="宋体" w:hAnsi="宋体" w:eastAsia="宋体" w:cs="宋体"/>
                <w:bCs/>
                <w:color w:val="auto"/>
                <w:kern w:val="2"/>
                <w:sz w:val="22"/>
                <w:szCs w:val="22"/>
                <w:highlight w:val="none"/>
                <w:lang w:eastAsia="zh-CN"/>
              </w:rPr>
              <w:t>体现</w:t>
            </w:r>
            <w:r>
              <w:rPr>
                <w:rFonts w:hint="eastAsia" w:ascii="宋体" w:hAnsi="宋体" w:eastAsia="宋体" w:cs="宋体"/>
                <w:bCs/>
                <w:color w:val="auto"/>
                <w:kern w:val="2"/>
                <w:sz w:val="22"/>
                <w:szCs w:val="22"/>
                <w:highlight w:val="none"/>
                <w:lang w:val="en-US" w:eastAsia="zh-CN"/>
              </w:rPr>
              <w:t>业绩特征的</w:t>
            </w:r>
            <w:r>
              <w:rPr>
                <w:rFonts w:hint="eastAsia" w:ascii="宋体" w:hAnsi="宋体" w:eastAsia="宋体" w:cs="宋体"/>
                <w:bCs/>
                <w:color w:val="auto"/>
                <w:kern w:val="2"/>
                <w:sz w:val="22"/>
                <w:szCs w:val="22"/>
                <w:highlight w:val="none"/>
                <w:lang w:eastAsia="zh-CN"/>
              </w:rPr>
              <w:t>，需另外提供业主证明材料并加盖公章，不提供或提供资料不齐的不得分。</w:t>
            </w:r>
          </w:p>
        </w:tc>
      </w:tr>
    </w:tbl>
    <w:p>
      <w:pPr>
        <w:spacing w:line="440" w:lineRule="exact"/>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价格评分（</w:t>
      </w:r>
      <w:r>
        <w:rPr>
          <w:rFonts w:hint="eastAsia" w:ascii="宋体" w:hAnsi="宋体" w:cs="宋体"/>
          <w:b/>
          <w:color w:val="auto"/>
          <w:sz w:val="22"/>
          <w:szCs w:val="22"/>
          <w:highlight w:val="none"/>
          <w:lang w:val="en-US" w:eastAsia="zh-CN"/>
        </w:rPr>
        <w:t>10</w:t>
      </w:r>
      <w:r>
        <w:rPr>
          <w:rFonts w:hint="eastAsia" w:ascii="宋体" w:hAnsi="宋体" w:cs="宋体"/>
          <w:b/>
          <w:color w:val="auto"/>
          <w:sz w:val="22"/>
          <w:szCs w:val="22"/>
          <w:highlight w:val="none"/>
        </w:rPr>
        <w:t>分）</w:t>
      </w:r>
      <w:r>
        <w:rPr>
          <w:rFonts w:hint="eastAsia" w:ascii="宋体" w:hAnsi="宋体" w:cs="宋体"/>
          <w:color w:val="auto"/>
          <w:sz w:val="22"/>
          <w:szCs w:val="22"/>
          <w:highlight w:val="none"/>
        </w:rPr>
        <w:t>：</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2.1  满足竞争性磋商文件要求且最后报价最低的报价为评标基准价。</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2.2  其他供应商的价格分统一按照下列公式计算：</w:t>
      </w:r>
    </w:p>
    <w:p>
      <w:pPr>
        <w:spacing w:line="42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磋商报价得分=（磋商基准价/最后磋商报价）×价格权值×100（四舍五入，保留小数点后2位）</w:t>
      </w:r>
    </w:p>
    <w:bookmarkEnd w:id="234"/>
    <w:bookmarkEnd w:id="235"/>
    <w:bookmarkEnd w:id="236"/>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3. ▲</w:t>
      </w:r>
      <w:r>
        <w:rPr>
          <w:rFonts w:hint="eastAsia" w:ascii="宋体" w:hAnsi="宋体" w:cs="宋体"/>
          <w:b/>
          <w:color w:val="auto"/>
          <w:sz w:val="22"/>
          <w:szCs w:val="22"/>
          <w:highlight w:val="none"/>
          <w:u w:val="single"/>
        </w:rPr>
        <w:t>如供应商最后报价超过采购预算 ，其响应文件作无效标处理。</w:t>
      </w:r>
    </w:p>
    <w:p>
      <w:pPr>
        <w:spacing w:line="440" w:lineRule="exact"/>
        <w:ind w:left="660"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4.   磋商小组根据综合评分情况，按照评审得分（即技术得分与最后报价得分之和）由高到低顺序推荐成交候选供应商（得分相同最后报价低的排序第一；得分且最后报价相同的，技术部分得分高的排序第一）</w:t>
      </w:r>
    </w:p>
    <w:p>
      <w:pPr>
        <w:spacing w:line="440" w:lineRule="exact"/>
        <w:ind w:left="663" w:hanging="663" w:hangingChars="300"/>
        <w:rPr>
          <w:rFonts w:ascii="宋体" w:hAnsi="宋体"/>
          <w:b/>
          <w:color w:val="auto"/>
          <w:sz w:val="22"/>
          <w:szCs w:val="22"/>
          <w:highlight w:val="none"/>
        </w:rPr>
      </w:pPr>
      <w:r>
        <w:rPr>
          <w:rFonts w:hint="eastAsia" w:ascii="宋体" w:hAnsi="宋体"/>
          <w:b/>
          <w:color w:val="auto"/>
          <w:sz w:val="22"/>
          <w:szCs w:val="22"/>
          <w:highlight w:val="none"/>
        </w:rPr>
        <w:t>五、定标办法</w:t>
      </w:r>
    </w:p>
    <w:p>
      <w:pPr>
        <w:spacing w:line="440" w:lineRule="exact"/>
        <w:ind w:left="439" w:leftChars="209"/>
        <w:rPr>
          <w:rFonts w:ascii="宋体" w:hAnsi="宋体"/>
          <w:color w:val="auto"/>
          <w:sz w:val="22"/>
          <w:szCs w:val="22"/>
          <w:highlight w:val="none"/>
        </w:rPr>
      </w:pPr>
      <w:r>
        <w:rPr>
          <w:rFonts w:hint="eastAsia" w:ascii="宋体" w:hAnsi="宋体"/>
          <w:color w:val="auto"/>
          <w:sz w:val="22"/>
          <w:szCs w:val="22"/>
          <w:highlight w:val="none"/>
        </w:rPr>
        <w:t>本次采购由磋商小组确定成交候选供应商</w:t>
      </w:r>
      <w:r>
        <w:rPr>
          <w:rFonts w:ascii="宋体" w:hAnsi="宋体"/>
          <w:color w:val="auto"/>
          <w:sz w:val="22"/>
          <w:szCs w:val="22"/>
          <w:highlight w:val="none"/>
        </w:rPr>
        <w:t>。</w:t>
      </w:r>
    </w:p>
    <w:p>
      <w:pPr>
        <w:tabs>
          <w:tab w:val="left" w:pos="1365"/>
        </w:tabs>
        <w:spacing w:line="460" w:lineRule="exact"/>
        <w:ind w:left="464" w:leftChars="221" w:firstLine="24" w:firstLineChars="11"/>
        <w:rPr>
          <w:rFonts w:ascii="宋体" w:hAnsi="宋体"/>
          <w:color w:val="auto"/>
          <w:sz w:val="22"/>
          <w:szCs w:val="22"/>
          <w:highlight w:val="none"/>
        </w:rPr>
      </w:pPr>
      <w:r>
        <w:rPr>
          <w:rFonts w:hint="eastAsia" w:ascii="宋体" w:hAnsi="宋体"/>
          <w:color w:val="auto"/>
          <w:sz w:val="22"/>
          <w:szCs w:val="22"/>
          <w:highlight w:val="none"/>
        </w:rPr>
        <w:t>若排名第一的成交候选供应商放弃成交；或因不可抗力提出不能履行合同；或未能在规定时间内与采购人签订合同的；或者经质疑，采购组织机构审查确因排名第一的候选供应商在本次采购活动中存在违法违规行为或其他原因使质疑成立的，采购人可以直接确定排名第二的候选供应商为成交供应商。以此类推。</w:t>
      </w:r>
      <w:r>
        <w:rPr>
          <w:rFonts w:ascii="宋体" w:hAnsi="宋体"/>
          <w:color w:val="auto"/>
          <w:sz w:val="22"/>
          <w:szCs w:val="22"/>
          <w:highlight w:val="none"/>
        </w:rPr>
        <w:t>如第</w:t>
      </w:r>
      <w:r>
        <w:rPr>
          <w:rFonts w:hint="eastAsia" w:ascii="宋体" w:hAnsi="宋体"/>
          <w:color w:val="auto"/>
          <w:sz w:val="22"/>
          <w:szCs w:val="22"/>
          <w:highlight w:val="none"/>
        </w:rPr>
        <w:t>三</w:t>
      </w:r>
      <w:r>
        <w:rPr>
          <w:rFonts w:ascii="宋体" w:hAnsi="宋体"/>
          <w:color w:val="auto"/>
          <w:sz w:val="22"/>
          <w:szCs w:val="22"/>
          <w:highlight w:val="none"/>
        </w:rPr>
        <w:t>成交候选</w:t>
      </w:r>
      <w:r>
        <w:rPr>
          <w:rFonts w:hint="eastAsia" w:ascii="宋体" w:hAnsi="宋体"/>
          <w:color w:val="auto"/>
          <w:sz w:val="22"/>
          <w:szCs w:val="22"/>
          <w:highlight w:val="none"/>
        </w:rPr>
        <w:t>供应商</w:t>
      </w:r>
      <w:r>
        <w:rPr>
          <w:rFonts w:ascii="宋体" w:hAnsi="宋体"/>
          <w:color w:val="auto"/>
          <w:sz w:val="22"/>
          <w:szCs w:val="22"/>
          <w:highlight w:val="none"/>
        </w:rPr>
        <w:t>因前款规定的同样原因不能签订合同的，本次</w:t>
      </w:r>
      <w:r>
        <w:rPr>
          <w:rFonts w:hint="eastAsia" w:ascii="宋体" w:hAnsi="宋体"/>
          <w:color w:val="auto"/>
          <w:sz w:val="22"/>
          <w:szCs w:val="22"/>
          <w:highlight w:val="none"/>
        </w:rPr>
        <w:t>采购</w:t>
      </w:r>
      <w:r>
        <w:rPr>
          <w:rFonts w:ascii="宋体" w:hAnsi="宋体"/>
          <w:color w:val="auto"/>
          <w:sz w:val="22"/>
          <w:szCs w:val="22"/>
          <w:highlight w:val="none"/>
        </w:rPr>
        <w:t>失败，重新组织</w:t>
      </w:r>
      <w:r>
        <w:rPr>
          <w:rFonts w:hint="eastAsia" w:ascii="宋体" w:hAnsi="宋体"/>
          <w:color w:val="auto"/>
          <w:sz w:val="22"/>
          <w:szCs w:val="22"/>
          <w:highlight w:val="none"/>
        </w:rPr>
        <w:t>采购</w:t>
      </w:r>
      <w:r>
        <w:rPr>
          <w:rFonts w:ascii="宋体" w:hAnsi="宋体"/>
          <w:color w:val="auto"/>
          <w:sz w:val="22"/>
          <w:szCs w:val="22"/>
          <w:highlight w:val="none"/>
        </w:rPr>
        <w:t>。</w:t>
      </w:r>
    </w:p>
    <w:p>
      <w:pPr>
        <w:pStyle w:val="15"/>
        <w:tabs>
          <w:tab w:val="left" w:pos="2115"/>
        </w:tabs>
        <w:adjustRightInd w:val="0"/>
        <w:snapToGrid w:val="0"/>
        <w:spacing w:line="440" w:lineRule="exact"/>
        <w:rPr>
          <w:rFonts w:ascii="宋体" w:hAnsi="宋体"/>
          <w:b/>
          <w:color w:val="auto"/>
          <w:sz w:val="22"/>
          <w:szCs w:val="22"/>
          <w:highlight w:val="none"/>
        </w:rPr>
      </w:pPr>
      <w:r>
        <w:rPr>
          <w:rFonts w:hint="eastAsia" w:ascii="宋体" w:hAnsi="宋体"/>
          <w:b/>
          <w:color w:val="auto"/>
          <w:sz w:val="22"/>
          <w:szCs w:val="22"/>
          <w:highlight w:val="none"/>
        </w:rPr>
        <w:t>六、确定成交供应商</w:t>
      </w:r>
    </w:p>
    <w:p>
      <w:pPr>
        <w:spacing w:line="440" w:lineRule="exact"/>
        <w:ind w:left="439" w:leftChars="209"/>
        <w:rPr>
          <w:rFonts w:ascii="宋体" w:hAnsi="宋体"/>
          <w:color w:val="auto"/>
          <w:sz w:val="22"/>
          <w:szCs w:val="22"/>
          <w:highlight w:val="none"/>
        </w:rPr>
      </w:pPr>
      <w:r>
        <w:rPr>
          <w:rFonts w:hint="eastAsia" w:ascii="宋体" w:hAnsi="宋体"/>
          <w:color w:val="auto"/>
          <w:sz w:val="22"/>
          <w:szCs w:val="22"/>
          <w:highlight w:val="none"/>
        </w:rPr>
        <w:t>磋商结束后，招标采购单位将在财政部门指定的政府采购信息发布媒体上公告</w:t>
      </w:r>
      <w:r>
        <w:rPr>
          <w:rFonts w:hint="eastAsia" w:ascii="宋体" w:hAnsi="宋体"/>
          <w:color w:val="auto"/>
          <w:sz w:val="22"/>
          <w:szCs w:val="22"/>
          <w:highlight w:val="none"/>
          <w:lang w:val="en-US" w:eastAsia="zh-CN"/>
        </w:rPr>
        <w:t>并公布《中小企业声明函》</w:t>
      </w:r>
      <w:r>
        <w:rPr>
          <w:rFonts w:hint="eastAsia" w:ascii="宋体" w:hAnsi="宋体"/>
          <w:color w:val="auto"/>
          <w:sz w:val="22"/>
          <w:szCs w:val="22"/>
          <w:highlight w:val="none"/>
        </w:rPr>
        <w:t>，同时向成交供应商发出成交通知书。</w:t>
      </w:r>
    </w:p>
    <w:p>
      <w:pPr>
        <w:pStyle w:val="15"/>
        <w:adjustRightInd w:val="0"/>
        <w:snapToGrid w:val="0"/>
        <w:spacing w:line="440" w:lineRule="exact"/>
        <w:rPr>
          <w:rFonts w:ascii="宋体" w:hAnsi="宋体"/>
          <w:b/>
          <w:color w:val="auto"/>
          <w:sz w:val="22"/>
          <w:szCs w:val="22"/>
          <w:highlight w:val="none"/>
        </w:rPr>
      </w:pPr>
      <w:r>
        <w:rPr>
          <w:rFonts w:hint="eastAsia" w:ascii="宋体" w:hAnsi="宋体"/>
          <w:b/>
          <w:color w:val="auto"/>
          <w:sz w:val="22"/>
          <w:szCs w:val="22"/>
          <w:highlight w:val="none"/>
        </w:rPr>
        <w:t>七、磋商供应商的义务</w:t>
      </w:r>
    </w:p>
    <w:p>
      <w:pPr>
        <w:spacing w:line="440" w:lineRule="exact"/>
        <w:ind w:left="439" w:leftChars="209"/>
        <w:rPr>
          <w:rFonts w:ascii="宋体" w:hAnsi="宋体"/>
          <w:b/>
          <w:bCs/>
          <w:color w:val="auto"/>
          <w:sz w:val="22"/>
          <w:szCs w:val="22"/>
          <w:highlight w:val="none"/>
        </w:rPr>
      </w:pPr>
      <w:r>
        <w:rPr>
          <w:rFonts w:hint="eastAsia" w:ascii="宋体" w:hAnsi="宋体"/>
          <w:color w:val="auto"/>
          <w:sz w:val="22"/>
          <w:szCs w:val="22"/>
          <w:highlight w:val="none"/>
        </w:rPr>
        <w:t>磋商供应商应随时接受磋商小组成员的询标，解答包括有关的技术问题等。</w:t>
      </w:r>
    </w:p>
    <w:p>
      <w:pPr>
        <w:rPr>
          <w:color w:val="auto"/>
          <w:highlight w:val="none"/>
        </w:rPr>
      </w:pPr>
    </w:p>
    <w:sectPr>
      <w:headerReference r:id="rId10" w:type="default"/>
      <w:footerReference r:id="rId11"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Helvetica Neue">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DaxPro-CondRegular">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2"/>
      </w:rPr>
    </w:pPr>
    <w:r>
      <w:fldChar w:fldCharType="begin"/>
    </w:r>
    <w:r>
      <w:rPr>
        <w:rStyle w:val="42"/>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separate"/>
    </w:r>
    <w:r>
      <w:rPr>
        <w:rStyle w:val="42"/>
      </w:rPr>
      <w:t>21</w: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separate"/>
    </w:r>
    <w:r>
      <w:rPr>
        <w:rStyle w:val="42"/>
      </w:rPr>
      <w:t>35</w: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24"/>
      </w:rPr>
    </w:pPr>
    <w:r>
      <w:rPr>
        <w:rFonts w:hint="eastAsia"/>
        <w:sz w:val="24"/>
      </w:rPr>
      <w:t>-</w:t>
    </w:r>
    <w:r>
      <w:rPr>
        <w:szCs w:val="21"/>
      </w:rPr>
      <w:t xml:space="preserve"> </w:t>
    </w:r>
    <w:r>
      <w:rPr>
        <w:szCs w:val="21"/>
      </w:rPr>
      <w:fldChar w:fldCharType="begin"/>
    </w:r>
    <w:r>
      <w:rPr>
        <w:szCs w:val="21"/>
      </w:rPr>
      <w:instrText xml:space="preserve">PAGE   \* MERGEFORMAT</w:instrText>
    </w:r>
    <w:r>
      <w:rPr>
        <w:szCs w:val="21"/>
      </w:rPr>
      <w:fldChar w:fldCharType="separate"/>
    </w:r>
    <w:r>
      <w:rPr>
        <w:szCs w:val="21"/>
        <w:lang w:val="zh-CN"/>
      </w:rPr>
      <w:t>53</w:t>
    </w:r>
    <w:r>
      <w:rPr>
        <w:szCs w:val="21"/>
      </w:rPr>
      <w:fldChar w:fldCharType="end"/>
    </w:r>
    <w:r>
      <w:rPr>
        <w:szCs w:val="21"/>
      </w:rPr>
      <w:t xml:space="preserve"> </w:t>
    </w:r>
    <w:r>
      <w:rPr>
        <w:rFonts w:hint="eastAsia"/>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D2025"/>
    <w:multiLevelType w:val="singleLevel"/>
    <w:tmpl w:val="93CD2025"/>
    <w:lvl w:ilvl="0" w:tentative="0">
      <w:start w:val="1"/>
      <w:numFmt w:val="chineseCounting"/>
      <w:suff w:val="nothing"/>
      <w:lvlText w:val="（%1）"/>
      <w:lvlJc w:val="left"/>
      <w:pPr>
        <w:ind w:left="0" w:firstLine="420"/>
      </w:pPr>
      <w:rPr>
        <w:rFonts w:hint="eastAsia"/>
      </w:rPr>
    </w:lvl>
  </w:abstractNum>
  <w:abstractNum w:abstractNumId="1">
    <w:nsid w:val="9CC6C291"/>
    <w:multiLevelType w:val="singleLevel"/>
    <w:tmpl w:val="9CC6C291"/>
    <w:lvl w:ilvl="0" w:tentative="0">
      <w:start w:val="1"/>
      <w:numFmt w:val="decimalEnclosedCircleChinese"/>
      <w:suff w:val="nothing"/>
      <w:lvlText w:val="%1　"/>
      <w:lvlJc w:val="left"/>
      <w:pPr>
        <w:ind w:left="0" w:firstLine="400"/>
      </w:pPr>
      <w:rPr>
        <w:rFonts w:hint="eastAsia"/>
      </w:rPr>
    </w:lvl>
  </w:abstractNum>
  <w:abstractNum w:abstractNumId="2">
    <w:nsid w:val="9F04AE3A"/>
    <w:multiLevelType w:val="singleLevel"/>
    <w:tmpl w:val="9F04AE3A"/>
    <w:lvl w:ilvl="0" w:tentative="0">
      <w:start w:val="1"/>
      <w:numFmt w:val="decimal"/>
      <w:suff w:val="nothing"/>
      <w:lvlText w:val="%1、"/>
      <w:lvlJc w:val="left"/>
      <w:pPr>
        <w:ind w:left="0" w:firstLine="403"/>
      </w:pPr>
      <w:rPr>
        <w:rFonts w:hint="default"/>
      </w:rPr>
    </w:lvl>
  </w:abstractNum>
  <w:abstractNum w:abstractNumId="3">
    <w:nsid w:val="B830270C"/>
    <w:multiLevelType w:val="singleLevel"/>
    <w:tmpl w:val="B830270C"/>
    <w:lvl w:ilvl="0" w:tentative="0">
      <w:start w:val="1"/>
      <w:numFmt w:val="decimalEnclosedCircleChinese"/>
      <w:suff w:val="nothing"/>
      <w:lvlText w:val="%1　"/>
      <w:lvlJc w:val="left"/>
      <w:pPr>
        <w:ind w:left="0" w:firstLine="400"/>
      </w:pPr>
      <w:rPr>
        <w:rFonts w:hint="eastAsia"/>
      </w:rPr>
    </w:lvl>
  </w:abstractNum>
  <w:abstractNum w:abstractNumId="4">
    <w:nsid w:val="C97FCA63"/>
    <w:multiLevelType w:val="singleLevel"/>
    <w:tmpl w:val="C97FCA63"/>
    <w:lvl w:ilvl="0" w:tentative="0">
      <w:start w:val="1"/>
      <w:numFmt w:val="decimalEnclosedCircleChinese"/>
      <w:suff w:val="nothing"/>
      <w:lvlText w:val="%1　"/>
      <w:lvlJc w:val="left"/>
      <w:pPr>
        <w:ind w:left="0" w:firstLine="400"/>
      </w:pPr>
      <w:rPr>
        <w:rFonts w:hint="eastAsia"/>
      </w:rPr>
    </w:lvl>
  </w:abstractNum>
  <w:abstractNum w:abstractNumId="5">
    <w:nsid w:val="CAB5723A"/>
    <w:multiLevelType w:val="singleLevel"/>
    <w:tmpl w:val="CAB5723A"/>
    <w:lvl w:ilvl="0" w:tentative="0">
      <w:start w:val="1"/>
      <w:numFmt w:val="decimal"/>
      <w:suff w:val="nothing"/>
      <w:lvlText w:val="%1、"/>
      <w:lvlJc w:val="left"/>
      <w:pPr>
        <w:ind w:left="0" w:firstLine="403"/>
      </w:pPr>
      <w:rPr>
        <w:rFonts w:hint="default"/>
      </w:rPr>
    </w:lvl>
  </w:abstractNum>
  <w:abstractNum w:abstractNumId="6">
    <w:nsid w:val="CDE8DE0B"/>
    <w:multiLevelType w:val="singleLevel"/>
    <w:tmpl w:val="CDE8DE0B"/>
    <w:lvl w:ilvl="0" w:tentative="0">
      <w:start w:val="1"/>
      <w:numFmt w:val="decimal"/>
      <w:pStyle w:val="145"/>
      <w:suff w:val="space"/>
      <w:lvlText w:val="%1."/>
      <w:lvlJc w:val="left"/>
    </w:lvl>
  </w:abstractNum>
  <w:abstractNum w:abstractNumId="7">
    <w:nsid w:val="DB7D5C9C"/>
    <w:multiLevelType w:val="multilevel"/>
    <w:tmpl w:val="DB7D5C9C"/>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34"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DF36A3D0"/>
    <w:multiLevelType w:val="singleLevel"/>
    <w:tmpl w:val="DF36A3D0"/>
    <w:lvl w:ilvl="0" w:tentative="0">
      <w:start w:val="1"/>
      <w:numFmt w:val="decimalEnclosedCircleChinese"/>
      <w:suff w:val="nothing"/>
      <w:lvlText w:val="%1　"/>
      <w:lvlJc w:val="left"/>
      <w:pPr>
        <w:ind w:left="0" w:firstLine="400"/>
      </w:pPr>
      <w:rPr>
        <w:rFonts w:hint="eastAsia"/>
      </w:rPr>
    </w:lvl>
  </w:abstractNum>
  <w:abstractNum w:abstractNumId="9">
    <w:nsid w:val="F15E4744"/>
    <w:multiLevelType w:val="singleLevel"/>
    <w:tmpl w:val="F15E4744"/>
    <w:lvl w:ilvl="0" w:tentative="0">
      <w:start w:val="1"/>
      <w:numFmt w:val="chineseCounting"/>
      <w:suff w:val="nothing"/>
      <w:lvlText w:val="（%1）"/>
      <w:lvlJc w:val="left"/>
      <w:pPr>
        <w:ind w:left="0" w:firstLine="420"/>
      </w:pPr>
      <w:rPr>
        <w:rFonts w:hint="eastAsia"/>
      </w:rPr>
    </w:lvl>
  </w:abstractNum>
  <w:abstractNum w:abstractNumId="10">
    <w:nsid w:val="0000001A"/>
    <w:multiLevelType w:val="multilevel"/>
    <w:tmpl w:val="0000001A"/>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34"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05235A09"/>
    <w:multiLevelType w:val="singleLevel"/>
    <w:tmpl w:val="05235A09"/>
    <w:lvl w:ilvl="0" w:tentative="0">
      <w:start w:val="2"/>
      <w:numFmt w:val="decimal"/>
      <w:lvlText w:val="%1."/>
      <w:lvlJc w:val="left"/>
      <w:pPr>
        <w:tabs>
          <w:tab w:val="left" w:pos="312"/>
        </w:tabs>
        <w:ind w:left="-2"/>
      </w:pPr>
    </w:lvl>
  </w:abstractNum>
  <w:abstractNum w:abstractNumId="12">
    <w:nsid w:val="08217DE9"/>
    <w:multiLevelType w:val="singleLevel"/>
    <w:tmpl w:val="08217DE9"/>
    <w:lvl w:ilvl="0" w:tentative="0">
      <w:start w:val="1"/>
      <w:numFmt w:val="decimalEnclosedCircleChinese"/>
      <w:suff w:val="nothing"/>
      <w:lvlText w:val="%1　"/>
      <w:lvlJc w:val="left"/>
      <w:pPr>
        <w:ind w:left="0" w:firstLine="400"/>
      </w:pPr>
      <w:rPr>
        <w:rFonts w:hint="eastAsia"/>
      </w:rPr>
    </w:lvl>
  </w:abstractNum>
  <w:abstractNum w:abstractNumId="13">
    <w:nsid w:val="142B1DDA"/>
    <w:multiLevelType w:val="singleLevel"/>
    <w:tmpl w:val="142B1DDA"/>
    <w:lvl w:ilvl="0" w:tentative="0">
      <w:start w:val="1"/>
      <w:numFmt w:val="decimal"/>
      <w:suff w:val="nothing"/>
      <w:lvlText w:val="%1、"/>
      <w:lvlJc w:val="left"/>
    </w:lvl>
  </w:abstractNum>
  <w:abstractNum w:abstractNumId="14">
    <w:nsid w:val="3845661A"/>
    <w:multiLevelType w:val="multilevel"/>
    <w:tmpl w:val="3845661A"/>
    <w:lvl w:ilvl="0" w:tentative="0">
      <w:start w:val="1"/>
      <w:numFmt w:val="decimal"/>
      <w:lvlText w:val="%1."/>
      <w:lvlJc w:val="left"/>
      <w:pPr>
        <w:ind w:left="420" w:hanging="420"/>
      </w:pPr>
      <w:rPr>
        <w:rFonts w:hint="eastAsia"/>
        <w:b w:val="0"/>
      </w:rPr>
    </w:lvl>
    <w:lvl w:ilvl="1" w:tentative="0">
      <w:start w:val="1"/>
      <w:numFmt w:val="japaneseCounting"/>
      <w:lvlText w:val="%2、"/>
      <w:lvlJc w:val="left"/>
      <w:pPr>
        <w:ind w:left="930" w:hanging="5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02F010C"/>
    <w:multiLevelType w:val="multilevel"/>
    <w:tmpl w:val="402F01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103A6E1"/>
    <w:multiLevelType w:val="singleLevel"/>
    <w:tmpl w:val="4103A6E1"/>
    <w:lvl w:ilvl="0" w:tentative="0">
      <w:start w:val="1"/>
      <w:numFmt w:val="decimal"/>
      <w:lvlText w:val="(%1)"/>
      <w:lvlJc w:val="left"/>
      <w:pPr>
        <w:ind w:left="425" w:hanging="425"/>
      </w:pPr>
      <w:rPr>
        <w:rFonts w:hint="default"/>
      </w:rPr>
    </w:lvl>
  </w:abstractNum>
  <w:abstractNum w:abstractNumId="17">
    <w:nsid w:val="5154E65B"/>
    <w:multiLevelType w:val="singleLevel"/>
    <w:tmpl w:val="5154E65B"/>
    <w:lvl w:ilvl="0" w:tentative="0">
      <w:start w:val="1"/>
      <w:numFmt w:val="decimal"/>
      <w:lvlText w:val="(%1)"/>
      <w:lvlJc w:val="left"/>
      <w:pPr>
        <w:ind w:left="425" w:hanging="425"/>
      </w:pPr>
      <w:rPr>
        <w:rFonts w:hint="default"/>
      </w:rPr>
    </w:lvl>
  </w:abstractNum>
  <w:abstractNum w:abstractNumId="18">
    <w:nsid w:val="5F2C2F1B"/>
    <w:multiLevelType w:val="singleLevel"/>
    <w:tmpl w:val="5F2C2F1B"/>
    <w:lvl w:ilvl="0" w:tentative="0">
      <w:start w:val="1"/>
      <w:numFmt w:val="chineseCounting"/>
      <w:suff w:val="nothing"/>
      <w:lvlText w:val="%1、"/>
      <w:lvlJc w:val="left"/>
      <w:pPr>
        <w:ind w:left="0" w:firstLine="420"/>
      </w:pPr>
      <w:rPr>
        <w:rFonts w:hint="eastAsia" w:ascii="宋体" w:hAnsi="宋体" w:eastAsia="宋体" w:cs="宋体"/>
        <w:b/>
        <w:bCs/>
        <w:sz w:val="24"/>
        <w:szCs w:val="24"/>
      </w:rPr>
    </w:lvl>
  </w:abstractNum>
  <w:abstractNum w:abstractNumId="19">
    <w:nsid w:val="68D9A7EE"/>
    <w:multiLevelType w:val="singleLevel"/>
    <w:tmpl w:val="68D9A7EE"/>
    <w:lvl w:ilvl="0" w:tentative="0">
      <w:start w:val="1"/>
      <w:numFmt w:val="chineseCounting"/>
      <w:suff w:val="nothing"/>
      <w:lvlText w:val="（%1）"/>
      <w:lvlJc w:val="left"/>
      <w:pPr>
        <w:ind w:left="0" w:firstLine="420"/>
      </w:pPr>
      <w:rPr>
        <w:rFonts w:hint="eastAsia"/>
      </w:rPr>
    </w:lvl>
  </w:abstractNum>
  <w:abstractNum w:abstractNumId="20">
    <w:nsid w:val="7338D299"/>
    <w:multiLevelType w:val="singleLevel"/>
    <w:tmpl w:val="7338D299"/>
    <w:lvl w:ilvl="0" w:tentative="0">
      <w:start w:val="1"/>
      <w:numFmt w:val="decimalEnclosedCircleChinese"/>
      <w:suff w:val="nothing"/>
      <w:lvlText w:val="%1　"/>
      <w:lvlJc w:val="left"/>
      <w:pPr>
        <w:ind w:left="0" w:firstLine="400"/>
      </w:pPr>
      <w:rPr>
        <w:rFonts w:hint="eastAsia"/>
      </w:rPr>
    </w:lvl>
  </w:abstractNum>
  <w:abstractNum w:abstractNumId="21">
    <w:nsid w:val="7FFED2E9"/>
    <w:multiLevelType w:val="singleLevel"/>
    <w:tmpl w:val="7FFED2E9"/>
    <w:lvl w:ilvl="0" w:tentative="0">
      <w:start w:val="5"/>
      <w:numFmt w:val="decimal"/>
      <w:suff w:val="nothing"/>
      <w:lvlText w:val="（%1）"/>
      <w:lvlJc w:val="left"/>
    </w:lvl>
  </w:abstractNum>
  <w:num w:numId="1">
    <w:abstractNumId w:val="6"/>
  </w:num>
  <w:num w:numId="2">
    <w:abstractNumId w:val="14"/>
  </w:num>
  <w:num w:numId="3">
    <w:abstractNumId w:val="10"/>
  </w:num>
  <w:num w:numId="4">
    <w:abstractNumId w:val="17"/>
  </w:num>
  <w:num w:numId="5">
    <w:abstractNumId w:val="5"/>
  </w:num>
  <w:num w:numId="6">
    <w:abstractNumId w:val="7"/>
  </w:num>
  <w:num w:numId="7">
    <w:abstractNumId w:val="19"/>
  </w:num>
  <w:num w:numId="8">
    <w:abstractNumId w:val="15"/>
  </w:num>
  <w:num w:numId="9">
    <w:abstractNumId w:val="11"/>
  </w:num>
  <w:num w:numId="10">
    <w:abstractNumId w:val="9"/>
  </w:num>
  <w:num w:numId="11">
    <w:abstractNumId w:val="21"/>
  </w:num>
  <w:num w:numId="12">
    <w:abstractNumId w:val="13"/>
  </w:num>
  <w:num w:numId="13">
    <w:abstractNumId w:val="16"/>
  </w:num>
  <w:num w:numId="14">
    <w:abstractNumId w:val="18"/>
  </w:num>
  <w:num w:numId="15">
    <w:abstractNumId w:val="0"/>
  </w:num>
  <w:num w:numId="16">
    <w:abstractNumId w:val="2"/>
  </w:num>
  <w:num w:numId="17">
    <w:abstractNumId w:val="1"/>
  </w:num>
  <w:num w:numId="18">
    <w:abstractNumId w:val="8"/>
  </w:num>
  <w:num w:numId="19">
    <w:abstractNumId w:val="4"/>
  </w:num>
  <w:num w:numId="20">
    <w:abstractNumId w:val="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Y2I1MTE0NzNiNDBhNzFlY2VmYjY5ZGY1ZDU4OWEifQ=="/>
  </w:docVars>
  <w:rsids>
    <w:rsidRoot w:val="008C27C9"/>
    <w:rsid w:val="00003815"/>
    <w:rsid w:val="00003E81"/>
    <w:rsid w:val="0000702C"/>
    <w:rsid w:val="0001723C"/>
    <w:rsid w:val="000176EF"/>
    <w:rsid w:val="00021FA0"/>
    <w:rsid w:val="00047A4B"/>
    <w:rsid w:val="00063155"/>
    <w:rsid w:val="00067A59"/>
    <w:rsid w:val="00067AF5"/>
    <w:rsid w:val="0007101A"/>
    <w:rsid w:val="00073FAB"/>
    <w:rsid w:val="0007607B"/>
    <w:rsid w:val="000B1A7B"/>
    <w:rsid w:val="000C325E"/>
    <w:rsid w:val="000C5670"/>
    <w:rsid w:val="000C6F45"/>
    <w:rsid w:val="000D3CD8"/>
    <w:rsid w:val="000D524A"/>
    <w:rsid w:val="000D700B"/>
    <w:rsid w:val="00116E9A"/>
    <w:rsid w:val="00120E06"/>
    <w:rsid w:val="00122054"/>
    <w:rsid w:val="00123DE9"/>
    <w:rsid w:val="00132CF4"/>
    <w:rsid w:val="00134455"/>
    <w:rsid w:val="00144DC0"/>
    <w:rsid w:val="0015013E"/>
    <w:rsid w:val="001636B8"/>
    <w:rsid w:val="001678DE"/>
    <w:rsid w:val="0016796D"/>
    <w:rsid w:val="00176681"/>
    <w:rsid w:val="00180FE6"/>
    <w:rsid w:val="0018248A"/>
    <w:rsid w:val="001A0187"/>
    <w:rsid w:val="001A208F"/>
    <w:rsid w:val="001A4E2F"/>
    <w:rsid w:val="001B70AA"/>
    <w:rsid w:val="001C4F44"/>
    <w:rsid w:val="001C6DA8"/>
    <w:rsid w:val="001D091E"/>
    <w:rsid w:val="001D5151"/>
    <w:rsid w:val="001F232A"/>
    <w:rsid w:val="001F54A1"/>
    <w:rsid w:val="002008EF"/>
    <w:rsid w:val="00203B3B"/>
    <w:rsid w:val="0020749A"/>
    <w:rsid w:val="00211CD1"/>
    <w:rsid w:val="00217084"/>
    <w:rsid w:val="00243CD9"/>
    <w:rsid w:val="0024493A"/>
    <w:rsid w:val="00256CE1"/>
    <w:rsid w:val="002611EB"/>
    <w:rsid w:val="0026501D"/>
    <w:rsid w:val="00270F07"/>
    <w:rsid w:val="002770D6"/>
    <w:rsid w:val="002B3FBC"/>
    <w:rsid w:val="002C0799"/>
    <w:rsid w:val="002C0E1D"/>
    <w:rsid w:val="002C3FFC"/>
    <w:rsid w:val="002C794F"/>
    <w:rsid w:val="002D01B3"/>
    <w:rsid w:val="002D1D59"/>
    <w:rsid w:val="002D2357"/>
    <w:rsid w:val="002D43CC"/>
    <w:rsid w:val="002D4F0E"/>
    <w:rsid w:val="002E4740"/>
    <w:rsid w:val="00302ECC"/>
    <w:rsid w:val="00303232"/>
    <w:rsid w:val="00314A8C"/>
    <w:rsid w:val="003158F7"/>
    <w:rsid w:val="00316B52"/>
    <w:rsid w:val="003251D3"/>
    <w:rsid w:val="00331787"/>
    <w:rsid w:val="003319CF"/>
    <w:rsid w:val="00343C1F"/>
    <w:rsid w:val="003568BB"/>
    <w:rsid w:val="00360240"/>
    <w:rsid w:val="00361C2A"/>
    <w:rsid w:val="00366BD3"/>
    <w:rsid w:val="00374187"/>
    <w:rsid w:val="00380909"/>
    <w:rsid w:val="00390C09"/>
    <w:rsid w:val="00396F31"/>
    <w:rsid w:val="003A5F5C"/>
    <w:rsid w:val="003A6130"/>
    <w:rsid w:val="003C01B4"/>
    <w:rsid w:val="003C5A1E"/>
    <w:rsid w:val="003C5ECF"/>
    <w:rsid w:val="003E62EE"/>
    <w:rsid w:val="003F15A4"/>
    <w:rsid w:val="00400573"/>
    <w:rsid w:val="004032B7"/>
    <w:rsid w:val="00413A1D"/>
    <w:rsid w:val="00415F29"/>
    <w:rsid w:val="00420B0C"/>
    <w:rsid w:val="00424DF0"/>
    <w:rsid w:val="00447AC4"/>
    <w:rsid w:val="00452D29"/>
    <w:rsid w:val="0046044E"/>
    <w:rsid w:val="00461A1E"/>
    <w:rsid w:val="004728B5"/>
    <w:rsid w:val="00480488"/>
    <w:rsid w:val="00482511"/>
    <w:rsid w:val="004834A4"/>
    <w:rsid w:val="004837F5"/>
    <w:rsid w:val="0049746C"/>
    <w:rsid w:val="004A04CD"/>
    <w:rsid w:val="004A0E6B"/>
    <w:rsid w:val="004A3472"/>
    <w:rsid w:val="004B1052"/>
    <w:rsid w:val="004B78F6"/>
    <w:rsid w:val="004D04CB"/>
    <w:rsid w:val="004D2017"/>
    <w:rsid w:val="004F1908"/>
    <w:rsid w:val="004F280D"/>
    <w:rsid w:val="004F3C2A"/>
    <w:rsid w:val="00500FCE"/>
    <w:rsid w:val="00505AE7"/>
    <w:rsid w:val="00506F63"/>
    <w:rsid w:val="00531C67"/>
    <w:rsid w:val="00541B6D"/>
    <w:rsid w:val="00542953"/>
    <w:rsid w:val="005556E3"/>
    <w:rsid w:val="00556D2A"/>
    <w:rsid w:val="005572A8"/>
    <w:rsid w:val="005600E6"/>
    <w:rsid w:val="0056078E"/>
    <w:rsid w:val="00564954"/>
    <w:rsid w:val="00576F96"/>
    <w:rsid w:val="00587717"/>
    <w:rsid w:val="005906C7"/>
    <w:rsid w:val="00596C28"/>
    <w:rsid w:val="005A761D"/>
    <w:rsid w:val="005B26F2"/>
    <w:rsid w:val="005B4538"/>
    <w:rsid w:val="005C73E6"/>
    <w:rsid w:val="005D640D"/>
    <w:rsid w:val="005D65EE"/>
    <w:rsid w:val="005E3064"/>
    <w:rsid w:val="005E7215"/>
    <w:rsid w:val="005F4A15"/>
    <w:rsid w:val="00606F6C"/>
    <w:rsid w:val="00610D9C"/>
    <w:rsid w:val="00613661"/>
    <w:rsid w:val="00620977"/>
    <w:rsid w:val="0063309A"/>
    <w:rsid w:val="0065561C"/>
    <w:rsid w:val="0066197E"/>
    <w:rsid w:val="00663A80"/>
    <w:rsid w:val="006706F0"/>
    <w:rsid w:val="00680F37"/>
    <w:rsid w:val="00697B13"/>
    <w:rsid w:val="006A3368"/>
    <w:rsid w:val="006A6457"/>
    <w:rsid w:val="006B11A2"/>
    <w:rsid w:val="006B1FFC"/>
    <w:rsid w:val="006B44B5"/>
    <w:rsid w:val="006C4EF2"/>
    <w:rsid w:val="006D4569"/>
    <w:rsid w:val="006D45CC"/>
    <w:rsid w:val="006D6E0F"/>
    <w:rsid w:val="006D7EAA"/>
    <w:rsid w:val="006E2866"/>
    <w:rsid w:val="00703724"/>
    <w:rsid w:val="007104FD"/>
    <w:rsid w:val="00716A3B"/>
    <w:rsid w:val="007235F8"/>
    <w:rsid w:val="00730BB0"/>
    <w:rsid w:val="00732907"/>
    <w:rsid w:val="00743D42"/>
    <w:rsid w:val="00750957"/>
    <w:rsid w:val="00751A80"/>
    <w:rsid w:val="00776326"/>
    <w:rsid w:val="007813FC"/>
    <w:rsid w:val="00783B9C"/>
    <w:rsid w:val="007900D6"/>
    <w:rsid w:val="0079784A"/>
    <w:rsid w:val="007A32C3"/>
    <w:rsid w:val="007A4E4D"/>
    <w:rsid w:val="007A6E7D"/>
    <w:rsid w:val="007B2E44"/>
    <w:rsid w:val="007B302F"/>
    <w:rsid w:val="007B6648"/>
    <w:rsid w:val="007C58EC"/>
    <w:rsid w:val="007C78DD"/>
    <w:rsid w:val="007D346C"/>
    <w:rsid w:val="007D474B"/>
    <w:rsid w:val="007D695D"/>
    <w:rsid w:val="007D79B1"/>
    <w:rsid w:val="007E02F6"/>
    <w:rsid w:val="007E57F7"/>
    <w:rsid w:val="007F2A8C"/>
    <w:rsid w:val="007F5790"/>
    <w:rsid w:val="007F6BEC"/>
    <w:rsid w:val="008004E1"/>
    <w:rsid w:val="008072F3"/>
    <w:rsid w:val="0082083D"/>
    <w:rsid w:val="008229A4"/>
    <w:rsid w:val="00825E78"/>
    <w:rsid w:val="00842186"/>
    <w:rsid w:val="00847229"/>
    <w:rsid w:val="00854C6A"/>
    <w:rsid w:val="00882D0D"/>
    <w:rsid w:val="00884404"/>
    <w:rsid w:val="00887FF3"/>
    <w:rsid w:val="00894585"/>
    <w:rsid w:val="00895FA7"/>
    <w:rsid w:val="008A276B"/>
    <w:rsid w:val="008A6E44"/>
    <w:rsid w:val="008B3D7A"/>
    <w:rsid w:val="008B5726"/>
    <w:rsid w:val="008C0FC5"/>
    <w:rsid w:val="008C23BD"/>
    <w:rsid w:val="008C27C9"/>
    <w:rsid w:val="008C4BF4"/>
    <w:rsid w:val="008D0417"/>
    <w:rsid w:val="008D0440"/>
    <w:rsid w:val="008D219B"/>
    <w:rsid w:val="008E557C"/>
    <w:rsid w:val="008E5B42"/>
    <w:rsid w:val="00900587"/>
    <w:rsid w:val="009077F4"/>
    <w:rsid w:val="009164FA"/>
    <w:rsid w:val="00926966"/>
    <w:rsid w:val="0094299A"/>
    <w:rsid w:val="00942A45"/>
    <w:rsid w:val="00947353"/>
    <w:rsid w:val="00970031"/>
    <w:rsid w:val="00973D0B"/>
    <w:rsid w:val="009809D3"/>
    <w:rsid w:val="009853F4"/>
    <w:rsid w:val="00990E66"/>
    <w:rsid w:val="009A4412"/>
    <w:rsid w:val="009A46BE"/>
    <w:rsid w:val="009A6D47"/>
    <w:rsid w:val="009A6D7B"/>
    <w:rsid w:val="009A78F0"/>
    <w:rsid w:val="009B15FF"/>
    <w:rsid w:val="009B1C5C"/>
    <w:rsid w:val="009B4B04"/>
    <w:rsid w:val="009D2B65"/>
    <w:rsid w:val="009F2294"/>
    <w:rsid w:val="009F35D9"/>
    <w:rsid w:val="009F61BD"/>
    <w:rsid w:val="00A00827"/>
    <w:rsid w:val="00A00C55"/>
    <w:rsid w:val="00A03C5E"/>
    <w:rsid w:val="00A05476"/>
    <w:rsid w:val="00A11614"/>
    <w:rsid w:val="00A12DFF"/>
    <w:rsid w:val="00A132E7"/>
    <w:rsid w:val="00A14944"/>
    <w:rsid w:val="00A21871"/>
    <w:rsid w:val="00A256A6"/>
    <w:rsid w:val="00A25E98"/>
    <w:rsid w:val="00A41E22"/>
    <w:rsid w:val="00A4527D"/>
    <w:rsid w:val="00A46EC4"/>
    <w:rsid w:val="00A47A9F"/>
    <w:rsid w:val="00A551BD"/>
    <w:rsid w:val="00A55F96"/>
    <w:rsid w:val="00A62D70"/>
    <w:rsid w:val="00A668E9"/>
    <w:rsid w:val="00A67C60"/>
    <w:rsid w:val="00A71346"/>
    <w:rsid w:val="00A84BEE"/>
    <w:rsid w:val="00AA56A9"/>
    <w:rsid w:val="00AB7631"/>
    <w:rsid w:val="00AC30F9"/>
    <w:rsid w:val="00AC73C5"/>
    <w:rsid w:val="00AC7586"/>
    <w:rsid w:val="00AD1951"/>
    <w:rsid w:val="00AD548F"/>
    <w:rsid w:val="00AF4FD1"/>
    <w:rsid w:val="00AF5086"/>
    <w:rsid w:val="00AF518B"/>
    <w:rsid w:val="00AF5562"/>
    <w:rsid w:val="00AF5A0A"/>
    <w:rsid w:val="00B207BD"/>
    <w:rsid w:val="00B22FF1"/>
    <w:rsid w:val="00B26530"/>
    <w:rsid w:val="00B33277"/>
    <w:rsid w:val="00B42B48"/>
    <w:rsid w:val="00B43531"/>
    <w:rsid w:val="00B51D95"/>
    <w:rsid w:val="00B70F97"/>
    <w:rsid w:val="00B778BD"/>
    <w:rsid w:val="00B77D29"/>
    <w:rsid w:val="00B8201A"/>
    <w:rsid w:val="00B83018"/>
    <w:rsid w:val="00B843E4"/>
    <w:rsid w:val="00B879B6"/>
    <w:rsid w:val="00B90038"/>
    <w:rsid w:val="00B92E55"/>
    <w:rsid w:val="00B9349D"/>
    <w:rsid w:val="00B952F1"/>
    <w:rsid w:val="00BA51F1"/>
    <w:rsid w:val="00BA6408"/>
    <w:rsid w:val="00BC0906"/>
    <w:rsid w:val="00BC7C1E"/>
    <w:rsid w:val="00BD4B8B"/>
    <w:rsid w:val="00BE3401"/>
    <w:rsid w:val="00BE7AF2"/>
    <w:rsid w:val="00BF4ED7"/>
    <w:rsid w:val="00BF517D"/>
    <w:rsid w:val="00C10965"/>
    <w:rsid w:val="00C11AD7"/>
    <w:rsid w:val="00C15DF3"/>
    <w:rsid w:val="00C16B0E"/>
    <w:rsid w:val="00C17612"/>
    <w:rsid w:val="00C24147"/>
    <w:rsid w:val="00C33BE1"/>
    <w:rsid w:val="00C4016A"/>
    <w:rsid w:val="00C77A95"/>
    <w:rsid w:val="00C82D1B"/>
    <w:rsid w:val="00C8527A"/>
    <w:rsid w:val="00C87262"/>
    <w:rsid w:val="00C913BA"/>
    <w:rsid w:val="00C95D46"/>
    <w:rsid w:val="00C968EF"/>
    <w:rsid w:val="00CA2BEF"/>
    <w:rsid w:val="00CA3CE1"/>
    <w:rsid w:val="00CA79E1"/>
    <w:rsid w:val="00CA7C28"/>
    <w:rsid w:val="00CC0D28"/>
    <w:rsid w:val="00CC4716"/>
    <w:rsid w:val="00CC68C8"/>
    <w:rsid w:val="00CD08FF"/>
    <w:rsid w:val="00CD1043"/>
    <w:rsid w:val="00CD20CA"/>
    <w:rsid w:val="00CD7A1C"/>
    <w:rsid w:val="00CE1046"/>
    <w:rsid w:val="00CE4796"/>
    <w:rsid w:val="00CE79EA"/>
    <w:rsid w:val="00CF3BDF"/>
    <w:rsid w:val="00CF6149"/>
    <w:rsid w:val="00CF6BEA"/>
    <w:rsid w:val="00D06ABD"/>
    <w:rsid w:val="00D073CB"/>
    <w:rsid w:val="00D16F69"/>
    <w:rsid w:val="00D26CA0"/>
    <w:rsid w:val="00D40C21"/>
    <w:rsid w:val="00D4309E"/>
    <w:rsid w:val="00D63952"/>
    <w:rsid w:val="00D87110"/>
    <w:rsid w:val="00DA0053"/>
    <w:rsid w:val="00DA0DD2"/>
    <w:rsid w:val="00DA449F"/>
    <w:rsid w:val="00DA6572"/>
    <w:rsid w:val="00DB4F94"/>
    <w:rsid w:val="00DB61CF"/>
    <w:rsid w:val="00DC37EC"/>
    <w:rsid w:val="00DC3C96"/>
    <w:rsid w:val="00DC4D74"/>
    <w:rsid w:val="00DD00BF"/>
    <w:rsid w:val="00DE4BC9"/>
    <w:rsid w:val="00DF314D"/>
    <w:rsid w:val="00E02874"/>
    <w:rsid w:val="00E10786"/>
    <w:rsid w:val="00E14017"/>
    <w:rsid w:val="00E320E5"/>
    <w:rsid w:val="00E374BB"/>
    <w:rsid w:val="00E46982"/>
    <w:rsid w:val="00E54AFA"/>
    <w:rsid w:val="00E6238C"/>
    <w:rsid w:val="00E6677C"/>
    <w:rsid w:val="00E709BE"/>
    <w:rsid w:val="00E73FF2"/>
    <w:rsid w:val="00EA0F9E"/>
    <w:rsid w:val="00EA359C"/>
    <w:rsid w:val="00EA576D"/>
    <w:rsid w:val="00EB1216"/>
    <w:rsid w:val="00EB1E4E"/>
    <w:rsid w:val="00EC4625"/>
    <w:rsid w:val="00ED6E07"/>
    <w:rsid w:val="00EE424E"/>
    <w:rsid w:val="00F03C88"/>
    <w:rsid w:val="00F055F0"/>
    <w:rsid w:val="00F13FDB"/>
    <w:rsid w:val="00F1540A"/>
    <w:rsid w:val="00F21F5B"/>
    <w:rsid w:val="00F546D5"/>
    <w:rsid w:val="00F57355"/>
    <w:rsid w:val="00F60CE8"/>
    <w:rsid w:val="00F6658E"/>
    <w:rsid w:val="00F72588"/>
    <w:rsid w:val="00F74376"/>
    <w:rsid w:val="00F757FE"/>
    <w:rsid w:val="00F7631B"/>
    <w:rsid w:val="00F8070A"/>
    <w:rsid w:val="00F87429"/>
    <w:rsid w:val="00F913A1"/>
    <w:rsid w:val="00F9298F"/>
    <w:rsid w:val="00F97749"/>
    <w:rsid w:val="00FD2937"/>
    <w:rsid w:val="00FD5534"/>
    <w:rsid w:val="00FD6C39"/>
    <w:rsid w:val="00FE4328"/>
    <w:rsid w:val="00FF067D"/>
    <w:rsid w:val="00FF581B"/>
    <w:rsid w:val="010E1D01"/>
    <w:rsid w:val="01227D26"/>
    <w:rsid w:val="01273034"/>
    <w:rsid w:val="01560A81"/>
    <w:rsid w:val="02381238"/>
    <w:rsid w:val="02572DDA"/>
    <w:rsid w:val="02591E71"/>
    <w:rsid w:val="02704814"/>
    <w:rsid w:val="02722C97"/>
    <w:rsid w:val="02B408DE"/>
    <w:rsid w:val="02BD0D50"/>
    <w:rsid w:val="02BE6CD4"/>
    <w:rsid w:val="02CA4295"/>
    <w:rsid w:val="02E7623E"/>
    <w:rsid w:val="0359740D"/>
    <w:rsid w:val="035D4BCD"/>
    <w:rsid w:val="03E86970"/>
    <w:rsid w:val="040A2CF3"/>
    <w:rsid w:val="050F26A0"/>
    <w:rsid w:val="05D07CA1"/>
    <w:rsid w:val="06087CEC"/>
    <w:rsid w:val="061B0B61"/>
    <w:rsid w:val="06206FD6"/>
    <w:rsid w:val="06375A50"/>
    <w:rsid w:val="063874F0"/>
    <w:rsid w:val="06652463"/>
    <w:rsid w:val="067C5CE1"/>
    <w:rsid w:val="068C6996"/>
    <w:rsid w:val="069C4454"/>
    <w:rsid w:val="06C541DD"/>
    <w:rsid w:val="06D2010B"/>
    <w:rsid w:val="07616FE9"/>
    <w:rsid w:val="076D0B89"/>
    <w:rsid w:val="07727142"/>
    <w:rsid w:val="07833A80"/>
    <w:rsid w:val="07867489"/>
    <w:rsid w:val="07904FC3"/>
    <w:rsid w:val="07935E91"/>
    <w:rsid w:val="07FB50B6"/>
    <w:rsid w:val="0818381D"/>
    <w:rsid w:val="084A3B30"/>
    <w:rsid w:val="084D3C63"/>
    <w:rsid w:val="084D7BFF"/>
    <w:rsid w:val="086A6922"/>
    <w:rsid w:val="08CB54EC"/>
    <w:rsid w:val="08D864BC"/>
    <w:rsid w:val="093A6E9A"/>
    <w:rsid w:val="0A2E3B75"/>
    <w:rsid w:val="0A8F4885"/>
    <w:rsid w:val="0A911527"/>
    <w:rsid w:val="0B140787"/>
    <w:rsid w:val="0B2B3EBB"/>
    <w:rsid w:val="0B5331D2"/>
    <w:rsid w:val="0B600C6F"/>
    <w:rsid w:val="0BB52396"/>
    <w:rsid w:val="0BC55503"/>
    <w:rsid w:val="0CA4219B"/>
    <w:rsid w:val="0D187402"/>
    <w:rsid w:val="0D5600F3"/>
    <w:rsid w:val="0D5D663C"/>
    <w:rsid w:val="0D5E5ADD"/>
    <w:rsid w:val="0D753832"/>
    <w:rsid w:val="0D865DB0"/>
    <w:rsid w:val="0D8D7218"/>
    <w:rsid w:val="0D997327"/>
    <w:rsid w:val="0E047FE2"/>
    <w:rsid w:val="0E581EE1"/>
    <w:rsid w:val="0E5E5F11"/>
    <w:rsid w:val="0E611837"/>
    <w:rsid w:val="0E8C2847"/>
    <w:rsid w:val="0EA277D1"/>
    <w:rsid w:val="0F080EE8"/>
    <w:rsid w:val="0F185A84"/>
    <w:rsid w:val="0F1B6476"/>
    <w:rsid w:val="0FC24482"/>
    <w:rsid w:val="0FC771F5"/>
    <w:rsid w:val="0FF11C3B"/>
    <w:rsid w:val="0FFC5568"/>
    <w:rsid w:val="103B45E2"/>
    <w:rsid w:val="10DA76C8"/>
    <w:rsid w:val="10EB6BC4"/>
    <w:rsid w:val="113D1B81"/>
    <w:rsid w:val="11532054"/>
    <w:rsid w:val="12527DE3"/>
    <w:rsid w:val="12B5701B"/>
    <w:rsid w:val="12C92E0F"/>
    <w:rsid w:val="12F93E0B"/>
    <w:rsid w:val="130B4B50"/>
    <w:rsid w:val="135449E7"/>
    <w:rsid w:val="139B30F8"/>
    <w:rsid w:val="13A273AA"/>
    <w:rsid w:val="13E67974"/>
    <w:rsid w:val="14967A72"/>
    <w:rsid w:val="14AD2A3F"/>
    <w:rsid w:val="14C57BB8"/>
    <w:rsid w:val="14F52CEA"/>
    <w:rsid w:val="153D1434"/>
    <w:rsid w:val="15955F17"/>
    <w:rsid w:val="15E26A4A"/>
    <w:rsid w:val="16324051"/>
    <w:rsid w:val="16480C48"/>
    <w:rsid w:val="16ED7FED"/>
    <w:rsid w:val="16EF5C15"/>
    <w:rsid w:val="17727525"/>
    <w:rsid w:val="17A162C2"/>
    <w:rsid w:val="17FE19D4"/>
    <w:rsid w:val="18383245"/>
    <w:rsid w:val="188D1200"/>
    <w:rsid w:val="18A7673D"/>
    <w:rsid w:val="18AC1756"/>
    <w:rsid w:val="18C21471"/>
    <w:rsid w:val="18CC6C84"/>
    <w:rsid w:val="199E283B"/>
    <w:rsid w:val="19AC3B7F"/>
    <w:rsid w:val="1A3F7279"/>
    <w:rsid w:val="1AA21E8F"/>
    <w:rsid w:val="1B184E0C"/>
    <w:rsid w:val="1B333675"/>
    <w:rsid w:val="1BB619F1"/>
    <w:rsid w:val="1CA90011"/>
    <w:rsid w:val="1CDE65C2"/>
    <w:rsid w:val="1D600F21"/>
    <w:rsid w:val="1D8C4C39"/>
    <w:rsid w:val="1E4D585F"/>
    <w:rsid w:val="1E7E19F6"/>
    <w:rsid w:val="1E8A515F"/>
    <w:rsid w:val="1EEF687A"/>
    <w:rsid w:val="1F46459A"/>
    <w:rsid w:val="1F943E6C"/>
    <w:rsid w:val="1FEB1BE8"/>
    <w:rsid w:val="1FEC3451"/>
    <w:rsid w:val="1FFD1423"/>
    <w:rsid w:val="20581625"/>
    <w:rsid w:val="20953705"/>
    <w:rsid w:val="20B01A3E"/>
    <w:rsid w:val="20BD3F7E"/>
    <w:rsid w:val="20CC2805"/>
    <w:rsid w:val="20DA183B"/>
    <w:rsid w:val="20FE0493"/>
    <w:rsid w:val="215B2C56"/>
    <w:rsid w:val="21786743"/>
    <w:rsid w:val="218B6DCA"/>
    <w:rsid w:val="21EB6B45"/>
    <w:rsid w:val="223D0CE4"/>
    <w:rsid w:val="233C481F"/>
    <w:rsid w:val="234766B6"/>
    <w:rsid w:val="236208B8"/>
    <w:rsid w:val="23AB7677"/>
    <w:rsid w:val="23B074D6"/>
    <w:rsid w:val="23C50C57"/>
    <w:rsid w:val="240D651C"/>
    <w:rsid w:val="242A62C7"/>
    <w:rsid w:val="24301B27"/>
    <w:rsid w:val="24AE4D81"/>
    <w:rsid w:val="24B73684"/>
    <w:rsid w:val="24C826B3"/>
    <w:rsid w:val="24D04F5D"/>
    <w:rsid w:val="250B1EDD"/>
    <w:rsid w:val="258B4553"/>
    <w:rsid w:val="2593624D"/>
    <w:rsid w:val="25A730D6"/>
    <w:rsid w:val="25AE052B"/>
    <w:rsid w:val="25C114E5"/>
    <w:rsid w:val="25EB42DB"/>
    <w:rsid w:val="25F62D93"/>
    <w:rsid w:val="260B4CF3"/>
    <w:rsid w:val="261C077C"/>
    <w:rsid w:val="26667E05"/>
    <w:rsid w:val="266E4E1D"/>
    <w:rsid w:val="26727346"/>
    <w:rsid w:val="26AD4696"/>
    <w:rsid w:val="26AE115F"/>
    <w:rsid w:val="26C52A5A"/>
    <w:rsid w:val="27015C5E"/>
    <w:rsid w:val="27364FAB"/>
    <w:rsid w:val="27557352"/>
    <w:rsid w:val="27765E26"/>
    <w:rsid w:val="278A768B"/>
    <w:rsid w:val="281E3976"/>
    <w:rsid w:val="28356D7F"/>
    <w:rsid w:val="28B0722F"/>
    <w:rsid w:val="296D407C"/>
    <w:rsid w:val="298102B9"/>
    <w:rsid w:val="29820AB2"/>
    <w:rsid w:val="2A0767EC"/>
    <w:rsid w:val="2A42304B"/>
    <w:rsid w:val="2A9630A9"/>
    <w:rsid w:val="2B533AC2"/>
    <w:rsid w:val="2BAF1907"/>
    <w:rsid w:val="2BE71C57"/>
    <w:rsid w:val="2C5E0F49"/>
    <w:rsid w:val="2C84582E"/>
    <w:rsid w:val="2C99200B"/>
    <w:rsid w:val="2C9B25A9"/>
    <w:rsid w:val="2CD66FDA"/>
    <w:rsid w:val="2CE14AAD"/>
    <w:rsid w:val="2D260126"/>
    <w:rsid w:val="2D280D4E"/>
    <w:rsid w:val="2D2F7F1B"/>
    <w:rsid w:val="2D6524E5"/>
    <w:rsid w:val="2D691BEA"/>
    <w:rsid w:val="2D6A09F5"/>
    <w:rsid w:val="2D8023D5"/>
    <w:rsid w:val="2DA0146C"/>
    <w:rsid w:val="2E53754A"/>
    <w:rsid w:val="2E6E34C0"/>
    <w:rsid w:val="2E706004"/>
    <w:rsid w:val="2ED31DB0"/>
    <w:rsid w:val="2F26553F"/>
    <w:rsid w:val="2F541E27"/>
    <w:rsid w:val="2F6A25D9"/>
    <w:rsid w:val="2F76501A"/>
    <w:rsid w:val="2FE54C24"/>
    <w:rsid w:val="301A1495"/>
    <w:rsid w:val="308A44C2"/>
    <w:rsid w:val="30BA0288"/>
    <w:rsid w:val="30C644F5"/>
    <w:rsid w:val="30D47BB2"/>
    <w:rsid w:val="30D97BB4"/>
    <w:rsid w:val="30DC55DD"/>
    <w:rsid w:val="30F51895"/>
    <w:rsid w:val="30F8655D"/>
    <w:rsid w:val="310A7535"/>
    <w:rsid w:val="310D15A9"/>
    <w:rsid w:val="313D33AB"/>
    <w:rsid w:val="315A2315"/>
    <w:rsid w:val="31721CBC"/>
    <w:rsid w:val="31C43774"/>
    <w:rsid w:val="31C5122F"/>
    <w:rsid w:val="31CC276B"/>
    <w:rsid w:val="3216167B"/>
    <w:rsid w:val="32C50186"/>
    <w:rsid w:val="32CF33DA"/>
    <w:rsid w:val="32FFFAA9"/>
    <w:rsid w:val="33B9792B"/>
    <w:rsid w:val="33C53A72"/>
    <w:rsid w:val="33D15AD8"/>
    <w:rsid w:val="343F6271"/>
    <w:rsid w:val="347E4037"/>
    <w:rsid w:val="34B62974"/>
    <w:rsid w:val="354E140D"/>
    <w:rsid w:val="359A1CDF"/>
    <w:rsid w:val="36074928"/>
    <w:rsid w:val="363C7858"/>
    <w:rsid w:val="364A433A"/>
    <w:rsid w:val="36674731"/>
    <w:rsid w:val="367716B9"/>
    <w:rsid w:val="3678112F"/>
    <w:rsid w:val="367A6161"/>
    <w:rsid w:val="36B96FA2"/>
    <w:rsid w:val="371A61BE"/>
    <w:rsid w:val="37972F72"/>
    <w:rsid w:val="37977853"/>
    <w:rsid w:val="379A57EE"/>
    <w:rsid w:val="37AA3E4F"/>
    <w:rsid w:val="37D4051C"/>
    <w:rsid w:val="37FE3DCC"/>
    <w:rsid w:val="3847325B"/>
    <w:rsid w:val="38603DD8"/>
    <w:rsid w:val="38700C25"/>
    <w:rsid w:val="38DE6EE0"/>
    <w:rsid w:val="390D7D77"/>
    <w:rsid w:val="395E0592"/>
    <w:rsid w:val="39A22AAB"/>
    <w:rsid w:val="39AE6240"/>
    <w:rsid w:val="39B31FDC"/>
    <w:rsid w:val="39C91507"/>
    <w:rsid w:val="39D14805"/>
    <w:rsid w:val="3A6A7C6E"/>
    <w:rsid w:val="3A8D283C"/>
    <w:rsid w:val="3B640014"/>
    <w:rsid w:val="3B785EE0"/>
    <w:rsid w:val="3BA56AFA"/>
    <w:rsid w:val="3C187054"/>
    <w:rsid w:val="3C2A3D9A"/>
    <w:rsid w:val="3C475793"/>
    <w:rsid w:val="3C5A6395"/>
    <w:rsid w:val="3CD102DD"/>
    <w:rsid w:val="3CEF23A0"/>
    <w:rsid w:val="3D363643"/>
    <w:rsid w:val="3D626272"/>
    <w:rsid w:val="3D7347B4"/>
    <w:rsid w:val="3D995F73"/>
    <w:rsid w:val="3DDE0810"/>
    <w:rsid w:val="3DF64CAF"/>
    <w:rsid w:val="3E253AE4"/>
    <w:rsid w:val="3E30440F"/>
    <w:rsid w:val="3E432388"/>
    <w:rsid w:val="3E6601A8"/>
    <w:rsid w:val="3E877338"/>
    <w:rsid w:val="3E8B2FC1"/>
    <w:rsid w:val="3E9A56ED"/>
    <w:rsid w:val="3EEF3ADB"/>
    <w:rsid w:val="3EFB4F72"/>
    <w:rsid w:val="3F171F2A"/>
    <w:rsid w:val="3FD9519B"/>
    <w:rsid w:val="3FFC1C9B"/>
    <w:rsid w:val="404C4CD3"/>
    <w:rsid w:val="409502AE"/>
    <w:rsid w:val="409B2454"/>
    <w:rsid w:val="40AB0963"/>
    <w:rsid w:val="40CD7346"/>
    <w:rsid w:val="40FA39E5"/>
    <w:rsid w:val="41694F69"/>
    <w:rsid w:val="419F5D36"/>
    <w:rsid w:val="41D642A7"/>
    <w:rsid w:val="42797B66"/>
    <w:rsid w:val="432D5358"/>
    <w:rsid w:val="435A1AE2"/>
    <w:rsid w:val="441B2EFE"/>
    <w:rsid w:val="445D2BF8"/>
    <w:rsid w:val="446B1881"/>
    <w:rsid w:val="448A0E85"/>
    <w:rsid w:val="44A86E54"/>
    <w:rsid w:val="451D733B"/>
    <w:rsid w:val="452E2D5D"/>
    <w:rsid w:val="456A754E"/>
    <w:rsid w:val="46394CAF"/>
    <w:rsid w:val="463A5468"/>
    <w:rsid w:val="472B30B5"/>
    <w:rsid w:val="4732611D"/>
    <w:rsid w:val="47CE4125"/>
    <w:rsid w:val="482812C7"/>
    <w:rsid w:val="482F3353"/>
    <w:rsid w:val="485B1435"/>
    <w:rsid w:val="48AE7DC4"/>
    <w:rsid w:val="48C77C7C"/>
    <w:rsid w:val="48C87218"/>
    <w:rsid w:val="48D2515B"/>
    <w:rsid w:val="490E4BB3"/>
    <w:rsid w:val="492E6109"/>
    <w:rsid w:val="499F623C"/>
    <w:rsid w:val="49CA61F3"/>
    <w:rsid w:val="4A23799C"/>
    <w:rsid w:val="4A4C28F5"/>
    <w:rsid w:val="4AA80266"/>
    <w:rsid w:val="4AAC4602"/>
    <w:rsid w:val="4AD02D9B"/>
    <w:rsid w:val="4B02338F"/>
    <w:rsid w:val="4B37380C"/>
    <w:rsid w:val="4B430981"/>
    <w:rsid w:val="4B532509"/>
    <w:rsid w:val="4B624FEC"/>
    <w:rsid w:val="4B864F67"/>
    <w:rsid w:val="4B8B6E6A"/>
    <w:rsid w:val="4B9D0592"/>
    <w:rsid w:val="4BB64F1C"/>
    <w:rsid w:val="4BDA60D4"/>
    <w:rsid w:val="4C790677"/>
    <w:rsid w:val="4C8B389C"/>
    <w:rsid w:val="4CB465E9"/>
    <w:rsid w:val="4CED1FBD"/>
    <w:rsid w:val="4CF20DA4"/>
    <w:rsid w:val="4D215C4C"/>
    <w:rsid w:val="4E010110"/>
    <w:rsid w:val="4E565824"/>
    <w:rsid w:val="4EAC4016"/>
    <w:rsid w:val="4F8932FF"/>
    <w:rsid w:val="4FAB9C51"/>
    <w:rsid w:val="4FBF25DA"/>
    <w:rsid w:val="4FC338E3"/>
    <w:rsid w:val="4FCB6E53"/>
    <w:rsid w:val="50115F1A"/>
    <w:rsid w:val="501B2EF3"/>
    <w:rsid w:val="508575E4"/>
    <w:rsid w:val="50BB2978"/>
    <w:rsid w:val="51275ADC"/>
    <w:rsid w:val="513E569E"/>
    <w:rsid w:val="517B0470"/>
    <w:rsid w:val="51A90D1A"/>
    <w:rsid w:val="51AC505A"/>
    <w:rsid w:val="51EA5FC3"/>
    <w:rsid w:val="51F22633"/>
    <w:rsid w:val="526C44B3"/>
    <w:rsid w:val="52940424"/>
    <w:rsid w:val="52952D55"/>
    <w:rsid w:val="52A37C23"/>
    <w:rsid w:val="52BF0D54"/>
    <w:rsid w:val="536B2DB7"/>
    <w:rsid w:val="537361AA"/>
    <w:rsid w:val="53856110"/>
    <w:rsid w:val="53917AB2"/>
    <w:rsid w:val="53D8587D"/>
    <w:rsid w:val="54276B04"/>
    <w:rsid w:val="542B17FD"/>
    <w:rsid w:val="549C5320"/>
    <w:rsid w:val="54C535D3"/>
    <w:rsid w:val="54D1276A"/>
    <w:rsid w:val="54F85256"/>
    <w:rsid w:val="550F5611"/>
    <w:rsid w:val="559467A4"/>
    <w:rsid w:val="55D111BA"/>
    <w:rsid w:val="55DC3086"/>
    <w:rsid w:val="562E6E76"/>
    <w:rsid w:val="573A58F3"/>
    <w:rsid w:val="576A3C6F"/>
    <w:rsid w:val="576D5FDC"/>
    <w:rsid w:val="57C245EC"/>
    <w:rsid w:val="580F5357"/>
    <w:rsid w:val="58E73BAC"/>
    <w:rsid w:val="59510EDC"/>
    <w:rsid w:val="597035C6"/>
    <w:rsid w:val="598844BC"/>
    <w:rsid w:val="599042AB"/>
    <w:rsid w:val="5A3747DC"/>
    <w:rsid w:val="5A495A89"/>
    <w:rsid w:val="5A5138E7"/>
    <w:rsid w:val="5A827103"/>
    <w:rsid w:val="5A9F29C3"/>
    <w:rsid w:val="5B081AB1"/>
    <w:rsid w:val="5B1E2A81"/>
    <w:rsid w:val="5B6C0314"/>
    <w:rsid w:val="5B972B7F"/>
    <w:rsid w:val="5BB84803"/>
    <w:rsid w:val="5BC7098B"/>
    <w:rsid w:val="5C062FF9"/>
    <w:rsid w:val="5C444C5C"/>
    <w:rsid w:val="5CBD0E2A"/>
    <w:rsid w:val="5CD80E50"/>
    <w:rsid w:val="5D065A42"/>
    <w:rsid w:val="5D286355"/>
    <w:rsid w:val="5D58522F"/>
    <w:rsid w:val="5D636907"/>
    <w:rsid w:val="5D792B24"/>
    <w:rsid w:val="5DB346E3"/>
    <w:rsid w:val="5E0826D5"/>
    <w:rsid w:val="5E3919E0"/>
    <w:rsid w:val="5E7039A0"/>
    <w:rsid w:val="5E9912A5"/>
    <w:rsid w:val="5EDA0452"/>
    <w:rsid w:val="5EF01A3F"/>
    <w:rsid w:val="5F6B0B21"/>
    <w:rsid w:val="5F7F8159"/>
    <w:rsid w:val="5FCE4142"/>
    <w:rsid w:val="6014175D"/>
    <w:rsid w:val="60185DE6"/>
    <w:rsid w:val="60322513"/>
    <w:rsid w:val="608C1C3B"/>
    <w:rsid w:val="60966616"/>
    <w:rsid w:val="609D51F5"/>
    <w:rsid w:val="60B80EE9"/>
    <w:rsid w:val="60C30B72"/>
    <w:rsid w:val="6123035A"/>
    <w:rsid w:val="614918DA"/>
    <w:rsid w:val="617404C7"/>
    <w:rsid w:val="617D1D64"/>
    <w:rsid w:val="61834DEC"/>
    <w:rsid w:val="61B02D17"/>
    <w:rsid w:val="61B0587E"/>
    <w:rsid w:val="61BE3E36"/>
    <w:rsid w:val="61C64D10"/>
    <w:rsid w:val="621042B9"/>
    <w:rsid w:val="627855C9"/>
    <w:rsid w:val="630E06E5"/>
    <w:rsid w:val="637B2D57"/>
    <w:rsid w:val="63FA2DFB"/>
    <w:rsid w:val="6402195C"/>
    <w:rsid w:val="64024A60"/>
    <w:rsid w:val="64061BCF"/>
    <w:rsid w:val="640E50D9"/>
    <w:rsid w:val="644B1D3D"/>
    <w:rsid w:val="64F961E3"/>
    <w:rsid w:val="65790CC1"/>
    <w:rsid w:val="657D5F3D"/>
    <w:rsid w:val="6590274D"/>
    <w:rsid w:val="659C5887"/>
    <w:rsid w:val="659F7468"/>
    <w:rsid w:val="66140A56"/>
    <w:rsid w:val="66256A28"/>
    <w:rsid w:val="663410CD"/>
    <w:rsid w:val="66445FDB"/>
    <w:rsid w:val="66900A8A"/>
    <w:rsid w:val="66BD5B14"/>
    <w:rsid w:val="67075041"/>
    <w:rsid w:val="67337E11"/>
    <w:rsid w:val="673C7DC6"/>
    <w:rsid w:val="67893D92"/>
    <w:rsid w:val="67B84723"/>
    <w:rsid w:val="6800069B"/>
    <w:rsid w:val="683D3613"/>
    <w:rsid w:val="684A5182"/>
    <w:rsid w:val="687C07E7"/>
    <w:rsid w:val="688007EE"/>
    <w:rsid w:val="688247E5"/>
    <w:rsid w:val="68A954A6"/>
    <w:rsid w:val="68F71C1C"/>
    <w:rsid w:val="69453280"/>
    <w:rsid w:val="694A10A8"/>
    <w:rsid w:val="69A55AD1"/>
    <w:rsid w:val="69AF77E4"/>
    <w:rsid w:val="69B577B2"/>
    <w:rsid w:val="69D106BF"/>
    <w:rsid w:val="69DE6BC8"/>
    <w:rsid w:val="69FC7AAE"/>
    <w:rsid w:val="6A423C54"/>
    <w:rsid w:val="6A7B7076"/>
    <w:rsid w:val="6A9F256B"/>
    <w:rsid w:val="6AA42B0C"/>
    <w:rsid w:val="6AD20B92"/>
    <w:rsid w:val="6B170F7C"/>
    <w:rsid w:val="6B554DDA"/>
    <w:rsid w:val="6B94455C"/>
    <w:rsid w:val="6CAA0ACB"/>
    <w:rsid w:val="6D19441E"/>
    <w:rsid w:val="6D5911AE"/>
    <w:rsid w:val="6E05260D"/>
    <w:rsid w:val="6E2F2B58"/>
    <w:rsid w:val="6E311BA5"/>
    <w:rsid w:val="6E67531C"/>
    <w:rsid w:val="6EAB7D04"/>
    <w:rsid w:val="6EB9342B"/>
    <w:rsid w:val="6ED77270"/>
    <w:rsid w:val="6EEF14D4"/>
    <w:rsid w:val="6EF47F86"/>
    <w:rsid w:val="6EF57221"/>
    <w:rsid w:val="6F1D6760"/>
    <w:rsid w:val="6F3E2352"/>
    <w:rsid w:val="6F5E63AF"/>
    <w:rsid w:val="6F74650C"/>
    <w:rsid w:val="6FB60ECB"/>
    <w:rsid w:val="6FD81D0C"/>
    <w:rsid w:val="6FFFD2F4"/>
    <w:rsid w:val="700D682A"/>
    <w:rsid w:val="701E2184"/>
    <w:rsid w:val="70597666"/>
    <w:rsid w:val="705C72DA"/>
    <w:rsid w:val="705F4F1B"/>
    <w:rsid w:val="706910BC"/>
    <w:rsid w:val="70847436"/>
    <w:rsid w:val="70D7763F"/>
    <w:rsid w:val="711158A6"/>
    <w:rsid w:val="718E6B6E"/>
    <w:rsid w:val="71DF7D9B"/>
    <w:rsid w:val="71ED34A9"/>
    <w:rsid w:val="72041FF3"/>
    <w:rsid w:val="720F6228"/>
    <w:rsid w:val="72387B37"/>
    <w:rsid w:val="728B7234"/>
    <w:rsid w:val="72BD1480"/>
    <w:rsid w:val="72CE7DF1"/>
    <w:rsid w:val="73397B12"/>
    <w:rsid w:val="7347243C"/>
    <w:rsid w:val="734C2AC4"/>
    <w:rsid w:val="735A1EE0"/>
    <w:rsid w:val="73721452"/>
    <w:rsid w:val="73750DDD"/>
    <w:rsid w:val="73AC3A9F"/>
    <w:rsid w:val="73D3038D"/>
    <w:rsid w:val="73ED3495"/>
    <w:rsid w:val="748B625C"/>
    <w:rsid w:val="74AE6A13"/>
    <w:rsid w:val="750B1043"/>
    <w:rsid w:val="75610205"/>
    <w:rsid w:val="759157D4"/>
    <w:rsid w:val="759439D6"/>
    <w:rsid w:val="75DD2048"/>
    <w:rsid w:val="75DD38AD"/>
    <w:rsid w:val="75F75A5A"/>
    <w:rsid w:val="760C0946"/>
    <w:rsid w:val="7662678C"/>
    <w:rsid w:val="76705948"/>
    <w:rsid w:val="76A379BF"/>
    <w:rsid w:val="76B64FCE"/>
    <w:rsid w:val="76D07082"/>
    <w:rsid w:val="77274014"/>
    <w:rsid w:val="77392F5C"/>
    <w:rsid w:val="775A1CF3"/>
    <w:rsid w:val="77AE0675"/>
    <w:rsid w:val="77B04009"/>
    <w:rsid w:val="77C70B39"/>
    <w:rsid w:val="77C94B13"/>
    <w:rsid w:val="786B3FD9"/>
    <w:rsid w:val="78C665D8"/>
    <w:rsid w:val="78D1163F"/>
    <w:rsid w:val="78DF69FB"/>
    <w:rsid w:val="78E76ACB"/>
    <w:rsid w:val="790864B0"/>
    <w:rsid w:val="790972AC"/>
    <w:rsid w:val="7990530E"/>
    <w:rsid w:val="79921B58"/>
    <w:rsid w:val="79A0262F"/>
    <w:rsid w:val="7A0A5D3D"/>
    <w:rsid w:val="7A1B2202"/>
    <w:rsid w:val="7AFA2EEB"/>
    <w:rsid w:val="7B2B36DE"/>
    <w:rsid w:val="7B485806"/>
    <w:rsid w:val="7B5F20D2"/>
    <w:rsid w:val="7B731ADC"/>
    <w:rsid w:val="7BA746B1"/>
    <w:rsid w:val="7BB138A6"/>
    <w:rsid w:val="7BC736D0"/>
    <w:rsid w:val="7CA73C2D"/>
    <w:rsid w:val="7CE80F00"/>
    <w:rsid w:val="7D0C2572"/>
    <w:rsid w:val="7D102068"/>
    <w:rsid w:val="7D416725"/>
    <w:rsid w:val="7D8E6115"/>
    <w:rsid w:val="7DD558F3"/>
    <w:rsid w:val="7DDF344E"/>
    <w:rsid w:val="7DFF2DCC"/>
    <w:rsid w:val="7E011C89"/>
    <w:rsid w:val="7E257C27"/>
    <w:rsid w:val="7E4D4360"/>
    <w:rsid w:val="7E7415AA"/>
    <w:rsid w:val="7EAE25F0"/>
    <w:rsid w:val="7ECD5E4A"/>
    <w:rsid w:val="7F6F0306"/>
    <w:rsid w:val="7F9F4C97"/>
    <w:rsid w:val="7FBF0B38"/>
    <w:rsid w:val="7FDB25EE"/>
    <w:rsid w:val="7FE53F64"/>
    <w:rsid w:val="7FF308B5"/>
    <w:rsid w:val="7FFF9540"/>
    <w:rsid w:val="AACEFBFE"/>
    <w:rsid w:val="BCFFB521"/>
    <w:rsid w:val="BED77142"/>
    <w:rsid w:val="DE5FCE73"/>
    <w:rsid w:val="F3FFEAE7"/>
    <w:rsid w:val="F5FAEBD5"/>
    <w:rsid w:val="FF7BDCC6"/>
    <w:rsid w:val="FFAFC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2"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qFormat="1" w:unhideWhenUsed="0" w:uiPriority="99"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6"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6"/>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8"/>
    <w:qFormat/>
    <w:uiPriority w:val="0"/>
    <w:pPr>
      <w:keepNext/>
      <w:keepLines/>
      <w:spacing w:before="260" w:after="260" w:line="416" w:lineRule="auto"/>
      <w:outlineLvl w:val="2"/>
    </w:pPr>
    <w:rPr>
      <w:b/>
      <w:bCs/>
      <w:sz w:val="32"/>
      <w:szCs w:val="32"/>
    </w:rPr>
  </w:style>
  <w:style w:type="paragraph" w:styleId="7">
    <w:name w:val="heading 4"/>
    <w:basedOn w:val="1"/>
    <w:next w:val="1"/>
    <w:link w:val="49"/>
    <w:qFormat/>
    <w:uiPriority w:val="0"/>
    <w:pPr>
      <w:keepNext/>
      <w:keepLines/>
      <w:spacing w:line="377" w:lineRule="auto"/>
      <w:outlineLvl w:val="3"/>
    </w:pPr>
    <w:rPr>
      <w:rFonts w:ascii="Calibri Light" w:hAnsi="Calibri Light"/>
      <w:b/>
      <w:bCs/>
      <w:sz w:val="24"/>
      <w:szCs w:val="28"/>
    </w:rPr>
  </w:style>
  <w:style w:type="paragraph" w:styleId="8">
    <w:name w:val="heading 5"/>
    <w:basedOn w:val="1"/>
    <w:next w:val="1"/>
    <w:link w:val="50"/>
    <w:qFormat/>
    <w:uiPriority w:val="0"/>
    <w:pPr>
      <w:keepNext/>
      <w:keepLines/>
      <w:spacing w:before="280" w:after="290" w:line="376" w:lineRule="auto"/>
      <w:outlineLvl w:val="4"/>
    </w:pPr>
    <w:rPr>
      <w:b/>
      <w:bCs/>
      <w:color w:val="000000"/>
      <w:kern w:val="0"/>
      <w:sz w:val="28"/>
      <w:szCs w:val="28"/>
    </w:rPr>
  </w:style>
  <w:style w:type="paragraph" w:styleId="9">
    <w:name w:val="heading 6"/>
    <w:basedOn w:val="1"/>
    <w:next w:val="1"/>
    <w:link w:val="51"/>
    <w:qFormat/>
    <w:uiPriority w:val="0"/>
    <w:pPr>
      <w:keepNext/>
      <w:keepLines/>
      <w:spacing w:before="120" w:after="120" w:line="319" w:lineRule="auto"/>
      <w:outlineLvl w:val="5"/>
    </w:pPr>
    <w:rPr>
      <w:rFonts w:ascii="Calibri Light" w:hAnsi="Calibri Light" w:eastAsia="黑体"/>
      <w:b/>
      <w:bCs/>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link w:val="53"/>
    <w:qFormat/>
    <w:uiPriority w:val="6"/>
    <w:pPr>
      <w:spacing w:after="120"/>
      <w:ind w:left="420" w:leftChars="200"/>
    </w:pPr>
  </w:style>
  <w:style w:type="paragraph" w:styleId="10">
    <w:name w:val="toc 7"/>
    <w:basedOn w:val="1"/>
    <w:next w:val="1"/>
    <w:semiHidden/>
    <w:qFormat/>
    <w:uiPriority w:val="0"/>
    <w:pPr>
      <w:ind w:left="1260"/>
      <w:jc w:val="left"/>
    </w:pPr>
    <w:rPr>
      <w:sz w:val="18"/>
      <w:szCs w:val="18"/>
    </w:rPr>
  </w:style>
  <w:style w:type="paragraph" w:styleId="11">
    <w:name w:val="table of authorities"/>
    <w:basedOn w:val="1"/>
    <w:next w:val="1"/>
    <w:unhideWhenUsed/>
    <w:qFormat/>
    <w:uiPriority w:val="99"/>
    <w:pPr>
      <w:ind w:left="420" w:leftChars="200" w:firstLine="0"/>
    </w:pPr>
  </w:style>
  <w:style w:type="paragraph" w:styleId="12">
    <w:name w:val="Normal Indent"/>
    <w:basedOn w:val="1"/>
    <w:link w:val="52"/>
    <w:qFormat/>
    <w:uiPriority w:val="99"/>
    <w:pPr>
      <w:adjustRightInd w:val="0"/>
      <w:spacing w:line="312" w:lineRule="atLeast"/>
      <w:ind w:firstLine="420"/>
      <w:textAlignment w:val="baseline"/>
    </w:pPr>
  </w:style>
  <w:style w:type="paragraph" w:styleId="13">
    <w:name w:val="Document Map"/>
    <w:basedOn w:val="1"/>
    <w:semiHidden/>
    <w:qFormat/>
    <w:uiPriority w:val="0"/>
    <w:pPr>
      <w:shd w:val="clear" w:color="auto" w:fill="000080"/>
    </w:pPr>
  </w:style>
  <w:style w:type="paragraph" w:styleId="14">
    <w:name w:val="annotation text"/>
    <w:basedOn w:val="1"/>
    <w:link w:val="54"/>
    <w:qFormat/>
    <w:uiPriority w:val="99"/>
    <w:pPr>
      <w:jc w:val="left"/>
    </w:pPr>
  </w:style>
  <w:style w:type="paragraph" w:styleId="15">
    <w:name w:val="Body Text"/>
    <w:basedOn w:val="1"/>
    <w:next w:val="16"/>
    <w:link w:val="55"/>
    <w:qFormat/>
    <w:uiPriority w:val="0"/>
    <w:pPr>
      <w:spacing w:after="120"/>
    </w:pPr>
  </w:style>
  <w:style w:type="paragraph" w:styleId="16">
    <w:name w:val="Body Text First Indent"/>
    <w:basedOn w:val="1"/>
    <w:next w:val="17"/>
    <w:link w:val="65"/>
    <w:qFormat/>
    <w:uiPriority w:val="0"/>
    <w:pPr>
      <w:ind w:firstLine="420"/>
    </w:pPr>
  </w:style>
  <w:style w:type="paragraph" w:styleId="17">
    <w:name w:val="toc 6"/>
    <w:basedOn w:val="1"/>
    <w:next w:val="1"/>
    <w:qFormat/>
    <w:uiPriority w:val="0"/>
    <w:pPr>
      <w:ind w:left="1050"/>
      <w:jc w:val="left"/>
    </w:pPr>
    <w:rPr>
      <w:sz w:val="18"/>
      <w:szCs w:val="18"/>
    </w:rPr>
  </w:style>
  <w:style w:type="paragraph" w:styleId="18">
    <w:name w:val="Block Text"/>
    <w:basedOn w:val="1"/>
    <w:qFormat/>
    <w:uiPriority w:val="0"/>
    <w:pPr>
      <w:adjustRightInd w:val="0"/>
      <w:spacing w:line="300" w:lineRule="auto"/>
      <w:ind w:left="958" w:right="-120" w:rightChars="-120"/>
      <w:jc w:val="left"/>
    </w:pPr>
    <w:rPr>
      <w:rFonts w:ascii="宋体" w:hAnsi="宋体"/>
      <w:sz w:val="28"/>
    </w:rPr>
  </w:style>
  <w:style w:type="paragraph" w:styleId="19">
    <w:name w:val="toc 5"/>
    <w:basedOn w:val="1"/>
    <w:next w:val="1"/>
    <w:semiHidden/>
    <w:qFormat/>
    <w:uiPriority w:val="0"/>
    <w:pPr>
      <w:ind w:left="840"/>
      <w:jc w:val="left"/>
    </w:pPr>
    <w:rPr>
      <w:sz w:val="18"/>
      <w:szCs w:val="18"/>
    </w:rPr>
  </w:style>
  <w:style w:type="paragraph" w:styleId="20">
    <w:name w:val="toc 3"/>
    <w:basedOn w:val="1"/>
    <w:next w:val="1"/>
    <w:qFormat/>
    <w:uiPriority w:val="39"/>
    <w:pPr>
      <w:ind w:left="420"/>
      <w:jc w:val="left"/>
    </w:pPr>
    <w:rPr>
      <w:i/>
      <w:iCs/>
      <w:sz w:val="20"/>
      <w:szCs w:val="20"/>
    </w:rPr>
  </w:style>
  <w:style w:type="paragraph" w:styleId="21">
    <w:name w:val="Plain Text"/>
    <w:basedOn w:val="1"/>
    <w:next w:val="1"/>
    <w:link w:val="56"/>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2">
    <w:name w:val="toc 8"/>
    <w:basedOn w:val="1"/>
    <w:next w:val="1"/>
    <w:semiHidden/>
    <w:qFormat/>
    <w:uiPriority w:val="0"/>
    <w:pPr>
      <w:ind w:left="1470"/>
      <w:jc w:val="left"/>
    </w:pPr>
    <w:rPr>
      <w:sz w:val="18"/>
      <w:szCs w:val="18"/>
    </w:rPr>
  </w:style>
  <w:style w:type="paragraph" w:styleId="23">
    <w:name w:val="Date"/>
    <w:basedOn w:val="1"/>
    <w:next w:val="1"/>
    <w:link w:val="57"/>
    <w:qFormat/>
    <w:uiPriority w:val="7"/>
    <w:rPr>
      <w:color w:val="000000"/>
      <w:kern w:val="1"/>
      <w:sz w:val="30"/>
      <w:szCs w:val="20"/>
    </w:rPr>
  </w:style>
  <w:style w:type="paragraph" w:styleId="24">
    <w:name w:val="Body Text Indent 2"/>
    <w:basedOn w:val="1"/>
    <w:link w:val="58"/>
    <w:qFormat/>
    <w:uiPriority w:val="6"/>
    <w:pPr>
      <w:spacing w:after="120" w:line="480" w:lineRule="auto"/>
      <w:ind w:left="420" w:leftChars="200"/>
    </w:pPr>
  </w:style>
  <w:style w:type="paragraph" w:styleId="25">
    <w:name w:val="endnote text"/>
    <w:basedOn w:val="1"/>
    <w:qFormat/>
    <w:uiPriority w:val="99"/>
    <w:rPr>
      <w:rFonts w:ascii="Calibri" w:hAnsi="Calibri" w:cs="Calibri"/>
      <w:szCs w:val="21"/>
    </w:rPr>
  </w:style>
  <w:style w:type="paragraph" w:styleId="26">
    <w:name w:val="Balloon Text"/>
    <w:basedOn w:val="1"/>
    <w:link w:val="59"/>
    <w:qFormat/>
    <w:uiPriority w:val="6"/>
    <w:rPr>
      <w:sz w:val="18"/>
      <w:szCs w:val="18"/>
    </w:rPr>
  </w:style>
  <w:style w:type="paragraph" w:styleId="27">
    <w:name w:val="footer"/>
    <w:basedOn w:val="1"/>
    <w:link w:val="60"/>
    <w:qFormat/>
    <w:uiPriority w:val="99"/>
    <w:pPr>
      <w:tabs>
        <w:tab w:val="center" w:pos="4153"/>
        <w:tab w:val="right" w:pos="8306"/>
      </w:tabs>
      <w:snapToGrid w:val="0"/>
      <w:jc w:val="left"/>
    </w:pPr>
    <w:rPr>
      <w:sz w:val="18"/>
      <w:szCs w:val="18"/>
    </w:rPr>
  </w:style>
  <w:style w:type="paragraph" w:styleId="28">
    <w:name w:val="header"/>
    <w:basedOn w:val="1"/>
    <w:link w:val="61"/>
    <w:qFormat/>
    <w:uiPriority w:val="2"/>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semiHidden/>
    <w:qFormat/>
    <w:uiPriority w:val="0"/>
    <w:pPr>
      <w:ind w:left="630"/>
      <w:jc w:val="left"/>
    </w:pPr>
    <w:rPr>
      <w:sz w:val="18"/>
      <w:szCs w:val="18"/>
    </w:rPr>
  </w:style>
  <w:style w:type="paragraph" w:styleId="31">
    <w:name w:val="Body Text Indent 3"/>
    <w:basedOn w:val="1"/>
    <w:link w:val="62"/>
    <w:qFormat/>
    <w:uiPriority w:val="6"/>
    <w:pPr>
      <w:spacing w:after="120"/>
      <w:ind w:left="420" w:leftChars="200"/>
    </w:pPr>
    <w:rPr>
      <w:sz w:val="16"/>
      <w:szCs w:val="16"/>
    </w:r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semiHidden/>
    <w:qFormat/>
    <w:uiPriority w:val="0"/>
    <w:pPr>
      <w:ind w:left="1680"/>
      <w:jc w:val="left"/>
    </w:pPr>
    <w:rPr>
      <w:sz w:val="18"/>
      <w:szCs w:val="18"/>
    </w:r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3"/>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4"/>
    <w:qFormat/>
    <w:uiPriority w:val="0"/>
    <w:rPr>
      <w:b/>
      <w:bCs/>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rPr>
  </w:style>
  <w:style w:type="character" w:styleId="42">
    <w:name w:val="page number"/>
    <w:qFormat/>
    <w:uiPriority w:val="6"/>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paragraph" w:customStyle="1" w:styleId="45">
    <w:name w:val="_Style 3"/>
    <w:basedOn w:val="1"/>
    <w:qFormat/>
    <w:uiPriority w:val="0"/>
    <w:pPr>
      <w:ind w:firstLine="420" w:firstLineChars="200"/>
    </w:pPr>
    <w:rPr>
      <w:rFonts w:ascii="Calibri" w:hAnsi="Calibri" w:eastAsia="仿宋" w:cs="Calibri"/>
      <w:sz w:val="28"/>
      <w:szCs w:val="21"/>
    </w:rPr>
  </w:style>
  <w:style w:type="character" w:customStyle="1" w:styleId="46">
    <w:name w:val="标题 1 字符"/>
    <w:link w:val="4"/>
    <w:qFormat/>
    <w:uiPriority w:val="6"/>
    <w:rPr>
      <w:b/>
      <w:bCs/>
      <w:kern w:val="44"/>
      <w:sz w:val="44"/>
      <w:szCs w:val="44"/>
    </w:rPr>
  </w:style>
  <w:style w:type="character" w:customStyle="1" w:styleId="47">
    <w:name w:val="标题 2 字符"/>
    <w:link w:val="5"/>
    <w:qFormat/>
    <w:uiPriority w:val="9"/>
    <w:rPr>
      <w:rFonts w:ascii="Arial" w:hAnsi="Arial" w:eastAsia="黑体"/>
      <w:b/>
      <w:bCs/>
      <w:kern w:val="2"/>
      <w:sz w:val="32"/>
      <w:szCs w:val="32"/>
    </w:rPr>
  </w:style>
  <w:style w:type="character" w:customStyle="1" w:styleId="48">
    <w:name w:val="标题 3 字符"/>
    <w:link w:val="6"/>
    <w:qFormat/>
    <w:uiPriority w:val="0"/>
    <w:rPr>
      <w:b/>
      <w:bCs/>
      <w:kern w:val="2"/>
      <w:sz w:val="32"/>
      <w:szCs w:val="32"/>
    </w:rPr>
  </w:style>
  <w:style w:type="character" w:customStyle="1" w:styleId="49">
    <w:name w:val="标题 4 字符"/>
    <w:link w:val="7"/>
    <w:qFormat/>
    <w:uiPriority w:val="0"/>
    <w:rPr>
      <w:rFonts w:ascii="Calibri Light" w:hAnsi="Calibri Light"/>
      <w:b/>
      <w:bCs/>
      <w:kern w:val="2"/>
      <w:sz w:val="24"/>
      <w:szCs w:val="28"/>
    </w:rPr>
  </w:style>
  <w:style w:type="character" w:customStyle="1" w:styleId="50">
    <w:name w:val="标题 5 字符"/>
    <w:link w:val="8"/>
    <w:qFormat/>
    <w:uiPriority w:val="0"/>
    <w:rPr>
      <w:b/>
      <w:bCs/>
      <w:color w:val="000000"/>
      <w:sz w:val="28"/>
      <w:szCs w:val="28"/>
    </w:rPr>
  </w:style>
  <w:style w:type="character" w:customStyle="1" w:styleId="51">
    <w:name w:val="标题 6 字符"/>
    <w:link w:val="9"/>
    <w:qFormat/>
    <w:uiPriority w:val="0"/>
    <w:rPr>
      <w:rFonts w:ascii="Calibri Light" w:hAnsi="Calibri Light" w:eastAsia="黑体"/>
      <w:b/>
      <w:bCs/>
      <w:kern w:val="2"/>
      <w:sz w:val="24"/>
      <w:szCs w:val="24"/>
    </w:rPr>
  </w:style>
  <w:style w:type="character" w:customStyle="1" w:styleId="52">
    <w:name w:val="正文缩进 字符"/>
    <w:link w:val="12"/>
    <w:qFormat/>
    <w:uiPriority w:val="99"/>
    <w:rPr>
      <w:sz w:val="21"/>
    </w:rPr>
  </w:style>
  <w:style w:type="character" w:customStyle="1" w:styleId="53">
    <w:name w:val="正文文本缩进 字符"/>
    <w:link w:val="3"/>
    <w:qFormat/>
    <w:uiPriority w:val="6"/>
    <w:rPr>
      <w:kern w:val="2"/>
      <w:sz w:val="21"/>
      <w:szCs w:val="24"/>
    </w:rPr>
  </w:style>
  <w:style w:type="character" w:customStyle="1" w:styleId="54">
    <w:name w:val="批注文字 字符"/>
    <w:link w:val="14"/>
    <w:qFormat/>
    <w:uiPriority w:val="99"/>
    <w:rPr>
      <w:kern w:val="2"/>
      <w:sz w:val="21"/>
      <w:szCs w:val="24"/>
    </w:rPr>
  </w:style>
  <w:style w:type="character" w:customStyle="1" w:styleId="55">
    <w:name w:val="正文文本 字符"/>
    <w:link w:val="15"/>
    <w:qFormat/>
    <w:uiPriority w:val="0"/>
    <w:rPr>
      <w:kern w:val="2"/>
      <w:sz w:val="21"/>
      <w:szCs w:val="24"/>
    </w:rPr>
  </w:style>
  <w:style w:type="character" w:customStyle="1" w:styleId="56">
    <w:name w:val="纯文本 字符"/>
    <w:link w:val="21"/>
    <w:qFormat/>
    <w:uiPriority w:val="0"/>
    <w:rPr>
      <w:rFonts w:ascii="宋体" w:hAnsi="Courier New" w:eastAsia="宋体"/>
      <w:sz w:val="21"/>
      <w:szCs w:val="21"/>
      <w:lang w:val="en-US" w:eastAsia="zh-CN" w:bidi="ar-SA"/>
    </w:rPr>
  </w:style>
  <w:style w:type="character" w:customStyle="1" w:styleId="57">
    <w:name w:val="日期 字符"/>
    <w:link w:val="23"/>
    <w:qFormat/>
    <w:uiPriority w:val="7"/>
    <w:rPr>
      <w:color w:val="000000"/>
      <w:kern w:val="1"/>
      <w:sz w:val="30"/>
    </w:rPr>
  </w:style>
  <w:style w:type="character" w:customStyle="1" w:styleId="58">
    <w:name w:val="正文文本缩进 2 字符"/>
    <w:link w:val="24"/>
    <w:qFormat/>
    <w:uiPriority w:val="6"/>
    <w:rPr>
      <w:kern w:val="2"/>
      <w:sz w:val="21"/>
      <w:szCs w:val="24"/>
    </w:rPr>
  </w:style>
  <w:style w:type="character" w:customStyle="1" w:styleId="59">
    <w:name w:val="批注框文本 字符"/>
    <w:link w:val="26"/>
    <w:qFormat/>
    <w:uiPriority w:val="6"/>
    <w:rPr>
      <w:kern w:val="2"/>
      <w:sz w:val="18"/>
      <w:szCs w:val="18"/>
    </w:rPr>
  </w:style>
  <w:style w:type="character" w:customStyle="1" w:styleId="60">
    <w:name w:val="页脚 字符"/>
    <w:link w:val="27"/>
    <w:qFormat/>
    <w:uiPriority w:val="99"/>
    <w:rPr>
      <w:kern w:val="2"/>
      <w:sz w:val="18"/>
      <w:szCs w:val="18"/>
    </w:rPr>
  </w:style>
  <w:style w:type="character" w:customStyle="1" w:styleId="61">
    <w:name w:val="页眉 字符"/>
    <w:link w:val="28"/>
    <w:qFormat/>
    <w:uiPriority w:val="2"/>
    <w:rPr>
      <w:kern w:val="2"/>
      <w:sz w:val="18"/>
      <w:szCs w:val="18"/>
    </w:rPr>
  </w:style>
  <w:style w:type="character" w:customStyle="1" w:styleId="62">
    <w:name w:val="正文文本缩进 3 字符"/>
    <w:link w:val="31"/>
    <w:qFormat/>
    <w:uiPriority w:val="6"/>
    <w:rPr>
      <w:kern w:val="2"/>
      <w:sz w:val="16"/>
      <w:szCs w:val="16"/>
    </w:rPr>
  </w:style>
  <w:style w:type="character" w:customStyle="1" w:styleId="63">
    <w:name w:val="标题 字符"/>
    <w:link w:val="36"/>
    <w:qFormat/>
    <w:uiPriority w:val="0"/>
    <w:rPr>
      <w:rFonts w:ascii="Cambria" w:hAnsi="Cambria" w:eastAsia="宋体"/>
      <w:b/>
      <w:bCs/>
      <w:kern w:val="2"/>
      <w:sz w:val="32"/>
      <w:szCs w:val="32"/>
      <w:lang w:val="en-US" w:eastAsia="zh-CN" w:bidi="ar-SA"/>
    </w:rPr>
  </w:style>
  <w:style w:type="character" w:customStyle="1" w:styleId="64">
    <w:name w:val="批注主题 字符"/>
    <w:link w:val="37"/>
    <w:qFormat/>
    <w:uiPriority w:val="0"/>
    <w:rPr>
      <w:b/>
      <w:bCs/>
      <w:kern w:val="2"/>
      <w:sz w:val="21"/>
      <w:szCs w:val="24"/>
    </w:rPr>
  </w:style>
  <w:style w:type="character" w:customStyle="1" w:styleId="65">
    <w:name w:val="正文文本首行缩进 字符"/>
    <w:link w:val="16"/>
    <w:qFormat/>
    <w:uiPriority w:val="0"/>
    <w:rPr>
      <w:kern w:val="2"/>
      <w:sz w:val="21"/>
      <w:szCs w:val="24"/>
    </w:rPr>
  </w:style>
  <w:style w:type="paragraph" w:customStyle="1" w:styleId="66">
    <w:name w:val="正文缩进(ALT+Z)"/>
    <w:basedOn w:val="1"/>
    <w:qFormat/>
    <w:uiPriority w:val="0"/>
    <w:pPr>
      <w:spacing w:line="360" w:lineRule="auto"/>
      <w:ind w:firstLine="200"/>
    </w:pPr>
  </w:style>
  <w:style w:type="paragraph" w:customStyle="1" w:styleId="67">
    <w:name w:val="表格文字"/>
    <w:basedOn w:val="21"/>
    <w:next w:val="15"/>
    <w:link w:val="69"/>
    <w:qFormat/>
    <w:uiPriority w:val="0"/>
    <w:pPr>
      <w:jc w:val="left"/>
    </w:pPr>
    <w:rPr>
      <w:kern w:val="21"/>
      <w:szCs w:val="21"/>
    </w:rPr>
  </w:style>
  <w:style w:type="paragraph" w:customStyle="1" w:styleId="68">
    <w:name w:val="表格"/>
    <w:basedOn w:val="1"/>
    <w:qFormat/>
    <w:uiPriority w:val="0"/>
    <w:pPr>
      <w:jc w:val="center"/>
      <w:textAlignment w:val="center"/>
    </w:pPr>
    <w:rPr>
      <w:rFonts w:ascii="华文细黑" w:hAnsi="华文细黑"/>
      <w:kern w:val="0"/>
      <w:sz w:val="20"/>
      <w:szCs w:val="20"/>
    </w:rPr>
  </w:style>
  <w:style w:type="character" w:customStyle="1" w:styleId="69">
    <w:name w:val="表格文字 Char Char"/>
    <w:link w:val="67"/>
    <w:qFormat/>
    <w:uiPriority w:val="0"/>
    <w:rPr>
      <w:kern w:val="21"/>
      <w:sz w:val="21"/>
      <w:szCs w:val="21"/>
    </w:rPr>
  </w:style>
  <w:style w:type="character" w:customStyle="1" w:styleId="70">
    <w:name w:val="font41"/>
    <w:qFormat/>
    <w:uiPriority w:val="0"/>
    <w:rPr>
      <w:rFonts w:hint="eastAsia" w:ascii="宋体" w:hAnsi="宋体" w:eastAsia="宋体" w:cs="宋体"/>
      <w:b/>
      <w:color w:val="000000"/>
      <w:sz w:val="28"/>
      <w:szCs w:val="28"/>
      <w:u w:val="none"/>
    </w:rPr>
  </w:style>
  <w:style w:type="character" w:customStyle="1" w:styleId="71">
    <w:name w:val="font21"/>
    <w:qFormat/>
    <w:uiPriority w:val="0"/>
    <w:rPr>
      <w:rFonts w:hint="eastAsia" w:ascii="宋体" w:hAnsi="宋体" w:eastAsia="宋体" w:cs="宋体"/>
      <w:color w:val="000000"/>
      <w:sz w:val="18"/>
      <w:szCs w:val="18"/>
      <w:u w:val="none"/>
    </w:rPr>
  </w:style>
  <w:style w:type="character" w:customStyle="1" w:styleId="72">
    <w:name w:val="font51"/>
    <w:qFormat/>
    <w:uiPriority w:val="0"/>
    <w:rPr>
      <w:rFonts w:hint="default" w:ascii="Times New Roman" w:hAnsi="Times New Roman" w:cs="Times New Roman"/>
      <w:color w:val="000000"/>
      <w:sz w:val="21"/>
      <w:szCs w:val="21"/>
      <w:u w:val="none"/>
    </w:rPr>
  </w:style>
  <w:style w:type="character" w:customStyle="1" w:styleId="73">
    <w:name w:val="_Style 69"/>
    <w:qFormat/>
    <w:uiPriority w:val="32"/>
    <w:rPr>
      <w:b/>
      <w:bCs/>
      <w:smallCaps/>
      <w:color w:val="C0504D"/>
      <w:spacing w:val="5"/>
      <w:u w:val="single"/>
    </w:rPr>
  </w:style>
  <w:style w:type="character" w:customStyle="1" w:styleId="74">
    <w:name w:val="textfont"/>
    <w:qFormat/>
    <w:uiPriority w:val="0"/>
  </w:style>
  <w:style w:type="character" w:customStyle="1" w:styleId="75">
    <w:name w:val="font61"/>
    <w:qFormat/>
    <w:uiPriority w:val="0"/>
    <w:rPr>
      <w:rFonts w:hint="eastAsia" w:ascii="宋体" w:hAnsi="宋体" w:eastAsia="宋体" w:cs="宋体"/>
      <w:color w:val="000000"/>
      <w:sz w:val="21"/>
      <w:szCs w:val="21"/>
      <w:u w:val="none"/>
    </w:rPr>
  </w:style>
  <w:style w:type="character" w:customStyle="1" w:styleId="76">
    <w:name w:val="纯文本 Char"/>
    <w:qFormat/>
    <w:uiPriority w:val="0"/>
    <w:rPr>
      <w:rFonts w:ascii="宋体" w:hAnsi="Courier New" w:eastAsia="宋体"/>
      <w:sz w:val="21"/>
      <w:szCs w:val="21"/>
      <w:lang w:val="en-US" w:eastAsia="zh-CN" w:bidi="ar-SA"/>
    </w:rPr>
  </w:style>
  <w:style w:type="character" w:customStyle="1" w:styleId="77">
    <w:name w:val="无间隔 Char"/>
    <w:link w:val="78"/>
    <w:qFormat/>
    <w:locked/>
    <w:uiPriority w:val="0"/>
    <w:rPr>
      <w:sz w:val="24"/>
      <w:lang w:val="en-US" w:eastAsia="zh-CN" w:bidi="ar-SA"/>
    </w:rPr>
  </w:style>
  <w:style w:type="paragraph" w:customStyle="1" w:styleId="78">
    <w:name w:val="无间隔1"/>
    <w:link w:val="77"/>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79">
    <w:name w:val="日期 Char1"/>
    <w:qFormat/>
    <w:uiPriority w:val="0"/>
    <w:rPr>
      <w:kern w:val="2"/>
      <w:sz w:val="21"/>
      <w:szCs w:val="24"/>
    </w:rPr>
  </w:style>
  <w:style w:type="character" w:customStyle="1" w:styleId="80">
    <w:name w:val="Char Char Char"/>
    <w:qFormat/>
    <w:uiPriority w:val="0"/>
    <w:rPr>
      <w:rFonts w:ascii="宋体" w:hAnsi="Courier New" w:eastAsia="宋体"/>
      <w:sz w:val="21"/>
      <w:lang w:val="en-US" w:eastAsia="zh-CN"/>
    </w:rPr>
  </w:style>
  <w:style w:type="character" w:customStyle="1" w:styleId="81">
    <w:name w:val="纯文本 Char1"/>
    <w:qFormat/>
    <w:uiPriority w:val="0"/>
    <w:rPr>
      <w:rFonts w:ascii="宋体" w:hAnsi="Courier New" w:eastAsia="宋体"/>
      <w:sz w:val="21"/>
      <w:szCs w:val="21"/>
      <w:lang w:val="en-US" w:eastAsia="zh-CN" w:bidi="ar-SA"/>
    </w:rPr>
  </w:style>
  <w:style w:type="character" w:customStyle="1" w:styleId="82">
    <w:name w:val="15"/>
    <w:qFormat/>
    <w:uiPriority w:val="0"/>
    <w:rPr>
      <w:rFonts w:hint="default" w:ascii="Times New Roman" w:hAnsi="Times New Roman" w:eastAsia="宋体" w:cs="Times New Roman"/>
      <w:b/>
      <w:bCs/>
      <w:spacing w:val="-2"/>
      <w:sz w:val="24"/>
      <w:szCs w:val="24"/>
    </w:rPr>
  </w:style>
  <w:style w:type="character" w:customStyle="1" w:styleId="83">
    <w:name w:val="Char Char"/>
    <w:qFormat/>
    <w:uiPriority w:val="0"/>
    <w:rPr>
      <w:rFonts w:ascii="宋体" w:hAnsi="Courier New" w:eastAsia="宋体"/>
      <w:sz w:val="21"/>
      <w:szCs w:val="21"/>
      <w:lang w:val="en-US" w:eastAsia="zh-CN" w:bidi="ar-SA"/>
    </w:rPr>
  </w:style>
  <w:style w:type="character" w:customStyle="1" w:styleId="84">
    <w:name w:val="标题2"/>
    <w:qFormat/>
    <w:uiPriority w:val="0"/>
    <w:rPr>
      <w:rFonts w:ascii="微软雅黑" w:hAnsi="微软雅黑" w:eastAsia="微软雅黑"/>
      <w:b/>
      <w:bCs/>
      <w:color w:val="0D0D0D"/>
      <w:sz w:val="24"/>
    </w:rPr>
  </w:style>
  <w:style w:type="character" w:customStyle="1" w:styleId="85">
    <w:name w:val="页眉 Char1"/>
    <w:qFormat/>
    <w:uiPriority w:val="6"/>
    <w:rPr>
      <w:rFonts w:ascii="Times New Roman" w:hAnsi="Times New Roman" w:eastAsia="宋体" w:cs="Times New Roman"/>
      <w:color w:val="000000"/>
      <w:kern w:val="1"/>
      <w:sz w:val="18"/>
      <w:szCs w:val="18"/>
      <w:lang w:val="zh-CN"/>
    </w:rPr>
  </w:style>
  <w:style w:type="character" w:customStyle="1" w:styleId="86">
    <w:name w:val="正文文本 Char"/>
    <w:qFormat/>
    <w:uiPriority w:val="0"/>
    <w:rPr>
      <w:kern w:val="2"/>
      <w:sz w:val="21"/>
      <w:szCs w:val="24"/>
    </w:rPr>
  </w:style>
  <w:style w:type="character" w:customStyle="1" w:styleId="87">
    <w:name w:val="列表段落 字符"/>
    <w:link w:val="88"/>
    <w:qFormat/>
    <w:uiPriority w:val="34"/>
    <w:rPr>
      <w:rFonts w:ascii="Calibri" w:hAnsi="Calibri"/>
      <w:kern w:val="2"/>
      <w:sz w:val="21"/>
      <w:szCs w:val="22"/>
    </w:rPr>
  </w:style>
  <w:style w:type="paragraph" w:styleId="88">
    <w:name w:val="List Paragraph"/>
    <w:basedOn w:val="1"/>
    <w:link w:val="87"/>
    <w:qFormat/>
    <w:uiPriority w:val="34"/>
    <w:pPr>
      <w:ind w:firstLine="420" w:firstLineChars="200"/>
    </w:pPr>
    <w:rPr>
      <w:rFonts w:ascii="Calibri" w:hAnsi="Calibri"/>
      <w:szCs w:val="22"/>
    </w:rPr>
  </w:style>
  <w:style w:type="character" w:customStyle="1" w:styleId="89">
    <w:name w:val="标题 2 Char"/>
    <w:qFormat/>
    <w:locked/>
    <w:uiPriority w:val="9"/>
    <w:rPr>
      <w:rFonts w:ascii="Arial" w:hAnsi="Arial" w:eastAsia="黑体"/>
      <w:b/>
      <w:bCs/>
      <w:kern w:val="2"/>
      <w:sz w:val="32"/>
      <w:szCs w:val="32"/>
      <w:lang w:val="en-US" w:eastAsia="zh-CN" w:bidi="ar-SA"/>
    </w:rPr>
  </w:style>
  <w:style w:type="character" w:customStyle="1" w:styleId="90">
    <w:name w:val="bt11"/>
    <w:qFormat/>
    <w:uiPriority w:val="3"/>
    <w:rPr>
      <w:rFonts w:eastAsia="仿宋_GB2312"/>
      <w:b/>
      <w:color w:val="000000"/>
      <w:sz w:val="30"/>
      <w:szCs w:val="20"/>
      <w:u w:val="none"/>
    </w:rPr>
  </w:style>
  <w:style w:type="character" w:customStyle="1" w:styleId="91">
    <w:name w:val="列出段落 字符"/>
    <w:link w:val="92"/>
    <w:qFormat/>
    <w:uiPriority w:val="34"/>
    <w:rPr>
      <w:kern w:val="2"/>
      <w:sz w:val="21"/>
    </w:rPr>
  </w:style>
  <w:style w:type="paragraph" w:customStyle="1" w:styleId="92">
    <w:name w:val="列出段落1"/>
    <w:basedOn w:val="1"/>
    <w:link w:val="91"/>
    <w:qFormat/>
    <w:uiPriority w:val="34"/>
    <w:pPr>
      <w:ind w:firstLine="420" w:firstLineChars="200"/>
    </w:pPr>
    <w:rPr>
      <w:szCs w:val="20"/>
    </w:rPr>
  </w:style>
  <w:style w:type="character" w:customStyle="1" w:styleId="93">
    <w:name w:val="font01"/>
    <w:qFormat/>
    <w:uiPriority w:val="0"/>
    <w:rPr>
      <w:rFonts w:hint="eastAsia" w:ascii="宋体" w:hAnsi="宋体" w:eastAsia="宋体" w:cs="宋体"/>
      <w:b/>
      <w:color w:val="000000"/>
      <w:sz w:val="28"/>
      <w:szCs w:val="28"/>
      <w:u w:val="none"/>
    </w:rPr>
  </w:style>
  <w:style w:type="character" w:customStyle="1" w:styleId="94">
    <w:name w:val="_Style 90"/>
    <w:unhideWhenUsed/>
    <w:qFormat/>
    <w:uiPriority w:val="99"/>
    <w:rPr>
      <w:color w:val="605E5C"/>
      <w:shd w:val="clear" w:color="auto" w:fill="E1DFDD"/>
    </w:rPr>
  </w:style>
  <w:style w:type="character" w:customStyle="1" w:styleId="95">
    <w:name w:val="aa1"/>
    <w:qFormat/>
    <w:uiPriority w:val="0"/>
    <w:rPr>
      <w:rFonts w:hint="default" w:ascii="_x000B__x000C_" w:hAnsi="_x000B__x000C_"/>
      <w:color w:val="000000"/>
      <w:sz w:val="20"/>
      <w:szCs w:val="20"/>
      <w:u w:val="none"/>
    </w:rPr>
  </w:style>
  <w:style w:type="character" w:customStyle="1" w:styleId="96">
    <w:name w:val="标准正文格式 Char"/>
    <w:link w:val="97"/>
    <w:qFormat/>
    <w:uiPriority w:val="0"/>
    <w:rPr>
      <w:rFonts w:ascii="宋体" w:eastAsia="仿宋_GB2312" w:cs="宋体"/>
      <w:color w:val="000000"/>
      <w:sz w:val="24"/>
      <w:lang w:val="en-US" w:eastAsia="zh-CN" w:bidi="ar-SA"/>
    </w:rPr>
  </w:style>
  <w:style w:type="paragraph" w:customStyle="1" w:styleId="97">
    <w:name w:val="标准正文格式"/>
    <w:basedOn w:val="1"/>
    <w:link w:val="96"/>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8">
    <w:name w:val="保留正文"/>
    <w:basedOn w:val="15"/>
    <w:qFormat/>
    <w:uiPriority w:val="0"/>
    <w:pPr>
      <w:keepNext/>
      <w:spacing w:after="160"/>
    </w:pPr>
    <w:rPr>
      <w:szCs w:val="20"/>
    </w:rPr>
  </w:style>
  <w:style w:type="paragraph" w:customStyle="1" w:styleId="99">
    <w:name w:val="默认段落字体 Para Char"/>
    <w:basedOn w:val="1"/>
    <w:qFormat/>
    <w:uiPriority w:val="0"/>
    <w:rPr>
      <w:szCs w:val="20"/>
    </w:rPr>
  </w:style>
  <w:style w:type="paragraph" w:customStyle="1" w:styleId="100">
    <w:name w:val="正文 样式"/>
    <w:basedOn w:val="1"/>
    <w:qFormat/>
    <w:uiPriority w:val="99"/>
    <w:pPr>
      <w:spacing w:line="360" w:lineRule="auto"/>
      <w:ind w:firstLine="480" w:firstLineChars="200"/>
    </w:pPr>
    <w:rPr>
      <w:rFonts w:ascii="仿宋" w:hAnsi="仿宋" w:eastAsia="仿宋" w:cs="仿宋"/>
      <w:kern w:val="0"/>
      <w:sz w:val="24"/>
    </w:rPr>
  </w:style>
  <w:style w:type="paragraph" w:customStyle="1" w:styleId="101">
    <w:name w:val="数据正文"/>
    <w:basedOn w:val="1"/>
    <w:qFormat/>
    <w:uiPriority w:val="0"/>
    <w:pPr>
      <w:spacing w:before="120" w:after="120" w:line="360" w:lineRule="auto"/>
      <w:ind w:firstLine="560" w:firstLineChars="200"/>
    </w:pPr>
    <w:rPr>
      <w:rFonts w:eastAsia="华文仿宋"/>
      <w:color w:val="000000"/>
      <w:sz w:val="28"/>
      <w:szCs w:val="28"/>
    </w:rPr>
  </w:style>
  <w:style w:type="paragraph" w:customStyle="1" w:styleId="102">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03">
    <w:name w:val="彩色列表1"/>
    <w:basedOn w:val="1"/>
    <w:qFormat/>
    <w:uiPriority w:val="34"/>
    <w:pPr>
      <w:ind w:firstLine="420" w:firstLineChars="200"/>
    </w:pPr>
  </w:style>
  <w:style w:type="paragraph" w:customStyle="1" w:styleId="104">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05">
    <w:name w:val="Char Char Char1"/>
    <w:basedOn w:val="1"/>
    <w:qFormat/>
    <w:uiPriority w:val="0"/>
    <w:rPr>
      <w:rFonts w:ascii="Tahoma" w:hAnsi="Tahoma"/>
      <w:sz w:val="24"/>
      <w:szCs w:val="20"/>
    </w:rPr>
  </w:style>
  <w:style w:type="paragraph" w:customStyle="1" w:styleId="106">
    <w:name w:val="列出段落3"/>
    <w:basedOn w:val="1"/>
    <w:qFormat/>
    <w:uiPriority w:val="34"/>
    <w:pPr>
      <w:spacing w:line="360" w:lineRule="auto"/>
      <w:ind w:firstLine="420" w:firstLineChars="200"/>
    </w:pPr>
    <w:rPr>
      <w:sz w:val="24"/>
      <w:szCs w:val="22"/>
    </w:rPr>
  </w:style>
  <w:style w:type="paragraph" w:customStyle="1" w:styleId="107">
    <w:name w:val="Char Char Char Char Char Char Char Char Char1 Char"/>
    <w:basedOn w:val="1"/>
    <w:qFormat/>
    <w:uiPriority w:val="0"/>
    <w:pPr>
      <w:widowControl/>
      <w:jc w:val="left"/>
    </w:pPr>
    <w:rPr>
      <w:rFonts w:ascii="仿宋_GB2312" w:eastAsia="仿宋_GB2312"/>
      <w:b/>
      <w:kern w:val="0"/>
      <w:sz w:val="32"/>
      <w:szCs w:val="32"/>
    </w:rPr>
  </w:style>
  <w:style w:type="paragraph" w:customStyle="1" w:styleId="10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09">
    <w:name w:val="_Style 5"/>
    <w:basedOn w:val="1"/>
    <w:qFormat/>
    <w:uiPriority w:val="99"/>
    <w:pPr>
      <w:spacing w:line="360" w:lineRule="auto"/>
      <w:ind w:firstLine="420" w:firstLineChars="200"/>
    </w:pPr>
  </w:style>
  <w:style w:type="paragraph" w:customStyle="1" w:styleId="110">
    <w:name w:val="Char1"/>
    <w:basedOn w:val="1"/>
    <w:qFormat/>
    <w:uiPriority w:val="0"/>
    <w:rPr>
      <w:rFonts w:ascii="仿宋_GB2312" w:eastAsia="仿宋_GB2312"/>
      <w:b/>
      <w:sz w:val="32"/>
      <w:szCs w:val="32"/>
    </w:rPr>
  </w:style>
  <w:style w:type="paragraph" w:customStyle="1" w:styleId="111">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12">
    <w:name w:val="Char Char Char Char"/>
    <w:basedOn w:val="1"/>
    <w:qFormat/>
    <w:uiPriority w:val="0"/>
    <w:pPr>
      <w:spacing w:line="360" w:lineRule="auto"/>
      <w:ind w:firstLine="200" w:firstLineChars="200"/>
    </w:pPr>
    <w:rPr>
      <w:rFonts w:ascii="宋体" w:hAnsi="宋体" w:cs="宋体"/>
      <w:sz w:val="24"/>
    </w:rPr>
  </w:style>
  <w:style w:type="paragraph" w:customStyle="1" w:styleId="113">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4">
    <w:name w:val="[Normal]"/>
    <w:qFormat/>
    <w:uiPriority w:val="0"/>
    <w:rPr>
      <w:rFonts w:ascii="宋体" w:hAnsi="宋体" w:eastAsia="宋体" w:cs="Times New Roman"/>
      <w:sz w:val="24"/>
      <w:szCs w:val="22"/>
      <w:lang w:val="zh-CN" w:eastAsia="zh-CN" w:bidi="ar-SA"/>
    </w:rPr>
  </w:style>
  <w:style w:type="paragraph" w:customStyle="1" w:styleId="115">
    <w:name w:val="列出段落2"/>
    <w:basedOn w:val="1"/>
    <w:qFormat/>
    <w:uiPriority w:val="34"/>
    <w:pPr>
      <w:spacing w:line="360" w:lineRule="auto"/>
      <w:ind w:firstLine="420" w:firstLineChars="200"/>
    </w:pPr>
    <w:rPr>
      <w:sz w:val="24"/>
      <w:szCs w:val="22"/>
    </w:rPr>
  </w:style>
  <w:style w:type="paragraph" w:customStyle="1" w:styleId="116">
    <w:name w:val="Char Char Char Char Char Char Char"/>
    <w:basedOn w:val="1"/>
    <w:qFormat/>
    <w:uiPriority w:val="0"/>
    <w:rPr>
      <w:rFonts w:ascii="仿宋_GB2312" w:eastAsia="仿宋_GB2312"/>
      <w:b/>
      <w:sz w:val="32"/>
      <w:szCs w:val="32"/>
    </w:rPr>
  </w:style>
  <w:style w:type="paragraph" w:customStyle="1" w:styleId="117">
    <w:name w:val="1111"/>
    <w:basedOn w:val="1"/>
    <w:qFormat/>
    <w:uiPriority w:val="0"/>
    <w:rPr>
      <w:sz w:val="18"/>
    </w:rPr>
  </w:style>
  <w:style w:type="paragraph" w:customStyle="1" w:styleId="11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19">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20">
    <w:name w:val="Table Paragraph"/>
    <w:basedOn w:val="1"/>
    <w:qFormat/>
    <w:uiPriority w:val="1"/>
    <w:pPr>
      <w:spacing w:line="500" w:lineRule="exact"/>
      <w:ind w:firstLine="360" w:firstLineChars="200"/>
    </w:pPr>
    <w:rPr>
      <w:rFonts w:ascii="宋体" w:hAnsi="宋体" w:cs="宋体"/>
      <w:sz w:val="24"/>
      <w:lang w:val="zh-CN" w:bidi="zh-CN"/>
    </w:rPr>
  </w:style>
  <w:style w:type="paragraph" w:customStyle="1" w:styleId="121">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22">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123">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24">
    <w:name w:val="_Style 13"/>
    <w:basedOn w:val="1"/>
    <w:next w:val="88"/>
    <w:qFormat/>
    <w:uiPriority w:val="7"/>
    <w:pPr>
      <w:ind w:firstLine="420"/>
    </w:pPr>
    <w:rPr>
      <w:color w:val="000000"/>
      <w:kern w:val="1"/>
    </w:rPr>
  </w:style>
  <w:style w:type="paragraph" w:customStyle="1" w:styleId="125">
    <w:name w:val="my正文"/>
    <w:basedOn w:val="1"/>
    <w:qFormat/>
    <w:uiPriority w:val="0"/>
    <w:pPr>
      <w:spacing w:line="360" w:lineRule="auto"/>
      <w:ind w:firstLine="480" w:firstLineChars="200"/>
    </w:pPr>
    <w:rPr>
      <w:rFonts w:ascii="宋体" w:hAnsi="宋体"/>
      <w:sz w:val="24"/>
    </w:rPr>
  </w:style>
  <w:style w:type="paragraph" w:customStyle="1" w:styleId="12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28">
    <w:name w:val="默认段落字体 Para Char Char Char Char Char Char Char"/>
    <w:basedOn w:val="1"/>
    <w:qFormat/>
    <w:uiPriority w:val="0"/>
    <w:rPr>
      <w:rFonts w:ascii="Tahoma" w:hAnsi="Tahoma"/>
      <w:sz w:val="24"/>
      <w:szCs w:val="20"/>
    </w:rPr>
  </w:style>
  <w:style w:type="paragraph" w:customStyle="1" w:styleId="1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_Style 127"/>
    <w:unhideWhenUsed/>
    <w:qFormat/>
    <w:uiPriority w:val="99"/>
    <w:rPr>
      <w:rFonts w:ascii="Times New Roman" w:hAnsi="Times New Roman" w:eastAsia="宋体" w:cs="Times New Roman"/>
      <w:kern w:val="2"/>
      <w:sz w:val="21"/>
      <w:szCs w:val="24"/>
      <w:lang w:val="en-US" w:eastAsia="zh-CN" w:bidi="ar-SA"/>
    </w:rPr>
  </w:style>
  <w:style w:type="character" w:customStyle="1" w:styleId="131">
    <w:name w:val="NormalCharacter"/>
    <w:qFormat/>
    <w:uiPriority w:val="0"/>
    <w:rPr>
      <w:rFonts w:ascii="Times New Roman" w:hAnsi="Times New Roman" w:eastAsia="宋体" w:cs="Times New Roman"/>
    </w:rPr>
  </w:style>
  <w:style w:type="paragraph" w:customStyle="1" w:styleId="1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3">
    <w:name w:val="Default"/>
    <w:next w:val="1"/>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paragraph" w:customStyle="1" w:styleId="134">
    <w:name w:val="BodyText1I"/>
    <w:basedOn w:val="135"/>
    <w:qFormat/>
    <w:uiPriority w:val="0"/>
    <w:pPr>
      <w:ind w:firstLine="420" w:firstLineChars="100"/>
      <w:jc w:val="left"/>
    </w:pPr>
    <w:rPr>
      <w:kern w:val="0"/>
      <w:sz w:val="20"/>
      <w:szCs w:val="20"/>
    </w:rPr>
  </w:style>
  <w:style w:type="paragraph" w:customStyle="1" w:styleId="135">
    <w:name w:val="BodyText"/>
    <w:basedOn w:val="1"/>
    <w:next w:val="134"/>
    <w:qFormat/>
    <w:uiPriority w:val="0"/>
    <w:pPr>
      <w:spacing w:after="120"/>
    </w:pPr>
  </w:style>
  <w:style w:type="table" w:customStyle="1" w:styleId="136">
    <w:name w:val="Table Normal"/>
    <w:unhideWhenUsed/>
    <w:qFormat/>
    <w:uiPriority w:val="2"/>
    <w:pPr>
      <w:widowControl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13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40">
    <w:name w:val="正文首行缩进1"/>
    <w:basedOn w:val="1"/>
    <w:qFormat/>
    <w:uiPriority w:val="0"/>
    <w:pPr>
      <w:autoSpaceDE w:val="0"/>
      <w:autoSpaceDN w:val="0"/>
      <w:adjustRightInd w:val="0"/>
      <w:ind w:firstLine="420" w:firstLineChars="100"/>
      <w:jc w:val="left"/>
    </w:pPr>
    <w:rPr>
      <w:rFonts w:ascii="仿宋_GB2312"/>
      <w:b/>
      <w:kern w:val="0"/>
      <w:sz w:val="32"/>
      <w:szCs w:val="32"/>
    </w:rPr>
  </w:style>
  <w:style w:type="paragraph" w:customStyle="1" w:styleId="141">
    <w:name w:val="Body text|1"/>
    <w:basedOn w:val="1"/>
    <w:qFormat/>
    <w:uiPriority w:val="0"/>
    <w:pPr>
      <w:widowControl w:val="0"/>
      <w:shd w:val="clear" w:color="auto" w:fill="auto"/>
      <w:spacing w:line="444" w:lineRule="auto"/>
      <w:ind w:firstLine="400"/>
    </w:pPr>
    <w:rPr>
      <w:rFonts w:ascii="宋体" w:hAnsi="宋体" w:eastAsia="宋体" w:cs="宋体"/>
      <w:sz w:val="20"/>
      <w:szCs w:val="20"/>
      <w:u w:val="none"/>
      <w:shd w:val="clear" w:color="auto" w:fill="auto"/>
      <w:lang w:val="zh-TW" w:eastAsia="zh-TW" w:bidi="zh-TW"/>
    </w:rPr>
  </w:style>
  <w:style w:type="paragraph" w:customStyle="1" w:styleId="142">
    <w:name w:val="Heading #2|1"/>
    <w:basedOn w:val="1"/>
    <w:qFormat/>
    <w:uiPriority w:val="0"/>
    <w:pPr>
      <w:shd w:val="clear" w:color="auto" w:fill="FFFFFF"/>
      <w:spacing w:line="280" w:lineRule="exact"/>
      <w:outlineLvl w:val="1"/>
    </w:pPr>
    <w:rPr>
      <w:rFonts w:ascii="PMingLiU" w:hAnsi="PMingLiU" w:eastAsia="PMingLiU" w:cs="PMingLiU"/>
      <w:b/>
      <w:bCs/>
      <w:spacing w:val="20"/>
      <w:kern w:val="2"/>
      <w:sz w:val="28"/>
      <w:szCs w:val="28"/>
    </w:rPr>
  </w:style>
  <w:style w:type="paragraph" w:customStyle="1" w:styleId="143">
    <w:name w:val="Body Text First Indent 2"/>
    <w:basedOn w:val="144"/>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44">
    <w:name w:val="Body Text Indent"/>
    <w:basedOn w:val="1"/>
    <w:next w:val="1"/>
    <w:qFormat/>
    <w:uiPriority w:val="0"/>
    <w:pPr>
      <w:spacing w:after="120" w:afterLines="0"/>
      <w:ind w:left="420" w:leftChars="200"/>
    </w:pPr>
    <w:rPr>
      <w:color w:val="000000"/>
      <w:sz w:val="21"/>
      <w:szCs w:val="21"/>
    </w:rPr>
  </w:style>
  <w:style w:type="paragraph" w:customStyle="1" w:styleId="145">
    <w:name w:val="1.1.1.1 title"/>
    <w:qFormat/>
    <w:uiPriority w:val="0"/>
    <w:pPr>
      <w:numPr>
        <w:ilvl w:val="0"/>
        <w:numId w:val="1"/>
      </w:numPr>
      <w:ind w:firstLine="883" w:firstLineChars="200"/>
    </w:pPr>
    <w:rPr>
      <w:rFonts w:ascii="Times New Roman" w:hAnsi="Times New Roman" w:eastAsia="楷体" w:cs="Times New Roman"/>
      <w:b/>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33702</Words>
  <Characters>35159</Characters>
  <Lines>254</Lines>
  <Paragraphs>71</Paragraphs>
  <TotalTime>14</TotalTime>
  <ScaleCrop>false</ScaleCrop>
  <LinksUpToDate>false</LinksUpToDate>
  <CharactersWithSpaces>38741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2022-11-12T06:39:00Z</dcterms:created>
  <dc:creator>system</dc:creator>
  <cp:lastModifiedBy>...</cp:lastModifiedBy>
  <cp:lastPrinted>2023-02-07T10:38:00Z</cp:lastPrinted>
  <dcterms:modified xsi:type="dcterms:W3CDTF">2025-03-07T05:14:57Z</dcterms:modified>
  <dc:title>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1259C9CF4DD043DD8B90D696E87B3625_13</vt:lpwstr>
  </property>
  <property fmtid="{D5CDD505-2E9C-101B-9397-08002B2CF9AE}" pid="4" name="KSOTemplateDocerSaveRecord">
    <vt:lpwstr>eyJoZGlkIjoiZDBkN2IyYWQ4NDJmZjYzNTY1MDhjYTc5MjIwNTlkOGQiLCJ1c2VySWQiOiIyOTM4NDI0NjAifQ==</vt:lpwstr>
  </property>
</Properties>
</file>