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68584B">
      <w:pPr>
        <w:spacing w:line="1000" w:lineRule="exact"/>
        <w:jc w:val="center"/>
        <w:rPr>
          <w:rFonts w:ascii="宋体" w:hAnsi="宋体"/>
          <w:b/>
          <w:bCs/>
          <w:color w:val="auto"/>
          <w:sz w:val="84"/>
          <w:szCs w:val="84"/>
        </w:rPr>
      </w:pPr>
      <w:r>
        <w:rPr>
          <w:rFonts w:hint="eastAsia" w:ascii="宋体" w:hAnsi="宋体"/>
          <w:b/>
          <w:bCs/>
          <w:color w:val="auto"/>
          <w:sz w:val="84"/>
          <w:szCs w:val="84"/>
          <w:lang w:val="en-US" w:eastAsia="zh-CN"/>
        </w:rPr>
        <w:t>温州市</w:t>
      </w:r>
      <w:r>
        <w:rPr>
          <w:rFonts w:hint="eastAsia" w:ascii="宋体" w:hAnsi="宋体"/>
          <w:b/>
          <w:bCs/>
          <w:color w:val="auto"/>
          <w:sz w:val="84"/>
          <w:szCs w:val="84"/>
        </w:rPr>
        <w:t>政府（分散）采购</w:t>
      </w:r>
    </w:p>
    <w:p w14:paraId="7E612D96">
      <w:pPr>
        <w:ind w:firstLine="2357" w:firstLineChars="235"/>
        <w:rPr>
          <w:rFonts w:ascii="宋体" w:hAnsi="宋体"/>
          <w:b/>
          <w:color w:val="auto"/>
          <w:spacing w:val="140"/>
          <w:sz w:val="72"/>
        </w:rPr>
      </w:pPr>
    </w:p>
    <w:p w14:paraId="31430D78">
      <w:pPr>
        <w:ind w:firstLine="2357" w:firstLineChars="235"/>
        <w:rPr>
          <w:rFonts w:ascii="宋体" w:hAnsi="宋体"/>
          <w:b/>
          <w:color w:val="auto"/>
          <w:spacing w:val="140"/>
          <w:sz w:val="72"/>
        </w:rPr>
      </w:pPr>
    </w:p>
    <w:p w14:paraId="76AABE52">
      <w:pPr>
        <w:spacing w:line="360" w:lineRule="exact"/>
        <w:jc w:val="center"/>
        <w:rPr>
          <w:rFonts w:ascii="宋体" w:hAnsi="宋体"/>
          <w:b/>
          <w:color w:val="auto"/>
          <w:spacing w:val="140"/>
          <w:sz w:val="72"/>
        </w:rPr>
      </w:pPr>
    </w:p>
    <w:p w14:paraId="00C23847">
      <w:pPr>
        <w:spacing w:line="360" w:lineRule="exact"/>
        <w:jc w:val="center"/>
        <w:rPr>
          <w:rFonts w:ascii="宋体" w:hAnsi="宋体"/>
          <w:b/>
          <w:color w:val="auto"/>
          <w:spacing w:val="140"/>
          <w:sz w:val="72"/>
        </w:rPr>
      </w:pPr>
    </w:p>
    <w:p w14:paraId="316C6DC5">
      <w:pPr>
        <w:spacing w:line="900" w:lineRule="exact"/>
        <w:jc w:val="center"/>
        <w:rPr>
          <w:rFonts w:ascii="宋体" w:hAnsi="宋体"/>
          <w:b/>
          <w:color w:val="auto"/>
          <w:spacing w:val="140"/>
          <w:sz w:val="84"/>
          <w:szCs w:val="84"/>
        </w:rPr>
      </w:pPr>
      <w:r>
        <w:rPr>
          <w:rFonts w:hint="eastAsia" w:ascii="宋体" w:hAnsi="宋体"/>
          <w:b/>
          <w:color w:val="auto"/>
          <w:spacing w:val="140"/>
          <w:sz w:val="84"/>
          <w:szCs w:val="84"/>
        </w:rPr>
        <w:t>磋 商 文 件</w:t>
      </w:r>
    </w:p>
    <w:p w14:paraId="4F5DFA88">
      <w:pPr>
        <w:spacing w:line="400" w:lineRule="exact"/>
        <w:jc w:val="center"/>
        <w:rPr>
          <w:rFonts w:ascii="宋体" w:hAnsi="宋体"/>
          <w:b/>
          <w:color w:val="auto"/>
          <w:sz w:val="32"/>
        </w:rPr>
      </w:pPr>
    </w:p>
    <w:p w14:paraId="5A1443BF">
      <w:pPr>
        <w:spacing w:line="900" w:lineRule="exact"/>
        <w:jc w:val="center"/>
        <w:rPr>
          <w:rFonts w:ascii="宋体" w:hAnsi="宋体"/>
          <w:b/>
          <w:color w:val="auto"/>
          <w:spacing w:val="140"/>
          <w:sz w:val="84"/>
          <w:szCs w:val="84"/>
        </w:rPr>
      </w:pPr>
      <w:r>
        <w:rPr>
          <w:rFonts w:hint="eastAsia" w:ascii="宋体" w:hAnsi="宋体"/>
          <w:b/>
          <w:color w:val="auto"/>
          <w:spacing w:val="140"/>
          <w:sz w:val="84"/>
          <w:szCs w:val="84"/>
        </w:rPr>
        <w:t>（电子投标）</w:t>
      </w:r>
    </w:p>
    <w:p w14:paraId="4EC3AD68">
      <w:pPr>
        <w:rPr>
          <w:rFonts w:ascii="宋体" w:hAnsi="宋体"/>
          <w:b/>
          <w:color w:val="auto"/>
          <w:sz w:val="24"/>
        </w:rPr>
      </w:pPr>
    </w:p>
    <w:p w14:paraId="2961210A">
      <w:pPr>
        <w:rPr>
          <w:rFonts w:ascii="宋体" w:hAnsi="宋体"/>
          <w:b/>
          <w:color w:val="auto"/>
          <w:sz w:val="24"/>
        </w:rPr>
      </w:pPr>
    </w:p>
    <w:p w14:paraId="03CF76E0">
      <w:pPr>
        <w:rPr>
          <w:rFonts w:ascii="宋体" w:hAnsi="宋体"/>
          <w:b/>
          <w:color w:val="auto"/>
          <w:sz w:val="24"/>
        </w:rPr>
      </w:pPr>
    </w:p>
    <w:p w14:paraId="2288CF12">
      <w:pPr>
        <w:rPr>
          <w:rFonts w:ascii="宋体" w:hAnsi="宋体"/>
          <w:b/>
          <w:color w:val="auto"/>
          <w:sz w:val="24"/>
        </w:rPr>
      </w:pPr>
    </w:p>
    <w:p w14:paraId="526FA43B">
      <w:pPr>
        <w:rPr>
          <w:rFonts w:ascii="宋体" w:hAnsi="宋体"/>
          <w:b/>
          <w:color w:val="auto"/>
          <w:sz w:val="24"/>
        </w:rPr>
      </w:pPr>
    </w:p>
    <w:p w14:paraId="08B6ED23">
      <w:pPr>
        <w:spacing w:line="600" w:lineRule="exact"/>
        <w:ind w:left="420" w:firstLine="1800" w:firstLineChars="500"/>
        <w:rPr>
          <w:rFonts w:hint="eastAsia" w:ascii="宋体" w:hAnsi="宋体" w:eastAsia="宋体"/>
          <w:color w:val="auto"/>
          <w:spacing w:val="30"/>
          <w:sz w:val="30"/>
          <w:lang w:eastAsia="zh-CN"/>
        </w:rPr>
      </w:pPr>
      <w:r>
        <w:rPr>
          <w:rFonts w:hint="eastAsia" w:ascii="宋体" w:hAnsi="宋体"/>
          <w:color w:val="auto"/>
          <w:spacing w:val="30"/>
          <w:sz w:val="30"/>
        </w:rPr>
        <w:t>项目编号：</w:t>
      </w:r>
      <w:r>
        <w:rPr>
          <w:rFonts w:hint="eastAsia" w:ascii="宋体" w:hAnsi="宋体" w:cs="宋体"/>
          <w:color w:val="auto"/>
          <w:spacing w:val="30"/>
          <w:sz w:val="30"/>
          <w:lang w:eastAsia="zh-CN"/>
        </w:rPr>
        <w:t>WZZF2024(ZC)-06-129（CS）</w:t>
      </w:r>
    </w:p>
    <w:p w14:paraId="51BC9B46">
      <w:pPr>
        <w:spacing w:line="600" w:lineRule="exact"/>
        <w:ind w:left="420" w:firstLine="1800" w:firstLineChars="500"/>
        <w:rPr>
          <w:rFonts w:hint="eastAsia" w:ascii="宋体" w:hAnsi="宋体" w:eastAsia="宋体"/>
          <w:color w:val="auto"/>
          <w:sz w:val="30"/>
          <w:lang w:eastAsia="zh-CN"/>
        </w:rPr>
      </w:pPr>
      <w:r>
        <w:rPr>
          <w:rFonts w:hint="eastAsia" w:ascii="宋体" w:hAnsi="宋体"/>
          <w:color w:val="auto"/>
          <w:spacing w:val="30"/>
          <w:sz w:val="30"/>
        </w:rPr>
        <w:t>项目名称：</w:t>
      </w:r>
      <w:r>
        <w:rPr>
          <w:rFonts w:hint="eastAsia" w:ascii="宋体" w:hAnsi="宋体"/>
          <w:color w:val="auto"/>
          <w:sz w:val="30"/>
          <w:lang w:eastAsia="zh-CN"/>
        </w:rPr>
        <w:t>校园厨房设备更新及附属工程</w:t>
      </w:r>
    </w:p>
    <w:p w14:paraId="696F7735">
      <w:pPr>
        <w:spacing w:line="600" w:lineRule="exact"/>
        <w:ind w:left="420" w:firstLine="1800" w:firstLineChars="500"/>
        <w:rPr>
          <w:rFonts w:ascii="宋体" w:hAnsi="宋体"/>
          <w:color w:val="auto"/>
          <w:spacing w:val="40"/>
          <w:sz w:val="30"/>
        </w:rPr>
      </w:pPr>
      <w:r>
        <w:rPr>
          <w:rFonts w:hint="eastAsia" w:ascii="宋体" w:hAnsi="宋体"/>
          <w:color w:val="auto"/>
          <w:spacing w:val="30"/>
          <w:sz w:val="30"/>
        </w:rPr>
        <w:t>采购方式：</w:t>
      </w:r>
      <w:r>
        <w:rPr>
          <w:rFonts w:hint="eastAsia" w:ascii="宋体" w:hAnsi="宋体"/>
          <w:color w:val="auto"/>
          <w:sz w:val="30"/>
        </w:rPr>
        <w:t>竞争性磋商</w:t>
      </w:r>
    </w:p>
    <w:p w14:paraId="2A63A0CF">
      <w:pPr>
        <w:spacing w:line="600" w:lineRule="exact"/>
        <w:ind w:firstLine="1140" w:firstLineChars="300"/>
        <w:rPr>
          <w:rFonts w:ascii="宋体" w:hAnsi="宋体"/>
          <w:color w:val="auto"/>
          <w:spacing w:val="40"/>
          <w:sz w:val="30"/>
        </w:rPr>
      </w:pPr>
    </w:p>
    <w:p w14:paraId="13FE0B6C">
      <w:pPr>
        <w:spacing w:line="600" w:lineRule="exact"/>
        <w:rPr>
          <w:rFonts w:ascii="宋体" w:hAnsi="宋体"/>
          <w:color w:val="auto"/>
          <w:spacing w:val="40"/>
          <w:sz w:val="30"/>
        </w:rPr>
      </w:pPr>
    </w:p>
    <w:p w14:paraId="5116D2FE">
      <w:pPr>
        <w:spacing w:line="600" w:lineRule="exact"/>
        <w:rPr>
          <w:rFonts w:ascii="宋体" w:hAnsi="宋体"/>
          <w:color w:val="auto"/>
          <w:spacing w:val="40"/>
          <w:sz w:val="30"/>
        </w:rPr>
      </w:pPr>
    </w:p>
    <w:p w14:paraId="252429CA">
      <w:pPr>
        <w:spacing w:line="600" w:lineRule="exact"/>
        <w:rPr>
          <w:rFonts w:ascii="宋体" w:hAnsi="宋体"/>
          <w:color w:val="auto"/>
          <w:spacing w:val="40"/>
          <w:sz w:val="30"/>
        </w:rPr>
      </w:pPr>
    </w:p>
    <w:p w14:paraId="3A47588E">
      <w:pPr>
        <w:pStyle w:val="36"/>
        <w:rPr>
          <w:color w:val="auto"/>
        </w:rPr>
      </w:pPr>
    </w:p>
    <w:p w14:paraId="13AC7464">
      <w:pPr>
        <w:spacing w:line="600" w:lineRule="exact"/>
        <w:jc w:val="center"/>
        <w:rPr>
          <w:rFonts w:hint="eastAsia" w:ascii="宋体" w:hAnsi="宋体" w:eastAsia="宋体"/>
          <w:b/>
          <w:color w:val="auto"/>
          <w:kern w:val="11"/>
          <w:sz w:val="30"/>
          <w:lang w:eastAsia="zh-CN"/>
        </w:rPr>
      </w:pPr>
      <w:r>
        <w:rPr>
          <w:rFonts w:hint="eastAsia" w:ascii="宋体" w:hAnsi="宋体"/>
          <w:b/>
          <w:color w:val="auto"/>
          <w:kern w:val="11"/>
          <w:sz w:val="30"/>
        </w:rPr>
        <w:t>采购人：</w:t>
      </w:r>
      <w:r>
        <w:rPr>
          <w:rFonts w:hint="eastAsia" w:ascii="宋体" w:hAnsi="宋体"/>
          <w:b/>
          <w:color w:val="auto"/>
          <w:kern w:val="11"/>
          <w:sz w:val="30"/>
          <w:lang w:eastAsia="zh-CN"/>
        </w:rPr>
        <w:t>温州市特殊教育学校</w:t>
      </w:r>
    </w:p>
    <w:p w14:paraId="660AC3E0">
      <w:pPr>
        <w:spacing w:line="600" w:lineRule="exact"/>
        <w:jc w:val="center"/>
        <w:rPr>
          <w:rFonts w:ascii="宋体" w:hAnsi="宋体"/>
          <w:b/>
          <w:color w:val="auto"/>
          <w:kern w:val="11"/>
          <w:sz w:val="30"/>
        </w:rPr>
      </w:pPr>
      <w:r>
        <w:rPr>
          <w:rFonts w:hint="eastAsia" w:ascii="宋体" w:hAnsi="宋体"/>
          <w:b/>
          <w:color w:val="auto"/>
          <w:kern w:val="11"/>
          <w:sz w:val="30"/>
        </w:rPr>
        <w:t>采购代理机构：温州正风招标代理有限公司</w:t>
      </w:r>
    </w:p>
    <w:p w14:paraId="53343E96">
      <w:pPr>
        <w:rPr>
          <w:rFonts w:ascii="宋体" w:hAnsi="宋体"/>
          <w:b/>
          <w:color w:val="auto"/>
          <w:spacing w:val="40"/>
          <w:sz w:val="28"/>
        </w:rPr>
      </w:pPr>
    </w:p>
    <w:p w14:paraId="23D3E99F">
      <w:pPr>
        <w:ind w:firstLine="3611" w:firstLineChars="1000"/>
        <w:rPr>
          <w:rFonts w:ascii="宋体" w:hAnsi="宋体"/>
          <w:b/>
          <w:color w:val="auto"/>
          <w:spacing w:val="40"/>
          <w:sz w:val="28"/>
        </w:rPr>
      </w:pPr>
      <w:r>
        <w:rPr>
          <w:rFonts w:hint="eastAsia" w:ascii="宋体" w:hAnsi="宋体"/>
          <w:b/>
          <w:color w:val="auto"/>
          <w:spacing w:val="40"/>
          <w:sz w:val="28"/>
        </w:rPr>
        <w:t>二〇二</w:t>
      </w:r>
      <w:r>
        <w:rPr>
          <w:rFonts w:hint="eastAsia" w:ascii="宋体" w:hAnsi="宋体"/>
          <w:b/>
          <w:color w:val="auto"/>
          <w:spacing w:val="40"/>
          <w:sz w:val="28"/>
          <w:lang w:val="en-US" w:eastAsia="zh-CN"/>
        </w:rPr>
        <w:t>四</w:t>
      </w:r>
      <w:r>
        <w:rPr>
          <w:rFonts w:hint="eastAsia" w:ascii="宋体" w:hAnsi="宋体"/>
          <w:b/>
          <w:color w:val="auto"/>
          <w:spacing w:val="40"/>
          <w:sz w:val="28"/>
        </w:rPr>
        <w:t>年</w:t>
      </w:r>
      <w:r>
        <w:rPr>
          <w:rFonts w:hint="eastAsia" w:ascii="宋体" w:hAnsi="宋体"/>
          <w:b/>
          <w:color w:val="auto"/>
          <w:spacing w:val="40"/>
          <w:sz w:val="28"/>
          <w:lang w:val="en-US" w:eastAsia="zh-CN"/>
        </w:rPr>
        <w:t>六</w:t>
      </w:r>
      <w:r>
        <w:rPr>
          <w:rFonts w:hint="eastAsia" w:ascii="宋体" w:hAnsi="宋体"/>
          <w:b/>
          <w:color w:val="auto"/>
          <w:spacing w:val="40"/>
          <w:sz w:val="28"/>
        </w:rPr>
        <w:t>月</w:t>
      </w:r>
    </w:p>
    <w:p w14:paraId="65C3FA3C">
      <w:pPr>
        <w:pStyle w:val="2"/>
        <w:spacing w:line="600" w:lineRule="exact"/>
        <w:jc w:val="center"/>
        <w:rPr>
          <w:rFonts w:ascii="黑体" w:hAnsi="黑体" w:eastAsia="黑体"/>
          <w:color w:val="auto"/>
          <w:sz w:val="36"/>
          <w:szCs w:val="36"/>
        </w:rPr>
        <w:sectPr>
          <w:headerReference r:id="rId3" w:type="default"/>
          <w:footerReference r:id="rId4" w:type="default"/>
          <w:footerReference r:id="rId5" w:type="even"/>
          <w:pgSz w:w="11906" w:h="16838"/>
          <w:pgMar w:top="1134" w:right="1134" w:bottom="1134" w:left="1134" w:header="851" w:footer="992" w:gutter="0"/>
          <w:pgNumType w:start="0"/>
          <w:cols w:space="720" w:num="1"/>
          <w:titlePg/>
          <w:docGrid w:linePitch="312" w:charSpace="0"/>
        </w:sectPr>
      </w:pPr>
    </w:p>
    <w:p w14:paraId="21D5EB4E">
      <w:pPr>
        <w:pStyle w:val="2"/>
        <w:spacing w:line="600" w:lineRule="exact"/>
        <w:jc w:val="center"/>
        <w:rPr>
          <w:rFonts w:ascii="黑体" w:hAnsi="黑体" w:eastAsia="黑体"/>
          <w:color w:val="auto"/>
          <w:sz w:val="36"/>
          <w:szCs w:val="36"/>
        </w:rPr>
      </w:pPr>
      <w:bookmarkStart w:id="0" w:name="_Toc14821"/>
      <w:bookmarkStart w:id="1" w:name="_Toc26707"/>
      <w:bookmarkStart w:id="2" w:name="_Toc11635"/>
      <w:bookmarkStart w:id="3" w:name="_Toc2071"/>
      <w:bookmarkStart w:id="4" w:name="_Toc11473"/>
      <w:r>
        <w:rPr>
          <w:rFonts w:hint="eastAsia" w:ascii="黑体" w:hAnsi="黑体" w:eastAsia="黑体"/>
          <w:color w:val="auto"/>
          <w:sz w:val="36"/>
          <w:szCs w:val="36"/>
        </w:rPr>
        <w:t>目   录</w:t>
      </w:r>
      <w:bookmarkEnd w:id="0"/>
      <w:bookmarkEnd w:id="1"/>
      <w:bookmarkEnd w:id="2"/>
      <w:bookmarkEnd w:id="3"/>
      <w:bookmarkEnd w:id="4"/>
    </w:p>
    <w:p w14:paraId="70EA107B">
      <w:pPr>
        <w:rPr>
          <w:rFonts w:ascii="宋体" w:hAnsi="宋体"/>
          <w:color w:val="auto"/>
        </w:rPr>
      </w:pPr>
    </w:p>
    <w:p w14:paraId="3CF86A95">
      <w:pPr>
        <w:rPr>
          <w:rFonts w:ascii="宋体" w:hAnsi="宋体"/>
          <w:color w:val="auto"/>
        </w:rPr>
      </w:pPr>
    </w:p>
    <w:p w14:paraId="5B8F34B4">
      <w:pPr>
        <w:pStyle w:val="26"/>
        <w:tabs>
          <w:tab w:val="right" w:leader="dot" w:pos="9638"/>
        </w:tabs>
        <w:rPr>
          <w:color w:val="auto"/>
        </w:rPr>
      </w:pPr>
      <w:r>
        <w:rPr>
          <w:rFonts w:ascii="宋体" w:hAnsi="宋体"/>
          <w:smallCaps/>
          <w:color w:val="auto"/>
          <w:spacing w:val="40"/>
          <w:sz w:val="22"/>
          <w:szCs w:val="22"/>
        </w:rPr>
        <w:fldChar w:fldCharType="begin"/>
      </w:r>
      <w:r>
        <w:rPr>
          <w:rFonts w:ascii="宋体" w:hAnsi="宋体"/>
          <w:smallCaps/>
          <w:color w:val="auto"/>
          <w:spacing w:val="40"/>
          <w:sz w:val="22"/>
          <w:szCs w:val="22"/>
        </w:rPr>
        <w:instrText xml:space="preserve"> TOC \o "1-3" \h \z \u </w:instrText>
      </w:r>
      <w:r>
        <w:rPr>
          <w:rFonts w:ascii="宋体" w:hAnsi="宋体"/>
          <w:smallCaps/>
          <w:color w:val="auto"/>
          <w:spacing w:val="40"/>
          <w:sz w:val="22"/>
          <w:szCs w:val="22"/>
        </w:rPr>
        <w:fldChar w:fldCharType="separate"/>
      </w:r>
      <w:r>
        <w:rPr>
          <w:rFonts w:ascii="宋体" w:hAnsi="宋体"/>
          <w:smallCaps/>
          <w:color w:val="auto"/>
          <w:spacing w:val="40"/>
          <w:szCs w:val="22"/>
        </w:rPr>
        <w:fldChar w:fldCharType="begin"/>
      </w:r>
      <w:r>
        <w:rPr>
          <w:rFonts w:ascii="宋体" w:hAnsi="宋体"/>
          <w:smallCaps/>
          <w:color w:val="auto"/>
          <w:spacing w:val="40"/>
          <w:szCs w:val="22"/>
        </w:rPr>
        <w:instrText xml:space="preserve"> HYPERLINK \l _Toc2071 </w:instrText>
      </w:r>
      <w:r>
        <w:rPr>
          <w:rFonts w:ascii="宋体" w:hAnsi="宋体"/>
          <w:smallCaps/>
          <w:color w:val="auto"/>
          <w:spacing w:val="40"/>
          <w:szCs w:val="22"/>
        </w:rPr>
        <w:fldChar w:fldCharType="separate"/>
      </w:r>
      <w:r>
        <w:rPr>
          <w:rFonts w:hint="eastAsia" w:ascii="黑体" w:hAnsi="黑体" w:eastAsia="黑体"/>
          <w:color w:val="auto"/>
          <w:szCs w:val="36"/>
        </w:rPr>
        <w:t>目   录</w:t>
      </w:r>
      <w:r>
        <w:rPr>
          <w:color w:val="auto"/>
        </w:rPr>
        <w:tab/>
      </w:r>
      <w:r>
        <w:rPr>
          <w:color w:val="auto"/>
        </w:rPr>
        <w:fldChar w:fldCharType="begin"/>
      </w:r>
      <w:r>
        <w:rPr>
          <w:color w:val="auto"/>
        </w:rPr>
        <w:instrText xml:space="preserve"> PAGEREF _Toc2071 \h </w:instrText>
      </w:r>
      <w:r>
        <w:rPr>
          <w:color w:val="auto"/>
        </w:rPr>
        <w:fldChar w:fldCharType="separate"/>
      </w:r>
      <w:r>
        <w:rPr>
          <w:color w:val="auto"/>
        </w:rPr>
        <w:t>1</w:t>
      </w:r>
      <w:r>
        <w:rPr>
          <w:color w:val="auto"/>
        </w:rPr>
        <w:fldChar w:fldCharType="end"/>
      </w:r>
      <w:r>
        <w:rPr>
          <w:rFonts w:ascii="宋体" w:hAnsi="宋体"/>
          <w:smallCaps/>
          <w:color w:val="auto"/>
          <w:spacing w:val="40"/>
          <w:szCs w:val="22"/>
        </w:rPr>
        <w:fldChar w:fldCharType="end"/>
      </w:r>
    </w:p>
    <w:p w14:paraId="1BAC302E">
      <w:pPr>
        <w:pStyle w:val="26"/>
        <w:tabs>
          <w:tab w:val="right" w:leader="dot" w:pos="9638"/>
        </w:tabs>
        <w:rPr>
          <w:color w:val="auto"/>
        </w:rPr>
      </w:pPr>
      <w:r>
        <w:rPr>
          <w:rFonts w:ascii="宋体" w:hAnsi="宋体"/>
          <w:smallCaps/>
          <w:color w:val="auto"/>
          <w:spacing w:val="40"/>
          <w:szCs w:val="22"/>
        </w:rPr>
        <w:fldChar w:fldCharType="begin"/>
      </w:r>
      <w:r>
        <w:rPr>
          <w:rFonts w:ascii="宋体" w:hAnsi="宋体"/>
          <w:smallCaps/>
          <w:color w:val="auto"/>
          <w:spacing w:val="40"/>
          <w:szCs w:val="22"/>
        </w:rPr>
        <w:instrText xml:space="preserve"> HYPERLINK \l _Toc28861 </w:instrText>
      </w:r>
      <w:r>
        <w:rPr>
          <w:rFonts w:ascii="宋体" w:hAnsi="宋体"/>
          <w:smallCaps/>
          <w:color w:val="auto"/>
          <w:spacing w:val="40"/>
          <w:szCs w:val="22"/>
        </w:rPr>
        <w:fldChar w:fldCharType="separate"/>
      </w:r>
      <w:r>
        <w:rPr>
          <w:rFonts w:hint="eastAsia" w:ascii="黑体" w:hAnsi="黑体" w:eastAsia="黑体"/>
          <w:color w:val="auto"/>
          <w:szCs w:val="36"/>
        </w:rPr>
        <w:t>第一部分   磋商公告</w:t>
      </w:r>
      <w:r>
        <w:rPr>
          <w:color w:val="auto"/>
        </w:rPr>
        <w:tab/>
      </w:r>
      <w:r>
        <w:rPr>
          <w:color w:val="auto"/>
        </w:rPr>
        <w:fldChar w:fldCharType="begin"/>
      </w:r>
      <w:r>
        <w:rPr>
          <w:color w:val="auto"/>
        </w:rPr>
        <w:instrText xml:space="preserve"> PAGEREF _Toc28861 \h </w:instrText>
      </w:r>
      <w:r>
        <w:rPr>
          <w:color w:val="auto"/>
        </w:rPr>
        <w:fldChar w:fldCharType="separate"/>
      </w:r>
      <w:r>
        <w:rPr>
          <w:color w:val="auto"/>
        </w:rPr>
        <w:t>2</w:t>
      </w:r>
      <w:r>
        <w:rPr>
          <w:color w:val="auto"/>
        </w:rPr>
        <w:fldChar w:fldCharType="end"/>
      </w:r>
      <w:r>
        <w:rPr>
          <w:rFonts w:ascii="宋体" w:hAnsi="宋体"/>
          <w:smallCaps/>
          <w:color w:val="auto"/>
          <w:spacing w:val="40"/>
          <w:szCs w:val="22"/>
        </w:rPr>
        <w:fldChar w:fldCharType="end"/>
      </w:r>
    </w:p>
    <w:p w14:paraId="2DCF2089">
      <w:pPr>
        <w:pStyle w:val="26"/>
        <w:tabs>
          <w:tab w:val="right" w:leader="dot" w:pos="9638"/>
        </w:tabs>
        <w:rPr>
          <w:color w:val="auto"/>
        </w:rPr>
      </w:pPr>
      <w:r>
        <w:rPr>
          <w:rFonts w:ascii="宋体" w:hAnsi="宋体"/>
          <w:smallCaps/>
          <w:color w:val="auto"/>
          <w:spacing w:val="40"/>
          <w:szCs w:val="22"/>
        </w:rPr>
        <w:fldChar w:fldCharType="begin"/>
      </w:r>
      <w:r>
        <w:rPr>
          <w:rFonts w:ascii="宋体" w:hAnsi="宋体"/>
          <w:smallCaps/>
          <w:color w:val="auto"/>
          <w:spacing w:val="40"/>
          <w:szCs w:val="22"/>
        </w:rPr>
        <w:instrText xml:space="preserve"> HYPERLINK \l _Toc664 </w:instrText>
      </w:r>
      <w:r>
        <w:rPr>
          <w:rFonts w:ascii="宋体" w:hAnsi="宋体"/>
          <w:smallCaps/>
          <w:color w:val="auto"/>
          <w:spacing w:val="40"/>
          <w:szCs w:val="22"/>
        </w:rPr>
        <w:fldChar w:fldCharType="separate"/>
      </w:r>
      <w:r>
        <w:rPr>
          <w:rFonts w:hint="eastAsia" w:ascii="黑体" w:hAnsi="黑体" w:eastAsia="黑体"/>
          <w:color w:val="auto"/>
          <w:szCs w:val="36"/>
        </w:rPr>
        <w:t>第二部分   磋商供应商须知</w:t>
      </w:r>
      <w:r>
        <w:rPr>
          <w:color w:val="auto"/>
        </w:rPr>
        <w:tab/>
      </w:r>
      <w:r>
        <w:rPr>
          <w:color w:val="auto"/>
        </w:rPr>
        <w:fldChar w:fldCharType="begin"/>
      </w:r>
      <w:r>
        <w:rPr>
          <w:color w:val="auto"/>
        </w:rPr>
        <w:instrText xml:space="preserve"> PAGEREF _Toc664 \h </w:instrText>
      </w:r>
      <w:r>
        <w:rPr>
          <w:color w:val="auto"/>
        </w:rPr>
        <w:fldChar w:fldCharType="separate"/>
      </w:r>
      <w:r>
        <w:rPr>
          <w:color w:val="auto"/>
        </w:rPr>
        <w:t>5</w:t>
      </w:r>
      <w:r>
        <w:rPr>
          <w:color w:val="auto"/>
        </w:rPr>
        <w:fldChar w:fldCharType="end"/>
      </w:r>
      <w:r>
        <w:rPr>
          <w:rFonts w:ascii="宋体" w:hAnsi="宋体"/>
          <w:smallCaps/>
          <w:color w:val="auto"/>
          <w:spacing w:val="40"/>
          <w:szCs w:val="22"/>
        </w:rPr>
        <w:fldChar w:fldCharType="end"/>
      </w:r>
    </w:p>
    <w:p w14:paraId="39407EB5">
      <w:pPr>
        <w:pStyle w:val="30"/>
        <w:tabs>
          <w:tab w:val="right" w:leader="dot" w:pos="9638"/>
        </w:tabs>
        <w:rPr>
          <w:color w:val="auto"/>
        </w:rPr>
      </w:pPr>
      <w:r>
        <w:rPr>
          <w:rFonts w:ascii="宋体" w:hAnsi="宋体"/>
          <w:smallCaps/>
          <w:color w:val="auto"/>
          <w:spacing w:val="40"/>
          <w:szCs w:val="22"/>
        </w:rPr>
        <w:fldChar w:fldCharType="begin"/>
      </w:r>
      <w:r>
        <w:rPr>
          <w:rFonts w:ascii="宋体" w:hAnsi="宋体"/>
          <w:smallCaps/>
          <w:color w:val="auto"/>
          <w:spacing w:val="40"/>
          <w:szCs w:val="22"/>
        </w:rPr>
        <w:instrText xml:space="preserve"> HYPERLINK \l _Toc20626 </w:instrText>
      </w:r>
      <w:r>
        <w:rPr>
          <w:rFonts w:ascii="宋体" w:hAnsi="宋体"/>
          <w:smallCaps/>
          <w:color w:val="auto"/>
          <w:spacing w:val="40"/>
          <w:szCs w:val="22"/>
        </w:rPr>
        <w:fldChar w:fldCharType="separate"/>
      </w:r>
      <w:r>
        <w:rPr>
          <w:rFonts w:hint="eastAsia" w:ascii="宋体" w:hAnsi="宋体" w:eastAsia="宋体"/>
          <w:color w:val="auto"/>
          <w:szCs w:val="28"/>
        </w:rPr>
        <w:t>磋商供应商须知前附表</w:t>
      </w:r>
      <w:r>
        <w:rPr>
          <w:color w:val="auto"/>
        </w:rPr>
        <w:tab/>
      </w:r>
      <w:r>
        <w:rPr>
          <w:color w:val="auto"/>
        </w:rPr>
        <w:fldChar w:fldCharType="begin"/>
      </w:r>
      <w:r>
        <w:rPr>
          <w:color w:val="auto"/>
        </w:rPr>
        <w:instrText xml:space="preserve"> PAGEREF _Toc20626 \h </w:instrText>
      </w:r>
      <w:r>
        <w:rPr>
          <w:color w:val="auto"/>
        </w:rPr>
        <w:fldChar w:fldCharType="separate"/>
      </w:r>
      <w:r>
        <w:rPr>
          <w:color w:val="auto"/>
        </w:rPr>
        <w:t>5</w:t>
      </w:r>
      <w:r>
        <w:rPr>
          <w:color w:val="auto"/>
        </w:rPr>
        <w:fldChar w:fldCharType="end"/>
      </w:r>
      <w:r>
        <w:rPr>
          <w:rFonts w:ascii="宋体" w:hAnsi="宋体"/>
          <w:smallCaps/>
          <w:color w:val="auto"/>
          <w:spacing w:val="40"/>
          <w:szCs w:val="22"/>
        </w:rPr>
        <w:fldChar w:fldCharType="end"/>
      </w:r>
    </w:p>
    <w:p w14:paraId="1A384632">
      <w:pPr>
        <w:pStyle w:val="30"/>
        <w:tabs>
          <w:tab w:val="right" w:leader="dot" w:pos="9638"/>
        </w:tabs>
        <w:rPr>
          <w:color w:val="auto"/>
        </w:rPr>
      </w:pPr>
      <w:r>
        <w:rPr>
          <w:rFonts w:ascii="宋体" w:hAnsi="宋体"/>
          <w:smallCaps/>
          <w:color w:val="auto"/>
          <w:spacing w:val="40"/>
          <w:szCs w:val="22"/>
        </w:rPr>
        <w:fldChar w:fldCharType="begin"/>
      </w:r>
      <w:r>
        <w:rPr>
          <w:rFonts w:ascii="宋体" w:hAnsi="宋体"/>
          <w:smallCaps/>
          <w:color w:val="auto"/>
          <w:spacing w:val="40"/>
          <w:szCs w:val="22"/>
        </w:rPr>
        <w:instrText xml:space="preserve"> HYPERLINK \l _Toc26424 </w:instrText>
      </w:r>
      <w:r>
        <w:rPr>
          <w:rFonts w:ascii="宋体" w:hAnsi="宋体"/>
          <w:smallCaps/>
          <w:color w:val="auto"/>
          <w:spacing w:val="40"/>
          <w:szCs w:val="22"/>
        </w:rPr>
        <w:fldChar w:fldCharType="separate"/>
      </w:r>
      <w:r>
        <w:rPr>
          <w:rFonts w:hint="eastAsia"/>
          <w:color w:val="auto"/>
          <w:szCs w:val="28"/>
        </w:rPr>
        <w:t>一、说    明</w:t>
      </w:r>
      <w:r>
        <w:rPr>
          <w:color w:val="auto"/>
        </w:rPr>
        <w:tab/>
      </w:r>
      <w:r>
        <w:rPr>
          <w:color w:val="auto"/>
        </w:rPr>
        <w:fldChar w:fldCharType="begin"/>
      </w:r>
      <w:r>
        <w:rPr>
          <w:color w:val="auto"/>
        </w:rPr>
        <w:instrText xml:space="preserve"> PAGEREF _Toc26424 \h </w:instrText>
      </w:r>
      <w:r>
        <w:rPr>
          <w:color w:val="auto"/>
        </w:rPr>
        <w:fldChar w:fldCharType="separate"/>
      </w:r>
      <w:r>
        <w:rPr>
          <w:color w:val="auto"/>
        </w:rPr>
        <w:t>9</w:t>
      </w:r>
      <w:r>
        <w:rPr>
          <w:color w:val="auto"/>
        </w:rPr>
        <w:fldChar w:fldCharType="end"/>
      </w:r>
      <w:r>
        <w:rPr>
          <w:rFonts w:ascii="宋体" w:hAnsi="宋体"/>
          <w:smallCaps/>
          <w:color w:val="auto"/>
          <w:spacing w:val="40"/>
          <w:szCs w:val="22"/>
        </w:rPr>
        <w:fldChar w:fldCharType="end"/>
      </w:r>
    </w:p>
    <w:p w14:paraId="1D15B432">
      <w:pPr>
        <w:pStyle w:val="30"/>
        <w:tabs>
          <w:tab w:val="right" w:leader="dot" w:pos="9638"/>
        </w:tabs>
        <w:rPr>
          <w:color w:val="auto"/>
        </w:rPr>
      </w:pPr>
      <w:r>
        <w:rPr>
          <w:rFonts w:ascii="宋体" w:hAnsi="宋体"/>
          <w:smallCaps/>
          <w:color w:val="auto"/>
          <w:spacing w:val="40"/>
          <w:szCs w:val="22"/>
        </w:rPr>
        <w:fldChar w:fldCharType="begin"/>
      </w:r>
      <w:r>
        <w:rPr>
          <w:rFonts w:ascii="宋体" w:hAnsi="宋体"/>
          <w:smallCaps/>
          <w:color w:val="auto"/>
          <w:spacing w:val="40"/>
          <w:szCs w:val="22"/>
        </w:rPr>
        <w:instrText xml:space="preserve"> HYPERLINK \l _Toc16374 </w:instrText>
      </w:r>
      <w:r>
        <w:rPr>
          <w:rFonts w:ascii="宋体" w:hAnsi="宋体"/>
          <w:smallCaps/>
          <w:color w:val="auto"/>
          <w:spacing w:val="40"/>
          <w:szCs w:val="22"/>
        </w:rPr>
        <w:fldChar w:fldCharType="separate"/>
      </w:r>
      <w:r>
        <w:rPr>
          <w:rFonts w:hint="eastAsia"/>
          <w:color w:val="auto"/>
          <w:szCs w:val="28"/>
        </w:rPr>
        <w:t>二、磋商文件</w:t>
      </w:r>
      <w:r>
        <w:rPr>
          <w:color w:val="auto"/>
        </w:rPr>
        <w:tab/>
      </w:r>
      <w:r>
        <w:rPr>
          <w:color w:val="auto"/>
        </w:rPr>
        <w:fldChar w:fldCharType="begin"/>
      </w:r>
      <w:r>
        <w:rPr>
          <w:color w:val="auto"/>
        </w:rPr>
        <w:instrText xml:space="preserve"> PAGEREF _Toc16374 \h </w:instrText>
      </w:r>
      <w:r>
        <w:rPr>
          <w:color w:val="auto"/>
        </w:rPr>
        <w:fldChar w:fldCharType="separate"/>
      </w:r>
      <w:r>
        <w:rPr>
          <w:color w:val="auto"/>
        </w:rPr>
        <w:t>13</w:t>
      </w:r>
      <w:r>
        <w:rPr>
          <w:color w:val="auto"/>
        </w:rPr>
        <w:fldChar w:fldCharType="end"/>
      </w:r>
      <w:r>
        <w:rPr>
          <w:rFonts w:ascii="宋体" w:hAnsi="宋体"/>
          <w:smallCaps/>
          <w:color w:val="auto"/>
          <w:spacing w:val="40"/>
          <w:szCs w:val="22"/>
        </w:rPr>
        <w:fldChar w:fldCharType="end"/>
      </w:r>
    </w:p>
    <w:p w14:paraId="0633B48D">
      <w:pPr>
        <w:pStyle w:val="30"/>
        <w:tabs>
          <w:tab w:val="right" w:leader="dot" w:pos="9638"/>
        </w:tabs>
        <w:rPr>
          <w:color w:val="auto"/>
        </w:rPr>
      </w:pPr>
      <w:r>
        <w:rPr>
          <w:rFonts w:ascii="宋体" w:hAnsi="宋体"/>
          <w:smallCaps/>
          <w:color w:val="auto"/>
          <w:spacing w:val="40"/>
          <w:szCs w:val="22"/>
        </w:rPr>
        <w:fldChar w:fldCharType="begin"/>
      </w:r>
      <w:r>
        <w:rPr>
          <w:rFonts w:ascii="宋体" w:hAnsi="宋体"/>
          <w:smallCaps/>
          <w:color w:val="auto"/>
          <w:spacing w:val="40"/>
          <w:szCs w:val="22"/>
        </w:rPr>
        <w:instrText xml:space="preserve"> HYPERLINK \l _Toc17498 </w:instrText>
      </w:r>
      <w:r>
        <w:rPr>
          <w:rFonts w:ascii="宋体" w:hAnsi="宋体"/>
          <w:smallCaps/>
          <w:color w:val="auto"/>
          <w:spacing w:val="40"/>
          <w:szCs w:val="22"/>
        </w:rPr>
        <w:fldChar w:fldCharType="separate"/>
      </w:r>
      <w:r>
        <w:rPr>
          <w:rFonts w:hint="eastAsia"/>
          <w:color w:val="auto"/>
          <w:szCs w:val="28"/>
        </w:rPr>
        <w:t>三、响应文件的编制</w:t>
      </w:r>
      <w:r>
        <w:rPr>
          <w:color w:val="auto"/>
        </w:rPr>
        <w:tab/>
      </w:r>
      <w:r>
        <w:rPr>
          <w:color w:val="auto"/>
        </w:rPr>
        <w:fldChar w:fldCharType="begin"/>
      </w:r>
      <w:r>
        <w:rPr>
          <w:color w:val="auto"/>
        </w:rPr>
        <w:instrText xml:space="preserve"> PAGEREF _Toc17498 \h </w:instrText>
      </w:r>
      <w:r>
        <w:rPr>
          <w:color w:val="auto"/>
        </w:rPr>
        <w:fldChar w:fldCharType="separate"/>
      </w:r>
      <w:r>
        <w:rPr>
          <w:color w:val="auto"/>
        </w:rPr>
        <w:t>13</w:t>
      </w:r>
      <w:r>
        <w:rPr>
          <w:color w:val="auto"/>
        </w:rPr>
        <w:fldChar w:fldCharType="end"/>
      </w:r>
      <w:r>
        <w:rPr>
          <w:rFonts w:ascii="宋体" w:hAnsi="宋体"/>
          <w:smallCaps/>
          <w:color w:val="auto"/>
          <w:spacing w:val="40"/>
          <w:szCs w:val="22"/>
        </w:rPr>
        <w:fldChar w:fldCharType="end"/>
      </w:r>
    </w:p>
    <w:p w14:paraId="5EB37989">
      <w:pPr>
        <w:pStyle w:val="30"/>
        <w:tabs>
          <w:tab w:val="right" w:leader="dot" w:pos="9638"/>
        </w:tabs>
        <w:rPr>
          <w:color w:val="auto"/>
        </w:rPr>
      </w:pPr>
      <w:r>
        <w:rPr>
          <w:rFonts w:ascii="宋体" w:hAnsi="宋体"/>
          <w:smallCaps/>
          <w:color w:val="auto"/>
          <w:spacing w:val="40"/>
          <w:szCs w:val="22"/>
        </w:rPr>
        <w:fldChar w:fldCharType="begin"/>
      </w:r>
      <w:r>
        <w:rPr>
          <w:rFonts w:ascii="宋体" w:hAnsi="宋体"/>
          <w:smallCaps/>
          <w:color w:val="auto"/>
          <w:spacing w:val="40"/>
          <w:szCs w:val="22"/>
        </w:rPr>
        <w:instrText xml:space="preserve"> HYPERLINK \l _Toc7498 </w:instrText>
      </w:r>
      <w:r>
        <w:rPr>
          <w:rFonts w:ascii="宋体" w:hAnsi="宋体"/>
          <w:smallCaps/>
          <w:color w:val="auto"/>
          <w:spacing w:val="40"/>
          <w:szCs w:val="22"/>
        </w:rPr>
        <w:fldChar w:fldCharType="separate"/>
      </w:r>
      <w:r>
        <w:rPr>
          <w:rFonts w:hint="eastAsia"/>
          <w:color w:val="auto"/>
          <w:szCs w:val="28"/>
        </w:rPr>
        <w:t>四、响应文件的递交</w:t>
      </w:r>
      <w:r>
        <w:rPr>
          <w:color w:val="auto"/>
        </w:rPr>
        <w:tab/>
      </w:r>
      <w:r>
        <w:rPr>
          <w:color w:val="auto"/>
        </w:rPr>
        <w:fldChar w:fldCharType="begin"/>
      </w:r>
      <w:r>
        <w:rPr>
          <w:color w:val="auto"/>
        </w:rPr>
        <w:instrText xml:space="preserve"> PAGEREF _Toc7498 \h </w:instrText>
      </w:r>
      <w:r>
        <w:rPr>
          <w:color w:val="auto"/>
        </w:rPr>
        <w:fldChar w:fldCharType="separate"/>
      </w:r>
      <w:r>
        <w:rPr>
          <w:color w:val="auto"/>
        </w:rPr>
        <w:t>16</w:t>
      </w:r>
      <w:r>
        <w:rPr>
          <w:color w:val="auto"/>
        </w:rPr>
        <w:fldChar w:fldCharType="end"/>
      </w:r>
      <w:r>
        <w:rPr>
          <w:rFonts w:ascii="宋体" w:hAnsi="宋体"/>
          <w:smallCaps/>
          <w:color w:val="auto"/>
          <w:spacing w:val="40"/>
          <w:szCs w:val="22"/>
        </w:rPr>
        <w:fldChar w:fldCharType="end"/>
      </w:r>
    </w:p>
    <w:p w14:paraId="0D8751FE">
      <w:pPr>
        <w:pStyle w:val="30"/>
        <w:tabs>
          <w:tab w:val="right" w:leader="dot" w:pos="9638"/>
        </w:tabs>
        <w:rPr>
          <w:color w:val="auto"/>
        </w:rPr>
      </w:pPr>
      <w:r>
        <w:rPr>
          <w:rFonts w:ascii="宋体" w:hAnsi="宋体"/>
          <w:smallCaps/>
          <w:color w:val="auto"/>
          <w:spacing w:val="40"/>
          <w:szCs w:val="22"/>
        </w:rPr>
        <w:fldChar w:fldCharType="begin"/>
      </w:r>
      <w:r>
        <w:rPr>
          <w:rFonts w:ascii="宋体" w:hAnsi="宋体"/>
          <w:smallCaps/>
          <w:color w:val="auto"/>
          <w:spacing w:val="40"/>
          <w:szCs w:val="22"/>
        </w:rPr>
        <w:instrText xml:space="preserve"> HYPERLINK \l _Toc27220 </w:instrText>
      </w:r>
      <w:r>
        <w:rPr>
          <w:rFonts w:ascii="宋体" w:hAnsi="宋体"/>
          <w:smallCaps/>
          <w:color w:val="auto"/>
          <w:spacing w:val="40"/>
          <w:szCs w:val="22"/>
        </w:rPr>
        <w:fldChar w:fldCharType="separate"/>
      </w:r>
      <w:r>
        <w:rPr>
          <w:rFonts w:hint="eastAsia"/>
          <w:color w:val="auto"/>
          <w:szCs w:val="28"/>
        </w:rPr>
        <w:t>五、磋商和评审</w:t>
      </w:r>
      <w:r>
        <w:rPr>
          <w:color w:val="auto"/>
        </w:rPr>
        <w:tab/>
      </w:r>
      <w:r>
        <w:rPr>
          <w:color w:val="auto"/>
        </w:rPr>
        <w:fldChar w:fldCharType="begin"/>
      </w:r>
      <w:r>
        <w:rPr>
          <w:color w:val="auto"/>
        </w:rPr>
        <w:instrText xml:space="preserve"> PAGEREF _Toc27220 \h </w:instrText>
      </w:r>
      <w:r>
        <w:rPr>
          <w:color w:val="auto"/>
        </w:rPr>
        <w:fldChar w:fldCharType="separate"/>
      </w:r>
      <w:r>
        <w:rPr>
          <w:color w:val="auto"/>
        </w:rPr>
        <w:t>16</w:t>
      </w:r>
      <w:r>
        <w:rPr>
          <w:color w:val="auto"/>
        </w:rPr>
        <w:fldChar w:fldCharType="end"/>
      </w:r>
      <w:r>
        <w:rPr>
          <w:rFonts w:ascii="宋体" w:hAnsi="宋体"/>
          <w:smallCaps/>
          <w:color w:val="auto"/>
          <w:spacing w:val="40"/>
          <w:szCs w:val="22"/>
        </w:rPr>
        <w:fldChar w:fldCharType="end"/>
      </w:r>
    </w:p>
    <w:p w14:paraId="11373754">
      <w:pPr>
        <w:pStyle w:val="30"/>
        <w:tabs>
          <w:tab w:val="right" w:leader="dot" w:pos="9638"/>
        </w:tabs>
        <w:rPr>
          <w:color w:val="auto"/>
        </w:rPr>
      </w:pPr>
      <w:r>
        <w:rPr>
          <w:rFonts w:ascii="宋体" w:hAnsi="宋体"/>
          <w:smallCaps/>
          <w:color w:val="auto"/>
          <w:spacing w:val="40"/>
          <w:szCs w:val="22"/>
        </w:rPr>
        <w:fldChar w:fldCharType="begin"/>
      </w:r>
      <w:r>
        <w:rPr>
          <w:rFonts w:ascii="宋体" w:hAnsi="宋体"/>
          <w:smallCaps/>
          <w:color w:val="auto"/>
          <w:spacing w:val="40"/>
          <w:szCs w:val="22"/>
        </w:rPr>
        <w:instrText xml:space="preserve"> HYPERLINK \l _Toc7447 </w:instrText>
      </w:r>
      <w:r>
        <w:rPr>
          <w:rFonts w:ascii="宋体" w:hAnsi="宋体"/>
          <w:smallCaps/>
          <w:color w:val="auto"/>
          <w:spacing w:val="40"/>
          <w:szCs w:val="22"/>
        </w:rPr>
        <w:fldChar w:fldCharType="separate"/>
      </w:r>
      <w:r>
        <w:rPr>
          <w:rFonts w:hint="eastAsia"/>
          <w:color w:val="auto"/>
          <w:szCs w:val="28"/>
        </w:rPr>
        <w:t>六、授予合同</w:t>
      </w:r>
      <w:r>
        <w:rPr>
          <w:color w:val="auto"/>
        </w:rPr>
        <w:tab/>
      </w:r>
      <w:r>
        <w:rPr>
          <w:color w:val="auto"/>
        </w:rPr>
        <w:fldChar w:fldCharType="begin"/>
      </w:r>
      <w:r>
        <w:rPr>
          <w:color w:val="auto"/>
        </w:rPr>
        <w:instrText xml:space="preserve"> PAGEREF _Toc7447 \h </w:instrText>
      </w:r>
      <w:r>
        <w:rPr>
          <w:color w:val="auto"/>
        </w:rPr>
        <w:fldChar w:fldCharType="separate"/>
      </w:r>
      <w:r>
        <w:rPr>
          <w:color w:val="auto"/>
        </w:rPr>
        <w:t>19</w:t>
      </w:r>
      <w:r>
        <w:rPr>
          <w:color w:val="auto"/>
        </w:rPr>
        <w:fldChar w:fldCharType="end"/>
      </w:r>
      <w:r>
        <w:rPr>
          <w:rFonts w:ascii="宋体" w:hAnsi="宋体"/>
          <w:smallCaps/>
          <w:color w:val="auto"/>
          <w:spacing w:val="40"/>
          <w:szCs w:val="22"/>
        </w:rPr>
        <w:fldChar w:fldCharType="end"/>
      </w:r>
    </w:p>
    <w:p w14:paraId="5D627384">
      <w:pPr>
        <w:pStyle w:val="30"/>
        <w:tabs>
          <w:tab w:val="right" w:leader="dot" w:pos="9638"/>
        </w:tabs>
        <w:rPr>
          <w:color w:val="auto"/>
        </w:rPr>
      </w:pPr>
      <w:r>
        <w:rPr>
          <w:rFonts w:ascii="宋体" w:hAnsi="宋体"/>
          <w:smallCaps/>
          <w:color w:val="auto"/>
          <w:spacing w:val="40"/>
          <w:szCs w:val="22"/>
        </w:rPr>
        <w:fldChar w:fldCharType="begin"/>
      </w:r>
      <w:r>
        <w:rPr>
          <w:rFonts w:ascii="宋体" w:hAnsi="宋体"/>
          <w:smallCaps/>
          <w:color w:val="auto"/>
          <w:spacing w:val="40"/>
          <w:szCs w:val="22"/>
        </w:rPr>
        <w:instrText xml:space="preserve"> HYPERLINK \l _Toc4822 </w:instrText>
      </w:r>
      <w:r>
        <w:rPr>
          <w:rFonts w:ascii="宋体" w:hAnsi="宋体"/>
          <w:smallCaps/>
          <w:color w:val="auto"/>
          <w:spacing w:val="40"/>
          <w:szCs w:val="22"/>
        </w:rPr>
        <w:fldChar w:fldCharType="separate"/>
      </w:r>
      <w:r>
        <w:rPr>
          <w:rFonts w:hint="eastAsia"/>
          <w:color w:val="auto"/>
          <w:szCs w:val="28"/>
        </w:rPr>
        <w:t>七、可中止电子交易活动的情形</w:t>
      </w:r>
      <w:r>
        <w:rPr>
          <w:color w:val="auto"/>
        </w:rPr>
        <w:tab/>
      </w:r>
      <w:r>
        <w:rPr>
          <w:color w:val="auto"/>
        </w:rPr>
        <w:fldChar w:fldCharType="begin"/>
      </w:r>
      <w:r>
        <w:rPr>
          <w:color w:val="auto"/>
        </w:rPr>
        <w:instrText xml:space="preserve"> PAGEREF _Toc4822 \h </w:instrText>
      </w:r>
      <w:r>
        <w:rPr>
          <w:color w:val="auto"/>
        </w:rPr>
        <w:fldChar w:fldCharType="separate"/>
      </w:r>
      <w:r>
        <w:rPr>
          <w:color w:val="auto"/>
        </w:rPr>
        <w:t>20</w:t>
      </w:r>
      <w:r>
        <w:rPr>
          <w:color w:val="auto"/>
        </w:rPr>
        <w:fldChar w:fldCharType="end"/>
      </w:r>
      <w:r>
        <w:rPr>
          <w:rFonts w:ascii="宋体" w:hAnsi="宋体"/>
          <w:smallCaps/>
          <w:color w:val="auto"/>
          <w:spacing w:val="40"/>
          <w:szCs w:val="22"/>
        </w:rPr>
        <w:fldChar w:fldCharType="end"/>
      </w:r>
    </w:p>
    <w:p w14:paraId="7BF39BDD">
      <w:pPr>
        <w:pStyle w:val="30"/>
        <w:tabs>
          <w:tab w:val="right" w:leader="dot" w:pos="9638"/>
        </w:tabs>
        <w:rPr>
          <w:color w:val="auto"/>
        </w:rPr>
      </w:pPr>
      <w:r>
        <w:rPr>
          <w:rFonts w:ascii="宋体" w:hAnsi="宋体"/>
          <w:smallCaps/>
          <w:color w:val="auto"/>
          <w:spacing w:val="40"/>
          <w:szCs w:val="22"/>
        </w:rPr>
        <w:fldChar w:fldCharType="begin"/>
      </w:r>
      <w:r>
        <w:rPr>
          <w:rFonts w:ascii="宋体" w:hAnsi="宋体"/>
          <w:smallCaps/>
          <w:color w:val="auto"/>
          <w:spacing w:val="40"/>
          <w:szCs w:val="22"/>
        </w:rPr>
        <w:instrText xml:space="preserve"> HYPERLINK \l _Toc13429 </w:instrText>
      </w:r>
      <w:r>
        <w:rPr>
          <w:rFonts w:ascii="宋体" w:hAnsi="宋体"/>
          <w:smallCaps/>
          <w:color w:val="auto"/>
          <w:spacing w:val="40"/>
          <w:szCs w:val="22"/>
        </w:rPr>
        <w:fldChar w:fldCharType="separate"/>
      </w:r>
      <w:r>
        <w:rPr>
          <w:rFonts w:hint="eastAsia" w:ascii="宋体" w:hAnsi="宋体" w:eastAsia="宋体" w:cs="宋体"/>
          <w:color w:val="auto"/>
          <w:szCs w:val="28"/>
          <w:lang w:val="en-US" w:eastAsia="zh-CN"/>
        </w:rPr>
        <w:t>八、验  收</w:t>
      </w:r>
      <w:r>
        <w:rPr>
          <w:color w:val="auto"/>
        </w:rPr>
        <w:tab/>
      </w:r>
      <w:r>
        <w:rPr>
          <w:color w:val="auto"/>
        </w:rPr>
        <w:fldChar w:fldCharType="begin"/>
      </w:r>
      <w:r>
        <w:rPr>
          <w:color w:val="auto"/>
        </w:rPr>
        <w:instrText xml:space="preserve"> PAGEREF _Toc13429 \h </w:instrText>
      </w:r>
      <w:r>
        <w:rPr>
          <w:color w:val="auto"/>
        </w:rPr>
        <w:fldChar w:fldCharType="separate"/>
      </w:r>
      <w:r>
        <w:rPr>
          <w:color w:val="auto"/>
        </w:rPr>
        <w:t>21</w:t>
      </w:r>
      <w:r>
        <w:rPr>
          <w:color w:val="auto"/>
        </w:rPr>
        <w:fldChar w:fldCharType="end"/>
      </w:r>
      <w:r>
        <w:rPr>
          <w:rFonts w:ascii="宋体" w:hAnsi="宋体"/>
          <w:smallCaps/>
          <w:color w:val="auto"/>
          <w:spacing w:val="40"/>
          <w:szCs w:val="22"/>
        </w:rPr>
        <w:fldChar w:fldCharType="end"/>
      </w:r>
    </w:p>
    <w:p w14:paraId="29B6F15A">
      <w:pPr>
        <w:pStyle w:val="26"/>
        <w:tabs>
          <w:tab w:val="right" w:leader="dot" w:pos="9638"/>
        </w:tabs>
        <w:rPr>
          <w:color w:val="auto"/>
        </w:rPr>
      </w:pPr>
      <w:r>
        <w:rPr>
          <w:rFonts w:ascii="宋体" w:hAnsi="宋体"/>
          <w:smallCaps/>
          <w:color w:val="auto"/>
          <w:spacing w:val="40"/>
          <w:szCs w:val="22"/>
        </w:rPr>
        <w:fldChar w:fldCharType="begin"/>
      </w:r>
      <w:r>
        <w:rPr>
          <w:rFonts w:ascii="宋体" w:hAnsi="宋体"/>
          <w:smallCaps/>
          <w:color w:val="auto"/>
          <w:spacing w:val="40"/>
          <w:szCs w:val="22"/>
        </w:rPr>
        <w:instrText xml:space="preserve"> HYPERLINK \l _Toc50 </w:instrText>
      </w:r>
      <w:r>
        <w:rPr>
          <w:rFonts w:ascii="宋体" w:hAnsi="宋体"/>
          <w:smallCaps/>
          <w:color w:val="auto"/>
          <w:spacing w:val="40"/>
          <w:szCs w:val="22"/>
        </w:rPr>
        <w:fldChar w:fldCharType="separate"/>
      </w:r>
      <w:r>
        <w:rPr>
          <w:rFonts w:hint="eastAsia" w:ascii="黑体" w:hAnsi="黑体" w:eastAsia="黑体"/>
          <w:color w:val="auto"/>
          <w:szCs w:val="36"/>
        </w:rPr>
        <w:t>第三部分   主要合同条款</w:t>
      </w:r>
      <w:r>
        <w:rPr>
          <w:color w:val="auto"/>
        </w:rPr>
        <w:tab/>
      </w:r>
      <w:r>
        <w:rPr>
          <w:color w:val="auto"/>
        </w:rPr>
        <w:fldChar w:fldCharType="begin"/>
      </w:r>
      <w:r>
        <w:rPr>
          <w:color w:val="auto"/>
        </w:rPr>
        <w:instrText xml:space="preserve"> PAGEREF _Toc50 \h </w:instrText>
      </w:r>
      <w:r>
        <w:rPr>
          <w:color w:val="auto"/>
        </w:rPr>
        <w:fldChar w:fldCharType="separate"/>
      </w:r>
      <w:r>
        <w:rPr>
          <w:color w:val="auto"/>
        </w:rPr>
        <w:t>22</w:t>
      </w:r>
      <w:r>
        <w:rPr>
          <w:color w:val="auto"/>
        </w:rPr>
        <w:fldChar w:fldCharType="end"/>
      </w:r>
      <w:r>
        <w:rPr>
          <w:rFonts w:ascii="宋体" w:hAnsi="宋体"/>
          <w:smallCaps/>
          <w:color w:val="auto"/>
          <w:spacing w:val="40"/>
          <w:szCs w:val="22"/>
        </w:rPr>
        <w:fldChar w:fldCharType="end"/>
      </w:r>
    </w:p>
    <w:p w14:paraId="6522CA32">
      <w:pPr>
        <w:pStyle w:val="26"/>
        <w:tabs>
          <w:tab w:val="right" w:leader="dot" w:pos="9638"/>
        </w:tabs>
        <w:rPr>
          <w:color w:val="auto"/>
        </w:rPr>
      </w:pPr>
      <w:r>
        <w:rPr>
          <w:rFonts w:ascii="宋体" w:hAnsi="宋体"/>
          <w:smallCaps/>
          <w:color w:val="auto"/>
          <w:spacing w:val="40"/>
          <w:szCs w:val="22"/>
        </w:rPr>
        <w:fldChar w:fldCharType="begin"/>
      </w:r>
      <w:r>
        <w:rPr>
          <w:rFonts w:ascii="宋体" w:hAnsi="宋体"/>
          <w:smallCaps/>
          <w:color w:val="auto"/>
          <w:spacing w:val="40"/>
          <w:szCs w:val="22"/>
        </w:rPr>
        <w:instrText xml:space="preserve"> HYPERLINK \l _Toc8093 </w:instrText>
      </w:r>
      <w:r>
        <w:rPr>
          <w:rFonts w:ascii="宋体" w:hAnsi="宋体"/>
          <w:smallCaps/>
          <w:color w:val="auto"/>
          <w:spacing w:val="40"/>
          <w:szCs w:val="22"/>
        </w:rPr>
        <w:fldChar w:fldCharType="separate"/>
      </w:r>
      <w:r>
        <w:rPr>
          <w:rFonts w:hint="eastAsia" w:ascii="黑体" w:hAnsi="黑体" w:eastAsia="黑体"/>
          <w:bCs/>
          <w:color w:val="auto"/>
          <w:kern w:val="44"/>
          <w:szCs w:val="36"/>
        </w:rPr>
        <w:t>第四部分   附件</w:t>
      </w:r>
      <w:r>
        <w:rPr>
          <w:color w:val="auto"/>
        </w:rPr>
        <w:tab/>
      </w:r>
      <w:r>
        <w:rPr>
          <w:color w:val="auto"/>
        </w:rPr>
        <w:fldChar w:fldCharType="begin"/>
      </w:r>
      <w:r>
        <w:rPr>
          <w:color w:val="auto"/>
        </w:rPr>
        <w:instrText xml:space="preserve"> PAGEREF _Toc8093 \h </w:instrText>
      </w:r>
      <w:r>
        <w:rPr>
          <w:color w:val="auto"/>
        </w:rPr>
        <w:fldChar w:fldCharType="separate"/>
      </w:r>
      <w:r>
        <w:rPr>
          <w:color w:val="auto"/>
        </w:rPr>
        <w:t>26</w:t>
      </w:r>
      <w:r>
        <w:rPr>
          <w:color w:val="auto"/>
        </w:rPr>
        <w:fldChar w:fldCharType="end"/>
      </w:r>
      <w:r>
        <w:rPr>
          <w:rFonts w:ascii="宋体" w:hAnsi="宋体"/>
          <w:smallCaps/>
          <w:color w:val="auto"/>
          <w:spacing w:val="40"/>
          <w:szCs w:val="22"/>
        </w:rPr>
        <w:fldChar w:fldCharType="end"/>
      </w:r>
    </w:p>
    <w:p w14:paraId="00D2ECF2">
      <w:pPr>
        <w:pStyle w:val="30"/>
        <w:tabs>
          <w:tab w:val="right" w:leader="dot" w:pos="9638"/>
        </w:tabs>
        <w:rPr>
          <w:color w:val="auto"/>
        </w:rPr>
      </w:pPr>
      <w:r>
        <w:rPr>
          <w:rFonts w:ascii="宋体" w:hAnsi="宋体"/>
          <w:smallCaps/>
          <w:color w:val="auto"/>
          <w:spacing w:val="40"/>
          <w:szCs w:val="22"/>
        </w:rPr>
        <w:fldChar w:fldCharType="begin"/>
      </w:r>
      <w:r>
        <w:rPr>
          <w:rFonts w:ascii="宋体" w:hAnsi="宋体"/>
          <w:smallCaps/>
          <w:color w:val="auto"/>
          <w:spacing w:val="40"/>
          <w:szCs w:val="22"/>
        </w:rPr>
        <w:instrText xml:space="preserve"> HYPERLINK \l _Toc15400 </w:instrText>
      </w:r>
      <w:r>
        <w:rPr>
          <w:rFonts w:ascii="宋体" w:hAnsi="宋体"/>
          <w:smallCaps/>
          <w:color w:val="auto"/>
          <w:spacing w:val="40"/>
          <w:szCs w:val="22"/>
        </w:rPr>
        <w:fldChar w:fldCharType="separate"/>
      </w:r>
      <w:r>
        <w:rPr>
          <w:rFonts w:hint="eastAsia" w:ascii="黑体" w:hAnsi="黑体"/>
          <w:color w:val="auto"/>
          <w:szCs w:val="24"/>
        </w:rPr>
        <w:t>附件一  磋商响应函</w:t>
      </w:r>
      <w:r>
        <w:rPr>
          <w:color w:val="auto"/>
        </w:rPr>
        <w:tab/>
      </w:r>
      <w:r>
        <w:rPr>
          <w:color w:val="auto"/>
        </w:rPr>
        <w:fldChar w:fldCharType="begin"/>
      </w:r>
      <w:r>
        <w:rPr>
          <w:color w:val="auto"/>
        </w:rPr>
        <w:instrText xml:space="preserve"> PAGEREF _Toc15400 \h </w:instrText>
      </w:r>
      <w:r>
        <w:rPr>
          <w:color w:val="auto"/>
        </w:rPr>
        <w:fldChar w:fldCharType="separate"/>
      </w:r>
      <w:r>
        <w:rPr>
          <w:color w:val="auto"/>
        </w:rPr>
        <w:t>26</w:t>
      </w:r>
      <w:r>
        <w:rPr>
          <w:color w:val="auto"/>
        </w:rPr>
        <w:fldChar w:fldCharType="end"/>
      </w:r>
      <w:r>
        <w:rPr>
          <w:rFonts w:ascii="宋体" w:hAnsi="宋体"/>
          <w:smallCaps/>
          <w:color w:val="auto"/>
          <w:spacing w:val="40"/>
          <w:szCs w:val="22"/>
        </w:rPr>
        <w:fldChar w:fldCharType="end"/>
      </w:r>
    </w:p>
    <w:p w14:paraId="33FD939A">
      <w:pPr>
        <w:pStyle w:val="30"/>
        <w:tabs>
          <w:tab w:val="right" w:leader="dot" w:pos="9638"/>
        </w:tabs>
        <w:rPr>
          <w:color w:val="auto"/>
        </w:rPr>
      </w:pPr>
      <w:r>
        <w:rPr>
          <w:rFonts w:ascii="宋体" w:hAnsi="宋体"/>
          <w:smallCaps/>
          <w:color w:val="auto"/>
          <w:spacing w:val="40"/>
          <w:szCs w:val="22"/>
        </w:rPr>
        <w:fldChar w:fldCharType="begin"/>
      </w:r>
      <w:r>
        <w:rPr>
          <w:rFonts w:ascii="宋体" w:hAnsi="宋体"/>
          <w:smallCaps/>
          <w:color w:val="auto"/>
          <w:spacing w:val="40"/>
          <w:szCs w:val="22"/>
        </w:rPr>
        <w:instrText xml:space="preserve"> HYPERLINK \l _Toc11792 </w:instrText>
      </w:r>
      <w:r>
        <w:rPr>
          <w:rFonts w:ascii="宋体" w:hAnsi="宋体"/>
          <w:smallCaps/>
          <w:color w:val="auto"/>
          <w:spacing w:val="40"/>
          <w:szCs w:val="22"/>
        </w:rPr>
        <w:fldChar w:fldCharType="separate"/>
      </w:r>
      <w:r>
        <w:rPr>
          <w:rFonts w:hint="eastAsia" w:ascii="黑体" w:hAnsi="黑体"/>
          <w:color w:val="auto"/>
          <w:szCs w:val="24"/>
        </w:rPr>
        <w:t>附件二  磋商报价一览表</w:t>
      </w:r>
      <w:r>
        <w:rPr>
          <w:color w:val="auto"/>
        </w:rPr>
        <w:tab/>
      </w:r>
      <w:r>
        <w:rPr>
          <w:color w:val="auto"/>
        </w:rPr>
        <w:fldChar w:fldCharType="begin"/>
      </w:r>
      <w:r>
        <w:rPr>
          <w:color w:val="auto"/>
        </w:rPr>
        <w:instrText xml:space="preserve"> PAGEREF _Toc11792 \h </w:instrText>
      </w:r>
      <w:r>
        <w:rPr>
          <w:color w:val="auto"/>
        </w:rPr>
        <w:fldChar w:fldCharType="separate"/>
      </w:r>
      <w:r>
        <w:rPr>
          <w:color w:val="auto"/>
        </w:rPr>
        <w:t>27</w:t>
      </w:r>
      <w:r>
        <w:rPr>
          <w:color w:val="auto"/>
        </w:rPr>
        <w:fldChar w:fldCharType="end"/>
      </w:r>
      <w:r>
        <w:rPr>
          <w:rFonts w:ascii="宋体" w:hAnsi="宋体"/>
          <w:smallCaps/>
          <w:color w:val="auto"/>
          <w:spacing w:val="40"/>
          <w:szCs w:val="22"/>
        </w:rPr>
        <w:fldChar w:fldCharType="end"/>
      </w:r>
    </w:p>
    <w:p w14:paraId="493E4B41">
      <w:pPr>
        <w:pStyle w:val="30"/>
        <w:tabs>
          <w:tab w:val="right" w:leader="dot" w:pos="9638"/>
        </w:tabs>
        <w:rPr>
          <w:color w:val="auto"/>
        </w:rPr>
      </w:pPr>
      <w:r>
        <w:rPr>
          <w:rFonts w:ascii="宋体" w:hAnsi="宋体"/>
          <w:smallCaps/>
          <w:color w:val="auto"/>
          <w:spacing w:val="40"/>
          <w:szCs w:val="22"/>
        </w:rPr>
        <w:fldChar w:fldCharType="begin"/>
      </w:r>
      <w:r>
        <w:rPr>
          <w:rFonts w:ascii="宋体" w:hAnsi="宋体"/>
          <w:smallCaps/>
          <w:color w:val="auto"/>
          <w:spacing w:val="40"/>
          <w:szCs w:val="22"/>
        </w:rPr>
        <w:instrText xml:space="preserve"> HYPERLINK \l _Toc6639 </w:instrText>
      </w:r>
      <w:r>
        <w:rPr>
          <w:rFonts w:ascii="宋体" w:hAnsi="宋体"/>
          <w:smallCaps/>
          <w:color w:val="auto"/>
          <w:spacing w:val="40"/>
          <w:szCs w:val="22"/>
        </w:rPr>
        <w:fldChar w:fldCharType="separate"/>
      </w:r>
      <w:r>
        <w:rPr>
          <w:rFonts w:hint="eastAsia" w:ascii="黑体" w:hAnsi="黑体"/>
          <w:color w:val="auto"/>
          <w:szCs w:val="24"/>
        </w:rPr>
        <w:t>附件三  磋商分项报价表</w:t>
      </w:r>
      <w:r>
        <w:rPr>
          <w:color w:val="auto"/>
        </w:rPr>
        <w:tab/>
      </w:r>
      <w:r>
        <w:rPr>
          <w:color w:val="auto"/>
        </w:rPr>
        <w:fldChar w:fldCharType="begin"/>
      </w:r>
      <w:r>
        <w:rPr>
          <w:color w:val="auto"/>
        </w:rPr>
        <w:instrText xml:space="preserve"> PAGEREF _Toc6639 \h </w:instrText>
      </w:r>
      <w:r>
        <w:rPr>
          <w:color w:val="auto"/>
        </w:rPr>
        <w:fldChar w:fldCharType="separate"/>
      </w:r>
      <w:r>
        <w:rPr>
          <w:color w:val="auto"/>
        </w:rPr>
        <w:t>28</w:t>
      </w:r>
      <w:r>
        <w:rPr>
          <w:color w:val="auto"/>
        </w:rPr>
        <w:fldChar w:fldCharType="end"/>
      </w:r>
      <w:r>
        <w:rPr>
          <w:rFonts w:ascii="宋体" w:hAnsi="宋体"/>
          <w:smallCaps/>
          <w:color w:val="auto"/>
          <w:spacing w:val="40"/>
          <w:szCs w:val="22"/>
        </w:rPr>
        <w:fldChar w:fldCharType="end"/>
      </w:r>
    </w:p>
    <w:p w14:paraId="7308277F">
      <w:pPr>
        <w:pStyle w:val="30"/>
        <w:tabs>
          <w:tab w:val="right" w:leader="dot" w:pos="9638"/>
        </w:tabs>
        <w:rPr>
          <w:color w:val="auto"/>
        </w:rPr>
      </w:pPr>
      <w:r>
        <w:rPr>
          <w:rFonts w:ascii="宋体" w:hAnsi="宋体"/>
          <w:smallCaps/>
          <w:color w:val="auto"/>
          <w:spacing w:val="40"/>
          <w:szCs w:val="22"/>
        </w:rPr>
        <w:fldChar w:fldCharType="begin"/>
      </w:r>
      <w:r>
        <w:rPr>
          <w:rFonts w:ascii="宋体" w:hAnsi="宋体"/>
          <w:smallCaps/>
          <w:color w:val="auto"/>
          <w:spacing w:val="40"/>
          <w:szCs w:val="22"/>
        </w:rPr>
        <w:instrText xml:space="preserve"> HYPERLINK \l _Toc2300 </w:instrText>
      </w:r>
      <w:r>
        <w:rPr>
          <w:rFonts w:ascii="宋体" w:hAnsi="宋体"/>
          <w:smallCaps/>
          <w:color w:val="auto"/>
          <w:spacing w:val="40"/>
          <w:szCs w:val="22"/>
        </w:rPr>
        <w:fldChar w:fldCharType="separate"/>
      </w:r>
      <w:r>
        <w:rPr>
          <w:rFonts w:hint="eastAsia" w:ascii="黑体" w:hAnsi="黑体"/>
          <w:color w:val="auto"/>
          <w:szCs w:val="24"/>
        </w:rPr>
        <w:t>附件四  资格证明文件</w:t>
      </w:r>
      <w:r>
        <w:rPr>
          <w:color w:val="auto"/>
        </w:rPr>
        <w:tab/>
      </w:r>
      <w:r>
        <w:rPr>
          <w:color w:val="auto"/>
        </w:rPr>
        <w:fldChar w:fldCharType="begin"/>
      </w:r>
      <w:r>
        <w:rPr>
          <w:color w:val="auto"/>
        </w:rPr>
        <w:instrText xml:space="preserve"> PAGEREF _Toc2300 \h </w:instrText>
      </w:r>
      <w:r>
        <w:rPr>
          <w:color w:val="auto"/>
        </w:rPr>
        <w:fldChar w:fldCharType="separate"/>
      </w:r>
      <w:r>
        <w:rPr>
          <w:color w:val="auto"/>
        </w:rPr>
        <w:t>30</w:t>
      </w:r>
      <w:r>
        <w:rPr>
          <w:color w:val="auto"/>
        </w:rPr>
        <w:fldChar w:fldCharType="end"/>
      </w:r>
      <w:r>
        <w:rPr>
          <w:rFonts w:ascii="宋体" w:hAnsi="宋体"/>
          <w:smallCaps/>
          <w:color w:val="auto"/>
          <w:spacing w:val="40"/>
          <w:szCs w:val="22"/>
        </w:rPr>
        <w:fldChar w:fldCharType="end"/>
      </w:r>
    </w:p>
    <w:p w14:paraId="05CB484C">
      <w:pPr>
        <w:pStyle w:val="30"/>
        <w:tabs>
          <w:tab w:val="right" w:leader="dot" w:pos="9638"/>
        </w:tabs>
        <w:rPr>
          <w:color w:val="auto"/>
        </w:rPr>
      </w:pPr>
      <w:r>
        <w:rPr>
          <w:rFonts w:ascii="宋体" w:hAnsi="宋体"/>
          <w:smallCaps/>
          <w:color w:val="auto"/>
          <w:spacing w:val="40"/>
          <w:szCs w:val="22"/>
        </w:rPr>
        <w:fldChar w:fldCharType="begin"/>
      </w:r>
      <w:r>
        <w:rPr>
          <w:rFonts w:ascii="宋体" w:hAnsi="宋体"/>
          <w:smallCaps/>
          <w:color w:val="auto"/>
          <w:spacing w:val="40"/>
          <w:szCs w:val="22"/>
        </w:rPr>
        <w:instrText xml:space="preserve"> HYPERLINK \l _Toc32135 </w:instrText>
      </w:r>
      <w:r>
        <w:rPr>
          <w:rFonts w:ascii="宋体" w:hAnsi="宋体"/>
          <w:smallCaps/>
          <w:color w:val="auto"/>
          <w:spacing w:val="40"/>
          <w:szCs w:val="22"/>
        </w:rPr>
        <w:fldChar w:fldCharType="separate"/>
      </w:r>
      <w:r>
        <w:rPr>
          <w:rFonts w:hint="eastAsia" w:ascii="黑体" w:hAnsi="黑体"/>
          <w:color w:val="auto"/>
          <w:szCs w:val="24"/>
        </w:rPr>
        <w:t>附件五  商务条款、技术规格偏离表</w:t>
      </w:r>
      <w:r>
        <w:rPr>
          <w:color w:val="auto"/>
        </w:rPr>
        <w:tab/>
      </w:r>
      <w:r>
        <w:rPr>
          <w:color w:val="auto"/>
        </w:rPr>
        <w:fldChar w:fldCharType="begin"/>
      </w:r>
      <w:r>
        <w:rPr>
          <w:color w:val="auto"/>
        </w:rPr>
        <w:instrText xml:space="preserve"> PAGEREF _Toc32135 \h </w:instrText>
      </w:r>
      <w:r>
        <w:rPr>
          <w:color w:val="auto"/>
        </w:rPr>
        <w:fldChar w:fldCharType="separate"/>
      </w:r>
      <w:r>
        <w:rPr>
          <w:color w:val="auto"/>
        </w:rPr>
        <w:t>35</w:t>
      </w:r>
      <w:r>
        <w:rPr>
          <w:color w:val="auto"/>
        </w:rPr>
        <w:fldChar w:fldCharType="end"/>
      </w:r>
      <w:r>
        <w:rPr>
          <w:rFonts w:ascii="宋体" w:hAnsi="宋体"/>
          <w:smallCaps/>
          <w:color w:val="auto"/>
          <w:spacing w:val="40"/>
          <w:szCs w:val="22"/>
        </w:rPr>
        <w:fldChar w:fldCharType="end"/>
      </w:r>
    </w:p>
    <w:p w14:paraId="2231CA50">
      <w:pPr>
        <w:pStyle w:val="30"/>
        <w:tabs>
          <w:tab w:val="right" w:leader="dot" w:pos="9638"/>
        </w:tabs>
        <w:rPr>
          <w:color w:val="auto"/>
        </w:rPr>
      </w:pPr>
      <w:r>
        <w:rPr>
          <w:rFonts w:ascii="宋体" w:hAnsi="宋体"/>
          <w:smallCaps/>
          <w:color w:val="auto"/>
          <w:spacing w:val="40"/>
          <w:szCs w:val="22"/>
        </w:rPr>
        <w:fldChar w:fldCharType="begin"/>
      </w:r>
      <w:r>
        <w:rPr>
          <w:rFonts w:ascii="宋体" w:hAnsi="宋体"/>
          <w:smallCaps/>
          <w:color w:val="auto"/>
          <w:spacing w:val="40"/>
          <w:szCs w:val="22"/>
        </w:rPr>
        <w:instrText xml:space="preserve"> HYPERLINK \l _Toc3526 </w:instrText>
      </w:r>
      <w:r>
        <w:rPr>
          <w:rFonts w:ascii="宋体" w:hAnsi="宋体"/>
          <w:smallCaps/>
          <w:color w:val="auto"/>
          <w:spacing w:val="40"/>
          <w:szCs w:val="22"/>
        </w:rPr>
        <w:fldChar w:fldCharType="separate"/>
      </w:r>
      <w:r>
        <w:rPr>
          <w:rFonts w:hint="eastAsia" w:ascii="黑体" w:hAnsi="黑体" w:cs="黑体"/>
          <w:color w:val="auto"/>
          <w:szCs w:val="24"/>
        </w:rPr>
        <w:t xml:space="preserve">附件六  </w:t>
      </w:r>
      <w:r>
        <w:rPr>
          <w:rFonts w:hint="eastAsia" w:ascii="宋体" w:hAnsi="宋体" w:eastAsia="宋体" w:cs="宋体"/>
          <w:color w:val="auto"/>
          <w:szCs w:val="24"/>
        </w:rPr>
        <w:t xml:space="preserve">附件六 </w:t>
      </w:r>
      <w:r>
        <w:rPr>
          <w:rFonts w:hint="eastAsia" w:ascii="宋体" w:hAnsi="宋体" w:eastAsia="宋体"/>
          <w:color w:val="auto"/>
          <w:szCs w:val="24"/>
        </w:rPr>
        <w:t>货物成套供货清单</w:t>
      </w:r>
      <w:r>
        <w:rPr>
          <w:color w:val="auto"/>
        </w:rPr>
        <w:tab/>
      </w:r>
      <w:r>
        <w:rPr>
          <w:color w:val="auto"/>
        </w:rPr>
        <w:fldChar w:fldCharType="begin"/>
      </w:r>
      <w:r>
        <w:rPr>
          <w:color w:val="auto"/>
        </w:rPr>
        <w:instrText xml:space="preserve"> PAGEREF _Toc3526 \h </w:instrText>
      </w:r>
      <w:r>
        <w:rPr>
          <w:color w:val="auto"/>
        </w:rPr>
        <w:fldChar w:fldCharType="separate"/>
      </w:r>
      <w:r>
        <w:rPr>
          <w:color w:val="auto"/>
        </w:rPr>
        <w:t>36</w:t>
      </w:r>
      <w:r>
        <w:rPr>
          <w:color w:val="auto"/>
        </w:rPr>
        <w:fldChar w:fldCharType="end"/>
      </w:r>
      <w:r>
        <w:rPr>
          <w:rFonts w:ascii="宋体" w:hAnsi="宋体"/>
          <w:smallCaps/>
          <w:color w:val="auto"/>
          <w:spacing w:val="40"/>
          <w:szCs w:val="22"/>
        </w:rPr>
        <w:fldChar w:fldCharType="end"/>
      </w:r>
    </w:p>
    <w:p w14:paraId="0B906687">
      <w:pPr>
        <w:pStyle w:val="30"/>
        <w:tabs>
          <w:tab w:val="right" w:leader="dot" w:pos="9638"/>
        </w:tabs>
        <w:rPr>
          <w:color w:val="auto"/>
        </w:rPr>
      </w:pPr>
      <w:r>
        <w:rPr>
          <w:rFonts w:ascii="宋体" w:hAnsi="宋体"/>
          <w:smallCaps/>
          <w:color w:val="auto"/>
          <w:spacing w:val="40"/>
          <w:szCs w:val="22"/>
        </w:rPr>
        <w:fldChar w:fldCharType="begin"/>
      </w:r>
      <w:r>
        <w:rPr>
          <w:rFonts w:ascii="宋体" w:hAnsi="宋体"/>
          <w:smallCaps/>
          <w:color w:val="auto"/>
          <w:spacing w:val="40"/>
          <w:szCs w:val="22"/>
        </w:rPr>
        <w:instrText xml:space="preserve"> HYPERLINK \l _Toc15000 </w:instrText>
      </w:r>
      <w:r>
        <w:rPr>
          <w:rFonts w:ascii="宋体" w:hAnsi="宋体"/>
          <w:smallCaps/>
          <w:color w:val="auto"/>
          <w:spacing w:val="40"/>
          <w:szCs w:val="22"/>
        </w:rPr>
        <w:fldChar w:fldCharType="separate"/>
      </w:r>
      <w:r>
        <w:rPr>
          <w:rFonts w:hint="eastAsia" w:ascii="黑体" w:hAnsi="黑体" w:cs="黑体"/>
          <w:color w:val="auto"/>
          <w:szCs w:val="24"/>
        </w:rPr>
        <w:t>附件</w:t>
      </w:r>
      <w:r>
        <w:rPr>
          <w:rFonts w:hint="eastAsia" w:ascii="黑体" w:hAnsi="黑体" w:cs="黑体"/>
          <w:color w:val="auto"/>
          <w:szCs w:val="24"/>
          <w:lang w:val="en-US" w:eastAsia="zh-CN"/>
        </w:rPr>
        <w:t>七</w:t>
      </w:r>
      <w:r>
        <w:rPr>
          <w:rFonts w:hint="eastAsia" w:ascii="黑体" w:hAnsi="黑体" w:cs="黑体"/>
          <w:color w:val="auto"/>
          <w:szCs w:val="24"/>
        </w:rPr>
        <w:t xml:space="preserve">  同类项目业绩</w:t>
      </w:r>
      <w:r>
        <w:rPr>
          <w:color w:val="auto"/>
        </w:rPr>
        <w:tab/>
      </w:r>
      <w:r>
        <w:rPr>
          <w:color w:val="auto"/>
        </w:rPr>
        <w:fldChar w:fldCharType="begin"/>
      </w:r>
      <w:r>
        <w:rPr>
          <w:color w:val="auto"/>
        </w:rPr>
        <w:instrText xml:space="preserve"> PAGEREF _Toc15000 \h </w:instrText>
      </w:r>
      <w:r>
        <w:rPr>
          <w:color w:val="auto"/>
        </w:rPr>
        <w:fldChar w:fldCharType="separate"/>
      </w:r>
      <w:r>
        <w:rPr>
          <w:color w:val="auto"/>
        </w:rPr>
        <w:t>37</w:t>
      </w:r>
      <w:r>
        <w:rPr>
          <w:color w:val="auto"/>
        </w:rPr>
        <w:fldChar w:fldCharType="end"/>
      </w:r>
      <w:r>
        <w:rPr>
          <w:rFonts w:ascii="宋体" w:hAnsi="宋体"/>
          <w:smallCaps/>
          <w:color w:val="auto"/>
          <w:spacing w:val="40"/>
          <w:szCs w:val="22"/>
        </w:rPr>
        <w:fldChar w:fldCharType="end"/>
      </w:r>
    </w:p>
    <w:p w14:paraId="57890F98">
      <w:pPr>
        <w:pStyle w:val="30"/>
        <w:tabs>
          <w:tab w:val="right" w:leader="dot" w:pos="9638"/>
        </w:tabs>
        <w:rPr>
          <w:color w:val="auto"/>
        </w:rPr>
      </w:pPr>
      <w:r>
        <w:rPr>
          <w:rFonts w:ascii="宋体" w:hAnsi="宋体"/>
          <w:smallCaps/>
          <w:color w:val="auto"/>
          <w:spacing w:val="40"/>
          <w:szCs w:val="22"/>
        </w:rPr>
        <w:fldChar w:fldCharType="begin"/>
      </w:r>
      <w:r>
        <w:rPr>
          <w:rFonts w:ascii="宋体" w:hAnsi="宋体"/>
          <w:smallCaps/>
          <w:color w:val="auto"/>
          <w:spacing w:val="40"/>
          <w:szCs w:val="22"/>
        </w:rPr>
        <w:instrText xml:space="preserve"> HYPERLINK \l _Toc26081 </w:instrText>
      </w:r>
      <w:r>
        <w:rPr>
          <w:rFonts w:ascii="宋体" w:hAnsi="宋体"/>
          <w:smallCaps/>
          <w:color w:val="auto"/>
          <w:spacing w:val="40"/>
          <w:szCs w:val="22"/>
        </w:rPr>
        <w:fldChar w:fldCharType="separate"/>
      </w:r>
      <w:r>
        <w:rPr>
          <w:rFonts w:hint="eastAsia" w:ascii="黑体" w:hAnsi="黑体" w:cs="黑体"/>
          <w:color w:val="auto"/>
          <w:szCs w:val="24"/>
        </w:rPr>
        <w:t>附件</w:t>
      </w:r>
      <w:r>
        <w:rPr>
          <w:rFonts w:hint="eastAsia" w:ascii="黑体" w:hAnsi="黑体" w:cs="黑体"/>
          <w:color w:val="auto"/>
          <w:szCs w:val="24"/>
          <w:lang w:val="en-US" w:eastAsia="zh-CN"/>
        </w:rPr>
        <w:t>八</w:t>
      </w:r>
      <w:r>
        <w:rPr>
          <w:rFonts w:hint="eastAsia" w:ascii="黑体" w:hAnsi="黑体" w:cs="黑体"/>
          <w:color w:val="auto"/>
          <w:szCs w:val="24"/>
        </w:rPr>
        <w:t xml:space="preserve">  政府采购政策功能相关说明</w:t>
      </w:r>
      <w:r>
        <w:rPr>
          <w:color w:val="auto"/>
        </w:rPr>
        <w:tab/>
      </w:r>
      <w:r>
        <w:rPr>
          <w:color w:val="auto"/>
        </w:rPr>
        <w:fldChar w:fldCharType="begin"/>
      </w:r>
      <w:r>
        <w:rPr>
          <w:color w:val="auto"/>
        </w:rPr>
        <w:instrText xml:space="preserve"> PAGEREF _Toc26081 \h </w:instrText>
      </w:r>
      <w:r>
        <w:rPr>
          <w:color w:val="auto"/>
        </w:rPr>
        <w:fldChar w:fldCharType="separate"/>
      </w:r>
      <w:r>
        <w:rPr>
          <w:color w:val="auto"/>
        </w:rPr>
        <w:t>38</w:t>
      </w:r>
      <w:r>
        <w:rPr>
          <w:color w:val="auto"/>
        </w:rPr>
        <w:fldChar w:fldCharType="end"/>
      </w:r>
      <w:r>
        <w:rPr>
          <w:rFonts w:ascii="宋体" w:hAnsi="宋体"/>
          <w:smallCaps/>
          <w:color w:val="auto"/>
          <w:spacing w:val="40"/>
          <w:szCs w:val="22"/>
        </w:rPr>
        <w:fldChar w:fldCharType="end"/>
      </w:r>
    </w:p>
    <w:p w14:paraId="641D9E3F">
      <w:pPr>
        <w:pStyle w:val="26"/>
        <w:tabs>
          <w:tab w:val="right" w:leader="dot" w:pos="9638"/>
        </w:tabs>
        <w:rPr>
          <w:color w:val="auto"/>
        </w:rPr>
      </w:pPr>
      <w:r>
        <w:rPr>
          <w:rFonts w:ascii="宋体" w:hAnsi="宋体"/>
          <w:smallCaps/>
          <w:color w:val="auto"/>
          <w:spacing w:val="40"/>
          <w:szCs w:val="22"/>
        </w:rPr>
        <w:fldChar w:fldCharType="begin"/>
      </w:r>
      <w:r>
        <w:rPr>
          <w:rFonts w:ascii="宋体" w:hAnsi="宋体"/>
          <w:smallCaps/>
          <w:color w:val="auto"/>
          <w:spacing w:val="40"/>
          <w:szCs w:val="22"/>
        </w:rPr>
        <w:instrText xml:space="preserve"> HYPERLINK \l _Toc12151 </w:instrText>
      </w:r>
      <w:r>
        <w:rPr>
          <w:rFonts w:ascii="宋体" w:hAnsi="宋体"/>
          <w:smallCaps/>
          <w:color w:val="auto"/>
          <w:spacing w:val="40"/>
          <w:szCs w:val="22"/>
        </w:rPr>
        <w:fldChar w:fldCharType="separate"/>
      </w:r>
      <w:r>
        <w:rPr>
          <w:rFonts w:hint="eastAsia" w:ascii="黑体" w:hAnsi="黑体" w:eastAsia="黑体"/>
          <w:bCs/>
          <w:color w:val="auto"/>
          <w:kern w:val="44"/>
          <w:szCs w:val="36"/>
        </w:rPr>
        <w:t>第五部分   采购内容及要求</w:t>
      </w:r>
      <w:r>
        <w:rPr>
          <w:color w:val="auto"/>
        </w:rPr>
        <w:tab/>
      </w:r>
      <w:r>
        <w:rPr>
          <w:color w:val="auto"/>
        </w:rPr>
        <w:fldChar w:fldCharType="begin"/>
      </w:r>
      <w:r>
        <w:rPr>
          <w:color w:val="auto"/>
        </w:rPr>
        <w:instrText xml:space="preserve"> PAGEREF _Toc12151 \h </w:instrText>
      </w:r>
      <w:r>
        <w:rPr>
          <w:color w:val="auto"/>
        </w:rPr>
        <w:fldChar w:fldCharType="separate"/>
      </w:r>
      <w:r>
        <w:rPr>
          <w:color w:val="auto"/>
        </w:rPr>
        <w:t>42</w:t>
      </w:r>
      <w:r>
        <w:rPr>
          <w:color w:val="auto"/>
        </w:rPr>
        <w:fldChar w:fldCharType="end"/>
      </w:r>
      <w:r>
        <w:rPr>
          <w:rFonts w:ascii="宋体" w:hAnsi="宋体"/>
          <w:smallCaps/>
          <w:color w:val="auto"/>
          <w:spacing w:val="40"/>
          <w:szCs w:val="22"/>
        </w:rPr>
        <w:fldChar w:fldCharType="end"/>
      </w:r>
    </w:p>
    <w:p w14:paraId="7E7FCD9D">
      <w:pPr>
        <w:pStyle w:val="30"/>
        <w:tabs>
          <w:tab w:val="right" w:leader="dot" w:pos="9638"/>
        </w:tabs>
        <w:rPr>
          <w:color w:val="auto"/>
        </w:rPr>
      </w:pPr>
      <w:r>
        <w:rPr>
          <w:rFonts w:ascii="宋体" w:hAnsi="宋体"/>
          <w:smallCaps/>
          <w:color w:val="auto"/>
          <w:spacing w:val="40"/>
          <w:szCs w:val="22"/>
        </w:rPr>
        <w:fldChar w:fldCharType="begin"/>
      </w:r>
      <w:r>
        <w:rPr>
          <w:rFonts w:ascii="宋体" w:hAnsi="宋体"/>
          <w:smallCaps/>
          <w:color w:val="auto"/>
          <w:spacing w:val="40"/>
          <w:szCs w:val="22"/>
        </w:rPr>
        <w:instrText xml:space="preserve"> HYPERLINK \l _Toc3672 </w:instrText>
      </w:r>
      <w:r>
        <w:rPr>
          <w:rFonts w:ascii="宋体" w:hAnsi="宋体"/>
          <w:smallCaps/>
          <w:color w:val="auto"/>
          <w:spacing w:val="40"/>
          <w:szCs w:val="22"/>
        </w:rPr>
        <w:fldChar w:fldCharType="separate"/>
      </w:r>
      <w:r>
        <w:rPr>
          <w:rFonts w:hint="eastAsia" w:ascii="宋体" w:hAnsi="宋体" w:eastAsia="宋体"/>
          <w:color w:val="auto"/>
          <w:szCs w:val="28"/>
        </w:rPr>
        <w:t>一、相关说明</w:t>
      </w:r>
      <w:r>
        <w:rPr>
          <w:color w:val="auto"/>
        </w:rPr>
        <w:tab/>
      </w:r>
      <w:r>
        <w:rPr>
          <w:color w:val="auto"/>
        </w:rPr>
        <w:fldChar w:fldCharType="begin"/>
      </w:r>
      <w:r>
        <w:rPr>
          <w:color w:val="auto"/>
        </w:rPr>
        <w:instrText xml:space="preserve"> PAGEREF _Toc3672 \h </w:instrText>
      </w:r>
      <w:r>
        <w:rPr>
          <w:color w:val="auto"/>
        </w:rPr>
        <w:fldChar w:fldCharType="separate"/>
      </w:r>
      <w:r>
        <w:rPr>
          <w:color w:val="auto"/>
        </w:rPr>
        <w:t>42</w:t>
      </w:r>
      <w:r>
        <w:rPr>
          <w:color w:val="auto"/>
        </w:rPr>
        <w:fldChar w:fldCharType="end"/>
      </w:r>
      <w:r>
        <w:rPr>
          <w:rFonts w:ascii="宋体" w:hAnsi="宋体"/>
          <w:smallCaps/>
          <w:color w:val="auto"/>
          <w:spacing w:val="40"/>
          <w:szCs w:val="22"/>
        </w:rPr>
        <w:fldChar w:fldCharType="end"/>
      </w:r>
    </w:p>
    <w:p w14:paraId="2BECC98A">
      <w:pPr>
        <w:pStyle w:val="30"/>
        <w:tabs>
          <w:tab w:val="right" w:leader="dot" w:pos="9638"/>
        </w:tabs>
        <w:rPr>
          <w:color w:val="auto"/>
        </w:rPr>
      </w:pPr>
      <w:r>
        <w:rPr>
          <w:rFonts w:ascii="宋体" w:hAnsi="宋体"/>
          <w:smallCaps/>
          <w:color w:val="auto"/>
          <w:spacing w:val="40"/>
          <w:szCs w:val="22"/>
        </w:rPr>
        <w:fldChar w:fldCharType="begin"/>
      </w:r>
      <w:r>
        <w:rPr>
          <w:rFonts w:ascii="宋体" w:hAnsi="宋体"/>
          <w:smallCaps/>
          <w:color w:val="auto"/>
          <w:spacing w:val="40"/>
          <w:szCs w:val="22"/>
        </w:rPr>
        <w:instrText xml:space="preserve"> HYPERLINK \l _Toc9465 </w:instrText>
      </w:r>
      <w:r>
        <w:rPr>
          <w:rFonts w:ascii="宋体" w:hAnsi="宋体"/>
          <w:smallCaps/>
          <w:color w:val="auto"/>
          <w:spacing w:val="40"/>
          <w:szCs w:val="22"/>
        </w:rPr>
        <w:fldChar w:fldCharType="separate"/>
      </w:r>
      <w:r>
        <w:rPr>
          <w:rFonts w:hint="eastAsia" w:ascii="宋体" w:hAnsi="宋体" w:eastAsia="宋体"/>
          <w:color w:val="auto"/>
          <w:szCs w:val="28"/>
        </w:rPr>
        <w:t>二、采购内容及要求</w:t>
      </w:r>
      <w:r>
        <w:rPr>
          <w:color w:val="auto"/>
        </w:rPr>
        <w:tab/>
      </w:r>
      <w:r>
        <w:rPr>
          <w:color w:val="auto"/>
        </w:rPr>
        <w:fldChar w:fldCharType="begin"/>
      </w:r>
      <w:r>
        <w:rPr>
          <w:color w:val="auto"/>
        </w:rPr>
        <w:instrText xml:space="preserve"> PAGEREF _Toc9465 \h </w:instrText>
      </w:r>
      <w:r>
        <w:rPr>
          <w:color w:val="auto"/>
        </w:rPr>
        <w:fldChar w:fldCharType="separate"/>
      </w:r>
      <w:r>
        <w:rPr>
          <w:color w:val="auto"/>
        </w:rPr>
        <w:t>44</w:t>
      </w:r>
      <w:r>
        <w:rPr>
          <w:color w:val="auto"/>
        </w:rPr>
        <w:fldChar w:fldCharType="end"/>
      </w:r>
      <w:r>
        <w:rPr>
          <w:rFonts w:ascii="宋体" w:hAnsi="宋体"/>
          <w:smallCaps/>
          <w:color w:val="auto"/>
          <w:spacing w:val="40"/>
          <w:szCs w:val="22"/>
        </w:rPr>
        <w:fldChar w:fldCharType="end"/>
      </w:r>
    </w:p>
    <w:p w14:paraId="07321981">
      <w:pPr>
        <w:pStyle w:val="26"/>
        <w:tabs>
          <w:tab w:val="right" w:leader="dot" w:pos="9638"/>
        </w:tabs>
        <w:rPr>
          <w:color w:val="auto"/>
        </w:rPr>
      </w:pPr>
      <w:r>
        <w:rPr>
          <w:rFonts w:ascii="宋体" w:hAnsi="宋体"/>
          <w:smallCaps/>
          <w:color w:val="auto"/>
          <w:spacing w:val="40"/>
          <w:szCs w:val="22"/>
        </w:rPr>
        <w:fldChar w:fldCharType="begin"/>
      </w:r>
      <w:r>
        <w:rPr>
          <w:rFonts w:ascii="宋体" w:hAnsi="宋体"/>
          <w:smallCaps/>
          <w:color w:val="auto"/>
          <w:spacing w:val="40"/>
          <w:szCs w:val="22"/>
        </w:rPr>
        <w:instrText xml:space="preserve"> HYPERLINK \l _Toc21690 </w:instrText>
      </w:r>
      <w:r>
        <w:rPr>
          <w:rFonts w:ascii="宋体" w:hAnsi="宋体"/>
          <w:smallCaps/>
          <w:color w:val="auto"/>
          <w:spacing w:val="40"/>
          <w:szCs w:val="22"/>
        </w:rPr>
        <w:fldChar w:fldCharType="separate"/>
      </w:r>
      <w:r>
        <w:rPr>
          <w:rFonts w:hint="eastAsia" w:ascii="黑体" w:hAnsi="黑体" w:eastAsia="黑体"/>
          <w:bCs/>
          <w:color w:val="auto"/>
          <w:kern w:val="44"/>
          <w:szCs w:val="36"/>
        </w:rPr>
        <w:t>第六部分   磋商原则及方法</w:t>
      </w:r>
      <w:r>
        <w:rPr>
          <w:color w:val="auto"/>
        </w:rPr>
        <w:tab/>
      </w:r>
      <w:r>
        <w:rPr>
          <w:color w:val="auto"/>
        </w:rPr>
        <w:fldChar w:fldCharType="begin"/>
      </w:r>
      <w:r>
        <w:rPr>
          <w:color w:val="auto"/>
        </w:rPr>
        <w:instrText xml:space="preserve"> PAGEREF _Toc21690 \h </w:instrText>
      </w:r>
      <w:r>
        <w:rPr>
          <w:color w:val="auto"/>
        </w:rPr>
        <w:fldChar w:fldCharType="separate"/>
      </w:r>
      <w:r>
        <w:rPr>
          <w:color w:val="auto"/>
        </w:rPr>
        <w:t>65</w:t>
      </w:r>
      <w:r>
        <w:rPr>
          <w:color w:val="auto"/>
        </w:rPr>
        <w:fldChar w:fldCharType="end"/>
      </w:r>
      <w:r>
        <w:rPr>
          <w:rFonts w:ascii="宋体" w:hAnsi="宋体"/>
          <w:smallCaps/>
          <w:color w:val="auto"/>
          <w:spacing w:val="40"/>
          <w:szCs w:val="22"/>
        </w:rPr>
        <w:fldChar w:fldCharType="end"/>
      </w:r>
    </w:p>
    <w:p w14:paraId="2FA1F9A7">
      <w:pPr>
        <w:spacing w:line="440" w:lineRule="exact"/>
        <w:rPr>
          <w:rFonts w:ascii="宋体" w:hAnsi="宋体"/>
          <w:b/>
          <w:bCs/>
          <w:color w:val="auto"/>
          <w:sz w:val="22"/>
          <w:szCs w:val="22"/>
        </w:rPr>
      </w:pPr>
      <w:r>
        <w:rPr>
          <w:rFonts w:ascii="宋体" w:hAnsi="宋体"/>
          <w:smallCaps/>
          <w:color w:val="auto"/>
          <w:spacing w:val="40"/>
          <w:szCs w:val="22"/>
        </w:rPr>
        <w:fldChar w:fldCharType="end"/>
      </w:r>
      <w:r>
        <w:rPr>
          <w:rFonts w:hint="eastAsia" w:ascii="宋体" w:hAnsi="宋体"/>
          <w:b/>
          <w:bCs/>
          <w:color w:val="auto"/>
          <w:sz w:val="22"/>
          <w:szCs w:val="22"/>
        </w:rPr>
        <w:t>注：</w:t>
      </w:r>
      <w:r>
        <w:rPr>
          <w:rFonts w:hint="eastAsia" w:ascii="宋体" w:hAnsi="宋体"/>
          <w:b/>
          <w:bCs/>
          <w:color w:val="auto"/>
          <w:sz w:val="22"/>
          <w:szCs w:val="22"/>
          <w:u w:val="single"/>
        </w:rPr>
        <w:t>磋商文件中带“▲”并加下划线的内容为实质性条款或要求，加下划线或有深色底纹的部分为重要内容，提醒磋商供应商审慎阅读，因误读磋商文件而造成的后果，招标采购单位概不负责。</w:t>
      </w:r>
    </w:p>
    <w:p w14:paraId="7F19A27B">
      <w:pPr>
        <w:spacing w:line="440" w:lineRule="exact"/>
        <w:rPr>
          <w:rFonts w:ascii="宋体" w:hAnsi="宋体"/>
          <w:color w:val="auto"/>
          <w:spacing w:val="40"/>
          <w:sz w:val="22"/>
          <w:szCs w:val="22"/>
        </w:rPr>
      </w:pPr>
    </w:p>
    <w:p w14:paraId="7990045A">
      <w:pPr>
        <w:pStyle w:val="2"/>
        <w:spacing w:line="600" w:lineRule="exact"/>
        <w:jc w:val="center"/>
        <w:rPr>
          <w:rFonts w:ascii="黑体" w:hAnsi="黑体" w:eastAsia="黑体"/>
          <w:color w:val="auto"/>
          <w:sz w:val="36"/>
          <w:szCs w:val="36"/>
        </w:rPr>
      </w:pPr>
      <w:bookmarkStart w:id="5" w:name="_Toc195502576"/>
      <w:bookmarkStart w:id="6" w:name="_Toc195502486"/>
      <w:bookmarkStart w:id="7" w:name="_Toc202085286"/>
      <w:r>
        <w:rPr>
          <w:rFonts w:ascii="黑体" w:hAnsi="黑体" w:eastAsia="黑体"/>
          <w:color w:val="auto"/>
          <w:sz w:val="36"/>
          <w:szCs w:val="36"/>
        </w:rPr>
        <w:br w:type="page"/>
      </w:r>
      <w:bookmarkEnd w:id="5"/>
      <w:bookmarkEnd w:id="6"/>
      <w:bookmarkEnd w:id="7"/>
      <w:bookmarkStart w:id="8" w:name="_Toc26637"/>
      <w:bookmarkStart w:id="9" w:name="_Toc49280896"/>
      <w:bookmarkStart w:id="10" w:name="_Toc28861"/>
      <w:bookmarkStart w:id="11" w:name="_Toc13719"/>
      <w:bookmarkStart w:id="12" w:name="_Toc23510"/>
      <w:bookmarkStart w:id="13" w:name="_Toc23224"/>
      <w:r>
        <w:rPr>
          <w:rFonts w:hint="eastAsia" w:ascii="黑体" w:hAnsi="黑体" w:eastAsia="黑体"/>
          <w:color w:val="auto"/>
          <w:sz w:val="36"/>
          <w:szCs w:val="36"/>
        </w:rPr>
        <w:t>第一部分   磋商公告</w:t>
      </w:r>
      <w:bookmarkEnd w:id="8"/>
      <w:bookmarkEnd w:id="9"/>
      <w:bookmarkEnd w:id="10"/>
      <w:bookmarkEnd w:id="11"/>
      <w:bookmarkEnd w:id="12"/>
      <w:bookmarkEnd w:id="13"/>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55045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6" w:type="dxa"/>
          </w:tcPr>
          <w:p w14:paraId="4991F6B9">
            <w:pPr>
              <w:widowControl/>
              <w:spacing w:line="440" w:lineRule="exact"/>
              <w:jc w:val="left"/>
              <w:rPr>
                <w:rFonts w:ascii="宋体" w:hAnsi="宋体" w:cs="宋体"/>
                <w:color w:val="auto"/>
                <w:kern w:val="0"/>
                <w:sz w:val="22"/>
                <w:szCs w:val="22"/>
                <w:lang w:bidi="ar"/>
              </w:rPr>
            </w:pPr>
            <w:r>
              <w:rPr>
                <w:rFonts w:hint="eastAsia" w:ascii="宋体" w:hAnsi="宋体" w:cs="宋体"/>
                <w:color w:val="auto"/>
                <w:kern w:val="0"/>
                <w:sz w:val="22"/>
                <w:szCs w:val="22"/>
                <w:lang w:bidi="ar"/>
              </w:rPr>
              <w:t xml:space="preserve"> 项目概况</w:t>
            </w:r>
          </w:p>
          <w:p w14:paraId="5CFE6BA8">
            <w:pPr>
              <w:widowControl/>
              <w:spacing w:line="440" w:lineRule="exact"/>
              <w:jc w:val="left"/>
              <w:rPr>
                <w:rFonts w:ascii="宋体" w:hAnsi="宋体" w:cs="宋体"/>
                <w:color w:val="auto"/>
                <w:kern w:val="0"/>
                <w:sz w:val="22"/>
                <w:szCs w:val="22"/>
                <w:lang w:bidi="ar"/>
              </w:rPr>
            </w:pPr>
            <w:r>
              <w:rPr>
                <w:rFonts w:hint="eastAsia" w:ascii="宋体" w:hAnsi="宋体" w:cs="宋体"/>
                <w:color w:val="auto"/>
                <w:kern w:val="0"/>
                <w:sz w:val="22"/>
                <w:szCs w:val="22"/>
                <w:lang w:bidi="ar"/>
              </w:rPr>
              <w:t> </w:t>
            </w:r>
            <w:r>
              <w:rPr>
                <w:rFonts w:hint="eastAsia" w:ascii="宋体" w:hAnsi="宋体" w:cs="宋体"/>
                <w:color w:val="auto"/>
                <w:kern w:val="0"/>
                <w:sz w:val="22"/>
                <w:szCs w:val="22"/>
                <w:lang w:val="en-US" w:eastAsia="zh-CN" w:bidi="ar"/>
              </w:rPr>
              <w:t xml:space="preserve">   </w:t>
            </w:r>
            <w:r>
              <w:rPr>
                <w:rFonts w:hint="eastAsia" w:ascii="宋体" w:hAnsi="宋体" w:cs="宋体"/>
                <w:color w:val="auto"/>
                <w:kern w:val="0"/>
                <w:sz w:val="22"/>
                <w:szCs w:val="22"/>
                <w:u w:val="single"/>
                <w:lang w:eastAsia="zh-CN" w:bidi="ar"/>
              </w:rPr>
              <w:t>校园厨房设备更新及附属工程</w:t>
            </w:r>
            <w:r>
              <w:rPr>
                <w:rFonts w:hint="eastAsia" w:ascii="宋体" w:hAnsi="宋体" w:cs="宋体"/>
                <w:color w:val="auto"/>
                <w:kern w:val="0"/>
                <w:sz w:val="22"/>
                <w:szCs w:val="22"/>
                <w:u w:val="none"/>
                <w:lang w:val="en-US" w:eastAsia="zh-CN" w:bidi="ar"/>
              </w:rPr>
              <w:t>采购</w:t>
            </w:r>
            <w:r>
              <w:rPr>
                <w:rFonts w:hint="eastAsia" w:ascii="宋体" w:hAnsi="宋体" w:cs="宋体"/>
                <w:color w:val="auto"/>
                <w:kern w:val="0"/>
                <w:sz w:val="22"/>
                <w:szCs w:val="22"/>
                <w:lang w:bidi="ar"/>
              </w:rPr>
              <w:t>项目的潜在供应商应在</w:t>
            </w:r>
            <w:r>
              <w:rPr>
                <w:rFonts w:hint="eastAsia" w:ascii="宋体" w:hAnsi="宋体" w:cs="宋体"/>
                <w:color w:val="auto"/>
                <w:szCs w:val="22"/>
              </w:rPr>
              <w:t>政采云平台（https://www.zcygov.cn）</w:t>
            </w:r>
            <w:r>
              <w:rPr>
                <w:rFonts w:hint="eastAsia" w:ascii="宋体" w:hAnsi="宋体" w:cs="宋体"/>
                <w:color w:val="auto"/>
                <w:kern w:val="0"/>
                <w:sz w:val="22"/>
                <w:szCs w:val="22"/>
                <w:lang w:bidi="ar"/>
              </w:rPr>
              <w:t>获取（下载）采购文件，并于</w:t>
            </w:r>
            <w:r>
              <w:rPr>
                <w:rFonts w:hint="eastAsia" w:ascii="宋体" w:hAnsi="宋体" w:cs="宋体"/>
                <w:color w:val="auto"/>
                <w:kern w:val="0"/>
                <w:sz w:val="22"/>
                <w:szCs w:val="22"/>
                <w:u w:val="single"/>
                <w:lang w:bidi="ar"/>
              </w:rPr>
              <w:t xml:space="preserve"> </w:t>
            </w:r>
            <w:r>
              <w:rPr>
                <w:rFonts w:hint="eastAsia" w:ascii="宋体" w:hAnsi="宋体" w:cs="宋体"/>
                <w:color w:val="auto"/>
                <w:kern w:val="0"/>
                <w:sz w:val="22"/>
                <w:szCs w:val="22"/>
                <w:u w:val="single"/>
                <w:lang w:val="en-US" w:eastAsia="zh-CN" w:bidi="ar"/>
              </w:rPr>
              <w:t xml:space="preserve">2024 </w:t>
            </w:r>
            <w:r>
              <w:rPr>
                <w:rFonts w:hint="eastAsia" w:ascii="宋体" w:hAnsi="宋体" w:cs="宋体"/>
                <w:color w:val="auto"/>
                <w:kern w:val="0"/>
                <w:sz w:val="22"/>
                <w:szCs w:val="22"/>
                <w:lang w:bidi="ar"/>
              </w:rPr>
              <w:t>年</w:t>
            </w:r>
            <w:r>
              <w:rPr>
                <w:rFonts w:hint="eastAsia" w:ascii="宋体" w:hAnsi="宋体" w:cs="宋体"/>
                <w:color w:val="auto"/>
                <w:kern w:val="0"/>
                <w:sz w:val="22"/>
                <w:szCs w:val="22"/>
                <w:u w:val="single"/>
                <w:lang w:val="en-US" w:eastAsia="zh-CN" w:bidi="ar"/>
              </w:rPr>
              <w:t>07</w:t>
            </w:r>
            <w:r>
              <w:rPr>
                <w:rFonts w:hint="eastAsia" w:ascii="宋体" w:hAnsi="宋体" w:cs="宋体"/>
                <w:color w:val="auto"/>
                <w:kern w:val="0"/>
                <w:sz w:val="22"/>
                <w:szCs w:val="22"/>
                <w:lang w:bidi="ar"/>
              </w:rPr>
              <w:t>月</w:t>
            </w:r>
            <w:r>
              <w:rPr>
                <w:rFonts w:hint="eastAsia" w:ascii="宋体" w:hAnsi="宋体" w:cs="宋体"/>
                <w:color w:val="auto"/>
                <w:kern w:val="0"/>
                <w:sz w:val="22"/>
                <w:szCs w:val="22"/>
                <w:u w:val="single"/>
                <w:lang w:val="en-US" w:eastAsia="zh-CN" w:bidi="ar"/>
              </w:rPr>
              <w:t>08</w:t>
            </w:r>
            <w:r>
              <w:rPr>
                <w:rFonts w:hint="eastAsia" w:ascii="宋体" w:hAnsi="宋体" w:cs="宋体"/>
                <w:color w:val="auto"/>
                <w:kern w:val="0"/>
                <w:sz w:val="22"/>
                <w:szCs w:val="22"/>
                <w:lang w:bidi="ar"/>
              </w:rPr>
              <w:t>日</w:t>
            </w:r>
            <w:r>
              <w:rPr>
                <w:rFonts w:hint="eastAsia" w:ascii="宋体" w:hAnsi="宋体" w:cs="宋体"/>
                <w:color w:val="auto"/>
                <w:kern w:val="0"/>
                <w:sz w:val="22"/>
                <w:szCs w:val="22"/>
                <w:lang w:val="en-US" w:eastAsia="zh-CN" w:bidi="ar"/>
              </w:rPr>
              <w:t>14</w:t>
            </w:r>
            <w:r>
              <w:rPr>
                <w:rFonts w:hint="eastAsia" w:ascii="宋体" w:hAnsi="宋体" w:cs="宋体"/>
                <w:color w:val="auto"/>
                <w:kern w:val="0"/>
                <w:sz w:val="22"/>
                <w:szCs w:val="22"/>
                <w:lang w:bidi="ar"/>
              </w:rPr>
              <w:t>:</w:t>
            </w:r>
            <w:r>
              <w:rPr>
                <w:rFonts w:ascii="宋体" w:hAnsi="宋体" w:cs="宋体"/>
                <w:color w:val="auto"/>
                <w:kern w:val="0"/>
                <w:sz w:val="22"/>
                <w:szCs w:val="22"/>
                <w:lang w:bidi="ar"/>
              </w:rPr>
              <w:t>3</w:t>
            </w:r>
            <w:r>
              <w:rPr>
                <w:rFonts w:hint="eastAsia" w:ascii="宋体" w:hAnsi="宋体" w:cs="宋体"/>
                <w:color w:val="auto"/>
                <w:kern w:val="0"/>
                <w:sz w:val="22"/>
                <w:szCs w:val="22"/>
                <w:lang w:bidi="ar"/>
              </w:rPr>
              <w:t>0（北京时间）前提交（上传）响应文件。 </w:t>
            </w:r>
          </w:p>
        </w:tc>
      </w:tr>
    </w:tbl>
    <w:p w14:paraId="7DC50295">
      <w:pPr>
        <w:widowControl/>
        <w:spacing w:line="440" w:lineRule="exact"/>
        <w:jc w:val="left"/>
        <w:rPr>
          <w:rFonts w:ascii="宋体" w:hAnsi="宋体" w:cs="宋体"/>
          <w:color w:val="auto"/>
          <w:kern w:val="0"/>
          <w:sz w:val="22"/>
          <w:szCs w:val="22"/>
          <w:lang w:bidi="ar"/>
        </w:rPr>
      </w:pPr>
      <w:r>
        <w:rPr>
          <w:rFonts w:hint="eastAsia" w:ascii="宋体" w:hAnsi="宋体" w:cs="宋体"/>
          <w:color w:val="auto"/>
          <w:kern w:val="0"/>
          <w:sz w:val="22"/>
          <w:szCs w:val="22"/>
          <w:lang w:bidi="ar"/>
        </w:rPr>
        <w:t> </w:t>
      </w:r>
      <w:bookmarkStart w:id="14" w:name="_Hlk47794015"/>
      <w:r>
        <w:rPr>
          <w:rFonts w:hint="eastAsia" w:ascii="宋体" w:hAnsi="宋体" w:cs="宋体"/>
          <w:color w:val="auto"/>
          <w:kern w:val="0"/>
          <w:sz w:val="22"/>
          <w:szCs w:val="22"/>
          <w:lang w:bidi="ar"/>
        </w:rPr>
        <w:t xml:space="preserve"> </w:t>
      </w:r>
      <w:r>
        <w:rPr>
          <w:rFonts w:hint="eastAsia" w:ascii="宋体" w:hAnsi="宋体" w:cs="宋体"/>
          <w:b/>
          <w:color w:val="auto"/>
          <w:kern w:val="0"/>
          <w:sz w:val="22"/>
          <w:szCs w:val="22"/>
          <w:lang w:bidi="ar"/>
        </w:rPr>
        <w:t>一、项目基本情况</w:t>
      </w:r>
      <w:bookmarkEnd w:id="14"/>
    </w:p>
    <w:p w14:paraId="230B1159">
      <w:pPr>
        <w:widowControl/>
        <w:spacing w:line="440" w:lineRule="exact"/>
        <w:jc w:val="left"/>
        <w:rPr>
          <w:rFonts w:hint="eastAsia" w:ascii="宋体" w:hAnsi="宋体" w:eastAsia="宋体" w:cs="宋体"/>
          <w:color w:val="auto"/>
          <w:kern w:val="0"/>
          <w:sz w:val="22"/>
          <w:szCs w:val="22"/>
          <w:lang w:eastAsia="zh-CN" w:bidi="ar"/>
        </w:rPr>
      </w:pPr>
      <w:r>
        <w:rPr>
          <w:rFonts w:hint="eastAsia" w:ascii="宋体" w:hAnsi="宋体" w:cs="宋体"/>
          <w:color w:val="auto"/>
          <w:kern w:val="0"/>
          <w:sz w:val="22"/>
          <w:szCs w:val="22"/>
          <w:lang w:bidi="ar"/>
        </w:rPr>
        <w:t>    项目编号：</w:t>
      </w:r>
      <w:r>
        <w:rPr>
          <w:rFonts w:hint="eastAsia" w:ascii="宋体" w:hAnsi="宋体" w:cs="宋体"/>
          <w:color w:val="auto"/>
          <w:kern w:val="0"/>
          <w:sz w:val="22"/>
          <w:szCs w:val="22"/>
          <w:lang w:eastAsia="zh-CN" w:bidi="ar"/>
        </w:rPr>
        <w:t>WZZF2024(ZC)-06-129（CS）</w:t>
      </w:r>
    </w:p>
    <w:p w14:paraId="5FC2256A">
      <w:pPr>
        <w:widowControl/>
        <w:spacing w:line="440" w:lineRule="exact"/>
        <w:jc w:val="left"/>
        <w:rPr>
          <w:rFonts w:hint="eastAsia" w:ascii="宋体" w:hAnsi="宋体" w:eastAsia="宋体" w:cs="宋体"/>
          <w:color w:val="auto"/>
          <w:kern w:val="0"/>
          <w:sz w:val="22"/>
          <w:szCs w:val="22"/>
          <w:lang w:eastAsia="zh-CN" w:bidi="ar"/>
        </w:rPr>
      </w:pPr>
      <w:r>
        <w:rPr>
          <w:rFonts w:hint="eastAsia" w:ascii="宋体" w:hAnsi="宋体" w:cs="宋体"/>
          <w:color w:val="auto"/>
          <w:kern w:val="0"/>
          <w:sz w:val="22"/>
          <w:szCs w:val="22"/>
          <w:lang w:bidi="ar"/>
        </w:rPr>
        <w:t>    项目名称：</w:t>
      </w:r>
      <w:r>
        <w:rPr>
          <w:rFonts w:hint="eastAsia" w:ascii="宋体" w:hAnsi="宋体" w:cs="宋体"/>
          <w:color w:val="auto"/>
          <w:kern w:val="0"/>
          <w:sz w:val="22"/>
          <w:szCs w:val="22"/>
          <w:lang w:eastAsia="zh-CN" w:bidi="ar"/>
        </w:rPr>
        <w:t>校园厨房设备更新及附属工程</w:t>
      </w:r>
    </w:p>
    <w:p w14:paraId="0109BBB1">
      <w:pPr>
        <w:widowControl/>
        <w:spacing w:line="440" w:lineRule="exact"/>
        <w:jc w:val="left"/>
        <w:rPr>
          <w:rFonts w:hint="default" w:ascii="宋体" w:hAnsi="宋体" w:eastAsia="宋体" w:cs="宋体"/>
          <w:color w:val="auto"/>
          <w:kern w:val="0"/>
          <w:sz w:val="22"/>
          <w:szCs w:val="22"/>
          <w:shd w:val="clear" w:fill="FFFF00"/>
          <w:lang w:val="en-US" w:eastAsia="zh-CN" w:bidi="ar"/>
        </w:rPr>
      </w:pPr>
      <w:r>
        <w:rPr>
          <w:rFonts w:hint="eastAsia" w:ascii="宋体" w:hAnsi="宋体" w:cs="宋体"/>
          <w:color w:val="auto"/>
          <w:kern w:val="0"/>
          <w:sz w:val="22"/>
          <w:szCs w:val="22"/>
          <w:lang w:bidi="ar"/>
        </w:rPr>
        <w:t>    预算金额（元）：</w:t>
      </w:r>
      <w:r>
        <w:rPr>
          <w:rFonts w:hint="eastAsia" w:ascii="宋体" w:hAnsi="宋体"/>
          <w:color w:val="auto"/>
          <w:sz w:val="22"/>
          <w:szCs w:val="22"/>
          <w:lang w:val="en-US" w:eastAsia="zh-CN"/>
        </w:rPr>
        <w:t>1440000</w:t>
      </w:r>
    </w:p>
    <w:p w14:paraId="0D7103C7">
      <w:pPr>
        <w:widowControl/>
        <w:spacing w:line="440" w:lineRule="exact"/>
        <w:jc w:val="left"/>
        <w:rPr>
          <w:rFonts w:hint="default" w:ascii="宋体" w:hAnsi="宋体" w:eastAsia="宋体" w:cs="宋体"/>
          <w:color w:val="auto"/>
          <w:kern w:val="0"/>
          <w:sz w:val="22"/>
          <w:szCs w:val="22"/>
          <w:lang w:val="en-US" w:eastAsia="zh-CN" w:bidi="ar"/>
        </w:rPr>
      </w:pPr>
      <w:r>
        <w:rPr>
          <w:rFonts w:hint="eastAsia" w:ascii="宋体" w:hAnsi="宋体" w:cs="宋体"/>
          <w:color w:val="auto"/>
          <w:kern w:val="0"/>
          <w:sz w:val="22"/>
          <w:szCs w:val="22"/>
          <w:lang w:bidi="ar"/>
        </w:rPr>
        <w:t>    最高限价（元）：</w:t>
      </w:r>
      <w:r>
        <w:rPr>
          <w:rFonts w:hint="eastAsia" w:ascii="宋体" w:hAnsi="宋体"/>
          <w:color w:val="auto"/>
          <w:sz w:val="22"/>
          <w:szCs w:val="22"/>
          <w:lang w:val="en-US" w:eastAsia="zh-CN"/>
        </w:rPr>
        <w:t>1440000</w:t>
      </w:r>
    </w:p>
    <w:p w14:paraId="11856DAF">
      <w:pPr>
        <w:widowControl/>
        <w:spacing w:line="440" w:lineRule="exact"/>
        <w:jc w:val="left"/>
        <w:rPr>
          <w:rFonts w:ascii="宋体" w:hAnsi="宋体" w:cs="宋体"/>
          <w:color w:val="auto"/>
          <w:kern w:val="0"/>
          <w:sz w:val="22"/>
          <w:szCs w:val="22"/>
          <w:lang w:bidi="ar"/>
        </w:rPr>
      </w:pPr>
      <w:r>
        <w:rPr>
          <w:rFonts w:hint="eastAsia" w:ascii="宋体" w:hAnsi="宋体" w:cs="宋体"/>
          <w:color w:val="auto"/>
          <w:kern w:val="0"/>
          <w:sz w:val="22"/>
          <w:szCs w:val="22"/>
          <w:lang w:bidi="ar"/>
        </w:rPr>
        <w:t>    采购需求：</w:t>
      </w:r>
    </w:p>
    <w:p w14:paraId="24EF6ECF">
      <w:pPr>
        <w:widowControl/>
        <w:spacing w:line="440" w:lineRule="exact"/>
        <w:jc w:val="left"/>
        <w:rPr>
          <w:rFonts w:ascii="宋体" w:hAnsi="宋体" w:cs="宋体"/>
          <w:color w:val="auto"/>
          <w:kern w:val="0"/>
          <w:sz w:val="22"/>
          <w:szCs w:val="22"/>
          <w:lang w:bidi="ar"/>
        </w:rPr>
      </w:pPr>
      <w:r>
        <w:rPr>
          <w:rFonts w:hint="eastAsia" w:ascii="宋体" w:hAnsi="宋体" w:cs="宋体"/>
          <w:color w:val="auto"/>
          <w:kern w:val="0"/>
          <w:sz w:val="22"/>
          <w:szCs w:val="22"/>
          <w:lang w:bidi="ar"/>
        </w:rPr>
        <w:t>   标项一</w:t>
      </w:r>
    </w:p>
    <w:p w14:paraId="1015FB2A">
      <w:pPr>
        <w:widowControl/>
        <w:spacing w:line="440" w:lineRule="exact"/>
        <w:jc w:val="left"/>
        <w:rPr>
          <w:rFonts w:ascii="宋体" w:hAnsi="宋体" w:cs="宋体"/>
          <w:color w:val="auto"/>
          <w:sz w:val="22"/>
          <w:szCs w:val="22"/>
        </w:rPr>
      </w:pPr>
      <w:r>
        <w:rPr>
          <w:rFonts w:hint="eastAsia" w:ascii="宋体" w:hAnsi="宋体" w:cs="宋体"/>
          <w:color w:val="auto"/>
          <w:kern w:val="0"/>
          <w:sz w:val="22"/>
          <w:szCs w:val="22"/>
          <w:lang w:bidi="ar"/>
        </w:rPr>
        <w:t>    数量：1 </w:t>
      </w:r>
    </w:p>
    <w:p w14:paraId="04AB3F73">
      <w:pPr>
        <w:widowControl/>
        <w:spacing w:line="440" w:lineRule="exact"/>
        <w:jc w:val="left"/>
        <w:rPr>
          <w:rFonts w:hint="default" w:ascii="宋体" w:hAnsi="宋体" w:eastAsia="宋体" w:cs="宋体"/>
          <w:color w:val="auto"/>
          <w:kern w:val="0"/>
          <w:sz w:val="22"/>
          <w:szCs w:val="22"/>
          <w:lang w:val="en-US" w:eastAsia="zh-CN" w:bidi="ar"/>
        </w:rPr>
      </w:pPr>
      <w:r>
        <w:rPr>
          <w:rFonts w:hint="eastAsia" w:ascii="宋体" w:hAnsi="宋体" w:cs="宋体"/>
          <w:color w:val="auto"/>
          <w:kern w:val="0"/>
          <w:sz w:val="22"/>
          <w:szCs w:val="22"/>
          <w:lang w:bidi="ar"/>
        </w:rPr>
        <w:t>    预算金额（元）：</w:t>
      </w:r>
      <w:r>
        <w:rPr>
          <w:rFonts w:hint="eastAsia" w:ascii="宋体" w:hAnsi="宋体"/>
          <w:color w:val="auto"/>
          <w:sz w:val="22"/>
          <w:szCs w:val="22"/>
          <w:lang w:val="en-US" w:eastAsia="zh-CN"/>
        </w:rPr>
        <w:t>1440000</w:t>
      </w:r>
    </w:p>
    <w:p w14:paraId="6B31A69D">
      <w:pPr>
        <w:widowControl/>
        <w:spacing w:line="440" w:lineRule="exact"/>
        <w:jc w:val="left"/>
        <w:rPr>
          <w:rFonts w:ascii="宋体" w:hAnsi="宋体" w:cs="宋体"/>
          <w:color w:val="auto"/>
          <w:kern w:val="0"/>
          <w:sz w:val="22"/>
          <w:szCs w:val="22"/>
          <w:lang w:bidi="ar"/>
        </w:rPr>
      </w:pPr>
      <w:r>
        <w:rPr>
          <w:rFonts w:hint="eastAsia" w:ascii="宋体" w:hAnsi="宋体" w:cs="宋体"/>
          <w:color w:val="auto"/>
          <w:kern w:val="0"/>
          <w:sz w:val="22"/>
          <w:szCs w:val="22"/>
          <w:lang w:bidi="ar"/>
        </w:rPr>
        <w:t>    单位：项 </w:t>
      </w:r>
    </w:p>
    <w:p w14:paraId="73DAE949">
      <w:pPr>
        <w:widowControl/>
        <w:spacing w:line="440" w:lineRule="exact"/>
        <w:jc w:val="left"/>
        <w:rPr>
          <w:rFonts w:ascii="宋体" w:hAnsi="宋体" w:cs="宋体"/>
          <w:color w:val="auto"/>
          <w:kern w:val="0"/>
          <w:sz w:val="22"/>
          <w:szCs w:val="22"/>
          <w:lang w:bidi="ar"/>
        </w:rPr>
      </w:pPr>
      <w:r>
        <w:rPr>
          <w:rFonts w:hint="eastAsia" w:ascii="宋体" w:hAnsi="宋体" w:cs="宋体"/>
          <w:color w:val="auto"/>
          <w:kern w:val="0"/>
          <w:sz w:val="22"/>
          <w:szCs w:val="22"/>
          <w:lang w:bidi="ar"/>
        </w:rPr>
        <w:t>    简要规格描述：</w:t>
      </w:r>
      <w:r>
        <w:rPr>
          <w:rFonts w:hint="eastAsia" w:ascii="宋体" w:hAnsi="宋体" w:cs="宋体"/>
          <w:color w:val="auto"/>
          <w:kern w:val="0"/>
          <w:sz w:val="22"/>
          <w:szCs w:val="22"/>
          <w:lang w:eastAsia="zh-CN" w:bidi="ar"/>
        </w:rPr>
        <w:t>温州市特殊教育学校</w:t>
      </w:r>
      <w:r>
        <w:rPr>
          <w:rFonts w:hint="eastAsia" w:ascii="宋体" w:hAnsi="宋体"/>
          <w:color w:val="auto"/>
          <w:sz w:val="22"/>
          <w:szCs w:val="22"/>
          <w:lang w:eastAsia="zh-CN"/>
        </w:rPr>
        <w:t>校园厨房设备更新及附属工程</w:t>
      </w:r>
      <w:r>
        <w:rPr>
          <w:rFonts w:hint="eastAsia" w:ascii="宋体" w:hAnsi="宋体"/>
          <w:color w:val="auto"/>
          <w:sz w:val="22"/>
          <w:szCs w:val="22"/>
        </w:rPr>
        <w:t>，包括货物的采购、供货</w:t>
      </w:r>
      <w:r>
        <w:rPr>
          <w:rFonts w:hint="eastAsia" w:ascii="宋体" w:hAnsi="宋体"/>
          <w:color w:val="auto"/>
          <w:sz w:val="22"/>
          <w:szCs w:val="22"/>
          <w:lang w:eastAsia="zh-CN"/>
        </w:rPr>
        <w:t>、</w:t>
      </w:r>
      <w:r>
        <w:rPr>
          <w:rFonts w:hint="eastAsia" w:ascii="宋体" w:hAnsi="宋体"/>
          <w:color w:val="auto"/>
          <w:sz w:val="22"/>
          <w:szCs w:val="22"/>
        </w:rPr>
        <w:t>安装调试</w:t>
      </w:r>
      <w:r>
        <w:rPr>
          <w:rFonts w:hint="eastAsia" w:ascii="宋体" w:hAnsi="宋体"/>
          <w:color w:val="auto"/>
          <w:sz w:val="22"/>
          <w:szCs w:val="22"/>
          <w:lang w:val="en-US" w:eastAsia="zh-CN"/>
        </w:rPr>
        <w:t>及附属工程施工</w:t>
      </w:r>
      <w:r>
        <w:rPr>
          <w:rFonts w:hint="eastAsia" w:ascii="宋体" w:hAnsi="宋体"/>
          <w:color w:val="auto"/>
          <w:sz w:val="22"/>
          <w:szCs w:val="22"/>
        </w:rPr>
        <w:t>等内容，</w:t>
      </w:r>
      <w:r>
        <w:rPr>
          <w:rFonts w:hint="eastAsia" w:ascii="宋体" w:hAnsi="宋体" w:cs="宋体"/>
          <w:color w:val="auto"/>
          <w:kern w:val="0"/>
          <w:sz w:val="22"/>
          <w:szCs w:val="22"/>
          <w:lang w:bidi="ar"/>
        </w:rPr>
        <w:t>详见磋商文件第五部分。</w:t>
      </w:r>
    </w:p>
    <w:p w14:paraId="144661EC">
      <w:pPr>
        <w:widowControl/>
        <w:spacing w:line="440" w:lineRule="exact"/>
        <w:jc w:val="left"/>
        <w:rPr>
          <w:rFonts w:ascii="宋体" w:hAnsi="宋体" w:cs="宋体"/>
          <w:color w:val="auto"/>
          <w:kern w:val="0"/>
          <w:sz w:val="22"/>
          <w:szCs w:val="22"/>
          <w:lang w:bidi="ar"/>
        </w:rPr>
      </w:pPr>
      <w:r>
        <w:rPr>
          <w:rFonts w:hint="eastAsia" w:ascii="宋体" w:hAnsi="宋体" w:cs="宋体"/>
          <w:color w:val="auto"/>
          <w:kern w:val="0"/>
          <w:sz w:val="22"/>
          <w:szCs w:val="22"/>
          <w:lang w:bidi="ar"/>
        </w:rPr>
        <w:t>    备注：无</w:t>
      </w:r>
    </w:p>
    <w:p w14:paraId="45935F94">
      <w:pPr>
        <w:widowControl/>
        <w:spacing w:line="440" w:lineRule="exact"/>
        <w:ind w:firstLine="660"/>
        <w:jc w:val="left"/>
        <w:rPr>
          <w:rFonts w:ascii="宋体" w:hAnsi="宋体" w:cs="宋体"/>
          <w:color w:val="auto"/>
          <w:kern w:val="0"/>
          <w:sz w:val="22"/>
          <w:szCs w:val="22"/>
          <w:lang w:bidi="ar"/>
        </w:rPr>
      </w:pPr>
      <w:r>
        <w:rPr>
          <w:rFonts w:hint="eastAsia" w:ascii="宋体" w:hAnsi="宋体" w:cs="宋体"/>
          <w:color w:val="auto"/>
          <w:kern w:val="0"/>
          <w:sz w:val="22"/>
          <w:szCs w:val="22"/>
          <w:lang w:bidi="ar"/>
        </w:rPr>
        <w:t>合同履约期限：</w:t>
      </w:r>
      <w:r>
        <w:rPr>
          <w:rFonts w:hint="eastAsia" w:ascii="宋体" w:hAnsi="宋体"/>
          <w:color w:val="auto"/>
          <w:sz w:val="22"/>
          <w:szCs w:val="22"/>
        </w:rPr>
        <w:t>合同签订后</w:t>
      </w:r>
      <w:r>
        <w:rPr>
          <w:rFonts w:hint="eastAsia" w:ascii="宋体" w:hAnsi="宋体"/>
          <w:color w:val="auto"/>
          <w:sz w:val="22"/>
          <w:szCs w:val="22"/>
          <w:lang w:eastAsia="zh-CN"/>
        </w:rPr>
        <w:t>40天</w:t>
      </w:r>
      <w:r>
        <w:rPr>
          <w:rFonts w:hint="eastAsia" w:ascii="宋体" w:hAnsi="宋体"/>
          <w:color w:val="auto"/>
          <w:sz w:val="22"/>
          <w:szCs w:val="22"/>
        </w:rPr>
        <w:t>内</w:t>
      </w:r>
      <w:r>
        <w:rPr>
          <w:rFonts w:hint="eastAsia" w:ascii="宋体" w:hAnsi="宋体"/>
          <w:color w:val="auto"/>
          <w:sz w:val="22"/>
          <w:szCs w:val="22"/>
          <w:lang w:val="en-US" w:eastAsia="zh-CN"/>
        </w:rPr>
        <w:t>完成附属工程施工、</w:t>
      </w:r>
      <w:r>
        <w:rPr>
          <w:rFonts w:hint="eastAsia" w:ascii="宋体" w:hAnsi="宋体"/>
          <w:color w:val="auto"/>
          <w:sz w:val="22"/>
          <w:szCs w:val="22"/>
        </w:rPr>
        <w:t>所有货物交付至采购人使用</w:t>
      </w:r>
      <w:r>
        <w:rPr>
          <w:rFonts w:hint="eastAsia" w:ascii="宋体" w:hAnsi="宋体"/>
          <w:color w:val="auto"/>
          <w:sz w:val="22"/>
          <w:szCs w:val="22"/>
          <w:lang w:eastAsia="zh-CN"/>
        </w:rPr>
        <w:t>、</w:t>
      </w:r>
      <w:r>
        <w:rPr>
          <w:rFonts w:hint="eastAsia" w:ascii="宋体" w:hAnsi="宋体"/>
          <w:color w:val="auto"/>
          <w:sz w:val="22"/>
          <w:szCs w:val="22"/>
        </w:rPr>
        <w:t>安装调试</w:t>
      </w:r>
      <w:r>
        <w:rPr>
          <w:rFonts w:hint="eastAsia" w:ascii="宋体" w:hAnsi="宋体"/>
          <w:color w:val="auto"/>
          <w:sz w:val="22"/>
          <w:szCs w:val="22"/>
          <w:lang w:val="en-US" w:eastAsia="zh-CN"/>
        </w:rPr>
        <w:t>完毕</w:t>
      </w:r>
      <w:r>
        <w:rPr>
          <w:rFonts w:hint="eastAsia" w:ascii="宋体" w:hAnsi="宋体"/>
          <w:color w:val="auto"/>
          <w:sz w:val="22"/>
          <w:szCs w:val="22"/>
        </w:rPr>
        <w:t>，提交一份完整的验收单或验收报告，由采购人进行验收</w:t>
      </w:r>
      <w:r>
        <w:rPr>
          <w:rFonts w:hint="eastAsia" w:ascii="宋体" w:hAnsi="宋体" w:cs="宋体"/>
          <w:color w:val="auto"/>
          <w:sz w:val="22"/>
          <w:szCs w:val="22"/>
        </w:rPr>
        <w:t>。</w:t>
      </w:r>
    </w:p>
    <w:p w14:paraId="019D66AB">
      <w:pPr>
        <w:widowControl/>
        <w:spacing w:line="440" w:lineRule="exact"/>
        <w:ind w:firstLine="660"/>
        <w:jc w:val="left"/>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本项目（</w:t>
      </w:r>
      <w:r>
        <w:rPr>
          <w:rFonts w:hint="eastAsia" w:ascii="宋体" w:hAnsi="宋体" w:cs="宋体"/>
          <w:color w:val="auto"/>
          <w:kern w:val="0"/>
          <w:sz w:val="22"/>
          <w:szCs w:val="22"/>
          <w:highlight w:val="none"/>
          <w:lang w:val="en-US" w:eastAsia="zh-CN" w:bidi="ar"/>
        </w:rPr>
        <w:t>是</w:t>
      </w:r>
      <w:r>
        <w:rPr>
          <w:rFonts w:hint="eastAsia" w:ascii="宋体" w:hAnsi="宋体" w:cs="宋体"/>
          <w:color w:val="auto"/>
          <w:kern w:val="0"/>
          <w:sz w:val="22"/>
          <w:szCs w:val="22"/>
          <w:highlight w:val="none"/>
          <w:lang w:bidi="ar"/>
        </w:rPr>
        <w:t>）接受联合体投标。</w:t>
      </w:r>
    </w:p>
    <w:p w14:paraId="422A7662">
      <w:pPr>
        <w:widowControl/>
        <w:spacing w:line="440" w:lineRule="exact"/>
        <w:rPr>
          <w:rFonts w:ascii="宋体" w:hAnsi="宋体" w:cs="宋体"/>
          <w:color w:val="auto"/>
          <w:kern w:val="0"/>
          <w:sz w:val="22"/>
          <w:szCs w:val="22"/>
          <w:lang w:bidi="ar"/>
        </w:rPr>
      </w:pPr>
      <w:bookmarkStart w:id="15" w:name="_Hlk47794000"/>
      <w:r>
        <w:rPr>
          <w:rFonts w:hint="eastAsia" w:ascii="宋体" w:hAnsi="宋体" w:cs="宋体"/>
          <w:b/>
          <w:color w:val="auto"/>
          <w:kern w:val="0"/>
          <w:sz w:val="22"/>
          <w:szCs w:val="22"/>
          <w:lang w:bidi="ar"/>
        </w:rPr>
        <w:t>二、申请人的资格要求：</w:t>
      </w:r>
    </w:p>
    <w:bookmarkEnd w:id="15"/>
    <w:p w14:paraId="7C5D7D48">
      <w:pPr>
        <w:widowControl/>
        <w:spacing w:line="440" w:lineRule="exact"/>
        <w:jc w:val="left"/>
        <w:rPr>
          <w:rFonts w:ascii="宋体" w:hAnsi="宋体" w:cs="宋体"/>
          <w:color w:val="auto"/>
          <w:kern w:val="0"/>
          <w:sz w:val="22"/>
          <w:szCs w:val="22"/>
          <w:lang w:bidi="ar"/>
        </w:rPr>
      </w:pPr>
      <w:r>
        <w:rPr>
          <w:rFonts w:hint="eastAsia" w:ascii="宋体" w:hAnsi="宋体" w:cs="宋体"/>
          <w:color w:val="auto"/>
          <w:kern w:val="0"/>
          <w:sz w:val="22"/>
          <w:szCs w:val="22"/>
          <w:lang w:bidi="ar"/>
        </w:rPr>
        <w:t>    1.满足《中华人民共和国政府采购法》第二十二条规定</w:t>
      </w:r>
      <w:r>
        <w:rPr>
          <w:rFonts w:hint="eastAsia" w:ascii="宋体" w:hAnsi="宋体"/>
          <w:color w:val="auto"/>
          <w:sz w:val="22"/>
          <w:szCs w:val="22"/>
        </w:rPr>
        <w:t>，未被“信用中国”（www.creditchina.gov.cn)、中国政府采购网（www.ccgp.gov.cn）列入失信被执行人、重大税收违法案件当事人名单、政府采购严重违法失信行为记录名单；</w:t>
      </w:r>
    </w:p>
    <w:p w14:paraId="47D0BBFF">
      <w:pPr>
        <w:widowControl/>
        <w:spacing w:line="440" w:lineRule="exact"/>
        <w:jc w:val="left"/>
        <w:rPr>
          <w:rFonts w:ascii="宋体" w:hAnsi="宋体" w:cs="宋体"/>
          <w:color w:val="auto"/>
          <w:kern w:val="0"/>
          <w:sz w:val="22"/>
          <w:szCs w:val="22"/>
          <w:lang w:bidi="ar"/>
        </w:rPr>
      </w:pPr>
      <w:r>
        <w:rPr>
          <w:rFonts w:hint="eastAsia" w:ascii="宋体" w:hAnsi="宋体" w:cs="宋体"/>
          <w:color w:val="auto"/>
          <w:kern w:val="0"/>
          <w:sz w:val="22"/>
          <w:szCs w:val="22"/>
          <w:lang w:bidi="ar"/>
        </w:rPr>
        <w:t>    2.落实政府采购政策需满足的资格要求：</w:t>
      </w:r>
      <w:r>
        <w:rPr>
          <w:rFonts w:hint="eastAsia" w:ascii="宋体" w:hAnsi="宋体" w:cs="宋体"/>
          <w:color w:val="auto"/>
          <w:kern w:val="0"/>
          <w:sz w:val="22"/>
          <w:szCs w:val="22"/>
          <w:lang w:val="en-US" w:eastAsia="zh-CN" w:bidi="ar"/>
        </w:rPr>
        <w:t>供应商为中小企业/小微企业</w:t>
      </w:r>
      <w:r>
        <w:rPr>
          <w:rFonts w:hint="eastAsia" w:ascii="宋体" w:hAnsi="宋体" w:cs="宋体"/>
          <w:color w:val="auto"/>
          <w:kern w:val="0"/>
          <w:sz w:val="22"/>
          <w:szCs w:val="22"/>
          <w:lang w:bidi="ar"/>
        </w:rPr>
        <w:t>；</w:t>
      </w:r>
    </w:p>
    <w:p w14:paraId="7B49B3D9">
      <w:pPr>
        <w:widowControl/>
        <w:spacing w:line="440" w:lineRule="exact"/>
        <w:ind w:firstLine="660"/>
        <w:jc w:val="left"/>
        <w:rPr>
          <w:rFonts w:hint="default" w:ascii="宋体" w:hAnsi="宋体" w:eastAsia="宋体" w:cs="宋体"/>
          <w:color w:val="auto"/>
          <w:kern w:val="0"/>
          <w:sz w:val="22"/>
          <w:szCs w:val="22"/>
          <w:lang w:val="en-US" w:eastAsia="zh-CN" w:bidi="ar"/>
        </w:rPr>
      </w:pPr>
      <w:r>
        <w:rPr>
          <w:rFonts w:hint="eastAsia" w:ascii="宋体" w:hAnsi="宋体" w:cs="宋体"/>
          <w:color w:val="auto"/>
          <w:kern w:val="0"/>
          <w:sz w:val="22"/>
          <w:szCs w:val="22"/>
          <w:lang w:bidi="ar"/>
        </w:rPr>
        <w:t>3.本项目的特定资格要求：</w:t>
      </w:r>
      <w:r>
        <w:rPr>
          <w:rFonts w:hint="eastAsia" w:ascii="宋体" w:hAnsi="宋体" w:cs="宋体"/>
          <w:color w:val="auto"/>
          <w:kern w:val="0"/>
          <w:sz w:val="22"/>
          <w:szCs w:val="22"/>
          <w:lang w:val="en-US" w:eastAsia="zh-CN" w:bidi="ar"/>
        </w:rPr>
        <w:t xml:space="preserve">无 </w:t>
      </w:r>
      <w:r>
        <w:rPr>
          <w:rFonts w:hint="eastAsia" w:ascii="宋体" w:hAnsi="宋体" w:cs="宋体"/>
          <w:color w:val="auto"/>
          <w:kern w:val="0"/>
          <w:sz w:val="22"/>
          <w:szCs w:val="22"/>
          <w:highlight w:val="none"/>
          <w:lang w:val="en-US" w:eastAsia="zh-CN" w:bidi="ar"/>
        </w:rPr>
        <w:t>。</w:t>
      </w:r>
    </w:p>
    <w:p w14:paraId="16E1164F">
      <w:pPr>
        <w:widowControl/>
        <w:spacing w:line="440" w:lineRule="exact"/>
        <w:rPr>
          <w:rFonts w:ascii="宋体" w:hAnsi="宋体" w:cs="宋体"/>
          <w:color w:val="auto"/>
          <w:kern w:val="0"/>
          <w:sz w:val="22"/>
          <w:szCs w:val="22"/>
          <w:lang w:bidi="ar"/>
        </w:rPr>
      </w:pPr>
      <w:bookmarkStart w:id="16" w:name="_Hlk47793996"/>
      <w:r>
        <w:rPr>
          <w:rFonts w:hint="eastAsia" w:ascii="宋体" w:hAnsi="宋体" w:cs="宋体"/>
          <w:b/>
          <w:color w:val="auto"/>
          <w:kern w:val="0"/>
          <w:sz w:val="22"/>
          <w:szCs w:val="22"/>
          <w:lang w:bidi="ar"/>
        </w:rPr>
        <w:t>三、获取（下载）采购文件</w:t>
      </w:r>
    </w:p>
    <w:bookmarkEnd w:id="16"/>
    <w:p w14:paraId="7DB30C97">
      <w:pPr>
        <w:widowControl/>
        <w:spacing w:line="440" w:lineRule="exact"/>
        <w:jc w:val="left"/>
        <w:rPr>
          <w:rFonts w:ascii="宋体" w:hAnsi="宋体" w:cs="宋体"/>
          <w:color w:val="auto"/>
          <w:kern w:val="0"/>
          <w:sz w:val="22"/>
          <w:szCs w:val="22"/>
          <w:lang w:bidi="ar"/>
        </w:rPr>
      </w:pPr>
      <w:r>
        <w:rPr>
          <w:rFonts w:hint="eastAsia" w:ascii="宋体" w:hAnsi="宋体" w:cs="宋体"/>
          <w:color w:val="auto"/>
          <w:kern w:val="0"/>
          <w:sz w:val="22"/>
          <w:szCs w:val="22"/>
          <w:lang w:bidi="ar"/>
        </w:rPr>
        <w:t>    时间：</w:t>
      </w:r>
      <w:r>
        <w:rPr>
          <w:rFonts w:hint="eastAsia" w:ascii="宋体" w:hAnsi="宋体" w:cs="宋体"/>
          <w:color w:val="auto"/>
          <w:kern w:val="0"/>
          <w:sz w:val="22"/>
          <w:szCs w:val="22"/>
          <w:lang w:val="en-US" w:eastAsia="zh-CN" w:bidi="ar"/>
        </w:rPr>
        <w:t>/</w:t>
      </w:r>
      <w:r>
        <w:rPr>
          <w:rFonts w:hint="eastAsia" w:ascii="宋体" w:hAnsi="宋体" w:cs="宋体"/>
          <w:color w:val="auto"/>
          <w:kern w:val="0"/>
          <w:sz w:val="22"/>
          <w:szCs w:val="22"/>
          <w:lang w:bidi="ar"/>
        </w:rPr>
        <w:t>至202</w:t>
      </w:r>
      <w:r>
        <w:rPr>
          <w:rFonts w:hint="eastAsia" w:ascii="宋体" w:hAnsi="宋体" w:cs="宋体"/>
          <w:color w:val="auto"/>
          <w:kern w:val="0"/>
          <w:sz w:val="22"/>
          <w:szCs w:val="22"/>
          <w:lang w:val="en-US" w:eastAsia="zh-CN" w:bidi="ar"/>
        </w:rPr>
        <w:t>4</w:t>
      </w:r>
      <w:r>
        <w:rPr>
          <w:rFonts w:hint="eastAsia" w:ascii="宋体" w:hAnsi="宋体" w:cs="宋体"/>
          <w:color w:val="auto"/>
          <w:kern w:val="0"/>
          <w:sz w:val="22"/>
          <w:szCs w:val="22"/>
          <w:lang w:bidi="ar"/>
        </w:rPr>
        <w:t>年</w:t>
      </w:r>
      <w:r>
        <w:rPr>
          <w:rFonts w:hint="eastAsia" w:ascii="宋体" w:hAnsi="宋体" w:cs="宋体"/>
          <w:color w:val="auto"/>
          <w:kern w:val="0"/>
          <w:sz w:val="22"/>
          <w:szCs w:val="22"/>
          <w:u w:val="single"/>
          <w:lang w:val="en-US" w:eastAsia="zh-CN" w:bidi="ar"/>
        </w:rPr>
        <w:t>07</w:t>
      </w:r>
      <w:r>
        <w:rPr>
          <w:rFonts w:hint="eastAsia" w:ascii="宋体" w:hAnsi="宋体" w:cs="宋体"/>
          <w:color w:val="auto"/>
          <w:kern w:val="0"/>
          <w:sz w:val="22"/>
          <w:szCs w:val="22"/>
          <w:lang w:bidi="ar"/>
        </w:rPr>
        <w:t>月</w:t>
      </w:r>
      <w:r>
        <w:rPr>
          <w:rFonts w:hint="eastAsia" w:ascii="宋体" w:hAnsi="宋体" w:cs="宋体"/>
          <w:color w:val="auto"/>
          <w:kern w:val="0"/>
          <w:sz w:val="22"/>
          <w:szCs w:val="22"/>
          <w:u w:val="single"/>
          <w:lang w:val="en-US" w:eastAsia="zh-CN" w:bidi="ar"/>
        </w:rPr>
        <w:t>08</w:t>
      </w:r>
      <w:r>
        <w:rPr>
          <w:rFonts w:hint="eastAsia" w:ascii="宋体" w:hAnsi="宋体" w:cs="宋体"/>
          <w:color w:val="auto"/>
          <w:kern w:val="0"/>
          <w:sz w:val="22"/>
          <w:szCs w:val="22"/>
          <w:lang w:bidi="ar"/>
        </w:rPr>
        <w:t>日，每天上午00:00至12:00，下午12:00至23:59（北京时间，线上获取法定节假日均可，线下获取文件法定节假日除外）</w:t>
      </w:r>
    </w:p>
    <w:p w14:paraId="341B2B3D">
      <w:pPr>
        <w:widowControl/>
        <w:spacing w:line="440" w:lineRule="exact"/>
        <w:jc w:val="left"/>
        <w:rPr>
          <w:rFonts w:ascii="宋体" w:hAnsi="宋体" w:cs="宋体"/>
          <w:color w:val="auto"/>
          <w:kern w:val="0"/>
          <w:sz w:val="22"/>
          <w:szCs w:val="22"/>
          <w:lang w:bidi="ar"/>
        </w:rPr>
      </w:pPr>
      <w:r>
        <w:rPr>
          <w:rFonts w:hint="eastAsia" w:ascii="宋体" w:hAnsi="宋体" w:cs="宋体"/>
          <w:color w:val="auto"/>
          <w:kern w:val="0"/>
          <w:sz w:val="22"/>
          <w:szCs w:val="22"/>
          <w:lang w:bidi="ar"/>
        </w:rPr>
        <w:t>    地点（网址）：</w:t>
      </w:r>
      <w:r>
        <w:rPr>
          <w:rFonts w:hint="eastAsia" w:ascii="宋体" w:hAnsi="宋体" w:cs="宋体"/>
          <w:color w:val="auto"/>
          <w:szCs w:val="22"/>
        </w:rPr>
        <w:t>政采云平台（https://www.zcygov.cn）</w:t>
      </w:r>
    </w:p>
    <w:p w14:paraId="1D3E909B">
      <w:pPr>
        <w:widowControl/>
        <w:spacing w:line="440" w:lineRule="exact"/>
        <w:jc w:val="left"/>
        <w:rPr>
          <w:rFonts w:ascii="宋体" w:hAnsi="宋体" w:cs="宋体"/>
          <w:color w:val="auto"/>
          <w:kern w:val="0"/>
          <w:sz w:val="22"/>
          <w:szCs w:val="22"/>
          <w:lang w:bidi="ar"/>
        </w:rPr>
      </w:pPr>
      <w:r>
        <w:rPr>
          <w:rFonts w:hint="eastAsia" w:ascii="宋体" w:hAnsi="宋体" w:cs="宋体"/>
          <w:color w:val="auto"/>
          <w:kern w:val="0"/>
          <w:sz w:val="22"/>
          <w:szCs w:val="22"/>
          <w:lang w:bidi="ar"/>
        </w:rPr>
        <w:t>    方式：供应商登录政采云平台https://www.zcygov.cn/在线申请获取采购文件（进入“项目采购”应用，在获取采购文件菜单中选择项目，申请获取采购文件）</w:t>
      </w:r>
    </w:p>
    <w:p w14:paraId="0227B08D">
      <w:pPr>
        <w:widowControl/>
        <w:spacing w:line="440" w:lineRule="exact"/>
        <w:jc w:val="left"/>
        <w:rPr>
          <w:rFonts w:ascii="宋体" w:hAnsi="宋体" w:cs="宋体"/>
          <w:color w:val="auto"/>
          <w:kern w:val="0"/>
          <w:sz w:val="22"/>
          <w:szCs w:val="22"/>
          <w:lang w:bidi="ar"/>
        </w:rPr>
      </w:pPr>
      <w:r>
        <w:rPr>
          <w:rFonts w:hint="eastAsia" w:ascii="宋体" w:hAnsi="宋体" w:cs="宋体"/>
          <w:color w:val="auto"/>
          <w:kern w:val="0"/>
          <w:sz w:val="22"/>
          <w:szCs w:val="22"/>
          <w:lang w:bidi="ar"/>
        </w:rPr>
        <w:t>    售价（元）：0 </w:t>
      </w:r>
    </w:p>
    <w:p w14:paraId="6BB6F356">
      <w:pPr>
        <w:widowControl/>
        <w:spacing w:line="440" w:lineRule="exact"/>
        <w:rPr>
          <w:rFonts w:ascii="宋体" w:hAnsi="宋体" w:cs="宋体"/>
          <w:color w:val="auto"/>
          <w:kern w:val="0"/>
          <w:sz w:val="22"/>
          <w:szCs w:val="22"/>
          <w:lang w:bidi="ar"/>
        </w:rPr>
      </w:pPr>
      <w:bookmarkStart w:id="17" w:name="_Hlk47793832"/>
      <w:r>
        <w:rPr>
          <w:rFonts w:hint="eastAsia" w:ascii="宋体" w:hAnsi="宋体" w:cs="宋体"/>
          <w:b/>
          <w:color w:val="auto"/>
          <w:kern w:val="0"/>
          <w:sz w:val="22"/>
          <w:szCs w:val="22"/>
          <w:lang w:bidi="ar"/>
        </w:rPr>
        <w:t>四、响应文件提交（上传）</w:t>
      </w:r>
      <w:r>
        <w:rPr>
          <w:rFonts w:hint="eastAsia" w:ascii="宋体" w:hAnsi="宋体" w:cs="宋体"/>
          <w:color w:val="auto"/>
          <w:kern w:val="0"/>
          <w:sz w:val="22"/>
          <w:szCs w:val="22"/>
          <w:lang w:bidi="ar"/>
        </w:rPr>
        <w:t> </w:t>
      </w:r>
    </w:p>
    <w:p w14:paraId="6817507F">
      <w:pPr>
        <w:widowControl/>
        <w:spacing w:line="440" w:lineRule="exact"/>
        <w:jc w:val="left"/>
        <w:rPr>
          <w:rFonts w:ascii="宋体" w:hAnsi="宋体" w:cs="宋体"/>
          <w:color w:val="auto"/>
          <w:kern w:val="0"/>
          <w:sz w:val="22"/>
          <w:szCs w:val="22"/>
          <w:lang w:bidi="ar"/>
        </w:rPr>
      </w:pPr>
      <w:r>
        <w:rPr>
          <w:rFonts w:hint="eastAsia" w:ascii="宋体" w:hAnsi="宋体" w:cs="宋体"/>
          <w:color w:val="auto"/>
          <w:kern w:val="0"/>
          <w:sz w:val="22"/>
          <w:szCs w:val="22"/>
          <w:lang w:bidi="ar"/>
        </w:rPr>
        <w:t>    截止时间：202</w:t>
      </w:r>
      <w:r>
        <w:rPr>
          <w:rFonts w:hint="eastAsia" w:ascii="宋体" w:hAnsi="宋体" w:cs="宋体"/>
          <w:color w:val="auto"/>
          <w:kern w:val="0"/>
          <w:sz w:val="22"/>
          <w:szCs w:val="22"/>
          <w:lang w:val="en-US" w:eastAsia="zh-CN" w:bidi="ar"/>
        </w:rPr>
        <w:t>4</w:t>
      </w:r>
      <w:r>
        <w:rPr>
          <w:rFonts w:hint="eastAsia" w:ascii="宋体" w:hAnsi="宋体" w:cs="宋体"/>
          <w:color w:val="auto"/>
          <w:kern w:val="0"/>
          <w:sz w:val="22"/>
          <w:szCs w:val="22"/>
          <w:lang w:bidi="ar"/>
        </w:rPr>
        <w:t>年</w:t>
      </w:r>
      <w:r>
        <w:rPr>
          <w:rFonts w:hint="eastAsia" w:ascii="宋体" w:hAnsi="宋体" w:cs="宋体"/>
          <w:color w:val="auto"/>
          <w:kern w:val="0"/>
          <w:sz w:val="22"/>
          <w:szCs w:val="22"/>
          <w:u w:val="single"/>
          <w:lang w:val="en-US" w:eastAsia="zh-CN" w:bidi="ar"/>
        </w:rPr>
        <w:t>07</w:t>
      </w:r>
      <w:r>
        <w:rPr>
          <w:rFonts w:hint="eastAsia" w:ascii="宋体" w:hAnsi="宋体" w:cs="宋体"/>
          <w:color w:val="auto"/>
          <w:kern w:val="0"/>
          <w:sz w:val="22"/>
          <w:szCs w:val="22"/>
          <w:lang w:bidi="ar"/>
        </w:rPr>
        <w:t>月</w:t>
      </w:r>
      <w:r>
        <w:rPr>
          <w:rFonts w:hint="eastAsia" w:ascii="宋体" w:hAnsi="宋体" w:cs="宋体"/>
          <w:color w:val="auto"/>
          <w:kern w:val="0"/>
          <w:sz w:val="22"/>
          <w:szCs w:val="22"/>
          <w:u w:val="single"/>
          <w:lang w:val="en-US" w:eastAsia="zh-CN" w:bidi="ar"/>
        </w:rPr>
        <w:t>08</w:t>
      </w:r>
      <w:r>
        <w:rPr>
          <w:rFonts w:hint="eastAsia" w:ascii="宋体" w:hAnsi="宋体" w:cs="宋体"/>
          <w:color w:val="auto"/>
          <w:kern w:val="0"/>
          <w:sz w:val="22"/>
          <w:szCs w:val="22"/>
          <w:lang w:bidi="ar"/>
        </w:rPr>
        <w:t>日</w:t>
      </w:r>
      <w:r>
        <w:rPr>
          <w:rFonts w:hint="eastAsia" w:ascii="宋体" w:hAnsi="宋体" w:cs="宋体"/>
          <w:color w:val="auto"/>
          <w:kern w:val="0"/>
          <w:sz w:val="22"/>
          <w:szCs w:val="22"/>
          <w:lang w:val="en-US" w:eastAsia="zh-CN" w:bidi="ar"/>
        </w:rPr>
        <w:t>14</w:t>
      </w:r>
      <w:r>
        <w:rPr>
          <w:rFonts w:hint="eastAsia" w:ascii="宋体" w:hAnsi="宋体" w:cs="宋体"/>
          <w:color w:val="auto"/>
          <w:kern w:val="0"/>
          <w:sz w:val="22"/>
          <w:szCs w:val="22"/>
          <w:lang w:bidi="ar"/>
        </w:rPr>
        <w:t>:</w:t>
      </w:r>
      <w:r>
        <w:rPr>
          <w:rFonts w:ascii="宋体" w:hAnsi="宋体" w:cs="宋体"/>
          <w:color w:val="auto"/>
          <w:kern w:val="0"/>
          <w:sz w:val="22"/>
          <w:szCs w:val="22"/>
          <w:lang w:bidi="ar"/>
        </w:rPr>
        <w:t>3</w:t>
      </w:r>
      <w:r>
        <w:rPr>
          <w:rFonts w:hint="eastAsia" w:ascii="宋体" w:hAnsi="宋体" w:cs="宋体"/>
          <w:color w:val="auto"/>
          <w:kern w:val="0"/>
          <w:sz w:val="22"/>
          <w:szCs w:val="22"/>
          <w:lang w:bidi="ar"/>
        </w:rPr>
        <w:t>0（北京时间）</w:t>
      </w:r>
    </w:p>
    <w:p w14:paraId="47981A0B">
      <w:pPr>
        <w:widowControl/>
        <w:spacing w:line="440" w:lineRule="exact"/>
        <w:jc w:val="left"/>
        <w:rPr>
          <w:rFonts w:ascii="宋体" w:hAnsi="宋体" w:cs="宋体"/>
          <w:color w:val="auto"/>
          <w:kern w:val="0"/>
          <w:sz w:val="22"/>
          <w:szCs w:val="22"/>
          <w:lang w:bidi="ar"/>
        </w:rPr>
      </w:pPr>
      <w:r>
        <w:rPr>
          <w:rFonts w:hint="eastAsia" w:ascii="宋体" w:hAnsi="宋体" w:cs="宋体"/>
          <w:color w:val="auto"/>
          <w:kern w:val="0"/>
          <w:sz w:val="22"/>
          <w:szCs w:val="22"/>
          <w:lang w:bidi="ar"/>
        </w:rPr>
        <w:t>    地点（网址）：政采云平台（https://www.zcygov.cn）在线递交</w:t>
      </w:r>
    </w:p>
    <w:p w14:paraId="38EAA866">
      <w:pPr>
        <w:widowControl/>
        <w:spacing w:line="440" w:lineRule="exact"/>
        <w:rPr>
          <w:rFonts w:ascii="宋体" w:hAnsi="宋体" w:cs="宋体"/>
          <w:color w:val="auto"/>
          <w:kern w:val="0"/>
          <w:sz w:val="22"/>
          <w:szCs w:val="22"/>
          <w:lang w:bidi="ar"/>
        </w:rPr>
      </w:pPr>
      <w:r>
        <w:rPr>
          <w:rFonts w:hint="eastAsia" w:ascii="宋体" w:hAnsi="宋体" w:cs="宋体"/>
          <w:b/>
          <w:color w:val="auto"/>
          <w:kern w:val="0"/>
          <w:sz w:val="22"/>
          <w:szCs w:val="22"/>
          <w:lang w:bidi="ar"/>
        </w:rPr>
        <w:t>五、响应文件开启</w:t>
      </w:r>
      <w:r>
        <w:rPr>
          <w:rFonts w:hint="eastAsia" w:ascii="宋体" w:hAnsi="宋体" w:cs="宋体"/>
          <w:color w:val="auto"/>
          <w:kern w:val="0"/>
          <w:sz w:val="22"/>
          <w:szCs w:val="22"/>
          <w:lang w:bidi="ar"/>
        </w:rPr>
        <w:t> </w:t>
      </w:r>
    </w:p>
    <w:p w14:paraId="755BDCB0">
      <w:pPr>
        <w:widowControl/>
        <w:spacing w:line="440" w:lineRule="exact"/>
        <w:jc w:val="left"/>
        <w:rPr>
          <w:rFonts w:ascii="宋体" w:hAnsi="宋体" w:cs="宋体"/>
          <w:color w:val="auto"/>
          <w:kern w:val="0"/>
          <w:sz w:val="22"/>
          <w:szCs w:val="22"/>
          <w:lang w:bidi="ar"/>
        </w:rPr>
      </w:pPr>
      <w:r>
        <w:rPr>
          <w:rFonts w:hint="eastAsia" w:ascii="宋体" w:hAnsi="宋体" w:cs="宋体"/>
          <w:color w:val="auto"/>
          <w:kern w:val="0"/>
          <w:sz w:val="22"/>
          <w:szCs w:val="22"/>
          <w:lang w:bidi="ar"/>
        </w:rPr>
        <w:t>    开启时间：202</w:t>
      </w:r>
      <w:r>
        <w:rPr>
          <w:rFonts w:hint="eastAsia" w:ascii="宋体" w:hAnsi="宋体" w:cs="宋体"/>
          <w:color w:val="auto"/>
          <w:kern w:val="0"/>
          <w:sz w:val="22"/>
          <w:szCs w:val="22"/>
          <w:lang w:val="en-US" w:eastAsia="zh-CN" w:bidi="ar"/>
        </w:rPr>
        <w:t>4</w:t>
      </w:r>
      <w:r>
        <w:rPr>
          <w:rFonts w:hint="eastAsia" w:ascii="宋体" w:hAnsi="宋体" w:cs="宋体"/>
          <w:color w:val="auto"/>
          <w:kern w:val="0"/>
          <w:sz w:val="22"/>
          <w:szCs w:val="22"/>
          <w:lang w:bidi="ar"/>
        </w:rPr>
        <w:t>年</w:t>
      </w:r>
      <w:r>
        <w:rPr>
          <w:rFonts w:hint="eastAsia" w:ascii="宋体" w:hAnsi="宋体" w:cs="宋体"/>
          <w:color w:val="auto"/>
          <w:kern w:val="0"/>
          <w:sz w:val="22"/>
          <w:szCs w:val="22"/>
          <w:u w:val="single"/>
          <w:lang w:val="en-US" w:eastAsia="zh-CN" w:bidi="ar"/>
        </w:rPr>
        <w:t>07</w:t>
      </w:r>
      <w:r>
        <w:rPr>
          <w:rFonts w:hint="eastAsia" w:ascii="宋体" w:hAnsi="宋体" w:cs="宋体"/>
          <w:color w:val="auto"/>
          <w:kern w:val="0"/>
          <w:sz w:val="22"/>
          <w:szCs w:val="22"/>
          <w:lang w:bidi="ar"/>
        </w:rPr>
        <w:t>月</w:t>
      </w:r>
      <w:r>
        <w:rPr>
          <w:rFonts w:hint="eastAsia" w:ascii="宋体" w:hAnsi="宋体" w:cs="宋体"/>
          <w:color w:val="auto"/>
          <w:kern w:val="0"/>
          <w:sz w:val="22"/>
          <w:szCs w:val="22"/>
          <w:u w:val="single"/>
          <w:lang w:val="en-US" w:eastAsia="zh-CN" w:bidi="ar"/>
        </w:rPr>
        <w:t>08</w:t>
      </w:r>
      <w:r>
        <w:rPr>
          <w:rFonts w:hint="eastAsia" w:ascii="宋体" w:hAnsi="宋体" w:cs="宋体"/>
          <w:color w:val="auto"/>
          <w:kern w:val="0"/>
          <w:sz w:val="22"/>
          <w:szCs w:val="22"/>
          <w:lang w:bidi="ar"/>
        </w:rPr>
        <w:t>日</w:t>
      </w:r>
      <w:r>
        <w:rPr>
          <w:rFonts w:hint="eastAsia" w:ascii="宋体" w:hAnsi="宋体" w:cs="宋体"/>
          <w:color w:val="auto"/>
          <w:kern w:val="0"/>
          <w:sz w:val="22"/>
          <w:szCs w:val="22"/>
          <w:lang w:val="en-US" w:eastAsia="zh-CN" w:bidi="ar"/>
        </w:rPr>
        <w:t>14</w:t>
      </w:r>
      <w:r>
        <w:rPr>
          <w:rFonts w:hint="eastAsia" w:ascii="宋体" w:hAnsi="宋体" w:cs="宋体"/>
          <w:color w:val="auto"/>
          <w:kern w:val="0"/>
          <w:sz w:val="22"/>
          <w:szCs w:val="22"/>
          <w:lang w:bidi="ar"/>
        </w:rPr>
        <w:t>:</w:t>
      </w:r>
      <w:r>
        <w:rPr>
          <w:rFonts w:ascii="宋体" w:hAnsi="宋体" w:cs="宋体"/>
          <w:color w:val="auto"/>
          <w:kern w:val="0"/>
          <w:sz w:val="22"/>
          <w:szCs w:val="22"/>
          <w:lang w:bidi="ar"/>
        </w:rPr>
        <w:t>3</w:t>
      </w:r>
      <w:r>
        <w:rPr>
          <w:rFonts w:hint="eastAsia" w:ascii="宋体" w:hAnsi="宋体" w:cs="宋体"/>
          <w:color w:val="auto"/>
          <w:kern w:val="0"/>
          <w:sz w:val="22"/>
          <w:szCs w:val="22"/>
          <w:lang w:bidi="ar"/>
        </w:rPr>
        <w:t>0（北京时间）</w:t>
      </w:r>
    </w:p>
    <w:p w14:paraId="5B78F45C">
      <w:pPr>
        <w:widowControl/>
        <w:spacing w:line="440" w:lineRule="exact"/>
        <w:jc w:val="left"/>
        <w:rPr>
          <w:rFonts w:hint="eastAsia" w:ascii="宋体" w:hAnsi="宋体" w:eastAsia="宋体" w:cs="宋体"/>
          <w:color w:val="auto"/>
          <w:kern w:val="0"/>
          <w:sz w:val="22"/>
          <w:szCs w:val="22"/>
          <w:lang w:eastAsia="zh-CN" w:bidi="ar"/>
        </w:rPr>
      </w:pPr>
      <w:r>
        <w:rPr>
          <w:rFonts w:hint="eastAsia" w:ascii="宋体" w:hAnsi="宋体" w:cs="宋体"/>
          <w:color w:val="auto"/>
          <w:kern w:val="0"/>
          <w:sz w:val="22"/>
          <w:szCs w:val="22"/>
          <w:lang w:bidi="ar"/>
        </w:rPr>
        <w:t>    地点（网址）：</w:t>
      </w:r>
      <w:r>
        <w:rPr>
          <w:rFonts w:hint="eastAsia" w:ascii="宋体" w:hAnsi="宋体" w:cs="宋体"/>
          <w:color w:val="auto"/>
          <w:kern w:val="0"/>
          <w:sz w:val="22"/>
          <w:lang w:bidi="ar"/>
        </w:rPr>
        <w:t>政采云平台（https://www.zcygov.cn）在线开标</w:t>
      </w:r>
      <w:r>
        <w:rPr>
          <w:rFonts w:hint="eastAsia" w:ascii="宋体" w:hAnsi="宋体" w:cs="宋体"/>
          <w:color w:val="auto"/>
          <w:sz w:val="22"/>
        </w:rPr>
        <w:t>（温州市瓯海区南塘1组团1幢（商务楼）1504室）</w:t>
      </w:r>
      <w:r>
        <w:rPr>
          <w:rFonts w:hint="eastAsia" w:ascii="宋体" w:hAnsi="宋体" w:cs="宋体"/>
          <w:color w:val="auto"/>
          <w:sz w:val="22"/>
          <w:lang w:eastAsia="zh-CN"/>
        </w:rPr>
        <w:t>。</w:t>
      </w:r>
    </w:p>
    <w:bookmarkEnd w:id="17"/>
    <w:p w14:paraId="7BE6DDA4">
      <w:pPr>
        <w:widowControl/>
        <w:spacing w:line="440" w:lineRule="exact"/>
        <w:rPr>
          <w:rFonts w:ascii="宋体" w:hAnsi="宋体" w:cs="宋体"/>
          <w:color w:val="auto"/>
          <w:kern w:val="0"/>
          <w:sz w:val="22"/>
          <w:szCs w:val="22"/>
          <w:lang w:bidi="ar"/>
        </w:rPr>
      </w:pPr>
      <w:bookmarkStart w:id="18" w:name="_Hlk47793842"/>
      <w:r>
        <w:rPr>
          <w:rFonts w:hint="eastAsia" w:ascii="宋体" w:hAnsi="宋体" w:cs="宋体"/>
          <w:b/>
          <w:color w:val="auto"/>
          <w:kern w:val="0"/>
          <w:sz w:val="22"/>
          <w:szCs w:val="22"/>
          <w:lang w:bidi="ar"/>
        </w:rPr>
        <w:t>六、公告期限</w:t>
      </w:r>
    </w:p>
    <w:p w14:paraId="73381BC1">
      <w:pPr>
        <w:widowControl/>
        <w:spacing w:line="440" w:lineRule="exact"/>
        <w:ind w:firstLine="420"/>
        <w:jc w:val="left"/>
        <w:rPr>
          <w:rFonts w:ascii="宋体" w:hAnsi="宋体" w:cs="宋体"/>
          <w:color w:val="auto"/>
          <w:kern w:val="0"/>
          <w:sz w:val="22"/>
          <w:szCs w:val="22"/>
          <w:lang w:bidi="ar"/>
        </w:rPr>
      </w:pPr>
      <w:r>
        <w:rPr>
          <w:rFonts w:hint="eastAsia" w:ascii="宋体" w:hAnsi="宋体" w:cs="宋体"/>
          <w:color w:val="auto"/>
          <w:kern w:val="0"/>
          <w:sz w:val="22"/>
          <w:szCs w:val="22"/>
          <w:lang w:bidi="ar"/>
        </w:rPr>
        <w:t>自本公告发布之日起3个工作日。</w:t>
      </w:r>
    </w:p>
    <w:p w14:paraId="0300086C">
      <w:pPr>
        <w:widowControl/>
        <w:spacing w:line="440" w:lineRule="exact"/>
        <w:rPr>
          <w:rFonts w:ascii="宋体" w:hAnsi="宋体" w:cs="宋体"/>
          <w:color w:val="auto"/>
          <w:kern w:val="0"/>
          <w:sz w:val="22"/>
          <w:szCs w:val="22"/>
          <w:lang w:bidi="ar"/>
        </w:rPr>
      </w:pPr>
      <w:r>
        <w:rPr>
          <w:rFonts w:hint="eastAsia" w:ascii="宋体" w:hAnsi="宋体" w:cs="宋体"/>
          <w:b/>
          <w:color w:val="auto"/>
          <w:kern w:val="0"/>
          <w:sz w:val="22"/>
          <w:szCs w:val="22"/>
          <w:lang w:bidi="ar"/>
        </w:rPr>
        <w:t>七、其他补充事宜</w:t>
      </w:r>
    </w:p>
    <w:p w14:paraId="61B485D7">
      <w:pPr>
        <w:widowControl/>
        <w:spacing w:line="440" w:lineRule="exact"/>
        <w:ind w:firstLine="660"/>
        <w:jc w:val="left"/>
        <w:rPr>
          <w:rFonts w:ascii="宋体" w:hAnsi="宋体" w:cs="宋体"/>
          <w:color w:val="auto"/>
          <w:kern w:val="0"/>
          <w:sz w:val="22"/>
          <w:szCs w:val="22"/>
          <w:lang w:bidi="ar"/>
        </w:rPr>
      </w:pPr>
      <w:r>
        <w:rPr>
          <w:rFonts w:hint="eastAsia" w:ascii="宋体" w:hAnsi="宋体" w:cs="宋体"/>
          <w:color w:val="auto"/>
          <w:kern w:val="0"/>
          <w:sz w:val="22"/>
          <w:szCs w:val="22"/>
          <w:lang w:bidi="ar"/>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2D6C5FEB">
      <w:pPr>
        <w:widowControl/>
        <w:spacing w:line="440" w:lineRule="exact"/>
        <w:ind w:firstLine="660"/>
        <w:jc w:val="left"/>
        <w:rPr>
          <w:rFonts w:ascii="宋体" w:hAnsi="宋体" w:cs="宋体"/>
          <w:color w:val="auto"/>
          <w:kern w:val="0"/>
          <w:sz w:val="22"/>
          <w:szCs w:val="22"/>
          <w:lang w:bidi="ar"/>
        </w:rPr>
      </w:pPr>
      <w:r>
        <w:rPr>
          <w:rFonts w:hint="eastAsia" w:ascii="宋体" w:hAnsi="宋体" w:cs="宋体"/>
          <w:color w:val="auto"/>
          <w:kern w:val="0"/>
          <w:sz w:val="22"/>
          <w:szCs w:val="22"/>
          <w:lang w:bidi="ar"/>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4C2D6C4F">
      <w:pPr>
        <w:widowControl/>
        <w:spacing w:line="440" w:lineRule="exact"/>
        <w:ind w:firstLine="660"/>
        <w:jc w:val="left"/>
        <w:rPr>
          <w:rFonts w:ascii="宋体" w:hAnsi="宋体" w:cs="宋体"/>
          <w:color w:val="auto"/>
          <w:kern w:val="0"/>
          <w:sz w:val="22"/>
          <w:szCs w:val="22"/>
          <w:lang w:bidi="ar"/>
        </w:rPr>
      </w:pPr>
      <w:r>
        <w:rPr>
          <w:rFonts w:hint="eastAsia" w:ascii="宋体" w:hAnsi="宋体" w:cs="宋体"/>
          <w:color w:val="auto"/>
          <w:kern w:val="0"/>
          <w:sz w:val="22"/>
          <w:szCs w:val="22"/>
          <w:lang w:bidi="ar"/>
        </w:rPr>
        <w:t>3.其他事项：</w:t>
      </w:r>
    </w:p>
    <w:p w14:paraId="079A89D0">
      <w:pPr>
        <w:widowControl/>
        <w:spacing w:line="440" w:lineRule="exact"/>
        <w:ind w:firstLine="660"/>
        <w:jc w:val="left"/>
        <w:rPr>
          <w:rFonts w:ascii="宋体" w:hAnsi="宋体" w:cs="宋体"/>
          <w:color w:val="auto"/>
          <w:kern w:val="0"/>
          <w:sz w:val="22"/>
          <w:szCs w:val="22"/>
          <w:lang w:bidi="ar"/>
        </w:rPr>
      </w:pPr>
      <w:r>
        <w:rPr>
          <w:rFonts w:hint="eastAsia" w:ascii="宋体" w:hAnsi="宋体" w:cs="宋体"/>
          <w:color w:val="auto"/>
          <w:kern w:val="0"/>
          <w:sz w:val="22"/>
          <w:szCs w:val="22"/>
          <w:lang w:bidi="ar"/>
        </w:rPr>
        <w:t>（1）本项目实行电子投标，应按照本项目磋商文件和政采云平台的要求编制、加密并递交磋商响应文件。供应商在使用系统进行投标的过程中遇到涉及平台使用的任何问题，可致电政采云平台技术支持热线咨询，联系方式：400-881-7190。（2）供应商应在开标前完成CA数字证书办理。（办理流程详见：http://zfcg.czt.zj.gov.cn/bidClientTemplate/2019-05-27/12945.html）。完成CA数字证书办理预计一周左右，建议各磋商供应商抓紧时间办理。（3）供应商通过政采云平台电子投标工具制作磋商响应文件，电子投标工具请供应商自行前往浙江省政府采购网下载并安装，（下载网址：http://zfcg.czt.zj.gov.cn/bidClientTemplate/2019-09-24/12975.html），电子投标具体流程详见（网址：https://help.zcygov.cn/web/site_2/2018/12/25/2547.html）。 </w:t>
      </w:r>
    </w:p>
    <w:bookmarkEnd w:id="18"/>
    <w:p w14:paraId="1C696683">
      <w:pPr>
        <w:widowControl/>
        <w:spacing w:line="440" w:lineRule="exact"/>
        <w:rPr>
          <w:rFonts w:ascii="宋体" w:hAnsi="宋体" w:cs="宋体"/>
          <w:color w:val="auto"/>
          <w:kern w:val="0"/>
          <w:sz w:val="22"/>
          <w:szCs w:val="22"/>
          <w:lang w:bidi="ar"/>
        </w:rPr>
      </w:pPr>
      <w:bookmarkStart w:id="19" w:name="_Hlk47793939"/>
      <w:r>
        <w:rPr>
          <w:rFonts w:hint="eastAsia" w:ascii="宋体" w:hAnsi="宋体" w:cs="宋体"/>
          <w:b/>
          <w:color w:val="auto"/>
          <w:kern w:val="0"/>
          <w:sz w:val="22"/>
          <w:szCs w:val="22"/>
          <w:lang w:bidi="ar"/>
        </w:rPr>
        <w:t>八、凡对本次采购提出询问、质疑、投诉，请按以下方式联系</w:t>
      </w:r>
    </w:p>
    <w:bookmarkEnd w:id="19"/>
    <w:p w14:paraId="14C49918">
      <w:pPr>
        <w:widowControl/>
        <w:spacing w:line="440" w:lineRule="exact"/>
        <w:jc w:val="left"/>
        <w:rPr>
          <w:rFonts w:ascii="宋体" w:hAnsi="宋体" w:cs="宋体"/>
          <w:color w:val="auto"/>
          <w:kern w:val="0"/>
          <w:sz w:val="22"/>
          <w:szCs w:val="22"/>
          <w:lang w:bidi="ar"/>
        </w:rPr>
      </w:pPr>
      <w:r>
        <w:rPr>
          <w:rFonts w:hint="eastAsia" w:ascii="宋体" w:hAnsi="宋体" w:cs="宋体"/>
          <w:color w:val="auto"/>
          <w:kern w:val="0"/>
          <w:sz w:val="22"/>
          <w:szCs w:val="22"/>
          <w:lang w:bidi="ar"/>
        </w:rPr>
        <w:t>   1.采购人信息</w:t>
      </w:r>
    </w:p>
    <w:p w14:paraId="4FF59AD4">
      <w:pPr>
        <w:widowControl/>
        <w:spacing w:line="440" w:lineRule="exact"/>
        <w:jc w:val="left"/>
        <w:rPr>
          <w:rFonts w:hint="eastAsia" w:ascii="宋体" w:hAnsi="宋体" w:eastAsia="宋体" w:cs="宋体"/>
          <w:color w:val="auto"/>
          <w:kern w:val="0"/>
          <w:sz w:val="22"/>
          <w:szCs w:val="22"/>
          <w:lang w:eastAsia="zh-CN" w:bidi="ar"/>
        </w:rPr>
      </w:pPr>
      <w:r>
        <w:rPr>
          <w:rFonts w:hint="eastAsia" w:ascii="宋体" w:hAnsi="宋体" w:cs="宋体"/>
          <w:color w:val="auto"/>
          <w:kern w:val="0"/>
          <w:sz w:val="22"/>
          <w:szCs w:val="22"/>
          <w:lang w:bidi="ar"/>
        </w:rPr>
        <w:t xml:space="preserve">  </w:t>
      </w:r>
      <w:r>
        <w:rPr>
          <w:rFonts w:ascii="宋体" w:hAnsi="宋体" w:cs="宋体"/>
          <w:color w:val="auto"/>
          <w:kern w:val="0"/>
          <w:sz w:val="22"/>
          <w:szCs w:val="22"/>
          <w:lang w:bidi="ar"/>
        </w:rPr>
        <w:t xml:space="preserve"> </w:t>
      </w:r>
      <w:r>
        <w:rPr>
          <w:rFonts w:hint="eastAsia" w:ascii="宋体" w:hAnsi="宋体" w:cs="宋体"/>
          <w:color w:val="auto"/>
          <w:kern w:val="0"/>
          <w:sz w:val="22"/>
          <w:szCs w:val="22"/>
          <w:lang w:bidi="ar"/>
        </w:rPr>
        <w:t> 名    称：</w:t>
      </w:r>
      <w:r>
        <w:rPr>
          <w:rFonts w:hint="eastAsia" w:ascii="宋体" w:hAnsi="宋体" w:cs="宋体"/>
          <w:color w:val="auto"/>
          <w:kern w:val="0"/>
          <w:sz w:val="22"/>
          <w:szCs w:val="22"/>
          <w:lang w:eastAsia="zh-CN" w:bidi="ar"/>
        </w:rPr>
        <w:t>温州市特殊教育学校</w:t>
      </w:r>
    </w:p>
    <w:p w14:paraId="0834AD9D">
      <w:pPr>
        <w:widowControl/>
        <w:spacing w:line="440" w:lineRule="exact"/>
        <w:jc w:val="left"/>
        <w:rPr>
          <w:rFonts w:ascii="宋体" w:hAnsi="宋体" w:cs="宋体"/>
          <w:color w:val="auto"/>
          <w:sz w:val="22"/>
          <w:szCs w:val="22"/>
        </w:rPr>
      </w:pPr>
      <w:r>
        <w:rPr>
          <w:rFonts w:hint="eastAsia" w:ascii="宋体" w:hAnsi="宋体" w:cs="宋体"/>
          <w:color w:val="auto"/>
          <w:kern w:val="0"/>
          <w:sz w:val="22"/>
          <w:szCs w:val="22"/>
          <w:lang w:bidi="ar"/>
        </w:rPr>
        <w:t>   </w:t>
      </w:r>
      <w:r>
        <w:rPr>
          <w:rFonts w:hint="eastAsia" w:ascii="宋体" w:hAnsi="宋体" w:cs="宋体"/>
          <w:color w:val="auto"/>
          <w:sz w:val="22"/>
          <w:szCs w:val="22"/>
        </w:rPr>
        <w:t xml:space="preserve"> 地    址：温州市永嘉县舟山路418号</w:t>
      </w:r>
    </w:p>
    <w:p w14:paraId="2FA012C5">
      <w:pPr>
        <w:widowControl/>
        <w:spacing w:line="440" w:lineRule="exact"/>
        <w:jc w:val="left"/>
        <w:rPr>
          <w:rFonts w:ascii="宋体" w:hAnsi="宋体" w:cs="宋体"/>
          <w:color w:val="auto"/>
          <w:sz w:val="22"/>
          <w:szCs w:val="22"/>
        </w:rPr>
      </w:pPr>
      <w:r>
        <w:rPr>
          <w:rFonts w:hint="eastAsia" w:ascii="宋体" w:hAnsi="宋体" w:cs="宋体"/>
          <w:color w:val="auto"/>
          <w:sz w:val="22"/>
          <w:szCs w:val="22"/>
        </w:rPr>
        <w:t>   </w:t>
      </w:r>
      <w:bookmarkStart w:id="20" w:name="_Hlk47793869"/>
      <w:r>
        <w:rPr>
          <w:rFonts w:hint="eastAsia" w:ascii="宋体" w:hAnsi="宋体" w:cs="宋体"/>
          <w:color w:val="auto"/>
          <w:sz w:val="22"/>
          <w:szCs w:val="22"/>
        </w:rPr>
        <w:t xml:space="preserve"> 项目联系人（询问）：陈老师</w:t>
      </w:r>
    </w:p>
    <w:p w14:paraId="0B4CED8E">
      <w:pPr>
        <w:widowControl/>
        <w:spacing w:line="440" w:lineRule="exact"/>
        <w:jc w:val="left"/>
        <w:rPr>
          <w:rFonts w:ascii="宋体" w:hAnsi="宋体" w:cs="宋体"/>
          <w:color w:val="auto"/>
          <w:sz w:val="22"/>
          <w:szCs w:val="22"/>
        </w:rPr>
      </w:pPr>
      <w:r>
        <w:rPr>
          <w:rFonts w:hint="eastAsia" w:ascii="宋体" w:hAnsi="宋体" w:cs="宋体"/>
          <w:color w:val="auto"/>
          <w:sz w:val="22"/>
          <w:szCs w:val="22"/>
        </w:rPr>
        <w:t>    项目联系方式（询问）：0577-57761206</w:t>
      </w:r>
    </w:p>
    <w:p w14:paraId="2DEE34B9">
      <w:pPr>
        <w:widowControl/>
        <w:spacing w:line="440" w:lineRule="exact"/>
        <w:jc w:val="left"/>
        <w:rPr>
          <w:rFonts w:ascii="宋体" w:hAnsi="宋体" w:cs="宋体"/>
          <w:color w:val="auto"/>
          <w:sz w:val="22"/>
          <w:szCs w:val="22"/>
        </w:rPr>
      </w:pPr>
      <w:r>
        <w:rPr>
          <w:rFonts w:hint="eastAsia" w:ascii="宋体" w:hAnsi="宋体" w:cs="宋体"/>
          <w:color w:val="auto"/>
          <w:sz w:val="22"/>
          <w:szCs w:val="22"/>
        </w:rPr>
        <w:t>    质疑联系人：陈老师</w:t>
      </w:r>
    </w:p>
    <w:p w14:paraId="1FAEA1A7">
      <w:pPr>
        <w:widowControl/>
        <w:spacing w:line="440" w:lineRule="exact"/>
        <w:jc w:val="left"/>
        <w:rPr>
          <w:rFonts w:ascii="宋体" w:hAnsi="宋体" w:cs="宋体"/>
          <w:color w:val="auto"/>
          <w:sz w:val="22"/>
          <w:szCs w:val="22"/>
        </w:rPr>
      </w:pPr>
      <w:r>
        <w:rPr>
          <w:rFonts w:hint="eastAsia" w:ascii="宋体" w:hAnsi="宋体" w:cs="宋体"/>
          <w:color w:val="auto"/>
          <w:sz w:val="22"/>
          <w:szCs w:val="22"/>
        </w:rPr>
        <w:t>    质疑联系方式：0577-57761206</w:t>
      </w:r>
    </w:p>
    <w:bookmarkEnd w:id="20"/>
    <w:p w14:paraId="61AB434C">
      <w:pPr>
        <w:widowControl/>
        <w:spacing w:line="440" w:lineRule="exact"/>
        <w:ind w:firstLine="660"/>
        <w:jc w:val="left"/>
        <w:rPr>
          <w:rFonts w:hint="eastAsia" w:ascii="宋体" w:hAnsi="宋体" w:cs="宋体"/>
          <w:color w:val="auto"/>
          <w:kern w:val="0"/>
          <w:sz w:val="22"/>
          <w:szCs w:val="22"/>
          <w:lang w:val="en-US" w:eastAsia="zh-CN" w:bidi="ar"/>
        </w:rPr>
      </w:pPr>
    </w:p>
    <w:p w14:paraId="74F97F00">
      <w:pPr>
        <w:widowControl/>
        <w:spacing w:line="440" w:lineRule="exact"/>
        <w:ind w:firstLine="660"/>
        <w:jc w:val="left"/>
        <w:rPr>
          <w:rFonts w:ascii="宋体" w:hAnsi="宋体" w:cs="宋体"/>
          <w:color w:val="auto"/>
          <w:kern w:val="0"/>
          <w:sz w:val="22"/>
          <w:szCs w:val="22"/>
          <w:lang w:bidi="ar"/>
        </w:rPr>
      </w:pPr>
    </w:p>
    <w:p w14:paraId="52BF2526">
      <w:pPr>
        <w:widowControl/>
        <w:spacing w:line="44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2.采购代理机构信息</w:t>
      </w:r>
    </w:p>
    <w:p w14:paraId="42D57582">
      <w:pPr>
        <w:widowControl/>
        <w:spacing w:line="440" w:lineRule="exact"/>
        <w:jc w:val="left"/>
        <w:rPr>
          <w:rFonts w:ascii="宋体" w:hAnsi="宋体" w:cs="宋体"/>
          <w:color w:val="auto"/>
          <w:kern w:val="0"/>
          <w:sz w:val="22"/>
          <w:szCs w:val="22"/>
          <w:lang w:bidi="ar"/>
        </w:rPr>
      </w:pPr>
      <w:r>
        <w:rPr>
          <w:rFonts w:hint="eastAsia" w:ascii="宋体" w:hAnsi="宋体" w:cs="宋体"/>
          <w:color w:val="auto"/>
          <w:sz w:val="22"/>
          <w:szCs w:val="22"/>
        </w:rPr>
        <w:t xml:space="preserve">  </w:t>
      </w:r>
      <w:r>
        <w:rPr>
          <w:rFonts w:ascii="宋体" w:hAnsi="宋体" w:cs="宋体"/>
          <w:color w:val="auto"/>
          <w:sz w:val="22"/>
          <w:szCs w:val="22"/>
        </w:rPr>
        <w:t xml:space="preserve">   </w:t>
      </w:r>
      <w:r>
        <w:rPr>
          <w:rFonts w:hint="eastAsia" w:ascii="宋体" w:hAnsi="宋体" w:cs="宋体"/>
          <w:color w:val="auto"/>
          <w:kern w:val="0"/>
          <w:sz w:val="22"/>
          <w:szCs w:val="22"/>
          <w:lang w:bidi="ar"/>
        </w:rPr>
        <w:t>名    称：温州正风招标代理有限公司</w:t>
      </w:r>
    </w:p>
    <w:p w14:paraId="4015EE59">
      <w:pPr>
        <w:widowControl/>
        <w:spacing w:line="440" w:lineRule="exact"/>
        <w:ind w:firstLine="660"/>
        <w:jc w:val="left"/>
        <w:rPr>
          <w:rFonts w:ascii="宋体" w:hAnsi="宋体" w:cs="宋体"/>
          <w:color w:val="auto"/>
          <w:kern w:val="0"/>
          <w:sz w:val="22"/>
          <w:szCs w:val="22"/>
          <w:lang w:bidi="ar"/>
        </w:rPr>
      </w:pPr>
      <w:r>
        <w:rPr>
          <w:rFonts w:hint="eastAsia" w:ascii="宋体" w:hAnsi="宋体" w:cs="宋体"/>
          <w:color w:val="auto"/>
          <w:kern w:val="0"/>
          <w:sz w:val="22"/>
          <w:szCs w:val="22"/>
          <w:lang w:bidi="ar"/>
        </w:rPr>
        <w:t>地    址：温州市瓯海区南塘一组团1幢（商务楼）1504室</w:t>
      </w:r>
    </w:p>
    <w:p w14:paraId="42757A4B">
      <w:pPr>
        <w:widowControl/>
        <w:spacing w:line="440" w:lineRule="exact"/>
        <w:ind w:firstLine="660"/>
        <w:jc w:val="left"/>
        <w:rPr>
          <w:rFonts w:ascii="宋体" w:hAnsi="宋体" w:cs="宋体"/>
          <w:color w:val="auto"/>
          <w:kern w:val="0"/>
          <w:sz w:val="22"/>
          <w:szCs w:val="22"/>
          <w:lang w:bidi="ar"/>
        </w:rPr>
      </w:pPr>
      <w:r>
        <w:rPr>
          <w:rFonts w:hint="eastAsia" w:ascii="宋体" w:hAnsi="宋体" w:cs="宋体"/>
          <w:color w:val="auto"/>
          <w:kern w:val="0"/>
          <w:sz w:val="22"/>
          <w:szCs w:val="22"/>
          <w:lang w:bidi="ar"/>
        </w:rPr>
        <w:t>项目联系人（询问）：</w:t>
      </w:r>
      <w:r>
        <w:rPr>
          <w:rFonts w:hint="eastAsia" w:ascii="宋体" w:hAnsi="宋体" w:cs="宋体"/>
          <w:color w:val="auto"/>
          <w:kern w:val="0"/>
          <w:sz w:val="22"/>
          <w:szCs w:val="22"/>
          <w:lang w:val="en-US" w:eastAsia="zh-CN" w:bidi="ar"/>
        </w:rPr>
        <w:t>诸葛</w:t>
      </w:r>
      <w:r>
        <w:rPr>
          <w:rFonts w:hint="eastAsia" w:ascii="宋体" w:hAnsi="宋体" w:cs="宋体"/>
          <w:color w:val="auto"/>
          <w:kern w:val="0"/>
          <w:sz w:val="22"/>
          <w:szCs w:val="22"/>
          <w:lang w:bidi="ar"/>
        </w:rPr>
        <w:t>先生</w:t>
      </w:r>
    </w:p>
    <w:p w14:paraId="74ED9FDB">
      <w:pPr>
        <w:widowControl/>
        <w:spacing w:line="440" w:lineRule="exact"/>
        <w:ind w:firstLine="660" w:firstLineChars="300"/>
        <w:jc w:val="left"/>
        <w:rPr>
          <w:rFonts w:ascii="宋体" w:hAnsi="宋体" w:cs="宋体"/>
          <w:color w:val="auto"/>
          <w:kern w:val="0"/>
          <w:sz w:val="22"/>
          <w:szCs w:val="22"/>
          <w:lang w:bidi="ar"/>
        </w:rPr>
      </w:pPr>
      <w:r>
        <w:rPr>
          <w:rFonts w:hint="eastAsia" w:ascii="宋体" w:hAnsi="宋体" w:cs="宋体"/>
          <w:color w:val="auto"/>
          <w:kern w:val="0"/>
          <w:sz w:val="22"/>
          <w:szCs w:val="22"/>
          <w:lang w:bidi="ar"/>
        </w:rPr>
        <w:t>项目联系方式（询问）：13506646781</w:t>
      </w:r>
    </w:p>
    <w:p w14:paraId="79C46CEC">
      <w:pPr>
        <w:widowControl/>
        <w:spacing w:line="440" w:lineRule="exact"/>
        <w:ind w:firstLine="660"/>
        <w:jc w:val="left"/>
        <w:rPr>
          <w:rFonts w:hint="default" w:ascii="宋体" w:hAnsi="宋体" w:eastAsia="宋体" w:cs="宋体"/>
          <w:color w:val="auto"/>
          <w:kern w:val="0"/>
          <w:sz w:val="22"/>
          <w:szCs w:val="22"/>
          <w:lang w:val="en-US" w:eastAsia="zh-CN" w:bidi="ar"/>
        </w:rPr>
      </w:pPr>
      <w:r>
        <w:rPr>
          <w:rFonts w:hint="eastAsia" w:ascii="宋体" w:hAnsi="宋体" w:cs="宋体"/>
          <w:color w:val="auto"/>
          <w:kern w:val="0"/>
          <w:sz w:val="22"/>
          <w:szCs w:val="22"/>
          <w:lang w:bidi="ar"/>
        </w:rPr>
        <w:t>质疑联系人：</w:t>
      </w:r>
      <w:r>
        <w:rPr>
          <w:rFonts w:hint="eastAsia" w:ascii="宋体" w:hAnsi="宋体" w:cs="宋体"/>
          <w:color w:val="auto"/>
          <w:kern w:val="0"/>
          <w:sz w:val="22"/>
          <w:szCs w:val="22"/>
          <w:lang w:val="en-US" w:eastAsia="zh-CN" w:bidi="ar"/>
        </w:rPr>
        <w:t>刘先生</w:t>
      </w:r>
    </w:p>
    <w:p w14:paraId="28F7B778">
      <w:pPr>
        <w:widowControl/>
        <w:spacing w:line="440" w:lineRule="exact"/>
        <w:jc w:val="left"/>
        <w:rPr>
          <w:rFonts w:hint="default" w:ascii="宋体" w:hAnsi="宋体" w:eastAsia="宋体" w:cs="宋体"/>
          <w:color w:val="auto"/>
          <w:kern w:val="0"/>
          <w:sz w:val="22"/>
          <w:szCs w:val="22"/>
          <w:lang w:val="en-US" w:eastAsia="zh-CN" w:bidi="ar"/>
        </w:rPr>
      </w:pPr>
      <w:r>
        <w:rPr>
          <w:rFonts w:hint="eastAsia" w:ascii="宋体" w:hAnsi="宋体" w:cs="宋体"/>
          <w:color w:val="auto"/>
          <w:kern w:val="0"/>
          <w:sz w:val="22"/>
          <w:szCs w:val="22"/>
          <w:lang w:bidi="ar"/>
        </w:rPr>
        <w:t>    质疑联系方式：</w:t>
      </w:r>
      <w:r>
        <w:rPr>
          <w:rFonts w:hint="eastAsia" w:ascii="宋体" w:hAnsi="宋体" w:cs="宋体"/>
          <w:color w:val="auto"/>
          <w:kern w:val="0"/>
          <w:sz w:val="22"/>
          <w:szCs w:val="22"/>
          <w:lang w:val="en-US" w:eastAsia="zh-CN" w:bidi="ar"/>
        </w:rPr>
        <w:t>0577-88119278</w:t>
      </w:r>
    </w:p>
    <w:p w14:paraId="72657BB8">
      <w:pPr>
        <w:adjustRightInd w:val="0"/>
        <w:snapToGrid w:val="0"/>
        <w:spacing w:line="440" w:lineRule="exact"/>
        <w:rPr>
          <w:color w:val="auto"/>
        </w:rPr>
      </w:pPr>
    </w:p>
    <w:p w14:paraId="2CC6C3AA">
      <w:pPr>
        <w:widowControl/>
        <w:spacing w:line="44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3.同级政府采购监督管理部门</w:t>
      </w:r>
    </w:p>
    <w:p w14:paraId="2E73BC80">
      <w:pPr>
        <w:widowControl/>
        <w:spacing w:line="440" w:lineRule="exact"/>
        <w:jc w:val="left"/>
        <w:rPr>
          <w:rFonts w:ascii="宋体" w:hAnsi="宋体" w:cs="宋体"/>
          <w:color w:val="auto"/>
          <w:szCs w:val="22"/>
          <w:lang w:bidi="ar"/>
        </w:rPr>
      </w:pPr>
      <w:r>
        <w:rPr>
          <w:rFonts w:hint="eastAsia" w:ascii="宋体" w:hAnsi="宋体" w:cs="宋体"/>
          <w:color w:val="auto"/>
          <w:szCs w:val="22"/>
          <w:lang w:bidi="ar"/>
        </w:rPr>
        <w:t>    名    称：温州市财政局政府采购监管处 </w:t>
      </w:r>
    </w:p>
    <w:p w14:paraId="4537D941">
      <w:pPr>
        <w:widowControl/>
        <w:spacing w:line="440" w:lineRule="exact"/>
        <w:jc w:val="left"/>
        <w:rPr>
          <w:rFonts w:ascii="宋体" w:hAnsi="宋体" w:cs="宋体"/>
          <w:color w:val="auto"/>
          <w:szCs w:val="22"/>
          <w:lang w:bidi="ar"/>
        </w:rPr>
      </w:pPr>
      <w:r>
        <w:rPr>
          <w:rFonts w:hint="eastAsia" w:ascii="宋体" w:hAnsi="宋体" w:cs="宋体"/>
          <w:color w:val="auto"/>
          <w:szCs w:val="22"/>
          <w:lang w:bidi="ar"/>
        </w:rPr>
        <w:t>    地    址：温州市鹿城区绣山路299号 </w:t>
      </w:r>
    </w:p>
    <w:p w14:paraId="51B42B44">
      <w:pPr>
        <w:widowControl/>
        <w:spacing w:line="440" w:lineRule="exact"/>
        <w:jc w:val="left"/>
        <w:rPr>
          <w:rFonts w:ascii="宋体" w:hAnsi="宋体" w:cs="宋体"/>
          <w:color w:val="auto"/>
          <w:szCs w:val="22"/>
          <w:lang w:bidi="ar"/>
        </w:rPr>
      </w:pPr>
      <w:r>
        <w:rPr>
          <w:rFonts w:hint="eastAsia" w:ascii="宋体" w:hAnsi="宋体" w:cs="宋体"/>
          <w:color w:val="auto"/>
          <w:szCs w:val="22"/>
          <w:lang w:bidi="ar"/>
        </w:rPr>
        <w:t>    传     真：/</w:t>
      </w:r>
    </w:p>
    <w:p w14:paraId="2377E310">
      <w:pPr>
        <w:widowControl/>
        <w:spacing w:line="440" w:lineRule="exact"/>
        <w:jc w:val="left"/>
        <w:rPr>
          <w:rFonts w:ascii="宋体" w:hAnsi="宋体" w:cs="宋体"/>
          <w:color w:val="auto"/>
          <w:szCs w:val="22"/>
          <w:lang w:bidi="ar"/>
        </w:rPr>
      </w:pPr>
      <w:r>
        <w:rPr>
          <w:rFonts w:hint="eastAsia" w:ascii="宋体" w:hAnsi="宋体" w:cs="宋体"/>
          <w:color w:val="auto"/>
          <w:szCs w:val="22"/>
          <w:lang w:bidi="ar"/>
        </w:rPr>
        <w:t>    联系人 ：项先生、蔡女士 </w:t>
      </w:r>
    </w:p>
    <w:p w14:paraId="4B61DCC0">
      <w:pPr>
        <w:widowControl/>
        <w:spacing w:line="440" w:lineRule="exact"/>
        <w:jc w:val="left"/>
        <w:rPr>
          <w:rFonts w:ascii="宋体" w:hAnsi="宋体" w:cs="宋体"/>
          <w:color w:val="auto"/>
          <w:sz w:val="24"/>
          <w:lang w:bidi="ar"/>
        </w:rPr>
      </w:pPr>
      <w:r>
        <w:rPr>
          <w:rFonts w:hint="eastAsia" w:ascii="宋体" w:hAnsi="宋体" w:cs="宋体"/>
          <w:color w:val="auto"/>
          <w:szCs w:val="22"/>
          <w:lang w:bidi="ar"/>
        </w:rPr>
        <w:t>    监督投诉电话：0577-88532725、88521948</w:t>
      </w:r>
    </w:p>
    <w:p w14:paraId="21705004">
      <w:pPr>
        <w:rPr>
          <w:color w:val="auto"/>
        </w:rPr>
      </w:pPr>
    </w:p>
    <w:p w14:paraId="65A1D993">
      <w:pPr>
        <w:spacing w:line="440" w:lineRule="exact"/>
        <w:ind w:right="440" w:firstLine="440" w:firstLineChars="200"/>
        <w:jc w:val="left"/>
        <w:rPr>
          <w:rFonts w:ascii="宋体" w:hAnsi="宋体"/>
          <w:color w:val="auto"/>
          <w:sz w:val="22"/>
          <w:szCs w:val="22"/>
        </w:rPr>
      </w:pPr>
      <w:r>
        <w:rPr>
          <w:rFonts w:hint="eastAsia" w:ascii="宋体" w:hAnsi="宋体"/>
          <w:color w:val="auto"/>
          <w:sz w:val="22"/>
          <w:szCs w:val="22"/>
        </w:rPr>
        <w:t>若对项目采购电子交易系统操作有疑问，可登录政采云（https://www.zcygov.cn/），点击右侧咨询小采，获取采小蜜智能服务管家帮助，或拨打政采云服务热线400-881-7190获取热线服务帮助。       </w:t>
      </w:r>
    </w:p>
    <w:p w14:paraId="7532CE20">
      <w:pPr>
        <w:spacing w:line="440" w:lineRule="exact"/>
        <w:ind w:right="440"/>
        <w:jc w:val="left"/>
        <w:rPr>
          <w:rFonts w:ascii="宋体" w:hAnsi="宋体"/>
          <w:color w:val="auto"/>
          <w:sz w:val="22"/>
          <w:szCs w:val="22"/>
        </w:rPr>
      </w:pPr>
      <w:r>
        <w:rPr>
          <w:rFonts w:hint="eastAsia" w:ascii="宋体" w:hAnsi="宋体"/>
          <w:color w:val="auto"/>
          <w:sz w:val="22"/>
          <w:szCs w:val="22"/>
        </w:rPr>
        <w:t>CA问题联系电话（人工）：汇信CA 400-888-4636；天谷CA 400-087-8198。</w:t>
      </w:r>
      <w:r>
        <w:rPr>
          <w:rFonts w:hint="eastAsia" w:ascii="宋体" w:hAnsi="宋体" w:cs="宋体"/>
          <w:color w:val="auto"/>
          <w:kern w:val="0"/>
          <w:sz w:val="22"/>
          <w:szCs w:val="22"/>
          <w:lang w:bidi="ar"/>
        </w:rPr>
        <w:t xml:space="preserve">                                               </w:t>
      </w:r>
    </w:p>
    <w:p w14:paraId="73B8F535">
      <w:pPr>
        <w:pStyle w:val="2"/>
        <w:spacing w:line="600" w:lineRule="exact"/>
        <w:jc w:val="center"/>
        <w:rPr>
          <w:rFonts w:ascii="黑体" w:hAnsi="黑体" w:eastAsia="黑体"/>
          <w:color w:val="auto"/>
          <w:sz w:val="36"/>
          <w:szCs w:val="36"/>
        </w:rPr>
      </w:pPr>
      <w:bookmarkStart w:id="21" w:name="_Toc14490"/>
      <w:bookmarkStart w:id="22" w:name="_Toc18841"/>
      <w:bookmarkStart w:id="23" w:name="_Toc195502577"/>
      <w:bookmarkStart w:id="24" w:name="_Toc8921"/>
      <w:bookmarkStart w:id="25" w:name="_Toc21189"/>
      <w:bookmarkStart w:id="26" w:name="_Toc664"/>
      <w:bookmarkStart w:id="27" w:name="_Toc195502487"/>
      <w:bookmarkStart w:id="28" w:name="_Toc202085287"/>
      <w:r>
        <w:rPr>
          <w:rFonts w:hint="eastAsia" w:ascii="黑体" w:hAnsi="黑体" w:eastAsia="黑体"/>
          <w:color w:val="auto"/>
          <w:sz w:val="36"/>
          <w:szCs w:val="36"/>
        </w:rPr>
        <w:t>第二部分   磋商供应商须知</w:t>
      </w:r>
      <w:bookmarkEnd w:id="21"/>
      <w:bookmarkEnd w:id="22"/>
      <w:bookmarkEnd w:id="23"/>
      <w:bookmarkEnd w:id="24"/>
      <w:bookmarkEnd w:id="25"/>
      <w:bookmarkEnd w:id="26"/>
      <w:bookmarkEnd w:id="27"/>
      <w:bookmarkEnd w:id="28"/>
    </w:p>
    <w:p w14:paraId="2FD82363">
      <w:pPr>
        <w:pStyle w:val="3"/>
        <w:spacing w:line="680" w:lineRule="exact"/>
        <w:jc w:val="center"/>
        <w:rPr>
          <w:rFonts w:ascii="宋体" w:hAnsi="宋体" w:eastAsia="宋体"/>
          <w:color w:val="auto"/>
          <w:sz w:val="28"/>
          <w:szCs w:val="28"/>
        </w:rPr>
      </w:pPr>
      <w:bookmarkStart w:id="29" w:name="_Toc486600281"/>
      <w:bookmarkStart w:id="30" w:name="_Toc525993250"/>
      <w:bookmarkStart w:id="31" w:name="_Toc20626"/>
      <w:bookmarkStart w:id="32" w:name="_Toc28213"/>
      <w:bookmarkStart w:id="33" w:name="_Toc31579"/>
      <w:bookmarkStart w:id="34" w:name="_Toc5560"/>
      <w:bookmarkStart w:id="35" w:name="_Toc24872"/>
      <w:r>
        <w:rPr>
          <w:rFonts w:hint="eastAsia" w:ascii="宋体" w:hAnsi="宋体" w:eastAsia="宋体"/>
          <w:color w:val="auto"/>
          <w:sz w:val="28"/>
          <w:szCs w:val="28"/>
        </w:rPr>
        <w:t>磋商供应商须知前附表</w:t>
      </w:r>
      <w:bookmarkEnd w:id="29"/>
      <w:bookmarkEnd w:id="30"/>
      <w:bookmarkEnd w:id="31"/>
      <w:bookmarkEnd w:id="32"/>
      <w:bookmarkEnd w:id="33"/>
      <w:bookmarkEnd w:id="34"/>
      <w:bookmarkEnd w:id="35"/>
    </w:p>
    <w:tbl>
      <w:tblPr>
        <w:tblStyle w:val="38"/>
        <w:tblW w:w="9958" w:type="dxa"/>
        <w:tblInd w:w="0" w:type="dxa"/>
        <w:tblLayout w:type="fixed"/>
        <w:tblCellMar>
          <w:top w:w="0" w:type="dxa"/>
          <w:left w:w="108" w:type="dxa"/>
          <w:bottom w:w="0" w:type="dxa"/>
          <w:right w:w="108" w:type="dxa"/>
        </w:tblCellMar>
      </w:tblPr>
      <w:tblGrid>
        <w:gridCol w:w="731"/>
        <w:gridCol w:w="1830"/>
        <w:gridCol w:w="7397"/>
      </w:tblGrid>
      <w:tr w14:paraId="43556B2C">
        <w:tblPrEx>
          <w:tblCellMar>
            <w:top w:w="0" w:type="dxa"/>
            <w:left w:w="108" w:type="dxa"/>
            <w:bottom w:w="0" w:type="dxa"/>
            <w:right w:w="108" w:type="dxa"/>
          </w:tblCellMar>
        </w:tblPrEx>
        <w:trPr>
          <w:trHeight w:val="23" w:hRule="atLeast"/>
        </w:trPr>
        <w:tc>
          <w:tcPr>
            <w:tcW w:w="731" w:type="dxa"/>
            <w:tcBorders>
              <w:top w:val="single" w:color="auto" w:sz="4" w:space="0"/>
              <w:left w:val="single" w:color="auto" w:sz="4" w:space="0"/>
              <w:bottom w:val="single" w:color="auto" w:sz="4" w:space="0"/>
              <w:right w:val="single" w:color="auto" w:sz="4" w:space="0"/>
            </w:tcBorders>
            <w:vAlign w:val="center"/>
          </w:tcPr>
          <w:p w14:paraId="62FFE937">
            <w:pPr>
              <w:spacing w:line="360" w:lineRule="exact"/>
              <w:jc w:val="center"/>
              <w:rPr>
                <w:rFonts w:ascii="宋体" w:hAnsi="宋体" w:cs="宋体"/>
                <w:b/>
                <w:color w:val="auto"/>
                <w:kern w:val="0"/>
                <w:sz w:val="22"/>
                <w:szCs w:val="22"/>
              </w:rPr>
            </w:pPr>
            <w:r>
              <w:rPr>
                <w:rFonts w:hint="eastAsia" w:ascii="宋体" w:hAnsi="宋体" w:cs="宋体"/>
                <w:b/>
                <w:color w:val="auto"/>
                <w:kern w:val="0"/>
                <w:sz w:val="22"/>
                <w:szCs w:val="22"/>
              </w:rPr>
              <w:t>序号</w:t>
            </w:r>
          </w:p>
        </w:tc>
        <w:tc>
          <w:tcPr>
            <w:tcW w:w="1830" w:type="dxa"/>
            <w:tcBorders>
              <w:top w:val="single" w:color="auto" w:sz="4" w:space="0"/>
              <w:left w:val="single" w:color="auto" w:sz="4" w:space="0"/>
              <w:bottom w:val="single" w:color="auto" w:sz="4" w:space="0"/>
              <w:right w:val="single" w:color="auto" w:sz="4" w:space="0"/>
            </w:tcBorders>
            <w:vAlign w:val="center"/>
          </w:tcPr>
          <w:p w14:paraId="02C84677">
            <w:pPr>
              <w:spacing w:line="360" w:lineRule="exact"/>
              <w:jc w:val="center"/>
              <w:rPr>
                <w:rFonts w:ascii="宋体" w:hAnsi="宋体" w:cs="宋体"/>
                <w:b/>
                <w:color w:val="auto"/>
                <w:kern w:val="0"/>
                <w:sz w:val="22"/>
                <w:szCs w:val="22"/>
              </w:rPr>
            </w:pPr>
            <w:r>
              <w:rPr>
                <w:rFonts w:hint="eastAsia" w:ascii="宋体" w:hAnsi="宋体" w:cs="宋体"/>
                <w:b/>
                <w:color w:val="auto"/>
                <w:kern w:val="0"/>
                <w:sz w:val="22"/>
                <w:szCs w:val="22"/>
              </w:rPr>
              <w:t>条款名称</w:t>
            </w:r>
          </w:p>
        </w:tc>
        <w:tc>
          <w:tcPr>
            <w:tcW w:w="7397" w:type="dxa"/>
            <w:tcBorders>
              <w:top w:val="single" w:color="auto" w:sz="4" w:space="0"/>
              <w:left w:val="single" w:color="auto" w:sz="4" w:space="0"/>
              <w:bottom w:val="single" w:color="auto" w:sz="4" w:space="0"/>
              <w:right w:val="single" w:color="auto" w:sz="4" w:space="0"/>
            </w:tcBorders>
            <w:vAlign w:val="center"/>
          </w:tcPr>
          <w:p w14:paraId="05C58F9D">
            <w:pPr>
              <w:spacing w:line="360" w:lineRule="exact"/>
              <w:jc w:val="center"/>
              <w:rPr>
                <w:rFonts w:ascii="宋体" w:hAnsi="宋体" w:cs="宋体"/>
                <w:b/>
                <w:color w:val="auto"/>
                <w:kern w:val="0"/>
                <w:sz w:val="22"/>
                <w:szCs w:val="22"/>
              </w:rPr>
            </w:pPr>
            <w:r>
              <w:rPr>
                <w:rFonts w:hint="eastAsia" w:ascii="宋体" w:hAnsi="宋体" w:cs="宋体"/>
                <w:b/>
                <w:color w:val="auto"/>
                <w:kern w:val="0"/>
                <w:sz w:val="22"/>
                <w:szCs w:val="22"/>
              </w:rPr>
              <w:t>编列内容</w:t>
            </w:r>
          </w:p>
        </w:tc>
      </w:tr>
      <w:tr w14:paraId="045578D5">
        <w:tblPrEx>
          <w:tblCellMar>
            <w:top w:w="0" w:type="dxa"/>
            <w:left w:w="108" w:type="dxa"/>
            <w:bottom w:w="0" w:type="dxa"/>
            <w:right w:w="108" w:type="dxa"/>
          </w:tblCellMar>
        </w:tblPrEx>
        <w:trPr>
          <w:trHeight w:val="425" w:hRule="atLeast"/>
        </w:trPr>
        <w:tc>
          <w:tcPr>
            <w:tcW w:w="731" w:type="dxa"/>
            <w:tcBorders>
              <w:top w:val="single" w:color="auto" w:sz="4" w:space="0"/>
              <w:left w:val="single" w:color="auto" w:sz="4" w:space="0"/>
              <w:bottom w:val="single" w:color="auto" w:sz="4" w:space="0"/>
              <w:right w:val="single" w:color="auto" w:sz="4" w:space="0"/>
            </w:tcBorders>
            <w:vAlign w:val="center"/>
          </w:tcPr>
          <w:p w14:paraId="344FB585">
            <w:pPr>
              <w:spacing w:line="360" w:lineRule="exact"/>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1830" w:type="dxa"/>
            <w:tcBorders>
              <w:top w:val="single" w:color="auto" w:sz="4" w:space="0"/>
              <w:left w:val="single" w:color="auto" w:sz="4" w:space="0"/>
              <w:bottom w:val="single" w:color="auto" w:sz="4" w:space="0"/>
              <w:right w:val="single" w:color="auto" w:sz="4" w:space="0"/>
            </w:tcBorders>
            <w:vAlign w:val="center"/>
          </w:tcPr>
          <w:p w14:paraId="077C04CA">
            <w:pPr>
              <w:spacing w:line="360" w:lineRule="exact"/>
              <w:jc w:val="center"/>
              <w:rPr>
                <w:rFonts w:ascii="宋体" w:hAnsi="宋体" w:cs="宋体"/>
                <w:color w:val="auto"/>
                <w:kern w:val="0"/>
                <w:sz w:val="22"/>
                <w:szCs w:val="22"/>
              </w:rPr>
            </w:pPr>
            <w:r>
              <w:rPr>
                <w:rFonts w:hint="eastAsia" w:ascii="宋体" w:hAnsi="宋体" w:cs="宋体"/>
                <w:color w:val="auto"/>
                <w:sz w:val="22"/>
                <w:szCs w:val="22"/>
              </w:rPr>
              <w:t>项目名称、编号</w:t>
            </w:r>
          </w:p>
        </w:tc>
        <w:tc>
          <w:tcPr>
            <w:tcW w:w="7397" w:type="dxa"/>
            <w:tcBorders>
              <w:top w:val="single" w:color="auto" w:sz="4" w:space="0"/>
              <w:left w:val="single" w:color="auto" w:sz="4" w:space="0"/>
              <w:bottom w:val="single" w:color="auto" w:sz="4" w:space="0"/>
              <w:right w:val="single" w:color="auto" w:sz="4" w:space="0"/>
            </w:tcBorders>
            <w:vAlign w:val="center"/>
          </w:tcPr>
          <w:p w14:paraId="7EC2718C">
            <w:pPr>
              <w:spacing w:line="360" w:lineRule="exact"/>
              <w:rPr>
                <w:rFonts w:ascii="宋体" w:hAnsi="宋体" w:cs="宋体"/>
                <w:color w:val="auto"/>
                <w:kern w:val="0"/>
                <w:sz w:val="22"/>
                <w:szCs w:val="22"/>
              </w:rPr>
            </w:pPr>
            <w:r>
              <w:rPr>
                <w:rFonts w:hint="eastAsia" w:ascii="宋体" w:hAnsi="宋体" w:cs="宋体"/>
                <w:color w:val="auto"/>
                <w:sz w:val="22"/>
                <w:szCs w:val="22"/>
              </w:rPr>
              <w:t>见第一部分“磋商公告”</w:t>
            </w:r>
          </w:p>
        </w:tc>
      </w:tr>
      <w:tr w14:paraId="70C2BA3E">
        <w:tblPrEx>
          <w:tblCellMar>
            <w:top w:w="0" w:type="dxa"/>
            <w:left w:w="108" w:type="dxa"/>
            <w:bottom w:w="0" w:type="dxa"/>
            <w:right w:w="108" w:type="dxa"/>
          </w:tblCellMar>
        </w:tblPrEx>
        <w:trPr>
          <w:trHeight w:val="470" w:hRule="atLeast"/>
        </w:trPr>
        <w:tc>
          <w:tcPr>
            <w:tcW w:w="731" w:type="dxa"/>
            <w:tcBorders>
              <w:top w:val="single" w:color="auto" w:sz="4" w:space="0"/>
              <w:left w:val="single" w:color="auto" w:sz="4" w:space="0"/>
              <w:bottom w:val="single" w:color="auto" w:sz="4" w:space="0"/>
              <w:right w:val="single" w:color="auto" w:sz="4" w:space="0"/>
            </w:tcBorders>
            <w:vAlign w:val="center"/>
          </w:tcPr>
          <w:p w14:paraId="0543A12B">
            <w:pPr>
              <w:spacing w:line="360" w:lineRule="exact"/>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1830" w:type="dxa"/>
            <w:tcBorders>
              <w:top w:val="single" w:color="auto" w:sz="4" w:space="0"/>
              <w:left w:val="single" w:color="auto" w:sz="4" w:space="0"/>
              <w:bottom w:val="single" w:color="auto" w:sz="4" w:space="0"/>
              <w:right w:val="single" w:color="auto" w:sz="4" w:space="0"/>
            </w:tcBorders>
            <w:vAlign w:val="center"/>
          </w:tcPr>
          <w:p w14:paraId="4C833BC0">
            <w:pPr>
              <w:spacing w:line="360" w:lineRule="exact"/>
              <w:jc w:val="center"/>
              <w:rPr>
                <w:rFonts w:ascii="宋体" w:hAnsi="宋体" w:cs="宋体"/>
                <w:color w:val="auto"/>
                <w:kern w:val="0"/>
                <w:sz w:val="22"/>
                <w:szCs w:val="22"/>
              </w:rPr>
            </w:pPr>
            <w:r>
              <w:rPr>
                <w:rFonts w:hint="eastAsia" w:ascii="宋体" w:hAnsi="宋体" w:cs="宋体"/>
                <w:color w:val="auto"/>
                <w:sz w:val="22"/>
                <w:szCs w:val="22"/>
              </w:rPr>
              <w:t>采购内容</w:t>
            </w:r>
          </w:p>
        </w:tc>
        <w:tc>
          <w:tcPr>
            <w:tcW w:w="7397" w:type="dxa"/>
            <w:tcBorders>
              <w:top w:val="single" w:color="auto" w:sz="4" w:space="0"/>
              <w:left w:val="single" w:color="auto" w:sz="4" w:space="0"/>
              <w:bottom w:val="single" w:color="auto" w:sz="4" w:space="0"/>
              <w:right w:val="single" w:color="auto" w:sz="4" w:space="0"/>
            </w:tcBorders>
            <w:vAlign w:val="center"/>
          </w:tcPr>
          <w:p w14:paraId="2254C8FE">
            <w:pPr>
              <w:autoSpaceDE w:val="0"/>
              <w:autoSpaceDN w:val="0"/>
              <w:adjustRightInd w:val="0"/>
              <w:spacing w:line="360" w:lineRule="exact"/>
              <w:rPr>
                <w:rFonts w:ascii="宋体" w:hAnsi="宋体" w:cs="宋体"/>
                <w:color w:val="auto"/>
                <w:kern w:val="0"/>
                <w:sz w:val="22"/>
                <w:szCs w:val="22"/>
              </w:rPr>
            </w:pPr>
            <w:r>
              <w:rPr>
                <w:rFonts w:hint="eastAsia" w:ascii="宋体" w:hAnsi="宋体" w:cs="宋体"/>
                <w:color w:val="auto"/>
                <w:sz w:val="22"/>
                <w:szCs w:val="22"/>
              </w:rPr>
              <w:t>见第一部分“磋商公告”</w:t>
            </w:r>
          </w:p>
        </w:tc>
      </w:tr>
      <w:tr w14:paraId="2F836136">
        <w:tblPrEx>
          <w:tblCellMar>
            <w:top w:w="0" w:type="dxa"/>
            <w:left w:w="108" w:type="dxa"/>
            <w:bottom w:w="0" w:type="dxa"/>
            <w:right w:w="108" w:type="dxa"/>
          </w:tblCellMar>
        </w:tblPrEx>
        <w:trPr>
          <w:trHeight w:val="23" w:hRule="atLeast"/>
        </w:trPr>
        <w:tc>
          <w:tcPr>
            <w:tcW w:w="731" w:type="dxa"/>
            <w:tcBorders>
              <w:top w:val="single" w:color="auto" w:sz="4" w:space="0"/>
              <w:left w:val="single" w:color="auto" w:sz="4" w:space="0"/>
              <w:bottom w:val="single" w:color="auto" w:sz="4" w:space="0"/>
              <w:right w:val="single" w:color="auto" w:sz="4" w:space="0"/>
            </w:tcBorders>
            <w:vAlign w:val="center"/>
          </w:tcPr>
          <w:p w14:paraId="1E661E8C">
            <w:pPr>
              <w:spacing w:line="360" w:lineRule="exact"/>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1830" w:type="dxa"/>
            <w:tcBorders>
              <w:top w:val="single" w:color="auto" w:sz="4" w:space="0"/>
              <w:left w:val="single" w:color="auto" w:sz="4" w:space="0"/>
              <w:bottom w:val="single" w:color="auto" w:sz="4" w:space="0"/>
              <w:right w:val="single" w:color="auto" w:sz="4" w:space="0"/>
            </w:tcBorders>
            <w:vAlign w:val="center"/>
          </w:tcPr>
          <w:p w14:paraId="212A0827">
            <w:pPr>
              <w:spacing w:line="360" w:lineRule="exact"/>
              <w:jc w:val="center"/>
              <w:rPr>
                <w:rFonts w:ascii="宋体" w:hAnsi="宋体" w:cs="宋体"/>
                <w:color w:val="auto"/>
                <w:kern w:val="0"/>
                <w:sz w:val="22"/>
                <w:szCs w:val="22"/>
              </w:rPr>
            </w:pPr>
            <w:r>
              <w:rPr>
                <w:rFonts w:hint="eastAsia" w:ascii="宋体" w:hAnsi="宋体" w:cs="宋体"/>
                <w:color w:val="auto"/>
                <w:kern w:val="0"/>
                <w:sz w:val="22"/>
                <w:szCs w:val="22"/>
              </w:rPr>
              <w:t>采购预算及最高限价</w:t>
            </w:r>
          </w:p>
        </w:tc>
        <w:tc>
          <w:tcPr>
            <w:tcW w:w="7397" w:type="dxa"/>
            <w:tcBorders>
              <w:top w:val="single" w:color="auto" w:sz="4" w:space="0"/>
              <w:left w:val="single" w:color="auto" w:sz="4" w:space="0"/>
              <w:bottom w:val="single" w:color="auto" w:sz="4" w:space="0"/>
              <w:right w:val="single" w:color="auto" w:sz="4" w:space="0"/>
            </w:tcBorders>
            <w:vAlign w:val="center"/>
          </w:tcPr>
          <w:p w14:paraId="3369A2A1">
            <w:pPr>
              <w:autoSpaceDE w:val="0"/>
              <w:autoSpaceDN w:val="0"/>
              <w:adjustRightInd w:val="0"/>
              <w:spacing w:line="360" w:lineRule="exact"/>
              <w:rPr>
                <w:rFonts w:ascii="宋体" w:hAnsi="宋体" w:cs="宋体"/>
                <w:snapToGrid w:val="0"/>
                <w:color w:val="auto"/>
                <w:sz w:val="22"/>
                <w:szCs w:val="22"/>
              </w:rPr>
            </w:pPr>
            <w:r>
              <w:rPr>
                <w:rFonts w:hint="eastAsia" w:ascii="宋体" w:hAnsi="宋体" w:cs="宋体"/>
                <w:color w:val="auto"/>
                <w:kern w:val="0"/>
                <w:sz w:val="22"/>
                <w:szCs w:val="22"/>
              </w:rPr>
              <w:t>见第一部分“磋商公告”</w:t>
            </w:r>
          </w:p>
          <w:p w14:paraId="55D7C456">
            <w:pPr>
              <w:autoSpaceDE w:val="0"/>
              <w:autoSpaceDN w:val="0"/>
              <w:adjustRightInd w:val="0"/>
              <w:spacing w:line="360" w:lineRule="exact"/>
              <w:rPr>
                <w:rFonts w:ascii="宋体" w:hAnsi="宋体" w:cs="宋体"/>
                <w:color w:val="auto"/>
                <w:sz w:val="22"/>
                <w:szCs w:val="22"/>
              </w:rPr>
            </w:pPr>
            <w:r>
              <w:rPr>
                <w:rFonts w:hint="eastAsia" w:ascii="宋体" w:hAnsi="宋体" w:cs="宋体"/>
                <w:snapToGrid w:val="0"/>
                <w:color w:val="auto"/>
                <w:sz w:val="22"/>
                <w:szCs w:val="22"/>
              </w:rPr>
              <w:t>资金来源：财政性资金。</w:t>
            </w:r>
          </w:p>
        </w:tc>
      </w:tr>
      <w:tr w14:paraId="6BED3BC1">
        <w:tblPrEx>
          <w:tblCellMar>
            <w:top w:w="0" w:type="dxa"/>
            <w:left w:w="108" w:type="dxa"/>
            <w:bottom w:w="0" w:type="dxa"/>
            <w:right w:w="108" w:type="dxa"/>
          </w:tblCellMar>
        </w:tblPrEx>
        <w:trPr>
          <w:trHeight w:val="485" w:hRule="atLeast"/>
        </w:trPr>
        <w:tc>
          <w:tcPr>
            <w:tcW w:w="731" w:type="dxa"/>
            <w:tcBorders>
              <w:top w:val="single" w:color="auto" w:sz="4" w:space="0"/>
              <w:left w:val="single" w:color="auto" w:sz="4" w:space="0"/>
              <w:bottom w:val="single" w:color="auto" w:sz="4" w:space="0"/>
              <w:right w:val="single" w:color="auto" w:sz="4" w:space="0"/>
            </w:tcBorders>
            <w:vAlign w:val="center"/>
          </w:tcPr>
          <w:p w14:paraId="22058F0B">
            <w:pPr>
              <w:spacing w:line="360" w:lineRule="exact"/>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1830" w:type="dxa"/>
            <w:tcBorders>
              <w:top w:val="single" w:color="auto" w:sz="4" w:space="0"/>
              <w:left w:val="single" w:color="auto" w:sz="4" w:space="0"/>
              <w:bottom w:val="single" w:color="auto" w:sz="4" w:space="0"/>
              <w:right w:val="single" w:color="auto" w:sz="4" w:space="0"/>
            </w:tcBorders>
            <w:vAlign w:val="center"/>
          </w:tcPr>
          <w:p w14:paraId="6858BC7C">
            <w:pPr>
              <w:spacing w:line="360" w:lineRule="exact"/>
              <w:jc w:val="center"/>
              <w:rPr>
                <w:rFonts w:ascii="宋体" w:hAnsi="宋体" w:cs="宋体"/>
                <w:color w:val="auto"/>
                <w:kern w:val="0"/>
                <w:sz w:val="22"/>
                <w:szCs w:val="22"/>
              </w:rPr>
            </w:pPr>
            <w:r>
              <w:rPr>
                <w:rFonts w:hint="eastAsia" w:ascii="宋体" w:hAnsi="宋体" w:cs="宋体"/>
                <w:color w:val="auto"/>
                <w:kern w:val="0"/>
                <w:sz w:val="22"/>
                <w:szCs w:val="22"/>
              </w:rPr>
              <w:t>服务期限</w:t>
            </w:r>
          </w:p>
        </w:tc>
        <w:tc>
          <w:tcPr>
            <w:tcW w:w="7397" w:type="dxa"/>
            <w:tcBorders>
              <w:top w:val="single" w:color="auto" w:sz="4" w:space="0"/>
              <w:left w:val="single" w:color="auto" w:sz="4" w:space="0"/>
              <w:bottom w:val="single" w:color="auto" w:sz="4" w:space="0"/>
              <w:right w:val="single" w:color="auto" w:sz="4" w:space="0"/>
            </w:tcBorders>
            <w:vAlign w:val="center"/>
          </w:tcPr>
          <w:p w14:paraId="72707C4A">
            <w:pPr>
              <w:autoSpaceDE w:val="0"/>
              <w:autoSpaceDN w:val="0"/>
              <w:adjustRightInd w:val="0"/>
              <w:spacing w:line="360" w:lineRule="exact"/>
              <w:rPr>
                <w:rFonts w:ascii="宋体" w:hAnsi="宋体" w:cs="宋体"/>
                <w:snapToGrid w:val="0"/>
                <w:color w:val="auto"/>
                <w:sz w:val="22"/>
                <w:szCs w:val="22"/>
              </w:rPr>
            </w:pPr>
            <w:r>
              <w:rPr>
                <w:rFonts w:hint="eastAsia" w:ascii="宋体" w:hAnsi="宋体" w:cs="宋体"/>
                <w:color w:val="auto"/>
                <w:kern w:val="0"/>
                <w:sz w:val="22"/>
                <w:szCs w:val="22"/>
              </w:rPr>
              <w:t>见第一部分“磋商公告”</w:t>
            </w:r>
          </w:p>
        </w:tc>
      </w:tr>
      <w:tr w14:paraId="3E2E641A">
        <w:tblPrEx>
          <w:tblCellMar>
            <w:top w:w="0" w:type="dxa"/>
            <w:left w:w="108" w:type="dxa"/>
            <w:bottom w:w="0" w:type="dxa"/>
            <w:right w:w="108" w:type="dxa"/>
          </w:tblCellMar>
        </w:tblPrEx>
        <w:trPr>
          <w:trHeight w:val="23" w:hRule="atLeast"/>
        </w:trPr>
        <w:tc>
          <w:tcPr>
            <w:tcW w:w="731" w:type="dxa"/>
            <w:tcBorders>
              <w:top w:val="single" w:color="auto" w:sz="4" w:space="0"/>
              <w:left w:val="single" w:color="auto" w:sz="4" w:space="0"/>
              <w:bottom w:val="single" w:color="auto" w:sz="4" w:space="0"/>
              <w:right w:val="single" w:color="auto" w:sz="4" w:space="0"/>
            </w:tcBorders>
            <w:vAlign w:val="center"/>
          </w:tcPr>
          <w:p w14:paraId="4E57C777">
            <w:pPr>
              <w:spacing w:line="360" w:lineRule="exact"/>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1830" w:type="dxa"/>
            <w:tcBorders>
              <w:top w:val="single" w:color="auto" w:sz="4" w:space="0"/>
              <w:left w:val="single" w:color="auto" w:sz="4" w:space="0"/>
              <w:bottom w:val="single" w:color="auto" w:sz="4" w:space="0"/>
              <w:right w:val="single" w:color="auto" w:sz="4" w:space="0"/>
            </w:tcBorders>
            <w:vAlign w:val="center"/>
          </w:tcPr>
          <w:p w14:paraId="07D2BADD">
            <w:pPr>
              <w:spacing w:line="360" w:lineRule="exact"/>
              <w:jc w:val="center"/>
              <w:rPr>
                <w:rFonts w:ascii="宋体" w:hAnsi="宋体" w:cs="宋体"/>
                <w:color w:val="auto"/>
                <w:kern w:val="0"/>
                <w:sz w:val="22"/>
                <w:szCs w:val="22"/>
              </w:rPr>
            </w:pPr>
            <w:r>
              <w:rPr>
                <w:rFonts w:hint="eastAsia" w:ascii="宋体" w:hAnsi="宋体" w:cs="宋体"/>
                <w:color w:val="auto"/>
                <w:sz w:val="22"/>
                <w:szCs w:val="22"/>
              </w:rPr>
              <w:t>磋商供应商资格要求</w:t>
            </w:r>
          </w:p>
        </w:tc>
        <w:tc>
          <w:tcPr>
            <w:tcW w:w="7397" w:type="dxa"/>
            <w:tcBorders>
              <w:top w:val="single" w:color="auto" w:sz="4" w:space="0"/>
              <w:left w:val="single" w:color="auto" w:sz="4" w:space="0"/>
              <w:bottom w:val="single" w:color="auto" w:sz="4" w:space="0"/>
              <w:right w:val="single" w:color="auto" w:sz="4" w:space="0"/>
            </w:tcBorders>
            <w:vAlign w:val="center"/>
          </w:tcPr>
          <w:p w14:paraId="447B0D72">
            <w:pPr>
              <w:autoSpaceDE w:val="0"/>
              <w:autoSpaceDN w:val="0"/>
              <w:adjustRightInd w:val="0"/>
              <w:spacing w:line="360" w:lineRule="exact"/>
              <w:rPr>
                <w:rFonts w:ascii="宋体" w:hAnsi="宋体" w:cs="宋体"/>
                <w:b/>
                <w:color w:val="auto"/>
                <w:sz w:val="22"/>
                <w:szCs w:val="22"/>
              </w:rPr>
            </w:pPr>
            <w:r>
              <w:rPr>
                <w:rFonts w:hint="eastAsia" w:ascii="宋体" w:hAnsi="宋体" w:cs="宋体"/>
                <w:color w:val="auto"/>
                <w:kern w:val="0"/>
                <w:sz w:val="22"/>
                <w:szCs w:val="22"/>
              </w:rPr>
              <w:t>见第一部分“磋商公告”</w:t>
            </w:r>
          </w:p>
        </w:tc>
      </w:tr>
      <w:tr w14:paraId="798E0016">
        <w:tblPrEx>
          <w:tblCellMar>
            <w:top w:w="0" w:type="dxa"/>
            <w:left w:w="108" w:type="dxa"/>
            <w:bottom w:w="0" w:type="dxa"/>
            <w:right w:w="108" w:type="dxa"/>
          </w:tblCellMar>
        </w:tblPrEx>
        <w:trPr>
          <w:trHeight w:val="23" w:hRule="atLeast"/>
        </w:trPr>
        <w:tc>
          <w:tcPr>
            <w:tcW w:w="731" w:type="dxa"/>
            <w:tcBorders>
              <w:top w:val="single" w:color="auto" w:sz="4" w:space="0"/>
              <w:left w:val="single" w:color="auto" w:sz="4" w:space="0"/>
              <w:bottom w:val="single" w:color="auto" w:sz="4" w:space="0"/>
              <w:right w:val="single" w:color="auto" w:sz="4" w:space="0"/>
            </w:tcBorders>
            <w:vAlign w:val="center"/>
          </w:tcPr>
          <w:p w14:paraId="0532D43F">
            <w:pPr>
              <w:spacing w:line="360" w:lineRule="exact"/>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1830" w:type="dxa"/>
            <w:tcBorders>
              <w:top w:val="single" w:color="auto" w:sz="4" w:space="0"/>
              <w:left w:val="single" w:color="auto" w:sz="4" w:space="0"/>
              <w:bottom w:val="single" w:color="auto" w:sz="4" w:space="0"/>
              <w:right w:val="single" w:color="auto" w:sz="4" w:space="0"/>
            </w:tcBorders>
            <w:vAlign w:val="center"/>
          </w:tcPr>
          <w:p w14:paraId="397C26CF">
            <w:pPr>
              <w:spacing w:line="360" w:lineRule="exact"/>
              <w:jc w:val="center"/>
              <w:rPr>
                <w:rFonts w:ascii="宋体" w:hAnsi="宋体" w:cs="宋体"/>
                <w:color w:val="auto"/>
                <w:kern w:val="0"/>
                <w:sz w:val="22"/>
                <w:szCs w:val="22"/>
              </w:rPr>
            </w:pPr>
            <w:r>
              <w:rPr>
                <w:rFonts w:hint="eastAsia" w:ascii="宋体" w:hAnsi="宋体" w:cs="宋体"/>
                <w:color w:val="auto"/>
                <w:kern w:val="0"/>
                <w:sz w:val="22"/>
                <w:szCs w:val="22"/>
              </w:rPr>
              <w:t>是否接受联合体投标</w:t>
            </w:r>
          </w:p>
        </w:tc>
        <w:tc>
          <w:tcPr>
            <w:tcW w:w="7397" w:type="dxa"/>
            <w:tcBorders>
              <w:top w:val="single" w:color="auto" w:sz="4" w:space="0"/>
              <w:left w:val="single" w:color="auto" w:sz="4" w:space="0"/>
              <w:bottom w:val="single" w:color="auto" w:sz="4" w:space="0"/>
              <w:right w:val="single" w:color="auto" w:sz="4" w:space="0"/>
            </w:tcBorders>
            <w:vAlign w:val="center"/>
          </w:tcPr>
          <w:p w14:paraId="4A4B23D8">
            <w:pPr>
              <w:spacing w:line="360" w:lineRule="exact"/>
              <w:rPr>
                <w:rFonts w:ascii="宋体" w:hAnsi="宋体" w:cs="宋体"/>
                <w:color w:val="auto"/>
                <w:kern w:val="0"/>
                <w:sz w:val="22"/>
                <w:szCs w:val="22"/>
              </w:rPr>
            </w:pPr>
            <w:r>
              <w:rPr>
                <w:rFonts w:hint="eastAsia" w:ascii="宋体" w:hAnsi="宋体" w:cs="宋体"/>
                <w:bCs/>
                <w:snapToGrid w:val="0"/>
                <w:color w:val="auto"/>
                <w:sz w:val="22"/>
                <w:szCs w:val="22"/>
              </w:rPr>
              <w:sym w:font="Wingdings" w:char="00A8"/>
            </w:r>
            <w:r>
              <w:rPr>
                <w:rFonts w:hint="eastAsia" w:ascii="宋体" w:hAnsi="宋体" w:cs="宋体"/>
                <w:color w:val="auto"/>
                <w:kern w:val="0"/>
                <w:sz w:val="22"/>
                <w:szCs w:val="22"/>
              </w:rPr>
              <w:t>不接受</w:t>
            </w:r>
          </w:p>
          <w:p w14:paraId="76F30760">
            <w:pPr>
              <w:spacing w:line="360" w:lineRule="exact"/>
              <w:rPr>
                <w:rFonts w:ascii="宋体" w:hAnsi="宋体" w:cs="宋体"/>
                <w:color w:val="auto"/>
                <w:kern w:val="0"/>
                <w:sz w:val="22"/>
                <w:szCs w:val="22"/>
              </w:rPr>
            </w:pPr>
            <w:r>
              <w:rPr>
                <w:rFonts w:hint="eastAsia" w:ascii="宋体" w:hAnsi="宋体" w:cs="宋体"/>
                <w:bCs/>
                <w:snapToGrid w:val="0"/>
                <w:color w:val="auto"/>
                <w:sz w:val="22"/>
                <w:szCs w:val="22"/>
              </w:rPr>
              <w:sym w:font="Wingdings" w:char="00FE"/>
            </w:r>
            <w:r>
              <w:rPr>
                <w:rFonts w:hint="eastAsia" w:ascii="宋体" w:hAnsi="宋体" w:cs="宋体"/>
                <w:color w:val="auto"/>
                <w:kern w:val="0"/>
                <w:sz w:val="22"/>
                <w:szCs w:val="22"/>
              </w:rPr>
              <w:t>接受，应满足下列要求：</w:t>
            </w:r>
            <w:r>
              <w:rPr>
                <w:rFonts w:hint="eastAsia" w:ascii="宋体" w:hAnsi="宋体" w:cs="宋体"/>
                <w:color w:val="auto"/>
                <w:kern w:val="0"/>
                <w:sz w:val="22"/>
                <w:szCs w:val="22"/>
                <w:u w:val="single"/>
                <w:lang w:val="en-US" w:eastAsia="zh-CN"/>
              </w:rPr>
              <w:t>联合体一方须具备建筑装饰装修工程贰级及以上资质</w:t>
            </w:r>
            <w:r>
              <w:rPr>
                <w:rFonts w:hint="eastAsia" w:ascii="宋体" w:hAnsi="宋体" w:cs="宋体"/>
                <w:color w:val="auto"/>
                <w:kern w:val="0"/>
                <w:sz w:val="22"/>
                <w:szCs w:val="22"/>
              </w:rPr>
              <w:t>。</w:t>
            </w:r>
          </w:p>
        </w:tc>
      </w:tr>
      <w:tr w14:paraId="5AF6AAFB">
        <w:tblPrEx>
          <w:tblCellMar>
            <w:top w:w="0" w:type="dxa"/>
            <w:left w:w="108" w:type="dxa"/>
            <w:bottom w:w="0" w:type="dxa"/>
            <w:right w:w="108" w:type="dxa"/>
          </w:tblCellMar>
        </w:tblPrEx>
        <w:trPr>
          <w:trHeight w:val="23" w:hRule="atLeast"/>
        </w:trPr>
        <w:tc>
          <w:tcPr>
            <w:tcW w:w="731" w:type="dxa"/>
            <w:tcBorders>
              <w:top w:val="single" w:color="auto" w:sz="4" w:space="0"/>
              <w:left w:val="single" w:color="auto" w:sz="4" w:space="0"/>
              <w:bottom w:val="single" w:color="auto" w:sz="4" w:space="0"/>
              <w:right w:val="single" w:color="auto" w:sz="4" w:space="0"/>
            </w:tcBorders>
            <w:vAlign w:val="center"/>
          </w:tcPr>
          <w:p w14:paraId="5C2740C7">
            <w:pPr>
              <w:spacing w:line="360" w:lineRule="exact"/>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1830" w:type="dxa"/>
            <w:tcBorders>
              <w:top w:val="single" w:color="auto" w:sz="4" w:space="0"/>
              <w:left w:val="single" w:color="auto" w:sz="4" w:space="0"/>
              <w:bottom w:val="single" w:color="auto" w:sz="4" w:space="0"/>
              <w:right w:val="single" w:color="auto" w:sz="4" w:space="0"/>
            </w:tcBorders>
            <w:vAlign w:val="center"/>
          </w:tcPr>
          <w:p w14:paraId="31F81091">
            <w:pPr>
              <w:spacing w:line="360" w:lineRule="exact"/>
              <w:jc w:val="center"/>
              <w:rPr>
                <w:rFonts w:ascii="宋体" w:hAnsi="宋体" w:cs="宋体"/>
                <w:color w:val="auto"/>
                <w:kern w:val="0"/>
                <w:sz w:val="22"/>
                <w:szCs w:val="22"/>
              </w:rPr>
            </w:pPr>
            <w:r>
              <w:rPr>
                <w:rFonts w:hint="eastAsia" w:ascii="宋体" w:hAnsi="宋体" w:cs="宋体"/>
                <w:color w:val="auto"/>
                <w:kern w:val="0"/>
                <w:sz w:val="22"/>
                <w:szCs w:val="22"/>
              </w:rPr>
              <w:t>踏勘现场</w:t>
            </w:r>
          </w:p>
        </w:tc>
        <w:tc>
          <w:tcPr>
            <w:tcW w:w="7397" w:type="dxa"/>
            <w:tcBorders>
              <w:top w:val="single" w:color="auto" w:sz="4" w:space="0"/>
              <w:left w:val="single" w:color="auto" w:sz="4" w:space="0"/>
              <w:bottom w:val="single" w:color="auto" w:sz="4" w:space="0"/>
              <w:right w:val="single" w:color="auto" w:sz="4" w:space="0"/>
            </w:tcBorders>
            <w:vAlign w:val="center"/>
          </w:tcPr>
          <w:p w14:paraId="47A73769">
            <w:pPr>
              <w:spacing w:line="360" w:lineRule="exact"/>
              <w:rPr>
                <w:rFonts w:ascii="宋体" w:hAnsi="宋体" w:cs="宋体"/>
                <w:color w:val="auto"/>
                <w:sz w:val="22"/>
                <w:szCs w:val="22"/>
              </w:rPr>
            </w:pPr>
            <w:r>
              <w:rPr>
                <w:rFonts w:hint="eastAsia" w:ascii="宋体" w:hAnsi="宋体" w:cs="宋体"/>
                <w:color w:val="auto"/>
                <w:sz w:val="22"/>
                <w:szCs w:val="22"/>
              </w:rPr>
              <w:t>□组织，</w:t>
            </w:r>
            <w:r>
              <w:rPr>
                <w:rFonts w:hint="eastAsia" w:ascii="宋体" w:hAnsi="宋体" w:cs="宋体"/>
                <w:color w:val="auto"/>
                <w:kern w:val="0"/>
                <w:sz w:val="22"/>
                <w:szCs w:val="22"/>
              </w:rPr>
              <w:t>时间：</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,地点：</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，联系人：</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，联系方式</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w:t>
            </w:r>
          </w:p>
          <w:p w14:paraId="3D15C532">
            <w:pPr>
              <w:spacing w:line="360" w:lineRule="exact"/>
              <w:rPr>
                <w:rFonts w:hint="eastAsia" w:ascii="宋体" w:hAnsi="宋体" w:eastAsia="宋体" w:cs="宋体"/>
                <w:color w:val="auto"/>
                <w:kern w:val="0"/>
                <w:sz w:val="22"/>
                <w:szCs w:val="22"/>
                <w:lang w:eastAsia="zh-CN"/>
              </w:rPr>
            </w:pPr>
            <w:r>
              <w:rPr>
                <w:rFonts w:hint="eastAsia" w:ascii="宋体" w:hAnsi="宋体" w:cs="宋体"/>
                <w:bCs/>
                <w:snapToGrid w:val="0"/>
                <w:color w:val="auto"/>
                <w:sz w:val="22"/>
                <w:szCs w:val="22"/>
              </w:rPr>
              <w:sym w:font="Wingdings" w:char="00FE"/>
            </w:r>
            <w:r>
              <w:rPr>
                <w:rFonts w:hint="eastAsia" w:ascii="宋体" w:hAnsi="宋体" w:cs="宋体"/>
                <w:color w:val="auto"/>
                <w:sz w:val="22"/>
                <w:szCs w:val="22"/>
              </w:rPr>
              <w:t>不组织</w:t>
            </w:r>
            <w:r>
              <w:rPr>
                <w:rFonts w:hint="eastAsia" w:ascii="宋体" w:hAnsi="宋体" w:cs="宋体"/>
                <w:color w:val="auto"/>
                <w:sz w:val="22"/>
                <w:szCs w:val="22"/>
                <w:lang w:eastAsia="zh-CN"/>
              </w:rPr>
              <w:t>，</w:t>
            </w:r>
            <w:r>
              <w:rPr>
                <w:rFonts w:hint="eastAsia" w:ascii="宋体" w:hAnsi="宋体" w:cs="宋体"/>
                <w:color w:val="auto"/>
                <w:sz w:val="22"/>
                <w:szCs w:val="22"/>
              </w:rPr>
              <w:t>如需勘察，</w:t>
            </w:r>
            <w:r>
              <w:rPr>
                <w:rFonts w:hint="eastAsia" w:ascii="宋体" w:hAnsi="宋体" w:cs="宋体"/>
                <w:color w:val="auto"/>
                <w:sz w:val="22"/>
                <w:szCs w:val="22"/>
                <w:lang w:val="en-US" w:eastAsia="zh-CN"/>
              </w:rPr>
              <w:t>请自行前往</w:t>
            </w:r>
            <w:r>
              <w:rPr>
                <w:rFonts w:hint="eastAsia" w:ascii="宋体" w:hAnsi="宋体" w:cs="宋体"/>
                <w:color w:val="auto"/>
                <w:sz w:val="22"/>
                <w:szCs w:val="22"/>
              </w:rPr>
              <w:t>往。</w:t>
            </w:r>
          </w:p>
        </w:tc>
      </w:tr>
      <w:tr w14:paraId="5F2C36B3">
        <w:tblPrEx>
          <w:tblCellMar>
            <w:top w:w="0" w:type="dxa"/>
            <w:left w:w="108" w:type="dxa"/>
            <w:bottom w:w="0" w:type="dxa"/>
            <w:right w:w="108" w:type="dxa"/>
          </w:tblCellMar>
        </w:tblPrEx>
        <w:trPr>
          <w:trHeight w:val="23" w:hRule="atLeast"/>
        </w:trPr>
        <w:tc>
          <w:tcPr>
            <w:tcW w:w="731" w:type="dxa"/>
            <w:tcBorders>
              <w:top w:val="single" w:color="auto" w:sz="4" w:space="0"/>
              <w:left w:val="single" w:color="auto" w:sz="4" w:space="0"/>
              <w:bottom w:val="single" w:color="auto" w:sz="4" w:space="0"/>
              <w:right w:val="single" w:color="auto" w:sz="4" w:space="0"/>
            </w:tcBorders>
            <w:vAlign w:val="center"/>
          </w:tcPr>
          <w:p w14:paraId="6713131C">
            <w:pPr>
              <w:spacing w:line="360" w:lineRule="exact"/>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1830" w:type="dxa"/>
            <w:tcBorders>
              <w:top w:val="single" w:color="auto" w:sz="4" w:space="0"/>
              <w:left w:val="single" w:color="auto" w:sz="4" w:space="0"/>
              <w:bottom w:val="single" w:color="auto" w:sz="4" w:space="0"/>
              <w:right w:val="single" w:color="auto" w:sz="4" w:space="0"/>
            </w:tcBorders>
            <w:vAlign w:val="center"/>
          </w:tcPr>
          <w:p w14:paraId="5AC2C99B">
            <w:pPr>
              <w:spacing w:line="360" w:lineRule="exact"/>
              <w:jc w:val="center"/>
              <w:rPr>
                <w:rFonts w:ascii="宋体" w:hAnsi="宋体" w:cs="宋体"/>
                <w:color w:val="auto"/>
                <w:kern w:val="0"/>
                <w:sz w:val="22"/>
                <w:szCs w:val="22"/>
              </w:rPr>
            </w:pPr>
            <w:r>
              <w:rPr>
                <w:rFonts w:hint="eastAsia" w:ascii="宋体" w:hAnsi="宋体" w:cs="宋体"/>
                <w:color w:val="auto"/>
                <w:kern w:val="0"/>
                <w:sz w:val="22"/>
                <w:szCs w:val="22"/>
              </w:rPr>
              <w:t>投标预备会</w:t>
            </w:r>
          </w:p>
        </w:tc>
        <w:tc>
          <w:tcPr>
            <w:tcW w:w="7397" w:type="dxa"/>
            <w:tcBorders>
              <w:top w:val="single" w:color="auto" w:sz="4" w:space="0"/>
              <w:left w:val="single" w:color="auto" w:sz="4" w:space="0"/>
              <w:bottom w:val="single" w:color="auto" w:sz="4" w:space="0"/>
              <w:right w:val="single" w:color="auto" w:sz="4" w:space="0"/>
            </w:tcBorders>
            <w:vAlign w:val="center"/>
          </w:tcPr>
          <w:p w14:paraId="4217289D">
            <w:pPr>
              <w:spacing w:line="360" w:lineRule="exact"/>
              <w:rPr>
                <w:rFonts w:ascii="宋体" w:hAnsi="宋体" w:cs="宋体"/>
                <w:color w:val="auto"/>
                <w:kern w:val="0"/>
                <w:sz w:val="22"/>
                <w:szCs w:val="22"/>
              </w:rPr>
            </w:pPr>
            <w:r>
              <w:rPr>
                <w:rFonts w:hint="eastAsia" w:ascii="宋体" w:hAnsi="宋体" w:cs="宋体"/>
                <w:color w:val="auto"/>
                <w:kern w:val="0"/>
                <w:sz w:val="22"/>
                <w:szCs w:val="22"/>
              </w:rPr>
              <w:t>□召开</w:t>
            </w:r>
          </w:p>
          <w:p w14:paraId="3AB96E15">
            <w:pPr>
              <w:spacing w:line="360" w:lineRule="exact"/>
              <w:rPr>
                <w:rFonts w:ascii="宋体" w:hAnsi="宋体" w:cs="宋体"/>
                <w:color w:val="auto"/>
                <w:kern w:val="0"/>
                <w:sz w:val="22"/>
                <w:szCs w:val="22"/>
              </w:rPr>
            </w:pPr>
            <w:r>
              <w:rPr>
                <w:rFonts w:hint="eastAsia" w:ascii="宋体" w:hAnsi="宋体" w:cs="宋体"/>
                <w:bCs/>
                <w:snapToGrid w:val="0"/>
                <w:color w:val="auto"/>
                <w:sz w:val="22"/>
                <w:szCs w:val="22"/>
              </w:rPr>
              <w:sym w:font="Wingdings" w:char="F0FE"/>
            </w:r>
            <w:r>
              <w:rPr>
                <w:rFonts w:hint="eastAsia" w:ascii="宋体" w:hAnsi="宋体" w:cs="宋体"/>
                <w:color w:val="auto"/>
                <w:kern w:val="0"/>
                <w:sz w:val="22"/>
                <w:szCs w:val="22"/>
              </w:rPr>
              <w:t>不召开</w:t>
            </w:r>
          </w:p>
        </w:tc>
      </w:tr>
      <w:tr w14:paraId="23187AA0">
        <w:tblPrEx>
          <w:tblCellMar>
            <w:top w:w="0" w:type="dxa"/>
            <w:left w:w="108" w:type="dxa"/>
            <w:bottom w:w="0" w:type="dxa"/>
            <w:right w:w="108" w:type="dxa"/>
          </w:tblCellMar>
        </w:tblPrEx>
        <w:trPr>
          <w:trHeight w:val="23" w:hRule="atLeast"/>
        </w:trPr>
        <w:tc>
          <w:tcPr>
            <w:tcW w:w="731" w:type="dxa"/>
            <w:tcBorders>
              <w:top w:val="single" w:color="auto" w:sz="4" w:space="0"/>
              <w:left w:val="single" w:color="auto" w:sz="4" w:space="0"/>
              <w:bottom w:val="single" w:color="auto" w:sz="4" w:space="0"/>
              <w:right w:val="single" w:color="auto" w:sz="4" w:space="0"/>
            </w:tcBorders>
            <w:vAlign w:val="center"/>
          </w:tcPr>
          <w:p w14:paraId="1AA839B1">
            <w:pPr>
              <w:spacing w:line="360" w:lineRule="exact"/>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1830" w:type="dxa"/>
            <w:tcBorders>
              <w:top w:val="single" w:color="auto" w:sz="4" w:space="0"/>
              <w:left w:val="single" w:color="auto" w:sz="4" w:space="0"/>
              <w:bottom w:val="single" w:color="auto" w:sz="4" w:space="0"/>
              <w:right w:val="single" w:color="auto" w:sz="4" w:space="0"/>
            </w:tcBorders>
            <w:vAlign w:val="center"/>
          </w:tcPr>
          <w:p w14:paraId="73DD2783">
            <w:pPr>
              <w:spacing w:line="360" w:lineRule="exact"/>
              <w:jc w:val="center"/>
              <w:rPr>
                <w:rFonts w:ascii="宋体" w:hAnsi="宋体" w:cs="宋体"/>
                <w:color w:val="auto"/>
                <w:kern w:val="0"/>
                <w:sz w:val="22"/>
                <w:szCs w:val="22"/>
              </w:rPr>
            </w:pPr>
            <w:r>
              <w:rPr>
                <w:rFonts w:hint="eastAsia" w:ascii="宋体" w:hAnsi="宋体" w:cs="宋体"/>
                <w:bCs/>
                <w:color w:val="auto"/>
                <w:sz w:val="22"/>
                <w:szCs w:val="22"/>
              </w:rPr>
              <w:t>分包与转包</w:t>
            </w:r>
          </w:p>
        </w:tc>
        <w:tc>
          <w:tcPr>
            <w:tcW w:w="7397" w:type="dxa"/>
            <w:tcBorders>
              <w:top w:val="single" w:color="auto" w:sz="4" w:space="0"/>
              <w:left w:val="single" w:color="auto" w:sz="4" w:space="0"/>
              <w:bottom w:val="single" w:color="auto" w:sz="4" w:space="0"/>
              <w:right w:val="single" w:color="auto" w:sz="4" w:space="0"/>
            </w:tcBorders>
            <w:vAlign w:val="center"/>
          </w:tcPr>
          <w:p w14:paraId="79E4F7C1">
            <w:pPr>
              <w:spacing w:line="360" w:lineRule="exact"/>
              <w:rPr>
                <w:rFonts w:ascii="宋体" w:hAnsi="宋体" w:cs="宋体"/>
                <w:color w:val="auto"/>
                <w:sz w:val="22"/>
                <w:szCs w:val="22"/>
              </w:rPr>
            </w:pPr>
            <w:r>
              <w:rPr>
                <w:rFonts w:hint="eastAsia" w:ascii="宋体" w:hAnsi="宋体" w:cs="宋体"/>
                <w:color w:val="auto"/>
                <w:sz w:val="22"/>
                <w:szCs w:val="22"/>
              </w:rPr>
              <w:t>（1）分包：</w:t>
            </w:r>
          </w:p>
          <w:p w14:paraId="6A7BC688">
            <w:pPr>
              <w:spacing w:line="360" w:lineRule="exact"/>
              <w:rPr>
                <w:rFonts w:ascii="宋体" w:hAnsi="宋体" w:cs="宋体"/>
                <w:color w:val="auto"/>
                <w:sz w:val="22"/>
                <w:szCs w:val="22"/>
              </w:rPr>
            </w:pPr>
            <w:r>
              <w:rPr>
                <w:rFonts w:hint="eastAsia" w:ascii="宋体" w:hAnsi="宋体" w:cs="宋体"/>
                <w:color w:val="auto"/>
                <w:sz w:val="22"/>
                <w:szCs w:val="22"/>
              </w:rPr>
              <w:sym w:font="Wingdings" w:char="00FE"/>
            </w:r>
            <w:r>
              <w:rPr>
                <w:rFonts w:hint="eastAsia" w:ascii="宋体" w:hAnsi="宋体" w:cs="宋体"/>
                <w:color w:val="auto"/>
                <w:sz w:val="22"/>
                <w:szCs w:val="22"/>
              </w:rPr>
              <w:t xml:space="preserve"> 同意将</w:t>
            </w:r>
            <w:r>
              <w:rPr>
                <w:rFonts w:hint="eastAsia" w:ascii="宋体" w:hAnsi="宋体" w:cs="宋体"/>
                <w:color w:val="auto"/>
                <w:sz w:val="22"/>
                <w:szCs w:val="22"/>
                <w:u w:val="single"/>
                <w:lang w:val="en-US" w:eastAsia="zh-CN"/>
              </w:rPr>
              <w:t>厨房附属改造工程</w:t>
            </w:r>
            <w:r>
              <w:rPr>
                <w:rFonts w:hint="eastAsia" w:ascii="宋体" w:hAnsi="宋体" w:cs="宋体"/>
                <w:color w:val="auto"/>
                <w:sz w:val="22"/>
                <w:szCs w:val="22"/>
              </w:rPr>
              <w:t>的工作分包</w:t>
            </w:r>
            <w:r>
              <w:rPr>
                <w:rFonts w:hint="eastAsia" w:ascii="宋体" w:hAnsi="宋体" w:cs="宋体"/>
                <w:color w:val="auto"/>
                <w:sz w:val="22"/>
                <w:szCs w:val="22"/>
                <w:lang w:eastAsia="zh-CN"/>
              </w:rPr>
              <w:t>，</w:t>
            </w:r>
            <w:r>
              <w:rPr>
                <w:rFonts w:hint="eastAsia" w:ascii="宋体" w:hAnsi="宋体" w:cs="宋体"/>
                <w:color w:val="auto"/>
                <w:sz w:val="22"/>
                <w:szCs w:val="22"/>
                <w:lang w:val="en-US" w:eastAsia="zh-CN"/>
              </w:rPr>
              <w:t>分包供应商</w:t>
            </w:r>
            <w:r>
              <w:rPr>
                <w:rFonts w:hint="eastAsia" w:ascii="宋体" w:hAnsi="宋体" w:cs="宋体"/>
                <w:color w:val="auto"/>
                <w:kern w:val="0"/>
                <w:sz w:val="22"/>
                <w:szCs w:val="22"/>
                <w:u w:val="single"/>
                <w:lang w:val="en-US" w:eastAsia="zh-CN"/>
              </w:rPr>
              <w:t>应具备建筑装饰装修工程贰级及以上资质</w:t>
            </w:r>
            <w:r>
              <w:rPr>
                <w:rFonts w:hint="eastAsia" w:ascii="宋体" w:hAnsi="宋体" w:cs="宋体"/>
                <w:color w:val="auto"/>
                <w:sz w:val="22"/>
                <w:szCs w:val="22"/>
              </w:rPr>
              <w:t>。</w:t>
            </w:r>
          </w:p>
          <w:p w14:paraId="73AEA9A5">
            <w:pPr>
              <w:spacing w:line="360" w:lineRule="exact"/>
              <w:rPr>
                <w:rFonts w:ascii="宋体" w:hAnsi="宋体" w:cs="宋体"/>
                <w:color w:val="auto"/>
                <w:sz w:val="22"/>
                <w:szCs w:val="22"/>
              </w:rPr>
            </w:pPr>
            <w:r>
              <w:rPr>
                <w:rFonts w:hint="eastAsia" w:ascii="宋体" w:hAnsi="宋体" w:cs="宋体"/>
                <w:color w:val="auto"/>
                <w:sz w:val="22"/>
                <w:szCs w:val="22"/>
              </w:rPr>
              <w:sym w:font="Wingdings" w:char="00A8"/>
            </w:r>
            <w:r>
              <w:rPr>
                <w:rFonts w:hint="eastAsia" w:ascii="宋体" w:hAnsi="宋体" w:cs="宋体"/>
                <w:color w:val="auto"/>
                <w:sz w:val="22"/>
                <w:szCs w:val="22"/>
              </w:rPr>
              <w:t>不同意分包。</w:t>
            </w:r>
          </w:p>
          <w:p w14:paraId="39AA9488">
            <w:pPr>
              <w:spacing w:line="360" w:lineRule="exact"/>
              <w:rPr>
                <w:rFonts w:ascii="宋体" w:hAnsi="宋体" w:cs="宋体"/>
                <w:color w:val="auto"/>
                <w:kern w:val="0"/>
                <w:sz w:val="22"/>
                <w:szCs w:val="22"/>
              </w:rPr>
            </w:pPr>
            <w:r>
              <w:rPr>
                <w:rFonts w:hint="eastAsia" w:ascii="宋体" w:hAnsi="宋体" w:cs="宋体"/>
                <w:color w:val="auto"/>
                <w:sz w:val="22"/>
                <w:szCs w:val="22"/>
              </w:rPr>
              <w:t>（2）转包：本项目不允许转包。</w:t>
            </w:r>
          </w:p>
        </w:tc>
      </w:tr>
      <w:tr w14:paraId="592064CD">
        <w:tblPrEx>
          <w:tblCellMar>
            <w:top w:w="0" w:type="dxa"/>
            <w:left w:w="108" w:type="dxa"/>
            <w:bottom w:w="0" w:type="dxa"/>
            <w:right w:w="108" w:type="dxa"/>
          </w:tblCellMar>
        </w:tblPrEx>
        <w:trPr>
          <w:trHeight w:val="23" w:hRule="atLeast"/>
        </w:trPr>
        <w:tc>
          <w:tcPr>
            <w:tcW w:w="731" w:type="dxa"/>
            <w:tcBorders>
              <w:top w:val="single" w:color="auto" w:sz="4" w:space="0"/>
              <w:left w:val="single" w:color="auto" w:sz="4" w:space="0"/>
              <w:bottom w:val="single" w:color="auto" w:sz="4" w:space="0"/>
              <w:right w:val="single" w:color="auto" w:sz="4" w:space="0"/>
            </w:tcBorders>
            <w:vAlign w:val="center"/>
          </w:tcPr>
          <w:p w14:paraId="318BE644">
            <w:pPr>
              <w:spacing w:line="360" w:lineRule="exact"/>
              <w:jc w:val="center"/>
              <w:rPr>
                <w:rFonts w:ascii="宋体" w:hAnsi="宋体" w:cs="宋体"/>
                <w:color w:val="auto"/>
                <w:kern w:val="0"/>
                <w:sz w:val="22"/>
                <w:szCs w:val="22"/>
              </w:rPr>
            </w:pPr>
            <w:r>
              <w:rPr>
                <w:rFonts w:hint="eastAsia" w:ascii="宋体" w:hAnsi="宋体" w:cs="宋体"/>
                <w:color w:val="auto"/>
                <w:kern w:val="0"/>
                <w:sz w:val="22"/>
                <w:szCs w:val="22"/>
              </w:rPr>
              <w:t>10</w:t>
            </w:r>
          </w:p>
        </w:tc>
        <w:tc>
          <w:tcPr>
            <w:tcW w:w="1830" w:type="dxa"/>
            <w:tcBorders>
              <w:top w:val="single" w:color="auto" w:sz="4" w:space="0"/>
              <w:left w:val="single" w:color="auto" w:sz="4" w:space="0"/>
              <w:bottom w:val="single" w:color="auto" w:sz="4" w:space="0"/>
              <w:right w:val="single" w:color="auto" w:sz="4" w:space="0"/>
            </w:tcBorders>
            <w:vAlign w:val="center"/>
          </w:tcPr>
          <w:p w14:paraId="45B5C9EE">
            <w:pPr>
              <w:autoSpaceDE w:val="0"/>
              <w:autoSpaceDN w:val="0"/>
              <w:adjustRightInd w:val="0"/>
              <w:snapToGrid w:val="0"/>
              <w:spacing w:line="360" w:lineRule="exact"/>
              <w:jc w:val="center"/>
              <w:rPr>
                <w:rFonts w:ascii="宋体" w:hAnsi="宋体" w:cs="宋体"/>
                <w:bCs/>
                <w:color w:val="auto"/>
                <w:sz w:val="22"/>
                <w:szCs w:val="22"/>
              </w:rPr>
            </w:pPr>
            <w:r>
              <w:rPr>
                <w:rFonts w:hint="eastAsia" w:ascii="宋体" w:hAnsi="宋体" w:cs="宋体"/>
                <w:snapToGrid w:val="0"/>
                <w:color w:val="auto"/>
                <w:sz w:val="22"/>
                <w:szCs w:val="22"/>
              </w:rPr>
              <w:t>报价要求</w:t>
            </w:r>
          </w:p>
        </w:tc>
        <w:tc>
          <w:tcPr>
            <w:tcW w:w="7397" w:type="dxa"/>
            <w:tcBorders>
              <w:top w:val="single" w:color="auto" w:sz="4" w:space="0"/>
              <w:left w:val="single" w:color="auto" w:sz="4" w:space="0"/>
              <w:bottom w:val="single" w:color="auto" w:sz="4" w:space="0"/>
              <w:right w:val="single" w:color="auto" w:sz="4" w:space="0"/>
            </w:tcBorders>
            <w:vAlign w:val="center"/>
          </w:tcPr>
          <w:p w14:paraId="272E52DB">
            <w:pPr>
              <w:adjustRightInd w:val="0"/>
              <w:snapToGrid w:val="0"/>
              <w:spacing w:line="360" w:lineRule="exact"/>
              <w:rPr>
                <w:rFonts w:ascii="宋体" w:hAnsi="宋体" w:cs="宋体"/>
                <w:b/>
                <w:bCs/>
                <w:color w:val="auto"/>
                <w:sz w:val="22"/>
                <w:szCs w:val="22"/>
              </w:rPr>
            </w:pPr>
            <w:r>
              <w:rPr>
                <w:rFonts w:hint="eastAsia" w:ascii="宋体" w:hAnsi="宋体" w:cs="宋体"/>
                <w:b/>
                <w:bCs/>
                <w:color w:val="auto"/>
                <w:sz w:val="22"/>
                <w:szCs w:val="22"/>
              </w:rPr>
              <w:t>本项目采用人民币报价</w:t>
            </w:r>
          </w:p>
          <w:p w14:paraId="374BFAC5">
            <w:pPr>
              <w:adjustRightInd w:val="0"/>
              <w:snapToGrid w:val="0"/>
              <w:spacing w:line="360" w:lineRule="exact"/>
              <w:rPr>
                <w:rFonts w:ascii="宋体" w:hAnsi="宋体" w:cs="宋体"/>
                <w:color w:val="auto"/>
                <w:sz w:val="22"/>
                <w:szCs w:val="22"/>
              </w:rPr>
            </w:pPr>
            <w:r>
              <w:rPr>
                <w:rFonts w:hint="eastAsia" w:ascii="宋体" w:hAnsi="宋体" w:cs="宋体"/>
                <w:snapToGrid w:val="0"/>
                <w:color w:val="auto"/>
                <w:sz w:val="22"/>
                <w:szCs w:val="22"/>
              </w:rPr>
              <w:t>客户端填写的报价与以pdf格式上传文件中的报价不一致的，应以Pdf格式上传文件中的报价为准。</w:t>
            </w:r>
          </w:p>
          <w:p w14:paraId="26DC4549">
            <w:pPr>
              <w:adjustRightInd w:val="0"/>
              <w:snapToGrid w:val="0"/>
              <w:spacing w:line="360" w:lineRule="exact"/>
              <w:rPr>
                <w:rFonts w:ascii="宋体" w:hAnsi="宋体" w:cs="宋体"/>
                <w:color w:val="auto"/>
                <w:sz w:val="22"/>
                <w:szCs w:val="22"/>
              </w:rPr>
            </w:pPr>
            <w:r>
              <w:rPr>
                <w:rFonts w:hint="eastAsia" w:ascii="宋体" w:hAnsi="宋体" w:cs="宋体"/>
                <w:snapToGrid w:val="0"/>
                <w:color w:val="auto"/>
                <w:sz w:val="22"/>
                <w:szCs w:val="22"/>
              </w:rPr>
              <w:t>竞争性磋商以最后报价为合同价。</w:t>
            </w:r>
          </w:p>
        </w:tc>
      </w:tr>
      <w:tr w14:paraId="21545579">
        <w:tblPrEx>
          <w:tblCellMar>
            <w:top w:w="0" w:type="dxa"/>
            <w:left w:w="108" w:type="dxa"/>
            <w:bottom w:w="0" w:type="dxa"/>
            <w:right w:w="108" w:type="dxa"/>
          </w:tblCellMar>
        </w:tblPrEx>
        <w:trPr>
          <w:trHeight w:val="23" w:hRule="atLeast"/>
        </w:trPr>
        <w:tc>
          <w:tcPr>
            <w:tcW w:w="731" w:type="dxa"/>
            <w:tcBorders>
              <w:top w:val="single" w:color="auto" w:sz="4" w:space="0"/>
              <w:left w:val="single" w:color="auto" w:sz="4" w:space="0"/>
              <w:bottom w:val="single" w:color="auto" w:sz="4" w:space="0"/>
              <w:right w:val="single" w:color="auto" w:sz="4" w:space="0"/>
            </w:tcBorders>
            <w:vAlign w:val="center"/>
          </w:tcPr>
          <w:p w14:paraId="55C109CE">
            <w:pPr>
              <w:spacing w:line="360" w:lineRule="exact"/>
              <w:jc w:val="center"/>
              <w:rPr>
                <w:rFonts w:ascii="宋体" w:hAnsi="宋体" w:cs="宋体"/>
                <w:color w:val="auto"/>
                <w:kern w:val="0"/>
                <w:sz w:val="22"/>
                <w:szCs w:val="22"/>
              </w:rPr>
            </w:pPr>
            <w:r>
              <w:rPr>
                <w:rFonts w:hint="eastAsia" w:ascii="宋体" w:hAnsi="宋体" w:cs="宋体"/>
                <w:color w:val="auto"/>
                <w:kern w:val="0"/>
                <w:sz w:val="22"/>
                <w:szCs w:val="22"/>
              </w:rPr>
              <w:t>11</w:t>
            </w:r>
          </w:p>
        </w:tc>
        <w:tc>
          <w:tcPr>
            <w:tcW w:w="1830" w:type="dxa"/>
            <w:tcBorders>
              <w:top w:val="single" w:color="auto" w:sz="4" w:space="0"/>
              <w:left w:val="single" w:color="auto" w:sz="4" w:space="0"/>
              <w:bottom w:val="single" w:color="auto" w:sz="4" w:space="0"/>
              <w:right w:val="single" w:color="auto" w:sz="4" w:space="0"/>
            </w:tcBorders>
            <w:vAlign w:val="center"/>
          </w:tcPr>
          <w:p w14:paraId="49E73896">
            <w:pPr>
              <w:spacing w:line="360" w:lineRule="exact"/>
              <w:jc w:val="center"/>
              <w:rPr>
                <w:rFonts w:ascii="宋体" w:hAnsi="宋体" w:cs="宋体"/>
                <w:color w:val="auto"/>
                <w:kern w:val="0"/>
                <w:sz w:val="22"/>
                <w:szCs w:val="22"/>
              </w:rPr>
            </w:pPr>
            <w:r>
              <w:rPr>
                <w:rFonts w:hint="eastAsia" w:ascii="宋体" w:hAnsi="宋体" w:cs="宋体"/>
                <w:color w:val="auto"/>
                <w:kern w:val="0"/>
                <w:sz w:val="22"/>
                <w:szCs w:val="22"/>
              </w:rPr>
              <w:t>偏离</w:t>
            </w:r>
          </w:p>
        </w:tc>
        <w:tc>
          <w:tcPr>
            <w:tcW w:w="7397" w:type="dxa"/>
            <w:tcBorders>
              <w:top w:val="single" w:color="auto" w:sz="4" w:space="0"/>
              <w:left w:val="single" w:color="auto" w:sz="4" w:space="0"/>
              <w:bottom w:val="single" w:color="auto" w:sz="4" w:space="0"/>
              <w:right w:val="single" w:color="auto" w:sz="4" w:space="0"/>
            </w:tcBorders>
            <w:vAlign w:val="center"/>
          </w:tcPr>
          <w:p w14:paraId="58A465D8">
            <w:pPr>
              <w:spacing w:line="360" w:lineRule="exact"/>
              <w:rPr>
                <w:rFonts w:ascii="宋体" w:hAnsi="宋体" w:cs="宋体"/>
                <w:color w:val="auto"/>
                <w:kern w:val="0"/>
                <w:sz w:val="22"/>
                <w:szCs w:val="22"/>
              </w:rPr>
            </w:pPr>
            <w:r>
              <w:rPr>
                <w:rFonts w:hint="eastAsia" w:ascii="宋体" w:hAnsi="宋体" w:cs="宋体"/>
                <w:color w:val="auto"/>
                <w:kern w:val="0"/>
                <w:sz w:val="22"/>
                <w:szCs w:val="22"/>
              </w:rPr>
              <w:t>偏差允许幅度及其处理方法：允许细微偏差，不允许重大偏差。由磋商小组判断，细微偏差要求磋商供应商在评标结束前予以澄清、说明或补正，不接受要求进行的，磋商小组有权做无效标处理，详见磋商原则及方法。</w:t>
            </w:r>
          </w:p>
        </w:tc>
      </w:tr>
      <w:tr w14:paraId="1D7252EB">
        <w:tblPrEx>
          <w:tblCellMar>
            <w:top w:w="0" w:type="dxa"/>
            <w:left w:w="108" w:type="dxa"/>
            <w:bottom w:w="0" w:type="dxa"/>
            <w:right w:w="108" w:type="dxa"/>
          </w:tblCellMar>
        </w:tblPrEx>
        <w:trPr>
          <w:trHeight w:val="23" w:hRule="atLeast"/>
        </w:trPr>
        <w:tc>
          <w:tcPr>
            <w:tcW w:w="731" w:type="dxa"/>
            <w:tcBorders>
              <w:top w:val="single" w:color="auto" w:sz="4" w:space="0"/>
              <w:left w:val="single" w:color="auto" w:sz="4" w:space="0"/>
              <w:bottom w:val="single" w:color="auto" w:sz="4" w:space="0"/>
              <w:right w:val="single" w:color="auto" w:sz="4" w:space="0"/>
            </w:tcBorders>
            <w:vAlign w:val="center"/>
          </w:tcPr>
          <w:p w14:paraId="3C8CE761">
            <w:pPr>
              <w:spacing w:line="360" w:lineRule="exact"/>
              <w:jc w:val="center"/>
              <w:rPr>
                <w:rFonts w:ascii="宋体" w:hAnsi="宋体" w:cs="宋体"/>
                <w:color w:val="auto"/>
                <w:kern w:val="0"/>
                <w:sz w:val="22"/>
                <w:szCs w:val="22"/>
              </w:rPr>
            </w:pPr>
            <w:r>
              <w:rPr>
                <w:rFonts w:hint="eastAsia" w:ascii="宋体" w:hAnsi="宋体" w:cs="宋体"/>
                <w:color w:val="auto"/>
                <w:kern w:val="0"/>
                <w:sz w:val="22"/>
                <w:szCs w:val="22"/>
              </w:rPr>
              <w:t>12</w:t>
            </w:r>
          </w:p>
        </w:tc>
        <w:tc>
          <w:tcPr>
            <w:tcW w:w="1830" w:type="dxa"/>
            <w:tcBorders>
              <w:top w:val="single" w:color="auto" w:sz="4" w:space="0"/>
              <w:left w:val="single" w:color="auto" w:sz="4" w:space="0"/>
              <w:bottom w:val="single" w:color="auto" w:sz="4" w:space="0"/>
              <w:right w:val="single" w:color="auto" w:sz="4" w:space="0"/>
            </w:tcBorders>
            <w:vAlign w:val="center"/>
          </w:tcPr>
          <w:p w14:paraId="0BD9A610">
            <w:pPr>
              <w:spacing w:line="360" w:lineRule="exact"/>
              <w:jc w:val="center"/>
              <w:rPr>
                <w:rFonts w:ascii="宋体" w:hAnsi="宋体" w:cs="宋体"/>
                <w:color w:val="auto"/>
                <w:kern w:val="0"/>
                <w:sz w:val="22"/>
                <w:szCs w:val="22"/>
              </w:rPr>
            </w:pPr>
            <w:r>
              <w:rPr>
                <w:rFonts w:hint="eastAsia" w:ascii="宋体" w:hAnsi="宋体" w:cs="宋体"/>
                <w:color w:val="auto"/>
                <w:kern w:val="0"/>
                <w:sz w:val="22"/>
                <w:szCs w:val="22"/>
              </w:rPr>
              <w:t>磋商有效期</w:t>
            </w:r>
          </w:p>
        </w:tc>
        <w:tc>
          <w:tcPr>
            <w:tcW w:w="7397" w:type="dxa"/>
            <w:tcBorders>
              <w:top w:val="single" w:color="auto" w:sz="4" w:space="0"/>
              <w:left w:val="single" w:color="auto" w:sz="4" w:space="0"/>
              <w:bottom w:val="single" w:color="auto" w:sz="4" w:space="0"/>
              <w:right w:val="single" w:color="auto" w:sz="4" w:space="0"/>
            </w:tcBorders>
            <w:vAlign w:val="center"/>
          </w:tcPr>
          <w:p w14:paraId="06C58ED0">
            <w:pPr>
              <w:spacing w:line="360" w:lineRule="exact"/>
              <w:rPr>
                <w:rFonts w:ascii="宋体" w:hAnsi="宋体" w:cs="宋体"/>
                <w:color w:val="auto"/>
                <w:kern w:val="0"/>
                <w:sz w:val="22"/>
                <w:szCs w:val="22"/>
              </w:rPr>
            </w:pPr>
            <w:r>
              <w:rPr>
                <w:rFonts w:hint="eastAsia" w:ascii="宋体" w:hAnsi="宋体" w:cs="宋体"/>
                <w:color w:val="auto"/>
                <w:kern w:val="0"/>
                <w:sz w:val="22"/>
                <w:szCs w:val="22"/>
              </w:rPr>
              <w:t>磋商响应文件自磋商截止时间起生效，有效期60天。</w:t>
            </w:r>
          </w:p>
        </w:tc>
      </w:tr>
      <w:tr w14:paraId="3FAC93CF">
        <w:tblPrEx>
          <w:tblCellMar>
            <w:top w:w="0" w:type="dxa"/>
            <w:left w:w="108" w:type="dxa"/>
            <w:bottom w:w="0" w:type="dxa"/>
            <w:right w:w="108" w:type="dxa"/>
          </w:tblCellMar>
        </w:tblPrEx>
        <w:trPr>
          <w:trHeight w:val="23" w:hRule="atLeast"/>
        </w:trPr>
        <w:tc>
          <w:tcPr>
            <w:tcW w:w="731" w:type="dxa"/>
            <w:tcBorders>
              <w:top w:val="single" w:color="auto" w:sz="4" w:space="0"/>
              <w:left w:val="single" w:color="auto" w:sz="4" w:space="0"/>
              <w:bottom w:val="single" w:color="auto" w:sz="4" w:space="0"/>
              <w:right w:val="single" w:color="auto" w:sz="4" w:space="0"/>
            </w:tcBorders>
            <w:vAlign w:val="center"/>
          </w:tcPr>
          <w:p w14:paraId="6EC581C4">
            <w:pPr>
              <w:spacing w:line="360" w:lineRule="exact"/>
              <w:jc w:val="center"/>
              <w:rPr>
                <w:rFonts w:ascii="宋体" w:hAnsi="宋体" w:cs="宋体"/>
                <w:color w:val="auto"/>
                <w:kern w:val="0"/>
                <w:sz w:val="22"/>
                <w:szCs w:val="22"/>
              </w:rPr>
            </w:pPr>
            <w:r>
              <w:rPr>
                <w:rFonts w:hint="eastAsia" w:ascii="宋体" w:hAnsi="宋体" w:cs="宋体"/>
                <w:color w:val="auto"/>
                <w:kern w:val="0"/>
                <w:sz w:val="22"/>
                <w:szCs w:val="22"/>
              </w:rPr>
              <w:t>13</w:t>
            </w:r>
          </w:p>
        </w:tc>
        <w:tc>
          <w:tcPr>
            <w:tcW w:w="1830" w:type="dxa"/>
            <w:tcBorders>
              <w:top w:val="single" w:color="auto" w:sz="4" w:space="0"/>
              <w:left w:val="single" w:color="auto" w:sz="4" w:space="0"/>
              <w:bottom w:val="single" w:color="auto" w:sz="4" w:space="0"/>
              <w:right w:val="single" w:color="auto" w:sz="4" w:space="0"/>
            </w:tcBorders>
            <w:vAlign w:val="center"/>
          </w:tcPr>
          <w:p w14:paraId="7210C242">
            <w:pPr>
              <w:spacing w:line="360" w:lineRule="exact"/>
              <w:rPr>
                <w:rFonts w:ascii="宋体" w:hAnsi="宋体" w:cs="宋体"/>
                <w:color w:val="auto"/>
                <w:kern w:val="0"/>
                <w:sz w:val="22"/>
                <w:szCs w:val="22"/>
              </w:rPr>
            </w:pPr>
            <w:r>
              <w:rPr>
                <w:rFonts w:hint="eastAsia" w:ascii="宋体" w:hAnsi="宋体" w:cs="宋体"/>
                <w:color w:val="auto"/>
                <w:kern w:val="0"/>
                <w:sz w:val="22"/>
                <w:szCs w:val="22"/>
              </w:rPr>
              <w:t>合同签订时间</w:t>
            </w:r>
          </w:p>
        </w:tc>
        <w:tc>
          <w:tcPr>
            <w:tcW w:w="7397" w:type="dxa"/>
            <w:tcBorders>
              <w:top w:val="single" w:color="auto" w:sz="4" w:space="0"/>
              <w:left w:val="single" w:color="auto" w:sz="4" w:space="0"/>
              <w:bottom w:val="single" w:color="auto" w:sz="4" w:space="0"/>
              <w:right w:val="single" w:color="auto" w:sz="4" w:space="0"/>
            </w:tcBorders>
            <w:vAlign w:val="center"/>
          </w:tcPr>
          <w:p w14:paraId="6EA302B9">
            <w:pPr>
              <w:spacing w:line="360" w:lineRule="exact"/>
              <w:rPr>
                <w:rFonts w:ascii="宋体" w:hAnsi="宋体" w:cs="宋体"/>
                <w:color w:val="auto"/>
                <w:kern w:val="0"/>
                <w:sz w:val="22"/>
                <w:szCs w:val="22"/>
              </w:rPr>
            </w:pPr>
            <w:r>
              <w:rPr>
                <w:rFonts w:hint="eastAsia" w:ascii="宋体" w:hAnsi="宋体" w:cs="宋体"/>
                <w:color w:val="auto"/>
                <w:kern w:val="0"/>
                <w:sz w:val="22"/>
                <w:szCs w:val="22"/>
              </w:rPr>
              <w:t>成交通知书发出之日起30天内与采购人签订合同。</w:t>
            </w:r>
          </w:p>
        </w:tc>
      </w:tr>
      <w:tr w14:paraId="15FFD4C8">
        <w:tblPrEx>
          <w:tblCellMar>
            <w:top w:w="0" w:type="dxa"/>
            <w:left w:w="108" w:type="dxa"/>
            <w:bottom w:w="0" w:type="dxa"/>
            <w:right w:w="108" w:type="dxa"/>
          </w:tblCellMar>
        </w:tblPrEx>
        <w:trPr>
          <w:trHeight w:val="23" w:hRule="atLeast"/>
        </w:trPr>
        <w:tc>
          <w:tcPr>
            <w:tcW w:w="731" w:type="dxa"/>
            <w:tcBorders>
              <w:top w:val="single" w:color="auto" w:sz="4" w:space="0"/>
              <w:left w:val="single" w:color="auto" w:sz="4" w:space="0"/>
              <w:bottom w:val="single" w:color="auto" w:sz="4" w:space="0"/>
              <w:right w:val="single" w:color="auto" w:sz="4" w:space="0"/>
            </w:tcBorders>
            <w:vAlign w:val="center"/>
          </w:tcPr>
          <w:p w14:paraId="5214D76A">
            <w:pPr>
              <w:spacing w:line="360" w:lineRule="exact"/>
              <w:jc w:val="center"/>
              <w:rPr>
                <w:rFonts w:ascii="宋体" w:hAnsi="宋体" w:cs="宋体"/>
                <w:color w:val="auto"/>
                <w:kern w:val="0"/>
                <w:sz w:val="22"/>
                <w:szCs w:val="22"/>
              </w:rPr>
            </w:pPr>
            <w:r>
              <w:rPr>
                <w:rFonts w:hint="eastAsia" w:ascii="宋体" w:hAnsi="宋体" w:cs="宋体"/>
                <w:color w:val="auto"/>
                <w:kern w:val="0"/>
                <w:sz w:val="22"/>
                <w:szCs w:val="22"/>
              </w:rPr>
              <w:t>14</w:t>
            </w:r>
          </w:p>
        </w:tc>
        <w:tc>
          <w:tcPr>
            <w:tcW w:w="1830" w:type="dxa"/>
            <w:tcBorders>
              <w:top w:val="single" w:color="auto" w:sz="4" w:space="0"/>
              <w:left w:val="single" w:color="auto" w:sz="4" w:space="0"/>
              <w:bottom w:val="single" w:color="auto" w:sz="4" w:space="0"/>
              <w:right w:val="single" w:color="auto" w:sz="4" w:space="0"/>
            </w:tcBorders>
            <w:vAlign w:val="center"/>
          </w:tcPr>
          <w:p w14:paraId="06951930">
            <w:pPr>
              <w:spacing w:line="360" w:lineRule="exact"/>
              <w:jc w:val="center"/>
              <w:rPr>
                <w:rFonts w:ascii="宋体" w:hAnsi="宋体" w:cs="宋体"/>
                <w:color w:val="auto"/>
                <w:sz w:val="22"/>
                <w:szCs w:val="22"/>
              </w:rPr>
            </w:pPr>
            <w:r>
              <w:rPr>
                <w:rFonts w:hint="eastAsia" w:ascii="宋体" w:hAnsi="宋体" w:cs="宋体"/>
                <w:color w:val="auto"/>
                <w:sz w:val="22"/>
                <w:szCs w:val="22"/>
              </w:rPr>
              <w:t>递交磋商响应</w:t>
            </w:r>
          </w:p>
          <w:p w14:paraId="22BDA122">
            <w:pPr>
              <w:spacing w:line="360" w:lineRule="exact"/>
              <w:jc w:val="center"/>
              <w:rPr>
                <w:rFonts w:ascii="宋体" w:hAnsi="宋体" w:cs="宋体"/>
                <w:color w:val="auto"/>
                <w:kern w:val="0"/>
                <w:sz w:val="22"/>
                <w:szCs w:val="22"/>
              </w:rPr>
            </w:pPr>
            <w:r>
              <w:rPr>
                <w:rFonts w:hint="eastAsia" w:ascii="宋体" w:hAnsi="宋体" w:cs="宋体"/>
                <w:color w:val="auto"/>
                <w:sz w:val="22"/>
                <w:szCs w:val="22"/>
              </w:rPr>
              <w:t>文件地点</w:t>
            </w:r>
          </w:p>
        </w:tc>
        <w:tc>
          <w:tcPr>
            <w:tcW w:w="7397" w:type="dxa"/>
            <w:tcBorders>
              <w:top w:val="single" w:color="auto" w:sz="4" w:space="0"/>
              <w:left w:val="single" w:color="auto" w:sz="4" w:space="0"/>
              <w:bottom w:val="single" w:color="auto" w:sz="4" w:space="0"/>
              <w:right w:val="single" w:color="auto" w:sz="4" w:space="0"/>
            </w:tcBorders>
            <w:vAlign w:val="center"/>
          </w:tcPr>
          <w:p w14:paraId="47C24BBA">
            <w:pPr>
              <w:spacing w:line="360" w:lineRule="exact"/>
              <w:rPr>
                <w:rFonts w:ascii="宋体" w:hAnsi="宋体" w:cs="宋体"/>
                <w:color w:val="auto"/>
                <w:kern w:val="0"/>
                <w:sz w:val="22"/>
                <w:szCs w:val="22"/>
              </w:rPr>
            </w:pPr>
            <w:r>
              <w:rPr>
                <w:rFonts w:hint="eastAsia" w:ascii="宋体" w:hAnsi="宋体" w:cs="宋体"/>
                <w:color w:val="auto"/>
                <w:kern w:val="0"/>
                <w:sz w:val="22"/>
                <w:szCs w:val="22"/>
              </w:rPr>
              <w:t>见第一部分“磋商公告”</w:t>
            </w:r>
          </w:p>
        </w:tc>
      </w:tr>
      <w:tr w14:paraId="396707C2">
        <w:tblPrEx>
          <w:tblCellMar>
            <w:top w:w="0" w:type="dxa"/>
            <w:left w:w="108" w:type="dxa"/>
            <w:bottom w:w="0" w:type="dxa"/>
            <w:right w:w="108" w:type="dxa"/>
          </w:tblCellMar>
        </w:tblPrEx>
        <w:trPr>
          <w:trHeight w:val="23" w:hRule="atLeast"/>
        </w:trPr>
        <w:tc>
          <w:tcPr>
            <w:tcW w:w="731" w:type="dxa"/>
            <w:tcBorders>
              <w:top w:val="single" w:color="auto" w:sz="4" w:space="0"/>
              <w:left w:val="single" w:color="auto" w:sz="4" w:space="0"/>
              <w:bottom w:val="single" w:color="auto" w:sz="4" w:space="0"/>
              <w:right w:val="single" w:color="auto" w:sz="4" w:space="0"/>
            </w:tcBorders>
            <w:vAlign w:val="center"/>
          </w:tcPr>
          <w:p w14:paraId="50C16B34">
            <w:pPr>
              <w:spacing w:line="360" w:lineRule="exact"/>
              <w:jc w:val="center"/>
              <w:rPr>
                <w:rFonts w:ascii="宋体" w:hAnsi="宋体" w:cs="宋体"/>
                <w:color w:val="auto"/>
                <w:kern w:val="0"/>
                <w:sz w:val="22"/>
                <w:szCs w:val="22"/>
              </w:rPr>
            </w:pPr>
            <w:r>
              <w:rPr>
                <w:rFonts w:hint="eastAsia" w:ascii="宋体" w:hAnsi="宋体" w:cs="宋体"/>
                <w:color w:val="auto"/>
                <w:kern w:val="0"/>
                <w:sz w:val="22"/>
                <w:szCs w:val="22"/>
              </w:rPr>
              <w:t>15</w:t>
            </w:r>
          </w:p>
        </w:tc>
        <w:tc>
          <w:tcPr>
            <w:tcW w:w="1830" w:type="dxa"/>
            <w:tcBorders>
              <w:top w:val="single" w:color="auto" w:sz="4" w:space="0"/>
              <w:left w:val="single" w:color="auto" w:sz="4" w:space="0"/>
              <w:bottom w:val="single" w:color="auto" w:sz="4" w:space="0"/>
              <w:right w:val="single" w:color="auto" w:sz="4" w:space="0"/>
            </w:tcBorders>
            <w:vAlign w:val="center"/>
          </w:tcPr>
          <w:p w14:paraId="0F3FA5E1">
            <w:pPr>
              <w:spacing w:line="360" w:lineRule="exact"/>
              <w:jc w:val="center"/>
              <w:rPr>
                <w:rFonts w:ascii="宋体" w:hAnsi="宋体" w:cs="宋体"/>
                <w:color w:val="auto"/>
                <w:kern w:val="0"/>
                <w:sz w:val="22"/>
                <w:szCs w:val="22"/>
              </w:rPr>
            </w:pPr>
            <w:r>
              <w:rPr>
                <w:rFonts w:hint="eastAsia" w:ascii="宋体" w:hAnsi="宋体" w:cs="宋体"/>
                <w:color w:val="auto"/>
                <w:sz w:val="22"/>
                <w:szCs w:val="22"/>
              </w:rPr>
              <w:t>磋商时间和地点</w:t>
            </w:r>
          </w:p>
        </w:tc>
        <w:tc>
          <w:tcPr>
            <w:tcW w:w="7397" w:type="dxa"/>
            <w:tcBorders>
              <w:top w:val="single" w:color="auto" w:sz="4" w:space="0"/>
              <w:left w:val="single" w:color="auto" w:sz="4" w:space="0"/>
              <w:bottom w:val="single" w:color="auto" w:sz="4" w:space="0"/>
              <w:right w:val="single" w:color="auto" w:sz="4" w:space="0"/>
            </w:tcBorders>
            <w:vAlign w:val="center"/>
          </w:tcPr>
          <w:p w14:paraId="584284A9">
            <w:pPr>
              <w:spacing w:line="360" w:lineRule="exact"/>
              <w:rPr>
                <w:rFonts w:ascii="宋体" w:hAnsi="宋体" w:cs="宋体"/>
                <w:color w:val="auto"/>
                <w:kern w:val="0"/>
                <w:sz w:val="22"/>
                <w:szCs w:val="22"/>
              </w:rPr>
            </w:pPr>
            <w:r>
              <w:rPr>
                <w:rFonts w:hint="eastAsia" w:ascii="宋体" w:hAnsi="宋体" w:cs="宋体"/>
                <w:color w:val="auto"/>
                <w:kern w:val="0"/>
                <w:sz w:val="22"/>
                <w:szCs w:val="22"/>
              </w:rPr>
              <w:t>见第一部分“磋商公告”</w:t>
            </w:r>
          </w:p>
        </w:tc>
      </w:tr>
      <w:tr w14:paraId="2403E654">
        <w:tblPrEx>
          <w:tblCellMar>
            <w:top w:w="0" w:type="dxa"/>
            <w:left w:w="108" w:type="dxa"/>
            <w:bottom w:w="0" w:type="dxa"/>
            <w:right w:w="108" w:type="dxa"/>
          </w:tblCellMar>
        </w:tblPrEx>
        <w:trPr>
          <w:trHeight w:val="23" w:hRule="atLeast"/>
        </w:trPr>
        <w:tc>
          <w:tcPr>
            <w:tcW w:w="731" w:type="dxa"/>
            <w:tcBorders>
              <w:top w:val="single" w:color="auto" w:sz="4" w:space="0"/>
              <w:left w:val="single" w:color="auto" w:sz="4" w:space="0"/>
              <w:bottom w:val="single" w:color="auto" w:sz="4" w:space="0"/>
              <w:right w:val="single" w:color="auto" w:sz="4" w:space="0"/>
            </w:tcBorders>
            <w:vAlign w:val="center"/>
          </w:tcPr>
          <w:p w14:paraId="7E111B73">
            <w:pPr>
              <w:spacing w:line="360" w:lineRule="exact"/>
              <w:jc w:val="center"/>
              <w:rPr>
                <w:rFonts w:ascii="宋体" w:hAnsi="宋体" w:cs="宋体"/>
                <w:color w:val="auto"/>
                <w:kern w:val="0"/>
                <w:sz w:val="22"/>
                <w:szCs w:val="22"/>
              </w:rPr>
            </w:pPr>
            <w:r>
              <w:rPr>
                <w:rFonts w:hint="eastAsia" w:ascii="宋体" w:hAnsi="宋体" w:cs="宋体"/>
                <w:color w:val="auto"/>
                <w:kern w:val="0"/>
                <w:sz w:val="22"/>
                <w:szCs w:val="22"/>
              </w:rPr>
              <w:t>16</w:t>
            </w:r>
          </w:p>
        </w:tc>
        <w:tc>
          <w:tcPr>
            <w:tcW w:w="1830" w:type="dxa"/>
            <w:tcBorders>
              <w:top w:val="single" w:color="auto" w:sz="4" w:space="0"/>
              <w:left w:val="single" w:color="auto" w:sz="4" w:space="0"/>
              <w:bottom w:val="single" w:color="auto" w:sz="4" w:space="0"/>
              <w:right w:val="single" w:color="auto" w:sz="4" w:space="0"/>
            </w:tcBorders>
            <w:vAlign w:val="center"/>
          </w:tcPr>
          <w:p w14:paraId="4FBF3A03">
            <w:pPr>
              <w:spacing w:line="360" w:lineRule="exact"/>
              <w:rPr>
                <w:rFonts w:ascii="宋体" w:hAnsi="宋体" w:cs="宋体"/>
                <w:color w:val="auto"/>
                <w:kern w:val="0"/>
                <w:sz w:val="22"/>
                <w:szCs w:val="22"/>
              </w:rPr>
            </w:pPr>
            <w:r>
              <w:rPr>
                <w:rFonts w:hint="eastAsia" w:ascii="宋体" w:hAnsi="宋体" w:cs="宋体"/>
                <w:color w:val="auto"/>
                <w:kern w:val="0"/>
                <w:sz w:val="22"/>
                <w:szCs w:val="22"/>
              </w:rPr>
              <w:t>响应文件的编制</w:t>
            </w:r>
          </w:p>
        </w:tc>
        <w:tc>
          <w:tcPr>
            <w:tcW w:w="7397" w:type="dxa"/>
            <w:tcBorders>
              <w:top w:val="single" w:color="auto" w:sz="4" w:space="0"/>
              <w:left w:val="single" w:color="auto" w:sz="4" w:space="0"/>
              <w:bottom w:val="single" w:color="auto" w:sz="4" w:space="0"/>
              <w:right w:val="single" w:color="auto" w:sz="4" w:space="0"/>
            </w:tcBorders>
            <w:vAlign w:val="center"/>
          </w:tcPr>
          <w:p w14:paraId="7D8184EA">
            <w:pPr>
              <w:spacing w:line="360" w:lineRule="exact"/>
              <w:rPr>
                <w:rFonts w:ascii="宋体" w:hAnsi="宋体" w:cs="宋体"/>
                <w:color w:val="auto"/>
                <w:kern w:val="0"/>
                <w:sz w:val="22"/>
                <w:szCs w:val="22"/>
              </w:rPr>
            </w:pPr>
            <w:r>
              <w:rPr>
                <w:rFonts w:hint="eastAsia" w:ascii="宋体" w:hAnsi="宋体" w:cs="宋体"/>
                <w:color w:val="auto"/>
                <w:kern w:val="0"/>
                <w:sz w:val="22"/>
                <w:szCs w:val="22"/>
              </w:rPr>
              <w:t>详见第二部分“磋商供应商须知”第三款</w:t>
            </w:r>
          </w:p>
        </w:tc>
      </w:tr>
      <w:tr w14:paraId="658CA7E6">
        <w:tblPrEx>
          <w:tblCellMar>
            <w:top w:w="0" w:type="dxa"/>
            <w:left w:w="108" w:type="dxa"/>
            <w:bottom w:w="0" w:type="dxa"/>
            <w:right w:w="108" w:type="dxa"/>
          </w:tblCellMar>
        </w:tblPrEx>
        <w:trPr>
          <w:trHeight w:val="23" w:hRule="atLeast"/>
        </w:trPr>
        <w:tc>
          <w:tcPr>
            <w:tcW w:w="731" w:type="dxa"/>
            <w:tcBorders>
              <w:top w:val="single" w:color="auto" w:sz="4" w:space="0"/>
              <w:left w:val="single" w:color="auto" w:sz="4" w:space="0"/>
              <w:bottom w:val="single" w:color="auto" w:sz="4" w:space="0"/>
              <w:right w:val="single" w:color="auto" w:sz="4" w:space="0"/>
            </w:tcBorders>
            <w:vAlign w:val="center"/>
          </w:tcPr>
          <w:p w14:paraId="7AE7B07D">
            <w:pPr>
              <w:spacing w:line="360" w:lineRule="exact"/>
              <w:jc w:val="center"/>
              <w:rPr>
                <w:rFonts w:ascii="宋体" w:hAnsi="宋体" w:cs="宋体"/>
                <w:color w:val="auto"/>
                <w:kern w:val="0"/>
                <w:sz w:val="22"/>
                <w:szCs w:val="22"/>
              </w:rPr>
            </w:pPr>
            <w:r>
              <w:rPr>
                <w:rFonts w:hint="eastAsia" w:ascii="宋体" w:hAnsi="宋体" w:cs="宋体"/>
                <w:color w:val="auto"/>
                <w:kern w:val="0"/>
                <w:sz w:val="22"/>
                <w:szCs w:val="22"/>
              </w:rPr>
              <w:t>17</w:t>
            </w:r>
          </w:p>
        </w:tc>
        <w:tc>
          <w:tcPr>
            <w:tcW w:w="1830" w:type="dxa"/>
            <w:tcBorders>
              <w:top w:val="single" w:color="auto" w:sz="4" w:space="0"/>
              <w:left w:val="single" w:color="auto" w:sz="4" w:space="0"/>
              <w:bottom w:val="single" w:color="auto" w:sz="4" w:space="0"/>
              <w:right w:val="single" w:color="auto" w:sz="4" w:space="0"/>
            </w:tcBorders>
            <w:vAlign w:val="center"/>
          </w:tcPr>
          <w:p w14:paraId="242E72E2">
            <w:pPr>
              <w:snapToGrid w:val="0"/>
              <w:spacing w:line="360" w:lineRule="exact"/>
              <w:jc w:val="center"/>
              <w:rPr>
                <w:rFonts w:ascii="宋体" w:hAnsi="宋体" w:cs="宋体"/>
                <w:color w:val="auto"/>
                <w:kern w:val="0"/>
                <w:sz w:val="22"/>
                <w:szCs w:val="22"/>
              </w:rPr>
            </w:pPr>
            <w:r>
              <w:rPr>
                <w:rFonts w:hint="eastAsia" w:ascii="宋体" w:hAnsi="宋体" w:cs="宋体"/>
                <w:color w:val="auto"/>
                <w:kern w:val="0"/>
                <w:sz w:val="22"/>
                <w:szCs w:val="22"/>
              </w:rPr>
              <w:t>响应文件形式、制作及组成</w:t>
            </w:r>
          </w:p>
        </w:tc>
        <w:tc>
          <w:tcPr>
            <w:tcW w:w="7397" w:type="dxa"/>
            <w:tcBorders>
              <w:top w:val="single" w:color="auto" w:sz="4" w:space="0"/>
              <w:left w:val="single" w:color="auto" w:sz="4" w:space="0"/>
              <w:bottom w:val="single" w:color="auto" w:sz="4" w:space="0"/>
              <w:right w:val="single" w:color="auto" w:sz="4" w:space="0"/>
            </w:tcBorders>
            <w:vAlign w:val="center"/>
          </w:tcPr>
          <w:p w14:paraId="18511D65">
            <w:pPr>
              <w:pStyle w:val="18"/>
              <w:snapToGrid w:val="0"/>
              <w:spacing w:line="360" w:lineRule="exact"/>
              <w:rPr>
                <w:rFonts w:hAnsi="宋体" w:cs="宋体"/>
                <w:b/>
                <w:bCs/>
                <w:color w:val="auto"/>
                <w:sz w:val="22"/>
                <w:szCs w:val="22"/>
              </w:rPr>
            </w:pPr>
            <w:r>
              <w:rPr>
                <w:rFonts w:hint="eastAsia" w:hAnsi="宋体" w:cs="宋体"/>
                <w:b/>
                <w:bCs/>
                <w:color w:val="auto"/>
                <w:sz w:val="22"/>
                <w:szCs w:val="22"/>
              </w:rPr>
              <w:t>本项目实行网上电子投标。</w:t>
            </w:r>
          </w:p>
          <w:p w14:paraId="30DD7791">
            <w:pPr>
              <w:pStyle w:val="18"/>
              <w:snapToGrid w:val="0"/>
              <w:spacing w:line="360" w:lineRule="exact"/>
              <w:rPr>
                <w:rFonts w:hAnsi="宋体" w:cs="宋体"/>
                <w:b/>
                <w:bCs/>
                <w:color w:val="auto"/>
                <w:sz w:val="22"/>
                <w:szCs w:val="22"/>
              </w:rPr>
            </w:pPr>
            <w:r>
              <w:rPr>
                <w:rFonts w:hint="eastAsia" w:hAnsi="宋体" w:cs="宋体"/>
                <w:b/>
                <w:bCs/>
                <w:color w:val="auto"/>
                <w:sz w:val="22"/>
                <w:szCs w:val="22"/>
              </w:rPr>
              <w:t>供应商应准备电子响应文件、以介质存储的数据电文形式的备份响应文件二类：</w:t>
            </w:r>
          </w:p>
          <w:p w14:paraId="53A64199">
            <w:pPr>
              <w:pStyle w:val="18"/>
              <w:snapToGrid w:val="0"/>
              <w:spacing w:line="360" w:lineRule="exact"/>
              <w:ind w:firstLine="221" w:firstLineChars="100"/>
              <w:rPr>
                <w:rFonts w:hAnsi="宋体" w:cs="宋体"/>
                <w:b/>
                <w:bCs/>
                <w:color w:val="auto"/>
                <w:sz w:val="22"/>
                <w:szCs w:val="22"/>
              </w:rPr>
            </w:pPr>
            <w:r>
              <w:rPr>
                <w:rFonts w:hint="eastAsia" w:hAnsi="宋体" w:cs="宋体"/>
                <w:b/>
                <w:bCs/>
                <w:color w:val="auto"/>
                <w:sz w:val="22"/>
                <w:szCs w:val="22"/>
              </w:rPr>
              <w:t>(1)电子响应文件：通过政采云电子交易客户端（政采云投标客户端）完成响应文件编制后生成并加密的数据电文形式的响应文件（文件扩展名为.jmbs）</w:t>
            </w:r>
            <w:r>
              <w:rPr>
                <w:rFonts w:hint="eastAsia" w:hAnsi="宋体" w:cs="宋体"/>
                <w:b/>
                <w:bCs/>
                <w:color w:val="auto"/>
                <w:sz w:val="22"/>
                <w:szCs w:val="22"/>
                <w:lang w:val="zh-CN"/>
              </w:rPr>
              <w:t>。</w:t>
            </w:r>
          </w:p>
          <w:p w14:paraId="5A51A6F1">
            <w:pPr>
              <w:spacing w:line="360" w:lineRule="exact"/>
              <w:ind w:firstLine="221" w:firstLineChars="100"/>
              <w:rPr>
                <w:rStyle w:val="41"/>
                <w:rFonts w:ascii="宋体" w:hAnsi="宋体" w:cs="宋体"/>
                <w:bCs/>
                <w:color w:val="auto"/>
                <w:sz w:val="22"/>
                <w:szCs w:val="22"/>
              </w:rPr>
            </w:pPr>
            <w:r>
              <w:rPr>
                <w:rFonts w:hint="eastAsia" w:ascii="宋体" w:hAnsi="宋体" w:cs="宋体"/>
                <w:b/>
                <w:bCs/>
                <w:color w:val="auto"/>
                <w:sz w:val="22"/>
                <w:szCs w:val="22"/>
              </w:rPr>
              <w:t>(2)以介质存储的数据电文形式的备份响应文件：</w:t>
            </w:r>
            <w:r>
              <w:rPr>
                <w:rStyle w:val="41"/>
                <w:rFonts w:hint="eastAsia" w:ascii="宋体" w:hAnsi="宋体" w:cs="宋体"/>
                <w:bCs/>
                <w:color w:val="auto"/>
                <w:sz w:val="22"/>
                <w:szCs w:val="22"/>
              </w:rPr>
              <w:t>与“电子响应文件”同时生成的数据电文形式的备份响应文件(文件扩展名为.bfbs)</w:t>
            </w:r>
            <w:r>
              <w:rPr>
                <w:rFonts w:hint="eastAsia" w:ascii="宋体" w:hAnsi="宋体" w:cs="宋体"/>
                <w:b/>
                <w:bCs/>
                <w:color w:val="auto"/>
                <w:sz w:val="22"/>
                <w:szCs w:val="22"/>
              </w:rPr>
              <w:t>，响应文件提交截止时间前以</w:t>
            </w:r>
            <w:r>
              <w:rPr>
                <w:rFonts w:hint="eastAsia" w:ascii="宋体" w:hAnsi="宋体" w:cs="宋体"/>
                <w:b/>
                <w:bCs/>
                <w:color w:val="auto"/>
                <w:sz w:val="22"/>
                <w:szCs w:val="22"/>
                <w:lang w:val="zh-CN"/>
              </w:rPr>
              <w:t>电子邮件方式传送至</w:t>
            </w:r>
            <w:r>
              <w:rPr>
                <w:rFonts w:hint="eastAsia" w:ascii="宋体" w:hAnsi="宋体" w:cs="宋体"/>
                <w:b/>
                <w:bCs/>
                <w:color w:val="auto"/>
                <w:sz w:val="22"/>
                <w:szCs w:val="22"/>
              </w:rPr>
              <w:t>温州正风招标代理</w:t>
            </w:r>
            <w:r>
              <w:rPr>
                <w:rFonts w:hint="eastAsia" w:ascii="宋体" w:hAnsi="宋体" w:cs="宋体"/>
                <w:b/>
                <w:bCs/>
                <w:color w:val="auto"/>
                <w:sz w:val="22"/>
                <w:szCs w:val="22"/>
                <w:lang w:val="zh-CN"/>
              </w:rPr>
              <w:t>有限公司电子邮箱</w:t>
            </w:r>
            <w:r>
              <w:rPr>
                <w:rFonts w:hint="eastAsia" w:ascii="宋体" w:hAnsi="宋体" w:cs="宋体"/>
                <w:b/>
                <w:bCs/>
                <w:color w:val="auto"/>
                <w:sz w:val="22"/>
                <w:szCs w:val="22"/>
                <w:u w:val="single"/>
                <w:lang w:val="en-US" w:eastAsia="zh-CN"/>
              </w:rPr>
              <w:t>41396739</w:t>
            </w:r>
            <w:r>
              <w:rPr>
                <w:rFonts w:hint="eastAsia" w:ascii="宋体" w:hAnsi="宋体"/>
                <w:b/>
                <w:bCs/>
                <w:color w:val="auto"/>
                <w:szCs w:val="22"/>
                <w:u w:val="single"/>
              </w:rPr>
              <w:t>@qq.com</w:t>
            </w:r>
            <w:r>
              <w:rPr>
                <w:rFonts w:hint="eastAsia" w:ascii="宋体" w:hAnsi="宋体" w:cs="宋体"/>
                <w:b/>
                <w:bCs/>
                <w:color w:val="auto"/>
                <w:sz w:val="22"/>
                <w:szCs w:val="22"/>
              </w:rPr>
              <w:t>，</w:t>
            </w:r>
            <w:r>
              <w:rPr>
                <w:rFonts w:hint="eastAsia" w:ascii="宋体" w:hAnsi="宋体" w:cs="宋体"/>
                <w:b/>
                <w:bCs/>
                <w:color w:val="auto"/>
                <w:sz w:val="22"/>
                <w:szCs w:val="22"/>
                <w:lang w:val="zh-CN"/>
              </w:rPr>
              <w:t>递交</w:t>
            </w:r>
            <w:r>
              <w:rPr>
                <w:rFonts w:hint="eastAsia" w:ascii="宋体" w:hAnsi="宋体" w:cs="宋体"/>
                <w:b/>
                <w:bCs/>
                <w:color w:val="auto"/>
                <w:sz w:val="22"/>
                <w:szCs w:val="22"/>
              </w:rPr>
              <w:t>1</w:t>
            </w:r>
            <w:r>
              <w:rPr>
                <w:rFonts w:hint="eastAsia" w:ascii="宋体" w:hAnsi="宋体" w:cs="宋体"/>
                <w:b/>
                <w:bCs/>
                <w:color w:val="auto"/>
                <w:sz w:val="22"/>
                <w:szCs w:val="22"/>
                <w:lang w:val="zh-CN"/>
              </w:rPr>
              <w:t>份</w:t>
            </w:r>
            <w:r>
              <w:rPr>
                <w:rFonts w:hint="eastAsia" w:ascii="宋体" w:hAnsi="宋体" w:cs="宋体"/>
                <w:b/>
                <w:bCs/>
                <w:color w:val="auto"/>
                <w:sz w:val="22"/>
                <w:szCs w:val="22"/>
              </w:rPr>
              <w:t>，</w:t>
            </w:r>
            <w:r>
              <w:rPr>
                <w:rFonts w:hint="eastAsia" w:ascii="宋体" w:hAnsi="宋体" w:cs="宋体"/>
                <w:b/>
                <w:bCs/>
                <w:color w:val="auto"/>
                <w:sz w:val="22"/>
                <w:szCs w:val="22"/>
                <w:lang w:val="zh-CN"/>
              </w:rPr>
              <w:t>传送的备份响应文件需打包压缩并加密</w:t>
            </w:r>
            <w:r>
              <w:rPr>
                <w:rFonts w:hint="eastAsia" w:ascii="宋体" w:hAnsi="宋体" w:cs="宋体"/>
                <w:b/>
                <w:bCs/>
                <w:color w:val="auto"/>
                <w:sz w:val="22"/>
                <w:szCs w:val="22"/>
              </w:rPr>
              <w:t>，</w:t>
            </w:r>
            <w:r>
              <w:rPr>
                <w:rFonts w:hint="eastAsia" w:ascii="宋体" w:hAnsi="宋体" w:cs="宋体"/>
                <w:b/>
                <w:bCs/>
                <w:color w:val="auto"/>
                <w:sz w:val="22"/>
                <w:szCs w:val="22"/>
                <w:lang w:val="zh-CN"/>
              </w:rPr>
              <w:t>加密密码由供应商自行保管</w:t>
            </w:r>
            <w:r>
              <w:rPr>
                <w:rFonts w:hint="eastAsia" w:ascii="宋体" w:hAnsi="宋体" w:cs="宋体"/>
                <w:b/>
                <w:bCs/>
                <w:color w:val="auto"/>
                <w:sz w:val="22"/>
                <w:szCs w:val="22"/>
              </w:rPr>
              <w:t>，未加密导致投标信息泄露的风险由供应商自行承担。</w:t>
            </w:r>
          </w:p>
          <w:p w14:paraId="11DA9441">
            <w:pPr>
              <w:pStyle w:val="18"/>
              <w:snapToGrid w:val="0"/>
              <w:spacing w:line="360" w:lineRule="exact"/>
              <w:rPr>
                <w:rFonts w:hAnsi="宋体" w:cs="宋体"/>
                <w:color w:val="auto"/>
                <w:sz w:val="22"/>
                <w:szCs w:val="22"/>
              </w:rPr>
            </w:pPr>
            <w:r>
              <w:rPr>
                <w:rFonts w:hint="eastAsia" w:hAnsi="宋体" w:cs="宋体"/>
                <w:b/>
                <w:bCs/>
                <w:color w:val="auto"/>
                <w:sz w:val="22"/>
                <w:szCs w:val="22"/>
              </w:rPr>
              <w:t>响应文件由报价文件、</w:t>
            </w:r>
            <w:r>
              <w:rPr>
                <w:rFonts w:hint="eastAsia" w:hAnsi="宋体" w:cs="宋体"/>
                <w:b/>
                <w:color w:val="auto"/>
                <w:sz w:val="22"/>
                <w:szCs w:val="22"/>
              </w:rPr>
              <w:t>资格文件、商务</w:t>
            </w:r>
            <w:r>
              <w:rPr>
                <w:rFonts w:hint="eastAsia" w:hAnsi="宋体" w:cs="宋体"/>
                <w:b/>
                <w:bCs/>
                <w:color w:val="auto"/>
                <w:sz w:val="22"/>
                <w:szCs w:val="22"/>
              </w:rPr>
              <w:t>技术文件三部分组成。</w:t>
            </w:r>
          </w:p>
        </w:tc>
      </w:tr>
      <w:tr w14:paraId="4A2CFA32">
        <w:tblPrEx>
          <w:tblCellMar>
            <w:top w:w="0" w:type="dxa"/>
            <w:left w:w="108" w:type="dxa"/>
            <w:bottom w:w="0" w:type="dxa"/>
            <w:right w:w="108" w:type="dxa"/>
          </w:tblCellMar>
        </w:tblPrEx>
        <w:trPr>
          <w:trHeight w:val="23" w:hRule="atLeast"/>
        </w:trPr>
        <w:tc>
          <w:tcPr>
            <w:tcW w:w="731" w:type="dxa"/>
            <w:tcBorders>
              <w:top w:val="single" w:color="auto" w:sz="4" w:space="0"/>
              <w:left w:val="single" w:color="auto" w:sz="4" w:space="0"/>
              <w:bottom w:val="single" w:color="auto" w:sz="4" w:space="0"/>
              <w:right w:val="single" w:color="auto" w:sz="4" w:space="0"/>
            </w:tcBorders>
            <w:vAlign w:val="center"/>
          </w:tcPr>
          <w:p w14:paraId="07D9A835">
            <w:pPr>
              <w:spacing w:line="360" w:lineRule="exact"/>
              <w:jc w:val="center"/>
              <w:rPr>
                <w:rFonts w:ascii="宋体" w:hAnsi="宋体" w:cs="宋体"/>
                <w:color w:val="auto"/>
                <w:kern w:val="0"/>
                <w:sz w:val="22"/>
                <w:szCs w:val="22"/>
              </w:rPr>
            </w:pPr>
            <w:r>
              <w:rPr>
                <w:rFonts w:hint="eastAsia" w:ascii="宋体" w:hAnsi="宋体" w:cs="宋体"/>
                <w:color w:val="auto"/>
                <w:sz w:val="22"/>
                <w:szCs w:val="22"/>
              </w:rPr>
              <w:t>18</w:t>
            </w:r>
          </w:p>
        </w:tc>
        <w:tc>
          <w:tcPr>
            <w:tcW w:w="1830" w:type="dxa"/>
            <w:tcBorders>
              <w:top w:val="single" w:color="auto" w:sz="4" w:space="0"/>
              <w:left w:val="single" w:color="auto" w:sz="4" w:space="0"/>
              <w:bottom w:val="single" w:color="auto" w:sz="4" w:space="0"/>
              <w:right w:val="single" w:color="auto" w:sz="4" w:space="0"/>
            </w:tcBorders>
            <w:vAlign w:val="center"/>
          </w:tcPr>
          <w:p w14:paraId="082D7706">
            <w:pPr>
              <w:jc w:val="center"/>
              <w:rPr>
                <w:rFonts w:ascii="宋体" w:hAnsi="宋体" w:cs="宋体"/>
                <w:color w:val="auto"/>
                <w:kern w:val="0"/>
                <w:sz w:val="22"/>
                <w:szCs w:val="22"/>
              </w:rPr>
            </w:pPr>
            <w:r>
              <w:rPr>
                <w:rFonts w:hint="eastAsia" w:ascii="宋体" w:hAnsi="宋体" w:cs="宋体"/>
                <w:color w:val="auto"/>
                <w:kern w:val="0"/>
                <w:sz w:val="22"/>
                <w:szCs w:val="22"/>
              </w:rPr>
              <w:t>电子招投标特殊情况处理方式</w:t>
            </w:r>
          </w:p>
        </w:tc>
        <w:tc>
          <w:tcPr>
            <w:tcW w:w="7397" w:type="dxa"/>
            <w:tcBorders>
              <w:top w:val="single" w:color="auto" w:sz="4" w:space="0"/>
              <w:left w:val="single" w:color="auto" w:sz="4" w:space="0"/>
              <w:bottom w:val="single" w:color="auto" w:sz="4" w:space="0"/>
              <w:right w:val="single" w:color="auto" w:sz="4" w:space="0"/>
            </w:tcBorders>
            <w:vAlign w:val="center"/>
          </w:tcPr>
          <w:p w14:paraId="5979E5B6">
            <w:pPr>
              <w:spacing w:line="360" w:lineRule="exact"/>
              <w:rPr>
                <w:rFonts w:ascii="宋体" w:hAnsi="宋体" w:cs="宋体"/>
                <w:b/>
                <w:bCs/>
                <w:color w:val="auto"/>
                <w:sz w:val="22"/>
                <w:szCs w:val="22"/>
              </w:rPr>
            </w:pPr>
            <w:r>
              <w:rPr>
                <w:rFonts w:hint="eastAsia" w:ascii="宋体" w:hAnsi="宋体" w:cs="宋体"/>
                <w:b/>
                <w:bCs/>
                <w:color w:val="auto"/>
                <w:sz w:val="22"/>
                <w:szCs w:val="22"/>
              </w:rPr>
              <w:t>本项目原则上采用政采云电子招投标开标及评审程序，但有下情形之一的，按以下情况处理：</w:t>
            </w:r>
          </w:p>
          <w:p w14:paraId="1A07CED9">
            <w:pPr>
              <w:spacing w:line="360" w:lineRule="exact"/>
              <w:rPr>
                <w:rFonts w:ascii="宋体" w:hAnsi="宋体" w:cs="宋体"/>
                <w:color w:val="auto"/>
                <w:kern w:val="0"/>
                <w:sz w:val="22"/>
                <w:szCs w:val="22"/>
              </w:rPr>
            </w:pPr>
            <w:r>
              <w:rPr>
                <w:rFonts w:hint="eastAsia" w:ascii="宋体" w:hAnsi="宋体" w:cs="宋体"/>
                <w:b/>
                <w:bCs/>
                <w:color w:val="auto"/>
                <w:sz w:val="22"/>
                <w:szCs w:val="22"/>
              </w:rPr>
              <w:t>若供应商在规定时间内无法解密或解密失败，采购代理机构将开启所有供应商递交的以介质存储的数据电文形式的备份响应文件，上传至政采云平台项目采购模块，以完成开标，电子响应文件自动失效。</w:t>
            </w:r>
          </w:p>
        </w:tc>
      </w:tr>
      <w:tr w14:paraId="644C9460">
        <w:tblPrEx>
          <w:tblCellMar>
            <w:top w:w="0" w:type="dxa"/>
            <w:left w:w="108" w:type="dxa"/>
            <w:bottom w:w="0" w:type="dxa"/>
            <w:right w:w="108" w:type="dxa"/>
          </w:tblCellMar>
        </w:tblPrEx>
        <w:trPr>
          <w:trHeight w:val="23" w:hRule="atLeast"/>
        </w:trPr>
        <w:tc>
          <w:tcPr>
            <w:tcW w:w="731" w:type="dxa"/>
            <w:tcBorders>
              <w:top w:val="single" w:color="auto" w:sz="4" w:space="0"/>
              <w:left w:val="single" w:color="auto" w:sz="4" w:space="0"/>
              <w:bottom w:val="single" w:color="auto" w:sz="4" w:space="0"/>
              <w:right w:val="single" w:color="auto" w:sz="4" w:space="0"/>
            </w:tcBorders>
            <w:vAlign w:val="center"/>
          </w:tcPr>
          <w:p w14:paraId="496580CE">
            <w:pPr>
              <w:spacing w:line="360" w:lineRule="exact"/>
              <w:jc w:val="center"/>
              <w:rPr>
                <w:rFonts w:ascii="宋体" w:hAnsi="宋体" w:cs="宋体"/>
                <w:color w:val="auto"/>
                <w:kern w:val="0"/>
                <w:sz w:val="22"/>
                <w:szCs w:val="22"/>
              </w:rPr>
            </w:pPr>
            <w:r>
              <w:rPr>
                <w:rFonts w:hint="eastAsia" w:ascii="宋体" w:hAnsi="宋体" w:cs="宋体"/>
                <w:color w:val="auto"/>
                <w:kern w:val="0"/>
                <w:sz w:val="22"/>
                <w:szCs w:val="22"/>
              </w:rPr>
              <w:t>19</w:t>
            </w:r>
          </w:p>
        </w:tc>
        <w:tc>
          <w:tcPr>
            <w:tcW w:w="1830" w:type="dxa"/>
            <w:tcBorders>
              <w:top w:val="single" w:color="auto" w:sz="4" w:space="0"/>
              <w:left w:val="single" w:color="auto" w:sz="4" w:space="0"/>
              <w:bottom w:val="single" w:color="auto" w:sz="4" w:space="0"/>
              <w:right w:val="single" w:color="auto" w:sz="4" w:space="0"/>
            </w:tcBorders>
            <w:vAlign w:val="center"/>
          </w:tcPr>
          <w:p w14:paraId="4A69FA79">
            <w:pPr>
              <w:spacing w:line="360" w:lineRule="exact"/>
              <w:jc w:val="center"/>
              <w:rPr>
                <w:rFonts w:ascii="宋体" w:hAnsi="宋体" w:cs="宋体"/>
                <w:color w:val="auto"/>
                <w:kern w:val="0"/>
                <w:sz w:val="22"/>
                <w:szCs w:val="22"/>
              </w:rPr>
            </w:pPr>
            <w:r>
              <w:rPr>
                <w:rFonts w:hint="eastAsia" w:ascii="宋体" w:hAnsi="宋体" w:cs="宋体"/>
                <w:color w:val="auto"/>
                <w:kern w:val="0"/>
                <w:sz w:val="22"/>
                <w:szCs w:val="22"/>
              </w:rPr>
              <w:t>开评标程序</w:t>
            </w:r>
          </w:p>
        </w:tc>
        <w:tc>
          <w:tcPr>
            <w:tcW w:w="7397" w:type="dxa"/>
            <w:tcBorders>
              <w:top w:val="single" w:color="auto" w:sz="4" w:space="0"/>
              <w:left w:val="single" w:color="auto" w:sz="4" w:space="0"/>
              <w:bottom w:val="single" w:color="auto" w:sz="4" w:space="0"/>
              <w:right w:val="single" w:color="auto" w:sz="4" w:space="0"/>
            </w:tcBorders>
            <w:vAlign w:val="center"/>
          </w:tcPr>
          <w:p w14:paraId="4B936BDE">
            <w:pPr>
              <w:spacing w:line="360" w:lineRule="exact"/>
              <w:rPr>
                <w:rFonts w:ascii="宋体" w:hAnsi="宋体" w:cs="宋体"/>
                <w:color w:val="auto"/>
                <w:sz w:val="22"/>
                <w:szCs w:val="22"/>
              </w:rPr>
            </w:pPr>
            <w:r>
              <w:rPr>
                <w:rFonts w:hint="eastAsia" w:ascii="宋体" w:hAnsi="宋体" w:cs="宋体"/>
                <w:color w:val="auto"/>
                <w:kern w:val="0"/>
                <w:sz w:val="22"/>
                <w:szCs w:val="22"/>
              </w:rPr>
              <w:t>待开标→磋商响应文件在线解密→代理机构或采购人在线</w:t>
            </w:r>
            <w:r>
              <w:rPr>
                <w:rFonts w:hint="eastAsia" w:ascii="宋体" w:hAnsi="宋体" w:cs="宋体"/>
                <w:color w:val="auto"/>
                <w:sz w:val="22"/>
                <w:szCs w:val="22"/>
              </w:rPr>
              <w:t>资格性审查</w:t>
            </w:r>
            <w:r>
              <w:rPr>
                <w:rFonts w:hint="eastAsia" w:ascii="宋体" w:hAnsi="宋体" w:cs="宋体"/>
                <w:color w:val="auto"/>
                <w:kern w:val="0"/>
                <w:sz w:val="22"/>
                <w:szCs w:val="22"/>
              </w:rPr>
              <w:t>→磋商小组在线符合性审查→系统开启二次报价→专家在线评标→磋商小组对最终报价情况进行评审→</w:t>
            </w:r>
            <w:r>
              <w:rPr>
                <w:rFonts w:hint="eastAsia" w:ascii="宋体" w:hAnsi="宋体" w:cs="宋体"/>
                <w:color w:val="auto"/>
                <w:sz w:val="22"/>
                <w:szCs w:val="22"/>
              </w:rPr>
              <w:t>系统公布评审结果</w:t>
            </w:r>
          </w:p>
          <w:p w14:paraId="27FA179E">
            <w:pPr>
              <w:spacing w:line="360" w:lineRule="exact"/>
              <w:rPr>
                <w:rFonts w:ascii="宋体" w:hAnsi="宋体" w:cs="宋体"/>
                <w:color w:val="auto"/>
                <w:kern w:val="0"/>
                <w:sz w:val="22"/>
                <w:szCs w:val="22"/>
              </w:rPr>
            </w:pPr>
            <w:r>
              <w:rPr>
                <w:rFonts w:hint="eastAsia" w:ascii="宋体" w:hAnsi="宋体" w:cs="宋体"/>
                <w:color w:val="auto"/>
                <w:sz w:val="22"/>
                <w:szCs w:val="22"/>
              </w:rPr>
              <w:t>上述程序将根据政采云电子评标系统的调整而变动。</w:t>
            </w:r>
          </w:p>
        </w:tc>
      </w:tr>
      <w:tr w14:paraId="6BA94EFA">
        <w:tblPrEx>
          <w:tblCellMar>
            <w:top w:w="0" w:type="dxa"/>
            <w:left w:w="108" w:type="dxa"/>
            <w:bottom w:w="0" w:type="dxa"/>
            <w:right w:w="108" w:type="dxa"/>
          </w:tblCellMar>
        </w:tblPrEx>
        <w:trPr>
          <w:trHeight w:val="23" w:hRule="atLeast"/>
        </w:trPr>
        <w:tc>
          <w:tcPr>
            <w:tcW w:w="731" w:type="dxa"/>
            <w:tcBorders>
              <w:top w:val="single" w:color="auto" w:sz="4" w:space="0"/>
              <w:left w:val="single" w:color="auto" w:sz="4" w:space="0"/>
              <w:bottom w:val="single" w:color="auto" w:sz="4" w:space="0"/>
              <w:right w:val="single" w:color="auto" w:sz="4" w:space="0"/>
            </w:tcBorders>
            <w:vAlign w:val="center"/>
          </w:tcPr>
          <w:p w14:paraId="6C9718B3">
            <w:pPr>
              <w:spacing w:line="360" w:lineRule="exact"/>
              <w:jc w:val="center"/>
              <w:rPr>
                <w:rFonts w:ascii="宋体" w:hAnsi="宋体" w:cs="宋体"/>
                <w:color w:val="auto"/>
                <w:kern w:val="0"/>
                <w:sz w:val="22"/>
                <w:szCs w:val="22"/>
              </w:rPr>
            </w:pPr>
            <w:r>
              <w:rPr>
                <w:rFonts w:hint="eastAsia" w:ascii="宋体" w:hAnsi="宋体" w:cs="宋体"/>
                <w:color w:val="auto"/>
                <w:kern w:val="0"/>
                <w:sz w:val="22"/>
                <w:szCs w:val="22"/>
              </w:rPr>
              <w:t>20</w:t>
            </w:r>
          </w:p>
        </w:tc>
        <w:tc>
          <w:tcPr>
            <w:tcW w:w="1830" w:type="dxa"/>
            <w:tcBorders>
              <w:top w:val="single" w:color="auto" w:sz="4" w:space="0"/>
              <w:left w:val="single" w:color="auto" w:sz="4" w:space="0"/>
              <w:bottom w:val="single" w:color="auto" w:sz="4" w:space="0"/>
              <w:right w:val="single" w:color="auto" w:sz="4" w:space="0"/>
            </w:tcBorders>
            <w:vAlign w:val="center"/>
          </w:tcPr>
          <w:p w14:paraId="6C61A732">
            <w:pPr>
              <w:spacing w:line="360" w:lineRule="exact"/>
              <w:jc w:val="center"/>
              <w:rPr>
                <w:rFonts w:ascii="宋体" w:hAnsi="宋体" w:cs="宋体"/>
                <w:color w:val="auto"/>
                <w:kern w:val="0"/>
                <w:sz w:val="22"/>
                <w:szCs w:val="22"/>
              </w:rPr>
            </w:pPr>
            <w:r>
              <w:rPr>
                <w:rFonts w:hint="eastAsia" w:ascii="宋体" w:hAnsi="宋体" w:cs="宋体"/>
                <w:color w:val="auto"/>
                <w:kern w:val="0"/>
                <w:sz w:val="22"/>
                <w:szCs w:val="22"/>
              </w:rPr>
              <w:t>磋商小组的组建</w:t>
            </w:r>
          </w:p>
        </w:tc>
        <w:tc>
          <w:tcPr>
            <w:tcW w:w="7397" w:type="dxa"/>
            <w:tcBorders>
              <w:top w:val="single" w:color="auto" w:sz="4" w:space="0"/>
              <w:left w:val="single" w:color="auto" w:sz="4" w:space="0"/>
              <w:bottom w:val="single" w:color="auto" w:sz="4" w:space="0"/>
              <w:right w:val="single" w:color="auto" w:sz="4" w:space="0"/>
            </w:tcBorders>
            <w:vAlign w:val="center"/>
          </w:tcPr>
          <w:p w14:paraId="5AEF34D9">
            <w:pPr>
              <w:spacing w:line="360" w:lineRule="exact"/>
              <w:rPr>
                <w:rFonts w:ascii="宋体" w:hAnsi="宋体" w:cs="宋体"/>
                <w:color w:val="auto"/>
                <w:sz w:val="22"/>
                <w:szCs w:val="22"/>
              </w:rPr>
            </w:pPr>
            <w:r>
              <w:rPr>
                <w:rFonts w:hint="eastAsia" w:ascii="宋体" w:hAnsi="宋体" w:cs="宋体"/>
                <w:color w:val="auto"/>
                <w:kern w:val="0"/>
                <w:sz w:val="22"/>
                <w:szCs w:val="22"/>
              </w:rPr>
              <w:t>磋商小组由采购人代表和有关技术、经济等方面的专家组成，成员人数为3人或以上单数，除采购人代表外的专家将在温州市财政局的评标专家库中随机抽取产生。</w:t>
            </w:r>
          </w:p>
        </w:tc>
      </w:tr>
      <w:tr w14:paraId="16E512B4">
        <w:tblPrEx>
          <w:tblCellMar>
            <w:top w:w="0" w:type="dxa"/>
            <w:left w:w="108" w:type="dxa"/>
            <w:bottom w:w="0" w:type="dxa"/>
            <w:right w:w="108" w:type="dxa"/>
          </w:tblCellMar>
        </w:tblPrEx>
        <w:trPr>
          <w:trHeight w:val="500" w:hRule="atLeast"/>
        </w:trPr>
        <w:tc>
          <w:tcPr>
            <w:tcW w:w="731" w:type="dxa"/>
            <w:tcBorders>
              <w:top w:val="single" w:color="auto" w:sz="4" w:space="0"/>
              <w:left w:val="single" w:color="auto" w:sz="4" w:space="0"/>
              <w:bottom w:val="single" w:color="auto" w:sz="4" w:space="0"/>
              <w:right w:val="single" w:color="auto" w:sz="4" w:space="0"/>
            </w:tcBorders>
            <w:vAlign w:val="center"/>
          </w:tcPr>
          <w:p w14:paraId="4B7964FF">
            <w:pPr>
              <w:spacing w:line="360" w:lineRule="exact"/>
              <w:jc w:val="center"/>
              <w:rPr>
                <w:rFonts w:ascii="宋体" w:hAnsi="宋体" w:cs="宋体"/>
                <w:color w:val="auto"/>
                <w:kern w:val="0"/>
                <w:sz w:val="22"/>
                <w:szCs w:val="22"/>
              </w:rPr>
            </w:pPr>
            <w:r>
              <w:rPr>
                <w:rFonts w:hint="eastAsia" w:ascii="宋体" w:hAnsi="宋体" w:cs="宋体"/>
                <w:color w:val="auto"/>
                <w:sz w:val="22"/>
                <w:szCs w:val="22"/>
              </w:rPr>
              <w:t>21</w:t>
            </w:r>
          </w:p>
        </w:tc>
        <w:tc>
          <w:tcPr>
            <w:tcW w:w="1830" w:type="dxa"/>
            <w:tcBorders>
              <w:top w:val="single" w:color="auto" w:sz="4" w:space="0"/>
              <w:left w:val="single" w:color="auto" w:sz="4" w:space="0"/>
              <w:bottom w:val="single" w:color="auto" w:sz="4" w:space="0"/>
              <w:right w:val="single" w:color="auto" w:sz="4" w:space="0"/>
            </w:tcBorders>
            <w:vAlign w:val="center"/>
          </w:tcPr>
          <w:p w14:paraId="03A33F73">
            <w:pPr>
              <w:spacing w:line="360" w:lineRule="exact"/>
              <w:jc w:val="center"/>
              <w:rPr>
                <w:rFonts w:hint="eastAsia" w:ascii="宋体" w:hAnsi="宋体" w:eastAsia="宋体" w:cs="宋体"/>
                <w:color w:val="auto"/>
                <w:kern w:val="0"/>
                <w:sz w:val="22"/>
                <w:szCs w:val="22"/>
                <w:lang w:eastAsia="zh-CN"/>
              </w:rPr>
            </w:pPr>
            <w:r>
              <w:rPr>
                <w:rFonts w:hint="eastAsia" w:ascii="宋体" w:hAnsi="宋体" w:cs="宋体"/>
                <w:color w:val="auto"/>
                <w:sz w:val="22"/>
                <w:szCs w:val="22"/>
              </w:rPr>
              <w:t>履约</w:t>
            </w:r>
            <w:r>
              <w:rPr>
                <w:rFonts w:hint="eastAsia" w:ascii="宋体" w:hAnsi="宋体" w:cs="宋体"/>
                <w:color w:val="auto"/>
                <w:sz w:val="22"/>
                <w:szCs w:val="22"/>
                <w:lang w:eastAsia="zh-CN"/>
              </w:rPr>
              <w:t>担保</w:t>
            </w:r>
          </w:p>
        </w:tc>
        <w:tc>
          <w:tcPr>
            <w:tcW w:w="7397" w:type="dxa"/>
            <w:tcBorders>
              <w:top w:val="single" w:color="auto" w:sz="4" w:space="0"/>
              <w:left w:val="single" w:color="auto" w:sz="4" w:space="0"/>
              <w:bottom w:val="single" w:color="auto" w:sz="4" w:space="0"/>
              <w:right w:val="single" w:color="auto" w:sz="4" w:space="0"/>
            </w:tcBorders>
            <w:vAlign w:val="center"/>
          </w:tcPr>
          <w:p w14:paraId="588A8B5E">
            <w:pPr>
              <w:spacing w:line="360" w:lineRule="exact"/>
              <w:rPr>
                <w:rFonts w:ascii="宋体" w:hAnsi="宋体" w:cs="宋体"/>
                <w:color w:val="auto"/>
                <w:sz w:val="22"/>
                <w:szCs w:val="22"/>
              </w:rPr>
            </w:pPr>
            <w:r>
              <w:rPr>
                <w:rFonts w:hint="eastAsia" w:ascii="宋体" w:hAnsi="宋体" w:cs="宋体"/>
                <w:color w:val="auto"/>
                <w:sz w:val="22"/>
                <w:szCs w:val="22"/>
              </w:rPr>
              <w:t>履约担保的形式：接受支票、汇票、本票或者金融机构、担保机构出具的保函等非现金形式。</w:t>
            </w:r>
          </w:p>
          <w:p w14:paraId="7BA7C083">
            <w:pPr>
              <w:spacing w:line="360" w:lineRule="exact"/>
              <w:rPr>
                <w:rFonts w:ascii="宋体" w:hAnsi="宋体" w:cs="宋体"/>
                <w:color w:val="auto"/>
                <w:sz w:val="22"/>
                <w:szCs w:val="22"/>
              </w:rPr>
            </w:pPr>
            <w:r>
              <w:rPr>
                <w:rFonts w:hint="eastAsia" w:ascii="宋体" w:hAnsi="宋体" w:cs="宋体"/>
                <w:color w:val="auto"/>
                <w:sz w:val="22"/>
                <w:szCs w:val="22"/>
              </w:rPr>
              <w:t>履约担保的金额：合同金额的</w:t>
            </w:r>
            <w:r>
              <w:rPr>
                <w:rFonts w:hint="eastAsia" w:ascii="宋体" w:hAnsi="宋体" w:cs="宋体"/>
                <w:color w:val="auto"/>
                <w:sz w:val="22"/>
                <w:szCs w:val="22"/>
                <w:lang w:val="en-US" w:eastAsia="zh-CN"/>
              </w:rPr>
              <w:t>1</w:t>
            </w:r>
            <w:r>
              <w:rPr>
                <w:rFonts w:hint="eastAsia" w:ascii="宋体" w:hAnsi="宋体" w:cs="宋体"/>
                <w:color w:val="auto"/>
                <w:sz w:val="22"/>
                <w:szCs w:val="22"/>
              </w:rPr>
              <w:t>%</w:t>
            </w:r>
          </w:p>
          <w:p w14:paraId="3EDF6574">
            <w:pPr>
              <w:spacing w:line="360" w:lineRule="exact"/>
              <w:rPr>
                <w:rFonts w:ascii="宋体" w:hAnsi="宋体" w:cs="宋体"/>
                <w:color w:val="auto"/>
                <w:kern w:val="0"/>
                <w:sz w:val="22"/>
                <w:szCs w:val="22"/>
              </w:rPr>
            </w:pPr>
            <w:r>
              <w:rPr>
                <w:rFonts w:hint="eastAsia" w:ascii="宋体" w:hAnsi="宋体" w:cs="宋体"/>
                <w:color w:val="auto"/>
                <w:sz w:val="22"/>
                <w:szCs w:val="22"/>
              </w:rPr>
              <w:t>供应商在签订合同后7个工作日内提交，用于补偿因供应商不能履行其合同义务而造成的损失。合同期满履约验收通过后或合同解除后扣除供应商应承担的违约赔偿责任外，剩余部分返还供应商。</w:t>
            </w:r>
          </w:p>
        </w:tc>
      </w:tr>
      <w:tr w14:paraId="7BF61F8B">
        <w:tblPrEx>
          <w:tblCellMar>
            <w:top w:w="0" w:type="dxa"/>
            <w:left w:w="108" w:type="dxa"/>
            <w:bottom w:w="0" w:type="dxa"/>
            <w:right w:w="108" w:type="dxa"/>
          </w:tblCellMar>
        </w:tblPrEx>
        <w:trPr>
          <w:trHeight w:val="23" w:hRule="atLeast"/>
        </w:trPr>
        <w:tc>
          <w:tcPr>
            <w:tcW w:w="731" w:type="dxa"/>
            <w:tcBorders>
              <w:top w:val="single" w:color="auto" w:sz="4" w:space="0"/>
              <w:left w:val="single" w:color="auto" w:sz="4" w:space="0"/>
              <w:bottom w:val="single" w:color="auto" w:sz="4" w:space="0"/>
              <w:right w:val="single" w:color="auto" w:sz="4" w:space="0"/>
            </w:tcBorders>
            <w:vAlign w:val="center"/>
          </w:tcPr>
          <w:p w14:paraId="3BAEE264">
            <w:pPr>
              <w:spacing w:line="360" w:lineRule="exact"/>
              <w:jc w:val="center"/>
              <w:rPr>
                <w:rFonts w:ascii="宋体" w:hAnsi="宋体" w:cs="宋体"/>
                <w:color w:val="auto"/>
                <w:kern w:val="0"/>
                <w:sz w:val="22"/>
                <w:szCs w:val="22"/>
              </w:rPr>
            </w:pPr>
            <w:r>
              <w:rPr>
                <w:rFonts w:hint="eastAsia" w:ascii="宋体" w:hAnsi="宋体" w:cs="宋体"/>
                <w:color w:val="auto"/>
                <w:kern w:val="0"/>
                <w:sz w:val="22"/>
                <w:szCs w:val="22"/>
              </w:rPr>
              <w:t>22</w:t>
            </w:r>
          </w:p>
        </w:tc>
        <w:tc>
          <w:tcPr>
            <w:tcW w:w="1830" w:type="dxa"/>
            <w:tcBorders>
              <w:top w:val="single" w:color="auto" w:sz="4" w:space="0"/>
              <w:left w:val="single" w:color="auto" w:sz="4" w:space="0"/>
              <w:bottom w:val="single" w:color="auto" w:sz="4" w:space="0"/>
              <w:right w:val="single" w:color="auto" w:sz="4" w:space="0"/>
            </w:tcBorders>
            <w:vAlign w:val="center"/>
          </w:tcPr>
          <w:p w14:paraId="73E9FBDF">
            <w:pPr>
              <w:spacing w:line="360" w:lineRule="exact"/>
              <w:jc w:val="center"/>
              <w:rPr>
                <w:rFonts w:ascii="宋体" w:hAnsi="宋体" w:cs="宋体"/>
                <w:color w:val="auto"/>
                <w:kern w:val="0"/>
                <w:sz w:val="22"/>
                <w:szCs w:val="22"/>
              </w:rPr>
            </w:pPr>
            <w:r>
              <w:rPr>
                <w:rFonts w:hint="eastAsia" w:ascii="宋体" w:hAnsi="宋体" w:cs="宋体"/>
                <w:color w:val="auto"/>
                <w:kern w:val="0"/>
                <w:sz w:val="22"/>
                <w:szCs w:val="22"/>
              </w:rPr>
              <w:t>磋商响应文件无效标条款</w:t>
            </w:r>
          </w:p>
        </w:tc>
        <w:tc>
          <w:tcPr>
            <w:tcW w:w="7397" w:type="dxa"/>
            <w:tcBorders>
              <w:top w:val="single" w:color="auto" w:sz="4" w:space="0"/>
              <w:left w:val="single" w:color="auto" w:sz="4" w:space="0"/>
              <w:bottom w:val="single" w:color="auto" w:sz="4" w:space="0"/>
              <w:right w:val="single" w:color="auto" w:sz="4" w:space="0"/>
            </w:tcBorders>
            <w:vAlign w:val="center"/>
          </w:tcPr>
          <w:p w14:paraId="6C2F991F">
            <w:pPr>
              <w:spacing w:line="360" w:lineRule="exact"/>
              <w:rPr>
                <w:rFonts w:ascii="宋体" w:hAnsi="宋体" w:cs="宋体"/>
                <w:b/>
                <w:color w:val="auto"/>
                <w:kern w:val="0"/>
                <w:sz w:val="22"/>
                <w:szCs w:val="22"/>
              </w:rPr>
            </w:pPr>
            <w:r>
              <w:rPr>
                <w:rFonts w:hint="eastAsia" w:ascii="宋体" w:hAnsi="宋体" w:cs="宋体"/>
                <w:b/>
                <w:color w:val="auto"/>
                <w:kern w:val="0"/>
                <w:sz w:val="22"/>
                <w:szCs w:val="22"/>
              </w:rPr>
              <w:t>详见竞争性磋商文件第1</w:t>
            </w:r>
            <w:r>
              <w:rPr>
                <w:rFonts w:hint="eastAsia" w:ascii="宋体" w:hAnsi="宋体" w:cs="宋体"/>
                <w:b/>
                <w:color w:val="auto"/>
                <w:kern w:val="0"/>
                <w:sz w:val="22"/>
                <w:szCs w:val="22"/>
                <w:lang w:val="en-US" w:eastAsia="zh-CN"/>
              </w:rPr>
              <w:t>8</w:t>
            </w:r>
            <w:r>
              <w:rPr>
                <w:rFonts w:hint="eastAsia" w:ascii="宋体" w:hAnsi="宋体" w:cs="宋体"/>
                <w:b/>
                <w:color w:val="auto"/>
                <w:kern w:val="0"/>
                <w:sz w:val="22"/>
                <w:szCs w:val="22"/>
              </w:rPr>
              <w:t>页，第6</w:t>
            </w:r>
            <w:r>
              <w:rPr>
                <w:rFonts w:hint="eastAsia" w:ascii="宋体" w:hAnsi="宋体" w:cs="宋体"/>
                <w:b/>
                <w:color w:val="auto"/>
                <w:sz w:val="22"/>
                <w:szCs w:val="22"/>
              </w:rPr>
              <w:t>点</w:t>
            </w:r>
            <w:r>
              <w:rPr>
                <w:rFonts w:hint="eastAsia" w:ascii="宋体" w:hAnsi="宋体" w:cs="宋体"/>
                <w:b/>
                <w:color w:val="auto"/>
                <w:kern w:val="0"/>
                <w:sz w:val="22"/>
                <w:szCs w:val="22"/>
              </w:rPr>
              <w:t>。</w:t>
            </w:r>
          </w:p>
        </w:tc>
      </w:tr>
      <w:tr w14:paraId="7D7721DF">
        <w:tblPrEx>
          <w:tblCellMar>
            <w:top w:w="0" w:type="dxa"/>
            <w:left w:w="108" w:type="dxa"/>
            <w:bottom w:w="0" w:type="dxa"/>
            <w:right w:w="108" w:type="dxa"/>
          </w:tblCellMar>
        </w:tblPrEx>
        <w:trPr>
          <w:trHeight w:val="23" w:hRule="atLeast"/>
        </w:trPr>
        <w:tc>
          <w:tcPr>
            <w:tcW w:w="731" w:type="dxa"/>
            <w:tcBorders>
              <w:top w:val="single" w:color="auto" w:sz="4" w:space="0"/>
              <w:left w:val="single" w:color="auto" w:sz="4" w:space="0"/>
              <w:bottom w:val="single" w:color="auto" w:sz="4" w:space="0"/>
              <w:right w:val="single" w:color="auto" w:sz="4" w:space="0"/>
            </w:tcBorders>
            <w:vAlign w:val="center"/>
          </w:tcPr>
          <w:p w14:paraId="771D639B">
            <w:pPr>
              <w:spacing w:line="360" w:lineRule="exact"/>
              <w:jc w:val="center"/>
              <w:rPr>
                <w:rFonts w:ascii="宋体" w:hAnsi="宋体" w:cs="宋体"/>
                <w:color w:val="auto"/>
                <w:kern w:val="0"/>
                <w:sz w:val="22"/>
                <w:szCs w:val="22"/>
              </w:rPr>
            </w:pPr>
            <w:r>
              <w:rPr>
                <w:rFonts w:hint="eastAsia" w:ascii="宋体" w:hAnsi="宋体" w:cs="宋体"/>
                <w:color w:val="auto"/>
                <w:sz w:val="22"/>
                <w:szCs w:val="22"/>
              </w:rPr>
              <w:t>23</w:t>
            </w:r>
          </w:p>
        </w:tc>
        <w:tc>
          <w:tcPr>
            <w:tcW w:w="1830" w:type="dxa"/>
            <w:tcBorders>
              <w:top w:val="single" w:color="auto" w:sz="4" w:space="0"/>
              <w:left w:val="single" w:color="auto" w:sz="4" w:space="0"/>
              <w:bottom w:val="single" w:color="auto" w:sz="4" w:space="0"/>
              <w:right w:val="single" w:color="auto" w:sz="4" w:space="0"/>
            </w:tcBorders>
            <w:vAlign w:val="center"/>
          </w:tcPr>
          <w:p w14:paraId="3DA6C916">
            <w:pPr>
              <w:spacing w:line="360" w:lineRule="exact"/>
              <w:jc w:val="center"/>
              <w:rPr>
                <w:rFonts w:ascii="宋体" w:hAnsi="宋体" w:cs="宋体"/>
                <w:color w:val="auto"/>
                <w:kern w:val="0"/>
                <w:sz w:val="22"/>
                <w:szCs w:val="22"/>
              </w:rPr>
            </w:pPr>
            <w:r>
              <w:rPr>
                <w:rFonts w:hint="eastAsia" w:ascii="宋体" w:hAnsi="宋体" w:cs="宋体"/>
                <w:color w:val="auto"/>
                <w:sz w:val="22"/>
                <w:szCs w:val="22"/>
              </w:rPr>
              <w:t>供应商信用信息查询</w:t>
            </w:r>
          </w:p>
        </w:tc>
        <w:tc>
          <w:tcPr>
            <w:tcW w:w="7397" w:type="dxa"/>
            <w:tcBorders>
              <w:top w:val="single" w:color="auto" w:sz="4" w:space="0"/>
              <w:left w:val="single" w:color="auto" w:sz="4" w:space="0"/>
              <w:bottom w:val="single" w:color="auto" w:sz="4" w:space="0"/>
              <w:right w:val="single" w:color="auto" w:sz="4" w:space="0"/>
            </w:tcBorders>
            <w:vAlign w:val="center"/>
          </w:tcPr>
          <w:p w14:paraId="09D605DC">
            <w:pPr>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根据财库[2016]125号《关于在政府采购活动中查询及使用信用记录有关问题的通知》要求，采购代理机构会对供应商信用记录进行查询并甄别。</w:t>
            </w:r>
          </w:p>
          <w:p w14:paraId="1737B0D9">
            <w:pPr>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1.信用信息查询的截止时点：响应文件递交截止时间；</w:t>
            </w:r>
          </w:p>
          <w:p w14:paraId="27613E7B">
            <w:pPr>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2.查询渠道：“信用中国”（</w:t>
            </w:r>
            <w:r>
              <w:rPr>
                <w:color w:val="auto"/>
              </w:rPr>
              <w:fldChar w:fldCharType="begin"/>
            </w:r>
            <w:r>
              <w:rPr>
                <w:color w:val="auto"/>
              </w:rPr>
              <w:instrText xml:space="preserve"> HYPERLINK "http://www.creditchina.gov.cn/" </w:instrText>
            </w:r>
            <w:r>
              <w:rPr>
                <w:color w:val="auto"/>
              </w:rPr>
              <w:fldChar w:fldCharType="separate"/>
            </w:r>
            <w:r>
              <w:rPr>
                <w:rStyle w:val="43"/>
                <w:rFonts w:hint="eastAsia" w:ascii="宋体" w:hAnsi="宋体" w:cs="宋体"/>
                <w:color w:val="auto"/>
                <w:sz w:val="22"/>
                <w:szCs w:val="22"/>
              </w:rPr>
              <w:t>www.creditchina.gov.cn</w:t>
            </w:r>
            <w:r>
              <w:rPr>
                <w:rStyle w:val="43"/>
                <w:rFonts w:hint="eastAsia" w:ascii="宋体" w:hAnsi="宋体" w:cs="宋体"/>
                <w:color w:val="auto"/>
                <w:sz w:val="22"/>
                <w:szCs w:val="22"/>
              </w:rPr>
              <w:fldChar w:fldCharType="end"/>
            </w:r>
            <w:r>
              <w:rPr>
                <w:rFonts w:hint="eastAsia" w:ascii="宋体" w:hAnsi="宋体" w:cs="宋体"/>
                <w:color w:val="auto"/>
                <w:sz w:val="22"/>
                <w:szCs w:val="22"/>
              </w:rPr>
              <w:t>）、“中国政府采购网”（</w:t>
            </w:r>
            <w:r>
              <w:rPr>
                <w:color w:val="auto"/>
              </w:rPr>
              <w:fldChar w:fldCharType="begin"/>
            </w:r>
            <w:r>
              <w:rPr>
                <w:color w:val="auto"/>
              </w:rPr>
              <w:instrText xml:space="preserve"> HYPERLINK "http://www.ccgp.gov.cn/" </w:instrText>
            </w:r>
            <w:r>
              <w:rPr>
                <w:color w:val="auto"/>
              </w:rPr>
              <w:fldChar w:fldCharType="separate"/>
            </w:r>
            <w:r>
              <w:rPr>
                <w:rStyle w:val="43"/>
                <w:rFonts w:hint="eastAsia" w:ascii="宋体" w:hAnsi="宋体" w:cs="宋体"/>
                <w:color w:val="auto"/>
                <w:sz w:val="22"/>
                <w:szCs w:val="22"/>
              </w:rPr>
              <w:t>www.ccgp.gov.cn</w:t>
            </w:r>
            <w:r>
              <w:rPr>
                <w:rStyle w:val="43"/>
                <w:rFonts w:hint="eastAsia" w:ascii="宋体" w:hAnsi="宋体" w:cs="宋体"/>
                <w:color w:val="auto"/>
                <w:sz w:val="22"/>
                <w:szCs w:val="22"/>
              </w:rPr>
              <w:fldChar w:fldCharType="end"/>
            </w:r>
            <w:r>
              <w:rPr>
                <w:rFonts w:hint="eastAsia" w:ascii="宋体" w:hAnsi="宋体" w:cs="宋体"/>
                <w:color w:val="auto"/>
                <w:sz w:val="22"/>
                <w:szCs w:val="22"/>
              </w:rPr>
              <w:t>）；</w:t>
            </w:r>
          </w:p>
          <w:p w14:paraId="2EE20A54">
            <w:pPr>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3.信用信息的使用规则：供应商存在不良信用记录的，其投标将被作为无效投标被拒绝；</w:t>
            </w:r>
          </w:p>
          <w:p w14:paraId="6C0854FB">
            <w:pPr>
              <w:adjustRightInd w:val="0"/>
              <w:snapToGrid w:val="0"/>
              <w:spacing w:line="360" w:lineRule="exact"/>
              <w:rPr>
                <w:rFonts w:ascii="宋体" w:hAnsi="宋体" w:cs="宋体"/>
                <w:b/>
                <w:color w:val="auto"/>
                <w:kern w:val="0"/>
                <w:sz w:val="22"/>
                <w:szCs w:val="22"/>
              </w:rPr>
            </w:pPr>
            <w:r>
              <w:rPr>
                <w:rFonts w:hint="eastAsia" w:ascii="宋体" w:hAnsi="宋体" w:cs="宋体"/>
                <w:color w:val="auto"/>
                <w:sz w:val="22"/>
                <w:szCs w:val="22"/>
              </w:rPr>
              <w:t>4.不良信用记录指：“信用中国”被列入失信被执行人和重大税收违法案件当事人名单或存在 《中华人民共和国政府采购法实施条例》 第十九条规定；中国政府采购网被列入政府采购严重违法失信行为记录名单。</w:t>
            </w:r>
          </w:p>
        </w:tc>
      </w:tr>
      <w:tr w14:paraId="6928F266">
        <w:tblPrEx>
          <w:tblCellMar>
            <w:top w:w="0" w:type="dxa"/>
            <w:left w:w="108" w:type="dxa"/>
            <w:bottom w:w="0" w:type="dxa"/>
            <w:right w:w="108" w:type="dxa"/>
          </w:tblCellMar>
        </w:tblPrEx>
        <w:trPr>
          <w:trHeight w:val="23" w:hRule="atLeast"/>
        </w:trPr>
        <w:tc>
          <w:tcPr>
            <w:tcW w:w="731" w:type="dxa"/>
            <w:tcBorders>
              <w:top w:val="single" w:color="auto" w:sz="4" w:space="0"/>
              <w:left w:val="single" w:color="auto" w:sz="4" w:space="0"/>
              <w:bottom w:val="single" w:color="auto" w:sz="4" w:space="0"/>
              <w:right w:val="single" w:color="auto" w:sz="4" w:space="0"/>
            </w:tcBorders>
            <w:vAlign w:val="center"/>
          </w:tcPr>
          <w:p w14:paraId="6980155F">
            <w:pPr>
              <w:spacing w:line="360" w:lineRule="exact"/>
              <w:jc w:val="center"/>
              <w:rPr>
                <w:rFonts w:ascii="宋体" w:hAnsi="宋体" w:cs="宋体"/>
                <w:color w:val="auto"/>
                <w:kern w:val="0"/>
                <w:sz w:val="22"/>
                <w:szCs w:val="22"/>
              </w:rPr>
            </w:pPr>
            <w:r>
              <w:rPr>
                <w:rFonts w:hint="eastAsia" w:ascii="宋体" w:hAnsi="宋体" w:cs="宋体"/>
                <w:color w:val="auto"/>
                <w:kern w:val="0"/>
                <w:sz w:val="22"/>
                <w:szCs w:val="22"/>
              </w:rPr>
              <w:t>24</w:t>
            </w:r>
          </w:p>
        </w:tc>
        <w:tc>
          <w:tcPr>
            <w:tcW w:w="1830" w:type="dxa"/>
            <w:tcBorders>
              <w:top w:val="single" w:color="auto" w:sz="4" w:space="0"/>
              <w:left w:val="single" w:color="auto" w:sz="4" w:space="0"/>
              <w:bottom w:val="single" w:color="auto" w:sz="4" w:space="0"/>
              <w:right w:val="single" w:color="auto" w:sz="4" w:space="0"/>
            </w:tcBorders>
            <w:vAlign w:val="center"/>
          </w:tcPr>
          <w:p w14:paraId="3E83F775">
            <w:pPr>
              <w:spacing w:line="360" w:lineRule="exact"/>
              <w:jc w:val="center"/>
              <w:rPr>
                <w:rFonts w:ascii="宋体" w:hAnsi="宋体" w:cs="宋体"/>
                <w:color w:val="auto"/>
                <w:kern w:val="0"/>
                <w:sz w:val="22"/>
                <w:szCs w:val="22"/>
              </w:rPr>
            </w:pPr>
            <w:r>
              <w:rPr>
                <w:rFonts w:hint="eastAsia" w:ascii="宋体" w:hAnsi="宋体" w:cs="宋体"/>
                <w:bCs/>
                <w:color w:val="auto"/>
                <w:kern w:val="0"/>
                <w:sz w:val="22"/>
                <w:szCs w:val="22"/>
              </w:rPr>
              <w:t>本项目扶持中小企业（监狱企业、残疾人福利性单位）有关政策</w:t>
            </w:r>
          </w:p>
        </w:tc>
        <w:tc>
          <w:tcPr>
            <w:tcW w:w="7397" w:type="dxa"/>
            <w:tcBorders>
              <w:top w:val="single" w:color="auto" w:sz="4" w:space="0"/>
              <w:left w:val="single" w:color="auto" w:sz="4" w:space="0"/>
              <w:bottom w:val="single" w:color="auto" w:sz="4" w:space="0"/>
              <w:right w:val="single" w:color="auto" w:sz="4" w:space="0"/>
            </w:tcBorders>
            <w:vAlign w:val="center"/>
          </w:tcPr>
          <w:p w14:paraId="41216E9F">
            <w:pPr>
              <w:spacing w:line="360" w:lineRule="exact"/>
              <w:rPr>
                <w:rFonts w:ascii="宋体" w:hAnsi="宋体" w:cs="宋体"/>
                <w:b/>
                <w:bCs/>
                <w:color w:val="auto"/>
                <w:sz w:val="22"/>
                <w:szCs w:val="22"/>
              </w:rPr>
            </w:pPr>
            <w:r>
              <w:rPr>
                <w:rFonts w:hint="eastAsia" w:ascii="宋体" w:hAnsi="宋体" w:cs="宋体"/>
                <w:b/>
                <w:bCs/>
                <w:color w:val="auto"/>
                <w:sz w:val="22"/>
                <w:szCs w:val="22"/>
              </w:rPr>
              <w:t xml:space="preserve">1、扶持中小企业（监狱企业、残疾人福利性单位）： </w:t>
            </w:r>
          </w:p>
          <w:p w14:paraId="1EC47EA7">
            <w:pPr>
              <w:spacing w:line="360" w:lineRule="exact"/>
              <w:rPr>
                <w:rFonts w:ascii="宋体" w:hAnsi="宋体" w:cs="宋体"/>
                <w:color w:val="auto"/>
                <w:sz w:val="22"/>
                <w:szCs w:val="22"/>
              </w:rPr>
            </w:pPr>
            <w:r>
              <w:rPr>
                <w:rFonts w:hint="eastAsia" w:ascii="宋体" w:hAnsi="宋体" w:cs="宋体"/>
                <w:color w:val="auto"/>
                <w:sz w:val="22"/>
                <w:szCs w:val="22"/>
              </w:rPr>
              <w:t>（1）根据工信部等部委发布的《关于印发中小企业划型标准规定的通知》（工信部联企业〔2011〕300号），本项目属于</w:t>
            </w:r>
            <w:r>
              <w:rPr>
                <w:rFonts w:hint="eastAsia" w:ascii="宋体" w:hAnsi="宋体" w:cs="宋体"/>
                <w:color w:val="auto"/>
                <w:sz w:val="22"/>
                <w:szCs w:val="22"/>
                <w:u w:val="single"/>
              </w:rPr>
              <w:sym w:font="Wingdings" w:char="00A8"/>
            </w:r>
            <w:r>
              <w:rPr>
                <w:rFonts w:hint="eastAsia" w:ascii="宋体" w:hAnsi="宋体" w:cs="宋体"/>
                <w:color w:val="auto"/>
                <w:sz w:val="22"/>
                <w:szCs w:val="22"/>
                <w:u w:val="single"/>
              </w:rPr>
              <w:t>农、林、牧、渔业，</w:t>
            </w:r>
            <w:r>
              <w:rPr>
                <w:rFonts w:hint="eastAsia" w:ascii="宋体" w:hAnsi="宋体" w:cs="宋体"/>
                <w:color w:val="auto"/>
                <w:sz w:val="22"/>
                <w:szCs w:val="22"/>
                <w:u w:val="single"/>
              </w:rPr>
              <w:sym w:font="Wingdings" w:char="00FE"/>
            </w:r>
            <w:r>
              <w:rPr>
                <w:rFonts w:hint="eastAsia" w:ascii="宋体" w:hAnsi="宋体" w:cs="宋体"/>
                <w:color w:val="auto"/>
                <w:sz w:val="22"/>
                <w:szCs w:val="22"/>
                <w:u w:val="single"/>
              </w:rPr>
              <w:t>工业（包括采矿业，制造业，电力、热力、燃气及水生产和供应业），</w:t>
            </w:r>
            <w:r>
              <w:rPr>
                <w:rFonts w:hint="eastAsia" w:ascii="宋体" w:hAnsi="宋体" w:cs="宋体"/>
                <w:color w:val="auto"/>
                <w:sz w:val="22"/>
                <w:szCs w:val="22"/>
                <w:u w:val="single"/>
              </w:rPr>
              <w:sym w:font="Wingdings" w:char="00A8"/>
            </w:r>
            <w:r>
              <w:rPr>
                <w:rFonts w:hint="eastAsia" w:ascii="宋体" w:hAnsi="宋体" w:cs="宋体"/>
                <w:color w:val="auto"/>
                <w:sz w:val="22"/>
                <w:szCs w:val="22"/>
                <w:u w:val="single"/>
              </w:rPr>
              <w:t>建筑业，</w:t>
            </w:r>
            <w:r>
              <w:rPr>
                <w:rFonts w:hint="eastAsia" w:ascii="宋体" w:hAnsi="宋体" w:cs="宋体"/>
                <w:color w:val="auto"/>
                <w:sz w:val="22"/>
                <w:szCs w:val="22"/>
                <w:u w:val="single"/>
              </w:rPr>
              <w:sym w:font="Wingdings" w:char="00A8"/>
            </w:r>
            <w:r>
              <w:rPr>
                <w:rFonts w:hint="eastAsia" w:ascii="宋体" w:hAnsi="宋体" w:cs="宋体"/>
                <w:color w:val="auto"/>
                <w:sz w:val="22"/>
                <w:szCs w:val="22"/>
                <w:u w:val="single"/>
              </w:rPr>
              <w:t>批发业，</w:t>
            </w:r>
            <w:r>
              <w:rPr>
                <w:rFonts w:hint="eastAsia" w:ascii="宋体" w:hAnsi="宋体" w:cs="宋体"/>
                <w:color w:val="auto"/>
                <w:sz w:val="22"/>
                <w:szCs w:val="22"/>
                <w:u w:val="single"/>
              </w:rPr>
              <w:sym w:font="Wingdings" w:char="00A8"/>
            </w:r>
            <w:r>
              <w:rPr>
                <w:rFonts w:hint="eastAsia" w:ascii="宋体" w:hAnsi="宋体" w:cs="宋体"/>
                <w:color w:val="auto"/>
                <w:sz w:val="22"/>
                <w:szCs w:val="22"/>
                <w:u w:val="single"/>
              </w:rPr>
              <w:t>零售业，</w:t>
            </w:r>
            <w:r>
              <w:rPr>
                <w:rFonts w:hint="eastAsia" w:ascii="宋体" w:hAnsi="宋体" w:cs="宋体"/>
                <w:color w:val="auto"/>
                <w:sz w:val="22"/>
                <w:szCs w:val="22"/>
                <w:u w:val="single"/>
              </w:rPr>
              <w:sym w:font="Wingdings" w:char="00A8"/>
            </w:r>
            <w:r>
              <w:rPr>
                <w:rFonts w:hint="eastAsia" w:ascii="宋体" w:hAnsi="宋体" w:cs="宋体"/>
                <w:color w:val="auto"/>
                <w:sz w:val="22"/>
                <w:szCs w:val="22"/>
                <w:u w:val="single"/>
              </w:rPr>
              <w:t>交通运输业（不含铁路运输业），</w:t>
            </w:r>
            <w:r>
              <w:rPr>
                <w:rFonts w:hint="eastAsia" w:ascii="宋体" w:hAnsi="宋体" w:cs="宋体"/>
                <w:color w:val="auto"/>
                <w:sz w:val="22"/>
                <w:szCs w:val="22"/>
                <w:u w:val="single"/>
              </w:rPr>
              <w:sym w:font="Wingdings" w:char="00A8"/>
            </w:r>
            <w:r>
              <w:rPr>
                <w:rFonts w:hint="eastAsia" w:ascii="宋体" w:hAnsi="宋体" w:cs="宋体"/>
                <w:color w:val="auto"/>
                <w:sz w:val="22"/>
                <w:szCs w:val="22"/>
                <w:u w:val="single"/>
              </w:rPr>
              <w:t>仓储业，</w:t>
            </w:r>
            <w:r>
              <w:rPr>
                <w:rFonts w:hint="eastAsia" w:ascii="宋体" w:hAnsi="宋体" w:cs="宋体"/>
                <w:color w:val="auto"/>
                <w:sz w:val="22"/>
                <w:szCs w:val="22"/>
                <w:u w:val="single"/>
              </w:rPr>
              <w:sym w:font="Wingdings" w:char="00A8"/>
            </w:r>
            <w:r>
              <w:rPr>
                <w:rFonts w:hint="eastAsia" w:ascii="宋体" w:hAnsi="宋体" w:cs="宋体"/>
                <w:color w:val="auto"/>
                <w:sz w:val="22"/>
                <w:szCs w:val="22"/>
                <w:u w:val="single"/>
              </w:rPr>
              <w:t>邮政业，</w:t>
            </w:r>
            <w:r>
              <w:rPr>
                <w:rFonts w:hint="eastAsia" w:ascii="宋体" w:hAnsi="宋体" w:cs="宋体"/>
                <w:color w:val="auto"/>
                <w:sz w:val="22"/>
                <w:szCs w:val="22"/>
                <w:u w:val="single"/>
              </w:rPr>
              <w:sym w:font="Wingdings" w:char="00A8"/>
            </w:r>
            <w:r>
              <w:rPr>
                <w:rFonts w:hint="eastAsia" w:ascii="宋体" w:hAnsi="宋体" w:cs="宋体"/>
                <w:color w:val="auto"/>
                <w:sz w:val="22"/>
                <w:szCs w:val="22"/>
                <w:u w:val="single"/>
              </w:rPr>
              <w:t>住宿业，</w:t>
            </w:r>
            <w:r>
              <w:rPr>
                <w:rFonts w:hint="eastAsia" w:ascii="宋体" w:hAnsi="宋体" w:cs="宋体"/>
                <w:color w:val="auto"/>
                <w:sz w:val="22"/>
                <w:szCs w:val="22"/>
                <w:u w:val="single"/>
              </w:rPr>
              <w:sym w:font="Wingdings" w:char="00A8"/>
            </w:r>
            <w:r>
              <w:rPr>
                <w:rFonts w:hint="eastAsia" w:ascii="宋体" w:hAnsi="宋体" w:cs="宋体"/>
                <w:color w:val="auto"/>
                <w:sz w:val="22"/>
                <w:szCs w:val="22"/>
                <w:u w:val="single"/>
              </w:rPr>
              <w:t>餐饮业，</w:t>
            </w:r>
            <w:r>
              <w:rPr>
                <w:rFonts w:hint="eastAsia" w:ascii="宋体" w:hAnsi="宋体" w:cs="宋体"/>
                <w:color w:val="auto"/>
                <w:sz w:val="22"/>
                <w:szCs w:val="22"/>
                <w:u w:val="single"/>
              </w:rPr>
              <w:sym w:font="Wingdings" w:char="00A8"/>
            </w:r>
            <w:r>
              <w:rPr>
                <w:rFonts w:hint="eastAsia" w:ascii="宋体" w:hAnsi="宋体" w:cs="宋体"/>
                <w:color w:val="auto"/>
                <w:sz w:val="22"/>
                <w:szCs w:val="22"/>
                <w:u w:val="single"/>
              </w:rPr>
              <w:t>信息传输业（包括电信、互联网和相关服务），</w:t>
            </w:r>
            <w:r>
              <w:rPr>
                <w:rFonts w:hint="eastAsia" w:ascii="宋体" w:hAnsi="宋体" w:cs="宋体"/>
                <w:b/>
                <w:color w:val="auto"/>
                <w:sz w:val="22"/>
                <w:szCs w:val="22"/>
                <w:u w:val="single"/>
              </w:rPr>
              <w:sym w:font="Wingdings" w:char="00A8"/>
            </w:r>
            <w:r>
              <w:rPr>
                <w:rFonts w:hint="eastAsia" w:ascii="宋体" w:hAnsi="宋体" w:cs="宋体"/>
                <w:color w:val="auto"/>
                <w:sz w:val="22"/>
                <w:szCs w:val="22"/>
                <w:u w:val="single"/>
              </w:rPr>
              <w:t>软件和信息技术服务业，</w:t>
            </w:r>
            <w:r>
              <w:rPr>
                <w:rFonts w:hint="eastAsia" w:ascii="宋体" w:hAnsi="宋体" w:cs="宋体"/>
                <w:color w:val="auto"/>
                <w:sz w:val="22"/>
                <w:szCs w:val="22"/>
                <w:u w:val="single"/>
              </w:rPr>
              <w:sym w:font="Wingdings" w:char="00A8"/>
            </w:r>
            <w:r>
              <w:rPr>
                <w:rFonts w:hint="eastAsia" w:ascii="宋体" w:hAnsi="宋体" w:cs="宋体"/>
                <w:color w:val="auto"/>
                <w:sz w:val="22"/>
                <w:szCs w:val="22"/>
                <w:u w:val="single"/>
              </w:rPr>
              <w:t>房地产开发经营，</w:t>
            </w:r>
            <w:r>
              <w:rPr>
                <w:rFonts w:hint="eastAsia" w:ascii="宋体" w:hAnsi="宋体" w:cs="宋体"/>
                <w:b w:val="0"/>
                <w:bCs w:val="0"/>
                <w:color w:val="auto"/>
                <w:sz w:val="22"/>
                <w:szCs w:val="22"/>
                <w:u w:val="single"/>
              </w:rPr>
              <w:sym w:font="Wingdings" w:char="00A8"/>
            </w:r>
            <w:r>
              <w:rPr>
                <w:rFonts w:hint="eastAsia" w:ascii="宋体" w:hAnsi="宋体" w:cs="宋体"/>
                <w:b w:val="0"/>
                <w:bCs w:val="0"/>
                <w:color w:val="auto"/>
                <w:sz w:val="22"/>
                <w:szCs w:val="22"/>
                <w:u w:val="single"/>
              </w:rPr>
              <w:t>物业管理，</w:t>
            </w:r>
            <w:r>
              <w:rPr>
                <w:rFonts w:hint="eastAsia" w:ascii="宋体" w:hAnsi="宋体" w:cs="宋体"/>
                <w:color w:val="auto"/>
                <w:sz w:val="22"/>
                <w:szCs w:val="22"/>
                <w:u w:val="single"/>
              </w:rPr>
              <w:sym w:font="Wingdings" w:char="00A8"/>
            </w:r>
            <w:r>
              <w:rPr>
                <w:rFonts w:hint="eastAsia" w:ascii="宋体" w:hAnsi="宋体" w:cs="宋体"/>
                <w:color w:val="auto"/>
                <w:sz w:val="22"/>
                <w:szCs w:val="22"/>
                <w:u w:val="single"/>
              </w:rPr>
              <w:t>租赁和商务服务业，</w:t>
            </w:r>
            <w:r>
              <w:rPr>
                <w:rFonts w:hint="eastAsia" w:ascii="宋体" w:hAnsi="宋体" w:cs="宋体"/>
                <w:color w:val="auto"/>
                <w:sz w:val="22"/>
                <w:szCs w:val="22"/>
                <w:u w:val="single"/>
              </w:rPr>
              <w:sym w:font="Wingdings" w:char="00A8"/>
            </w:r>
            <w:r>
              <w:rPr>
                <w:rFonts w:hint="eastAsia" w:ascii="宋体" w:hAnsi="宋体" w:cs="宋体"/>
                <w:color w:val="auto"/>
                <w:sz w:val="22"/>
                <w:szCs w:val="22"/>
                <w:u w:val="single"/>
              </w:rPr>
              <w:t>其他未列明行业（包括科学研究和技术服务业，水利、环境和公共设施管理业，居民服务、修理和其他服务业，社会工作，文化、体育和娱乐业等）</w:t>
            </w:r>
            <w:r>
              <w:rPr>
                <w:rFonts w:hint="eastAsia" w:ascii="宋体" w:hAnsi="宋体" w:cs="宋体"/>
                <w:color w:val="auto"/>
                <w:sz w:val="22"/>
                <w:szCs w:val="22"/>
              </w:rPr>
              <w:t xml:space="preserve"> 行业。</w:t>
            </w:r>
          </w:p>
          <w:p w14:paraId="3BAF9D29">
            <w:pPr>
              <w:spacing w:line="360" w:lineRule="exact"/>
              <w:rPr>
                <w:rFonts w:ascii="宋体" w:hAnsi="宋体" w:cs="宋体"/>
                <w:color w:val="auto"/>
                <w:sz w:val="22"/>
                <w:szCs w:val="22"/>
              </w:rPr>
            </w:pPr>
            <w:r>
              <w:rPr>
                <w:rFonts w:hint="eastAsia" w:ascii="宋体" w:hAnsi="宋体" w:cs="宋体"/>
                <w:color w:val="auto"/>
                <w:sz w:val="22"/>
                <w:szCs w:val="22"/>
              </w:rPr>
              <w:t>2、根据财政部发布的《政府采购促进中小企业发展管理办法》财库（2020）46号、《浙江省财政厅关于进一步发挥政府采购政策功能全力推动经济稳进提质的通知》（浙财采监〔2022〕3号）、（浙财采监〔2022〕</w:t>
            </w:r>
            <w:r>
              <w:rPr>
                <w:rFonts w:ascii="宋体" w:hAnsi="宋体" w:cs="宋体"/>
                <w:color w:val="auto"/>
                <w:sz w:val="22"/>
                <w:szCs w:val="22"/>
              </w:rPr>
              <w:t>8</w:t>
            </w:r>
            <w:r>
              <w:rPr>
                <w:rFonts w:hint="eastAsia" w:ascii="宋体" w:hAnsi="宋体" w:cs="宋体"/>
                <w:color w:val="auto"/>
                <w:sz w:val="22"/>
                <w:szCs w:val="22"/>
              </w:rPr>
              <w:t>号）、（财库〔2022〕</w:t>
            </w:r>
            <w:r>
              <w:rPr>
                <w:rFonts w:ascii="宋体" w:hAnsi="宋体" w:cs="宋体"/>
                <w:color w:val="auto"/>
                <w:sz w:val="22"/>
                <w:szCs w:val="22"/>
              </w:rPr>
              <w:t>19</w:t>
            </w:r>
            <w:r>
              <w:rPr>
                <w:rFonts w:hint="eastAsia" w:ascii="宋体" w:hAnsi="宋体" w:cs="宋体"/>
                <w:color w:val="auto"/>
                <w:sz w:val="22"/>
                <w:szCs w:val="22"/>
              </w:rPr>
              <w:t>号）的相关规定：</w:t>
            </w:r>
          </w:p>
          <w:p w14:paraId="3D4A1C23">
            <w:pPr>
              <w:spacing w:line="360" w:lineRule="exact"/>
              <w:ind w:firstLine="110" w:firstLineChars="50"/>
              <w:rPr>
                <w:rFonts w:ascii="宋体" w:hAnsi="宋体" w:cs="宋体"/>
                <w:color w:val="auto"/>
                <w:sz w:val="22"/>
                <w:szCs w:val="22"/>
              </w:rPr>
            </w:pPr>
            <w:r>
              <w:rPr>
                <w:rFonts w:hint="eastAsia" w:ascii="宋体" w:hAnsi="宋体" w:cs="宋体"/>
                <w:color w:val="auto"/>
                <w:sz w:val="22"/>
                <w:szCs w:val="22"/>
              </w:rPr>
              <w:t>2.1.是否为预留份额项目：</w:t>
            </w:r>
          </w:p>
          <w:p w14:paraId="311C4AB3">
            <w:pPr>
              <w:spacing w:line="360" w:lineRule="exact"/>
              <w:rPr>
                <w:rFonts w:ascii="宋体" w:hAnsi="宋体" w:cs="宋体"/>
                <w:color w:val="auto"/>
                <w:sz w:val="22"/>
                <w:szCs w:val="22"/>
              </w:rPr>
            </w:pPr>
            <w:r>
              <w:rPr>
                <w:rFonts w:hint="eastAsia" w:ascii="宋体" w:hAnsi="宋体" w:cs="宋体"/>
                <w:color w:val="auto"/>
                <w:sz w:val="22"/>
                <w:szCs w:val="22"/>
              </w:rPr>
              <w:sym w:font="Wingdings" w:char="00FE"/>
            </w:r>
            <w:r>
              <w:rPr>
                <w:rFonts w:ascii="宋体" w:hAnsi="宋体" w:cs="宋体"/>
                <w:color w:val="auto"/>
                <w:sz w:val="22"/>
                <w:szCs w:val="22"/>
              </w:rPr>
              <w:t xml:space="preserve"> </w:t>
            </w:r>
            <w:r>
              <w:rPr>
                <w:rFonts w:hint="eastAsia" w:ascii="宋体" w:hAnsi="宋体" w:cs="宋体"/>
                <w:color w:val="auto"/>
                <w:sz w:val="22"/>
                <w:szCs w:val="22"/>
              </w:rPr>
              <w:t>本项目为预留份额项目，专门面向中小企业采购。</w:t>
            </w:r>
          </w:p>
          <w:p w14:paraId="6A376375">
            <w:pPr>
              <w:spacing w:line="360" w:lineRule="exact"/>
              <w:ind w:left="221" w:hanging="221" w:hangingChars="100"/>
              <w:rPr>
                <w:rFonts w:ascii="宋体" w:hAnsi="宋体" w:cs="宋体"/>
                <w:color w:val="auto"/>
                <w:sz w:val="22"/>
                <w:szCs w:val="22"/>
              </w:rPr>
            </w:pPr>
            <w:r>
              <w:rPr>
                <w:rFonts w:hint="eastAsia" w:ascii="宋体" w:hAnsi="宋体" w:cs="宋体"/>
                <w:b/>
                <w:snapToGrid w:val="0"/>
                <w:color w:val="auto"/>
                <w:sz w:val="22"/>
                <w:szCs w:val="22"/>
              </w:rPr>
              <w:sym w:font="Wingdings" w:char="00A8"/>
            </w:r>
            <w:r>
              <w:rPr>
                <w:rFonts w:hint="eastAsia" w:ascii="宋体" w:hAnsi="宋体" w:cs="宋体"/>
                <w:color w:val="auto"/>
                <w:sz w:val="22"/>
                <w:szCs w:val="22"/>
              </w:rPr>
              <w:t>本项目为非预留份额项目、非专门面向中小企业的项目。</w:t>
            </w:r>
          </w:p>
          <w:p w14:paraId="1FB33697">
            <w:pPr>
              <w:spacing w:line="360" w:lineRule="exact"/>
              <w:ind w:left="221" w:hanging="221" w:hangingChars="100"/>
              <w:rPr>
                <w:rFonts w:ascii="宋体" w:hAnsi="宋体" w:cs="宋体"/>
                <w:color w:val="auto"/>
                <w:sz w:val="22"/>
                <w:szCs w:val="22"/>
              </w:rPr>
            </w:pPr>
            <w:r>
              <w:rPr>
                <w:rFonts w:hint="eastAsia" w:ascii="宋体" w:hAnsi="宋体" w:cs="宋体"/>
                <w:b/>
                <w:snapToGrid w:val="0"/>
                <w:color w:val="auto"/>
                <w:sz w:val="22"/>
                <w:szCs w:val="22"/>
              </w:rPr>
              <w:sym w:font="Wingdings" w:char="00A8"/>
            </w:r>
            <w:r>
              <w:rPr>
                <w:rFonts w:hint="eastAsia" w:ascii="宋体" w:hAnsi="宋体" w:cs="宋体"/>
                <w:color w:val="auto"/>
                <w:sz w:val="22"/>
                <w:szCs w:val="22"/>
              </w:rPr>
              <w:t>在评审时对小型和微型企业报价给予</w:t>
            </w:r>
            <w:r>
              <w:rPr>
                <w:rFonts w:hint="eastAsia" w:ascii="宋体" w:hAnsi="宋体" w:cs="宋体"/>
                <w:color w:val="auto"/>
                <w:sz w:val="22"/>
                <w:szCs w:val="22"/>
                <w:u w:val="single"/>
                <w:lang w:val="en-US" w:eastAsia="zh-CN"/>
              </w:rPr>
              <w:t xml:space="preserve"> 10 </w:t>
            </w:r>
            <w:r>
              <w:rPr>
                <w:rFonts w:hint="eastAsia" w:ascii="宋体" w:hAnsi="宋体" w:cs="宋体"/>
                <w:color w:val="auto"/>
                <w:sz w:val="22"/>
                <w:szCs w:val="22"/>
                <w:u w:val="single"/>
              </w:rPr>
              <w:t>%</w:t>
            </w:r>
            <w:r>
              <w:rPr>
                <w:rFonts w:hint="eastAsia" w:ascii="宋体" w:hAnsi="宋体" w:cs="宋体"/>
                <w:color w:val="auto"/>
                <w:sz w:val="22"/>
                <w:szCs w:val="22"/>
              </w:rPr>
              <w:t>（工程项目为5%）的扣除，用扣除后的价格参加评审。适用招标投标法的政府采购工程建设项目，采用综合评估法但未采用低价优先法计算价格分，评标时在采用原报价进行评分的基础上增加其价格得分的</w:t>
            </w:r>
            <w:r>
              <w:rPr>
                <w:rFonts w:hint="eastAsia" w:ascii="宋体" w:hAnsi="宋体" w:cs="宋体"/>
                <w:color w:val="auto"/>
                <w:sz w:val="22"/>
                <w:szCs w:val="22"/>
                <w:u w:val="single"/>
              </w:rPr>
              <w:t xml:space="preserve">/ </w:t>
            </w:r>
            <w:r>
              <w:rPr>
                <w:rFonts w:hint="eastAsia" w:ascii="宋体" w:hAnsi="宋体" w:cs="宋体"/>
                <w:color w:val="auto"/>
                <w:sz w:val="22"/>
                <w:szCs w:val="22"/>
              </w:rPr>
              <w:t>%（3%-5%）作为其价格分。</w:t>
            </w:r>
          </w:p>
          <w:p w14:paraId="537FE1E8">
            <w:pPr>
              <w:spacing w:line="360" w:lineRule="exact"/>
              <w:rPr>
                <w:rFonts w:ascii="宋体" w:hAnsi="宋体" w:cs="宋体"/>
                <w:color w:val="auto"/>
                <w:sz w:val="22"/>
                <w:szCs w:val="22"/>
              </w:rPr>
            </w:pPr>
            <w:r>
              <w:rPr>
                <w:rFonts w:hint="eastAsia" w:ascii="宋体" w:hAnsi="宋体" w:cs="宋体"/>
                <w:b/>
                <w:snapToGrid w:val="0"/>
                <w:color w:val="auto"/>
                <w:sz w:val="22"/>
                <w:szCs w:val="22"/>
              </w:rPr>
              <w:sym w:font="Wingdings" w:char="00A8"/>
            </w:r>
            <w:r>
              <w:rPr>
                <w:rFonts w:hint="eastAsia" w:ascii="宋体" w:hAnsi="宋体" w:cs="宋体"/>
                <w:color w:val="auto"/>
                <w:sz w:val="22"/>
                <w:szCs w:val="22"/>
              </w:rPr>
              <w:t>本项目为</w:t>
            </w:r>
            <w:r>
              <w:rPr>
                <w:rFonts w:hint="eastAsia" w:ascii="宋体" w:hAnsi="宋体" w:cs="宋体"/>
                <w:b/>
                <w:snapToGrid w:val="0"/>
                <w:color w:val="auto"/>
                <w:sz w:val="22"/>
                <w:szCs w:val="22"/>
              </w:rPr>
              <w:sym w:font="Wingdings" w:char="00A8"/>
            </w:r>
            <w:r>
              <w:rPr>
                <w:rFonts w:hint="eastAsia" w:ascii="宋体" w:hAnsi="宋体" w:cs="宋体"/>
                <w:color w:val="auto"/>
                <w:sz w:val="22"/>
                <w:szCs w:val="22"/>
              </w:rPr>
              <w:t>接受大中型企业与小微企业组成联合体、</w:t>
            </w:r>
            <w:r>
              <w:rPr>
                <w:rFonts w:hint="eastAsia" w:ascii="宋体" w:hAnsi="宋体" w:cs="宋体"/>
                <w:b/>
                <w:snapToGrid w:val="0"/>
                <w:color w:val="auto"/>
                <w:sz w:val="22"/>
                <w:szCs w:val="22"/>
              </w:rPr>
              <w:sym w:font="Wingdings" w:char="00A8"/>
            </w:r>
            <w:r>
              <w:rPr>
                <w:rFonts w:hint="eastAsia" w:ascii="宋体" w:hAnsi="宋体" w:cs="宋体"/>
                <w:color w:val="auto"/>
                <w:sz w:val="22"/>
                <w:szCs w:val="22"/>
              </w:rPr>
              <w:t>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cs="宋体"/>
                <w:color w:val="auto"/>
                <w:sz w:val="22"/>
                <w:szCs w:val="22"/>
                <w:u w:val="single"/>
              </w:rPr>
              <w:t xml:space="preserve"> </w:t>
            </w:r>
            <w:r>
              <w:rPr>
                <w:rFonts w:hint="eastAsia" w:ascii="宋体" w:hAnsi="宋体" w:cs="宋体"/>
                <w:color w:val="auto"/>
                <w:sz w:val="22"/>
                <w:szCs w:val="22"/>
                <w:u w:val="single"/>
                <w:lang w:val="en-US" w:eastAsia="zh-CN"/>
              </w:rPr>
              <w:t>4</w:t>
            </w:r>
            <w:r>
              <w:rPr>
                <w:rFonts w:hint="eastAsia" w:ascii="宋体" w:hAnsi="宋体" w:cs="宋体"/>
                <w:color w:val="auto"/>
                <w:sz w:val="22"/>
                <w:szCs w:val="22"/>
                <w:u w:val="single"/>
              </w:rPr>
              <w:t xml:space="preserve"> </w:t>
            </w:r>
            <w:r>
              <w:rPr>
                <w:rFonts w:hint="eastAsia" w:ascii="宋体" w:hAnsi="宋体" w:cs="宋体"/>
                <w:color w:val="auto"/>
                <w:sz w:val="22"/>
                <w:szCs w:val="22"/>
              </w:rPr>
              <w:t>%（</w:t>
            </w:r>
            <w:r>
              <w:rPr>
                <w:rFonts w:ascii="宋体" w:hAnsi="宋体" w:cs="宋体"/>
                <w:color w:val="auto"/>
                <w:sz w:val="22"/>
                <w:szCs w:val="22"/>
              </w:rPr>
              <w:t>4</w:t>
            </w:r>
            <w:r>
              <w:rPr>
                <w:rFonts w:hint="eastAsia" w:ascii="宋体" w:hAnsi="宋体" w:cs="宋体"/>
                <w:color w:val="auto"/>
                <w:sz w:val="22"/>
                <w:szCs w:val="22"/>
              </w:rPr>
              <w:t>%-</w:t>
            </w:r>
            <w:r>
              <w:rPr>
                <w:rFonts w:ascii="宋体" w:hAnsi="宋体" w:cs="宋体"/>
                <w:color w:val="auto"/>
                <w:sz w:val="22"/>
                <w:szCs w:val="22"/>
              </w:rPr>
              <w:t>6</w:t>
            </w:r>
            <w:r>
              <w:rPr>
                <w:rFonts w:hint="eastAsia" w:ascii="宋体" w:hAnsi="宋体" w:cs="宋体"/>
                <w:color w:val="auto"/>
                <w:sz w:val="22"/>
                <w:szCs w:val="22"/>
              </w:rPr>
              <w:t>%），工程项目为</w:t>
            </w:r>
            <w:r>
              <w:rPr>
                <w:rFonts w:hint="eastAsia" w:ascii="宋体" w:hAnsi="宋体" w:cs="宋体"/>
                <w:color w:val="auto"/>
                <w:sz w:val="22"/>
                <w:szCs w:val="22"/>
                <w:u w:val="single"/>
                <w:lang w:val="en-US" w:eastAsia="zh-CN"/>
              </w:rPr>
              <w:t xml:space="preserve">  </w:t>
            </w:r>
            <w:r>
              <w:rPr>
                <w:rFonts w:hint="eastAsia" w:ascii="宋体" w:hAnsi="宋体" w:cs="宋体"/>
                <w:color w:val="auto"/>
                <w:sz w:val="22"/>
                <w:szCs w:val="22"/>
                <w:u w:val="single"/>
              </w:rPr>
              <w:t>/（1%—2%）</w:t>
            </w:r>
            <w:r>
              <w:rPr>
                <w:rFonts w:hint="eastAsia" w:ascii="宋体" w:hAnsi="宋体" w:cs="宋体"/>
                <w:color w:val="auto"/>
                <w:sz w:val="22"/>
                <w:szCs w:val="22"/>
              </w:rPr>
              <w:t>的扣除，用扣除后的价格参加评审。</w:t>
            </w:r>
            <w:r>
              <w:rPr>
                <w:rFonts w:hint="eastAsia" w:ascii="宋体" w:hAnsi="宋体" w:cs="宋体"/>
                <w:color w:val="auto"/>
                <w:sz w:val="22"/>
                <w:szCs w:val="22"/>
              </w:rPr>
              <w:sym w:font="Wingdings" w:char="00A8"/>
            </w:r>
            <w:r>
              <w:rPr>
                <w:rFonts w:hint="eastAsia" w:ascii="宋体" w:hAnsi="宋体" w:cs="宋体"/>
                <w:color w:val="auto"/>
                <w:sz w:val="22"/>
                <w:szCs w:val="22"/>
              </w:rPr>
              <w:t>本项目为适用招标投标法的政府采购工程建设项目，采用综合评估法但未采用低价优先法计算价格分，评标时在采用原报价进行评分的基础上增加其价格得分的</w:t>
            </w:r>
            <w:r>
              <w:rPr>
                <w:rFonts w:ascii="宋体" w:hAnsi="宋体" w:cs="宋体"/>
                <w:color w:val="auto"/>
                <w:sz w:val="22"/>
                <w:szCs w:val="22"/>
                <w:u w:val="single"/>
              </w:rPr>
              <w:t>/</w:t>
            </w:r>
            <w:r>
              <w:rPr>
                <w:rFonts w:hint="eastAsia" w:ascii="宋体" w:hAnsi="宋体" w:cs="宋体"/>
                <w:color w:val="auto"/>
                <w:sz w:val="22"/>
                <w:szCs w:val="22"/>
              </w:rPr>
              <w:t xml:space="preserve"> %（1%—2%）作为其价格分。</w:t>
            </w:r>
          </w:p>
          <w:p w14:paraId="070CD082">
            <w:pPr>
              <w:spacing w:line="360" w:lineRule="exact"/>
              <w:rPr>
                <w:rFonts w:ascii="宋体" w:hAnsi="宋体" w:cs="宋体"/>
                <w:color w:val="auto"/>
                <w:sz w:val="22"/>
                <w:szCs w:val="22"/>
              </w:rPr>
            </w:pPr>
            <w:r>
              <w:rPr>
                <w:rFonts w:hint="eastAsia" w:ascii="宋体" w:hAnsi="宋体" w:cs="宋体"/>
                <w:color w:val="auto"/>
                <w:sz w:val="22"/>
                <w:szCs w:val="22"/>
              </w:rPr>
              <w:t>2.2组成联合体或者接受分包的小微企业与联合体内其他企业、分包企业之间存在直接控股、管理关系的，不享受价格扣除优惠政策。</w:t>
            </w:r>
          </w:p>
          <w:p w14:paraId="12453C70">
            <w:pPr>
              <w:spacing w:line="360" w:lineRule="exact"/>
              <w:rPr>
                <w:rFonts w:ascii="宋体" w:hAnsi="宋体" w:cs="宋体"/>
                <w:color w:val="auto"/>
                <w:sz w:val="22"/>
                <w:szCs w:val="22"/>
              </w:rPr>
            </w:pPr>
            <w:r>
              <w:rPr>
                <w:rFonts w:hint="eastAsia" w:ascii="宋体" w:hAnsi="宋体" w:cs="宋体"/>
                <w:color w:val="auto"/>
                <w:sz w:val="22"/>
                <w:szCs w:val="22"/>
              </w:rPr>
              <w:t>2.3价格扣除比例或者价格分加分比例对小型企业和微型企业同等对待，不作区分。</w:t>
            </w:r>
          </w:p>
          <w:p w14:paraId="6A561804">
            <w:pPr>
              <w:spacing w:line="360" w:lineRule="exact"/>
              <w:rPr>
                <w:rFonts w:ascii="宋体" w:hAnsi="宋体" w:cs="宋体"/>
                <w:color w:val="auto"/>
                <w:sz w:val="22"/>
                <w:szCs w:val="22"/>
              </w:rPr>
            </w:pPr>
            <w:r>
              <w:rPr>
                <w:rFonts w:hint="eastAsia" w:ascii="宋体" w:hAnsi="宋体" w:cs="宋体"/>
                <w:color w:val="auto"/>
                <w:sz w:val="22"/>
                <w:szCs w:val="22"/>
              </w:rPr>
              <w:t>2.4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14:paraId="688164BD">
            <w:pPr>
              <w:spacing w:line="360" w:lineRule="exact"/>
              <w:rPr>
                <w:rFonts w:ascii="宋体" w:hAnsi="宋体" w:cs="宋体"/>
                <w:color w:val="auto"/>
                <w:sz w:val="22"/>
                <w:szCs w:val="22"/>
              </w:rPr>
            </w:pPr>
            <w:r>
              <w:rPr>
                <w:rFonts w:hint="eastAsia" w:ascii="宋体" w:hAnsi="宋体" w:cs="宋体"/>
                <w:color w:val="auto"/>
                <w:sz w:val="22"/>
                <w:szCs w:val="22"/>
              </w:rPr>
              <w:t>2.5接受分包的项目，享受扶持政策获得政府采购合同的，小微企业不得将合同分包给大中型企业，中型企业不得将合同分包给大型企业。</w:t>
            </w:r>
          </w:p>
          <w:p w14:paraId="4EAD0B01">
            <w:pPr>
              <w:spacing w:line="360" w:lineRule="exact"/>
              <w:rPr>
                <w:rFonts w:ascii="宋体" w:hAnsi="宋体" w:cs="宋体"/>
                <w:color w:val="auto"/>
                <w:sz w:val="22"/>
                <w:szCs w:val="22"/>
              </w:rPr>
            </w:pPr>
            <w:r>
              <w:rPr>
                <w:rFonts w:hint="eastAsia" w:ascii="宋体" w:hAnsi="宋体" w:cs="宋体"/>
                <w:color w:val="auto"/>
                <w:sz w:val="22"/>
                <w:szCs w:val="22"/>
              </w:rPr>
              <w:t>3、根据财库〔2017〕141号的相关规定，在政府采购活动中，残疾人福利性单位视同小型、微型企业，享受评审中价格扣除政策。属于享受政府采购支持政策的残疾人福利性单位，应满足财库〔2017〕141号文件第一条的规定，并在响应文件中提供残疾人福利性单位声明函。</w:t>
            </w:r>
          </w:p>
          <w:p w14:paraId="25A320F0">
            <w:pPr>
              <w:spacing w:line="360" w:lineRule="exact"/>
              <w:rPr>
                <w:rFonts w:ascii="宋体" w:hAnsi="宋体" w:cs="宋体"/>
                <w:color w:val="auto"/>
                <w:sz w:val="22"/>
                <w:szCs w:val="22"/>
              </w:rPr>
            </w:pPr>
            <w:r>
              <w:rPr>
                <w:rFonts w:hint="eastAsia" w:ascii="宋体" w:hAnsi="宋体" w:cs="宋体"/>
                <w:color w:val="auto"/>
                <w:sz w:val="22"/>
                <w:szCs w:val="22"/>
              </w:rPr>
              <w:t>4、根据财库〔2014〕68号的相关规定，在政府采购活动中，监狱企业视同小型、微型企业，享受评审中价格扣除政策，并在响应文件中提供由省级以上监狱管理局、戒毒管理局（含新疆生产建设兵团）出具的属于监狱企业的证明文件。</w:t>
            </w:r>
          </w:p>
          <w:p w14:paraId="38347EB6">
            <w:pPr>
              <w:spacing w:line="360" w:lineRule="exact"/>
              <w:rPr>
                <w:rFonts w:ascii="宋体" w:hAnsi="宋体" w:cs="宋体"/>
                <w:b/>
                <w:color w:val="auto"/>
                <w:kern w:val="0"/>
                <w:sz w:val="22"/>
                <w:szCs w:val="22"/>
              </w:rPr>
            </w:pPr>
            <w:r>
              <w:rPr>
                <w:rFonts w:hint="eastAsia" w:ascii="宋体" w:hAnsi="宋体" w:cs="宋体"/>
                <w:b/>
                <w:bCs/>
                <w:color w:val="auto"/>
                <w:sz w:val="22"/>
                <w:szCs w:val="22"/>
              </w:rPr>
              <w:t>(注：未提供以上材料的，均不给予价格扣除，以上优惠政策只享受一次）。</w:t>
            </w:r>
          </w:p>
        </w:tc>
      </w:tr>
      <w:tr w14:paraId="267151D6">
        <w:tblPrEx>
          <w:tblCellMar>
            <w:top w:w="0" w:type="dxa"/>
            <w:left w:w="108" w:type="dxa"/>
            <w:bottom w:w="0" w:type="dxa"/>
            <w:right w:w="108" w:type="dxa"/>
          </w:tblCellMar>
        </w:tblPrEx>
        <w:trPr>
          <w:trHeight w:val="23" w:hRule="atLeast"/>
        </w:trPr>
        <w:tc>
          <w:tcPr>
            <w:tcW w:w="731" w:type="dxa"/>
            <w:tcBorders>
              <w:top w:val="single" w:color="auto" w:sz="4" w:space="0"/>
              <w:left w:val="single" w:color="auto" w:sz="4" w:space="0"/>
              <w:bottom w:val="single" w:color="auto" w:sz="4" w:space="0"/>
              <w:right w:val="single" w:color="auto" w:sz="4" w:space="0"/>
            </w:tcBorders>
            <w:vAlign w:val="center"/>
          </w:tcPr>
          <w:p w14:paraId="52356154">
            <w:pPr>
              <w:spacing w:line="360" w:lineRule="exact"/>
              <w:jc w:val="center"/>
              <w:rPr>
                <w:rFonts w:ascii="宋体" w:hAnsi="宋体" w:cs="宋体"/>
                <w:color w:val="auto"/>
                <w:kern w:val="0"/>
                <w:sz w:val="22"/>
                <w:szCs w:val="22"/>
              </w:rPr>
            </w:pPr>
            <w:r>
              <w:rPr>
                <w:rFonts w:hint="eastAsia" w:ascii="宋体" w:hAnsi="宋体" w:cs="宋体"/>
                <w:color w:val="auto"/>
                <w:sz w:val="22"/>
                <w:szCs w:val="22"/>
              </w:rPr>
              <w:t>25</w:t>
            </w:r>
          </w:p>
        </w:tc>
        <w:tc>
          <w:tcPr>
            <w:tcW w:w="1830" w:type="dxa"/>
            <w:tcBorders>
              <w:top w:val="single" w:color="auto" w:sz="4" w:space="0"/>
              <w:left w:val="single" w:color="auto" w:sz="4" w:space="0"/>
              <w:bottom w:val="single" w:color="auto" w:sz="4" w:space="0"/>
              <w:right w:val="single" w:color="auto" w:sz="4" w:space="0"/>
            </w:tcBorders>
            <w:vAlign w:val="center"/>
          </w:tcPr>
          <w:p w14:paraId="756DDBFD">
            <w:pPr>
              <w:spacing w:line="360" w:lineRule="exact"/>
              <w:jc w:val="center"/>
              <w:rPr>
                <w:rFonts w:ascii="宋体" w:hAnsi="宋体" w:cs="宋体"/>
                <w:color w:val="auto"/>
                <w:kern w:val="0"/>
                <w:sz w:val="22"/>
                <w:szCs w:val="22"/>
              </w:rPr>
            </w:pPr>
            <w:r>
              <w:rPr>
                <w:rFonts w:hint="eastAsia" w:ascii="宋体" w:hAnsi="宋体" w:cs="宋体"/>
                <w:color w:val="auto"/>
                <w:sz w:val="22"/>
                <w:szCs w:val="22"/>
              </w:rPr>
              <w:t>项目属性与核心产品</w:t>
            </w:r>
          </w:p>
        </w:tc>
        <w:tc>
          <w:tcPr>
            <w:tcW w:w="7397" w:type="dxa"/>
            <w:tcBorders>
              <w:top w:val="single" w:color="auto" w:sz="4" w:space="0"/>
              <w:left w:val="single" w:color="auto" w:sz="4" w:space="0"/>
              <w:bottom w:val="single" w:color="auto" w:sz="4" w:space="0"/>
              <w:right w:val="single" w:color="auto" w:sz="4" w:space="0"/>
            </w:tcBorders>
            <w:vAlign w:val="center"/>
          </w:tcPr>
          <w:p w14:paraId="7282CCF2">
            <w:pPr>
              <w:spacing w:line="360" w:lineRule="exact"/>
              <w:rPr>
                <w:rFonts w:ascii="宋体" w:hAnsi="宋体" w:cs="宋体"/>
                <w:color w:val="auto"/>
                <w:sz w:val="22"/>
                <w:szCs w:val="22"/>
                <w:highlight w:val="red"/>
              </w:rPr>
            </w:pPr>
            <w:r>
              <w:rPr>
                <w:rFonts w:hint="eastAsia" w:ascii="宋体" w:hAnsi="宋体" w:cs="宋体"/>
                <w:b/>
                <w:snapToGrid w:val="0"/>
                <w:color w:val="auto"/>
                <w:sz w:val="22"/>
                <w:szCs w:val="22"/>
              </w:rPr>
              <w:sym w:font="Wingdings" w:char="00FE"/>
            </w:r>
            <w:r>
              <w:rPr>
                <w:rFonts w:hint="eastAsia" w:ascii="宋体" w:hAnsi="宋体" w:cs="宋体"/>
                <w:color w:val="auto"/>
                <w:sz w:val="22"/>
                <w:szCs w:val="22"/>
              </w:rPr>
              <w:t>货物类，</w:t>
            </w:r>
            <w:r>
              <w:rPr>
                <w:rFonts w:hint="eastAsia" w:ascii="宋体" w:hAnsi="宋体" w:cs="宋体"/>
                <w:b/>
                <w:snapToGrid w:val="0"/>
                <w:color w:val="auto"/>
                <w:sz w:val="22"/>
                <w:szCs w:val="22"/>
              </w:rPr>
              <w:sym w:font="Wingdings" w:char="00A8"/>
            </w:r>
            <w:r>
              <w:rPr>
                <w:rFonts w:hint="eastAsia" w:ascii="宋体" w:hAnsi="宋体" w:cs="宋体"/>
                <w:color w:val="auto"/>
                <w:sz w:val="22"/>
                <w:szCs w:val="22"/>
              </w:rPr>
              <w:t>单一产品或核心产品为：</w:t>
            </w:r>
            <w:r>
              <w:rPr>
                <w:rFonts w:hint="eastAsia" w:ascii="宋体" w:hAnsi="宋体" w:cs="宋体"/>
                <w:color w:val="auto"/>
                <w:sz w:val="22"/>
                <w:szCs w:val="22"/>
                <w:u w:val="single"/>
              </w:rPr>
              <w:t xml:space="preserve">               </w:t>
            </w:r>
            <w:r>
              <w:rPr>
                <w:rFonts w:hint="eastAsia" w:ascii="宋体" w:hAnsi="宋体" w:cs="宋体"/>
                <w:color w:val="auto"/>
                <w:sz w:val="22"/>
                <w:szCs w:val="22"/>
              </w:rPr>
              <w:t>。</w:t>
            </w:r>
            <w:r>
              <w:rPr>
                <w:rFonts w:hint="eastAsia" w:ascii="宋体" w:hAnsi="宋体" w:cs="宋体"/>
                <w:b/>
                <w:snapToGrid w:val="0"/>
                <w:color w:val="auto"/>
                <w:sz w:val="22"/>
                <w:szCs w:val="22"/>
              </w:rPr>
              <w:sym w:font="Wingdings" w:char="00FE"/>
            </w:r>
            <w:r>
              <w:rPr>
                <w:rFonts w:hint="eastAsia" w:ascii="宋体" w:hAnsi="宋体" w:cs="宋体"/>
                <w:color w:val="auto"/>
                <w:sz w:val="22"/>
                <w:szCs w:val="22"/>
              </w:rPr>
              <w:t>非单一产品采购项目，采购人应当根据采购项目技术构成、产品价格比重等合理确定核心产品，并在采购文件中载明。本项目无核心产品。</w:t>
            </w:r>
          </w:p>
          <w:p w14:paraId="6396FEF9">
            <w:pPr>
              <w:spacing w:line="360" w:lineRule="exact"/>
              <w:rPr>
                <w:rFonts w:ascii="宋体" w:hAnsi="宋体" w:cs="宋体"/>
                <w:color w:val="auto"/>
                <w:kern w:val="0"/>
                <w:sz w:val="22"/>
                <w:szCs w:val="22"/>
              </w:rPr>
            </w:pPr>
            <w:r>
              <w:rPr>
                <w:rFonts w:hint="eastAsia" w:ascii="宋体" w:hAnsi="宋体" w:cs="宋体"/>
                <w:color w:val="auto"/>
                <w:sz w:val="22"/>
                <w:szCs w:val="22"/>
              </w:rPr>
              <w:sym w:font="Wingdings" w:char="00A8"/>
            </w:r>
            <w:r>
              <w:rPr>
                <w:rFonts w:hint="eastAsia" w:ascii="宋体" w:hAnsi="宋体" w:cs="宋体"/>
                <w:color w:val="auto"/>
                <w:sz w:val="22"/>
                <w:szCs w:val="22"/>
              </w:rPr>
              <w:t>服务类。</w:t>
            </w:r>
          </w:p>
        </w:tc>
      </w:tr>
      <w:tr w14:paraId="7B63721B">
        <w:tblPrEx>
          <w:tblCellMar>
            <w:top w:w="0" w:type="dxa"/>
            <w:left w:w="108" w:type="dxa"/>
            <w:bottom w:w="0" w:type="dxa"/>
            <w:right w:w="108" w:type="dxa"/>
          </w:tblCellMar>
        </w:tblPrEx>
        <w:trPr>
          <w:trHeight w:val="23" w:hRule="atLeast"/>
        </w:trPr>
        <w:tc>
          <w:tcPr>
            <w:tcW w:w="731" w:type="dxa"/>
            <w:tcBorders>
              <w:top w:val="single" w:color="auto" w:sz="4" w:space="0"/>
              <w:left w:val="single" w:color="auto" w:sz="4" w:space="0"/>
              <w:bottom w:val="single" w:color="auto" w:sz="4" w:space="0"/>
              <w:right w:val="single" w:color="auto" w:sz="4" w:space="0"/>
            </w:tcBorders>
            <w:vAlign w:val="center"/>
          </w:tcPr>
          <w:p w14:paraId="76B86B63">
            <w:pPr>
              <w:spacing w:line="360" w:lineRule="exact"/>
              <w:jc w:val="center"/>
              <w:rPr>
                <w:rFonts w:ascii="宋体" w:hAnsi="宋体" w:cs="宋体"/>
                <w:color w:val="auto"/>
                <w:sz w:val="22"/>
                <w:szCs w:val="22"/>
              </w:rPr>
            </w:pPr>
            <w:r>
              <w:rPr>
                <w:rFonts w:hint="eastAsia" w:ascii="宋体" w:hAnsi="宋体" w:cs="宋体"/>
                <w:color w:val="auto"/>
                <w:sz w:val="22"/>
                <w:szCs w:val="22"/>
              </w:rPr>
              <w:t>26</w:t>
            </w:r>
          </w:p>
        </w:tc>
        <w:tc>
          <w:tcPr>
            <w:tcW w:w="1830" w:type="dxa"/>
            <w:tcBorders>
              <w:top w:val="single" w:color="auto" w:sz="4" w:space="0"/>
              <w:left w:val="single" w:color="auto" w:sz="4" w:space="0"/>
              <w:bottom w:val="single" w:color="auto" w:sz="4" w:space="0"/>
              <w:right w:val="single" w:color="auto" w:sz="4" w:space="0"/>
            </w:tcBorders>
            <w:vAlign w:val="center"/>
          </w:tcPr>
          <w:p w14:paraId="760BE7A7">
            <w:pPr>
              <w:spacing w:line="360" w:lineRule="exact"/>
              <w:jc w:val="center"/>
              <w:rPr>
                <w:rFonts w:ascii="宋体" w:hAnsi="宋体" w:cs="宋体"/>
                <w:color w:val="auto"/>
                <w:sz w:val="22"/>
                <w:szCs w:val="22"/>
              </w:rPr>
            </w:pPr>
            <w:r>
              <w:rPr>
                <w:rFonts w:hint="eastAsia" w:ascii="宋体" w:hAnsi="宋体"/>
                <w:color w:val="auto"/>
                <w:sz w:val="22"/>
                <w:szCs w:val="22"/>
              </w:rPr>
              <w:t>视频演示及述标情况</w:t>
            </w:r>
          </w:p>
        </w:tc>
        <w:tc>
          <w:tcPr>
            <w:tcW w:w="7397" w:type="dxa"/>
            <w:tcBorders>
              <w:top w:val="single" w:color="auto" w:sz="4" w:space="0"/>
              <w:left w:val="single" w:color="auto" w:sz="4" w:space="0"/>
              <w:bottom w:val="single" w:color="auto" w:sz="4" w:space="0"/>
              <w:right w:val="single" w:color="auto" w:sz="4" w:space="0"/>
            </w:tcBorders>
            <w:vAlign w:val="center"/>
          </w:tcPr>
          <w:p w14:paraId="7FA40F98">
            <w:pPr>
              <w:spacing w:line="360" w:lineRule="exact"/>
              <w:rPr>
                <w:rFonts w:ascii="宋体" w:hAnsi="宋体"/>
                <w:color w:val="auto"/>
                <w:sz w:val="22"/>
                <w:szCs w:val="22"/>
              </w:rPr>
            </w:pPr>
            <w:r>
              <w:rPr>
                <w:rFonts w:hint="eastAsia" w:ascii="宋体" w:hAnsi="宋体" w:cs="仿宋"/>
                <w:color w:val="auto"/>
                <w:sz w:val="22"/>
                <w:szCs w:val="22"/>
              </w:rPr>
              <w:sym w:font="Wingdings" w:char="00FE"/>
            </w:r>
            <w:r>
              <w:rPr>
                <w:rFonts w:ascii="宋体" w:hAnsi="宋体" w:cs="Arial"/>
                <w:color w:val="auto"/>
                <w:sz w:val="22"/>
                <w:szCs w:val="22"/>
              </w:rPr>
              <w:t>A</w:t>
            </w:r>
            <w:r>
              <w:rPr>
                <w:rFonts w:hint="eastAsia" w:ascii="宋体" w:hAnsi="宋体"/>
                <w:color w:val="auto"/>
                <w:sz w:val="22"/>
                <w:szCs w:val="22"/>
              </w:rPr>
              <w:t>不组织。</w:t>
            </w:r>
          </w:p>
          <w:p w14:paraId="4E08A942">
            <w:pPr>
              <w:spacing w:line="360" w:lineRule="exact"/>
              <w:rPr>
                <w:rFonts w:ascii="宋体" w:hAnsi="宋体"/>
                <w:color w:val="auto"/>
                <w:sz w:val="22"/>
                <w:szCs w:val="22"/>
              </w:rPr>
            </w:pPr>
            <w:r>
              <w:rPr>
                <w:rFonts w:hint="eastAsia" w:ascii="宋体" w:hAnsi="宋体" w:cs="仿宋"/>
                <w:color w:val="auto"/>
                <w:sz w:val="22"/>
                <w:szCs w:val="22"/>
              </w:rPr>
              <w:sym w:font="Wingdings" w:char="00A8"/>
            </w:r>
            <w:r>
              <w:rPr>
                <w:rFonts w:ascii="宋体" w:hAnsi="宋体"/>
                <w:color w:val="auto"/>
                <w:sz w:val="22"/>
                <w:szCs w:val="22"/>
              </w:rPr>
              <w:t>B组织。</w:t>
            </w:r>
          </w:p>
          <w:p w14:paraId="2ED25CE7">
            <w:pPr>
              <w:pStyle w:val="132"/>
              <w:wordWrap/>
              <w:spacing w:line="360" w:lineRule="exact"/>
              <w:ind w:left="0"/>
              <w:rPr>
                <w:rFonts w:ascii="宋体" w:hAnsi="宋体" w:cs="宋体"/>
                <w:color w:val="auto"/>
                <w:sz w:val="22"/>
              </w:rPr>
            </w:pPr>
            <w:r>
              <w:rPr>
                <w:rFonts w:hint="eastAsia" w:ascii="宋体" w:hAnsi="宋体" w:cs="宋体"/>
                <w:color w:val="auto"/>
                <w:sz w:val="22"/>
              </w:rPr>
              <w:t>（1）根据“电子交易/不见面开评标”原则，供应商需将内容逐条演示及讲解过程录制视频，每家演示时长不超过15分钟，以mp4格式存储于U盘。</w:t>
            </w:r>
          </w:p>
          <w:p w14:paraId="27188935">
            <w:pPr>
              <w:pStyle w:val="133"/>
              <w:spacing w:line="360" w:lineRule="exact"/>
              <w:rPr>
                <w:rFonts w:hAnsi="宋体"/>
                <w:b w:val="0"/>
                <w:bCs w:val="0"/>
                <w:color w:val="auto"/>
                <w:sz w:val="22"/>
                <w:szCs w:val="22"/>
              </w:rPr>
            </w:pPr>
            <w:r>
              <w:rPr>
                <w:rFonts w:hint="eastAsia" w:hAnsi="宋体"/>
                <w:b w:val="0"/>
                <w:bCs w:val="0"/>
                <w:color w:val="auto"/>
                <w:sz w:val="22"/>
                <w:szCs w:val="22"/>
              </w:rPr>
              <w:t>（2）演示U盘可以EMS或顺丰邮寄形式寄送（拒绝到付），演示U盘应当密封包装并在包装上标注演示U盘、项目名称、供应商名称并加盖公章。</w:t>
            </w:r>
          </w:p>
          <w:p w14:paraId="2C9DDEA1">
            <w:pPr>
              <w:pStyle w:val="133"/>
              <w:spacing w:line="360" w:lineRule="exact"/>
              <w:rPr>
                <w:rFonts w:hAnsi="宋体"/>
                <w:b w:val="0"/>
                <w:bCs w:val="0"/>
                <w:color w:val="auto"/>
                <w:sz w:val="22"/>
                <w:szCs w:val="22"/>
              </w:rPr>
            </w:pPr>
            <w:r>
              <w:rPr>
                <w:rFonts w:hint="eastAsia" w:hAnsi="宋体"/>
                <w:b w:val="0"/>
                <w:bCs w:val="0"/>
                <w:color w:val="auto"/>
                <w:sz w:val="22"/>
                <w:szCs w:val="22"/>
              </w:rPr>
              <w:t>（3）未按磋商文件要求提供演示U盘造成评审专家无法正常评标的风险由磋商供应商自行承担。</w:t>
            </w:r>
          </w:p>
          <w:p w14:paraId="22C0AA92">
            <w:pPr>
              <w:pStyle w:val="133"/>
              <w:spacing w:line="360" w:lineRule="exact"/>
              <w:rPr>
                <w:rFonts w:hAnsi="宋体"/>
                <w:b w:val="0"/>
                <w:bCs w:val="0"/>
                <w:color w:val="auto"/>
                <w:sz w:val="22"/>
                <w:szCs w:val="22"/>
              </w:rPr>
            </w:pPr>
            <w:r>
              <w:rPr>
                <w:rFonts w:hint="eastAsia" w:hAnsi="宋体"/>
                <w:b w:val="0"/>
                <w:bCs w:val="0"/>
                <w:color w:val="auto"/>
                <w:sz w:val="22"/>
                <w:szCs w:val="22"/>
              </w:rPr>
              <w:t>（</w:t>
            </w:r>
            <w:r>
              <w:rPr>
                <w:rFonts w:hAnsi="宋体"/>
                <w:b w:val="0"/>
                <w:bCs w:val="0"/>
                <w:color w:val="auto"/>
                <w:sz w:val="22"/>
                <w:szCs w:val="22"/>
              </w:rPr>
              <w:t>4</w:t>
            </w:r>
            <w:r>
              <w:rPr>
                <w:rFonts w:hint="eastAsia" w:hAnsi="宋体"/>
                <w:b w:val="0"/>
                <w:bCs w:val="0"/>
                <w:color w:val="auto"/>
                <w:sz w:val="22"/>
                <w:szCs w:val="22"/>
              </w:rPr>
              <w:t>）递交截止时间：磋商文件提交截止时间前一个工作日下午1</w:t>
            </w:r>
            <w:r>
              <w:rPr>
                <w:rFonts w:hAnsi="宋体"/>
                <w:b w:val="0"/>
                <w:bCs w:val="0"/>
                <w:color w:val="auto"/>
                <w:sz w:val="22"/>
                <w:szCs w:val="22"/>
              </w:rPr>
              <w:t>7</w:t>
            </w:r>
            <w:r>
              <w:rPr>
                <w:rFonts w:hint="eastAsia" w:hAnsi="宋体"/>
                <w:b w:val="0"/>
                <w:bCs w:val="0"/>
                <w:color w:val="auto"/>
                <w:sz w:val="22"/>
                <w:szCs w:val="22"/>
              </w:rPr>
              <w:t>点前，逾期送达的，不予接收。</w:t>
            </w:r>
          </w:p>
          <w:p w14:paraId="50979C0A">
            <w:pPr>
              <w:pStyle w:val="133"/>
              <w:spacing w:line="360" w:lineRule="exact"/>
              <w:rPr>
                <w:rFonts w:hAnsi="宋体"/>
                <w:b w:val="0"/>
                <w:bCs w:val="0"/>
                <w:color w:val="auto"/>
                <w:sz w:val="22"/>
                <w:szCs w:val="22"/>
              </w:rPr>
            </w:pPr>
            <w:r>
              <w:rPr>
                <w:rFonts w:hint="eastAsia" w:hAnsi="宋体"/>
                <w:b w:val="0"/>
                <w:bCs w:val="0"/>
                <w:color w:val="auto"/>
                <w:sz w:val="22"/>
                <w:szCs w:val="22"/>
              </w:rPr>
              <w:t>（</w:t>
            </w:r>
            <w:r>
              <w:rPr>
                <w:rFonts w:hAnsi="宋体"/>
                <w:b w:val="0"/>
                <w:bCs w:val="0"/>
                <w:color w:val="auto"/>
                <w:sz w:val="22"/>
                <w:szCs w:val="22"/>
              </w:rPr>
              <w:t>5</w:t>
            </w:r>
            <w:r>
              <w:rPr>
                <w:rFonts w:hint="eastAsia" w:hAnsi="宋体"/>
                <w:b w:val="0"/>
                <w:bCs w:val="0"/>
                <w:color w:val="auto"/>
                <w:sz w:val="22"/>
                <w:szCs w:val="22"/>
              </w:rPr>
              <w:t>）演示U盘递交地址：温州市瓯海区南塘1组团1幢1504室。</w:t>
            </w:r>
          </w:p>
          <w:p w14:paraId="5B070DB7">
            <w:pPr>
              <w:spacing w:line="360" w:lineRule="exact"/>
              <w:rPr>
                <w:rFonts w:ascii="宋体" w:hAnsi="宋体" w:cs="宋体"/>
                <w:color w:val="auto"/>
                <w:sz w:val="22"/>
                <w:szCs w:val="22"/>
              </w:rPr>
            </w:pPr>
            <w:r>
              <w:rPr>
                <w:rFonts w:hint="eastAsia" w:hAnsi="宋体"/>
                <w:color w:val="auto"/>
                <w:sz w:val="22"/>
                <w:szCs w:val="22"/>
              </w:rPr>
              <w:t>（6）除寄送方式以外，磋商供应商可将演示视频压缩并加密（加密密码由供应商自行保管）后在本项目提交磋商响应文件截止时间前发送至代理机构邮箱（</w:t>
            </w:r>
            <w:r>
              <w:rPr>
                <w:rFonts w:hint="eastAsia" w:ascii="宋体" w:hAnsi="宋体" w:cs="宋体"/>
                <w:color w:val="auto"/>
                <w:sz w:val="22"/>
                <w:szCs w:val="22"/>
                <w:u w:val="single"/>
                <w:lang w:val="en-US" w:eastAsia="zh-CN"/>
              </w:rPr>
              <w:t>41396739</w:t>
            </w:r>
            <w:r>
              <w:rPr>
                <w:rFonts w:hint="eastAsia" w:ascii="宋体" w:hAnsi="宋体" w:cs="宋体"/>
                <w:color w:val="auto"/>
                <w:sz w:val="22"/>
                <w:szCs w:val="22"/>
                <w:u w:val="single"/>
              </w:rPr>
              <w:t>@qq.com</w:t>
            </w:r>
            <w:r>
              <w:rPr>
                <w:rFonts w:hint="eastAsia" w:hAnsi="宋体"/>
                <w:color w:val="auto"/>
                <w:sz w:val="22"/>
                <w:szCs w:val="22"/>
              </w:rPr>
              <w:t>），提交磋商响应文件截止时间后接收到的一律不予接受。</w:t>
            </w:r>
          </w:p>
        </w:tc>
      </w:tr>
      <w:tr w14:paraId="05D3E1A9">
        <w:tblPrEx>
          <w:tblCellMar>
            <w:top w:w="0" w:type="dxa"/>
            <w:left w:w="108" w:type="dxa"/>
            <w:bottom w:w="0" w:type="dxa"/>
            <w:right w:w="108" w:type="dxa"/>
          </w:tblCellMar>
        </w:tblPrEx>
        <w:trPr>
          <w:trHeight w:val="23" w:hRule="atLeast"/>
        </w:trPr>
        <w:tc>
          <w:tcPr>
            <w:tcW w:w="731" w:type="dxa"/>
            <w:tcBorders>
              <w:top w:val="single" w:color="auto" w:sz="4" w:space="0"/>
              <w:left w:val="single" w:color="auto" w:sz="4" w:space="0"/>
              <w:bottom w:val="single" w:color="auto" w:sz="4" w:space="0"/>
              <w:right w:val="single" w:color="auto" w:sz="4" w:space="0"/>
            </w:tcBorders>
            <w:vAlign w:val="center"/>
          </w:tcPr>
          <w:p w14:paraId="07E5DD8A">
            <w:pPr>
              <w:spacing w:line="360" w:lineRule="exact"/>
              <w:jc w:val="center"/>
              <w:rPr>
                <w:rFonts w:ascii="宋体" w:hAnsi="宋体" w:cs="宋体"/>
                <w:color w:val="auto"/>
                <w:kern w:val="0"/>
                <w:sz w:val="22"/>
                <w:szCs w:val="22"/>
              </w:rPr>
            </w:pPr>
            <w:r>
              <w:rPr>
                <w:rFonts w:hint="eastAsia" w:ascii="宋体" w:hAnsi="宋体" w:cs="宋体"/>
                <w:color w:val="auto"/>
                <w:sz w:val="22"/>
                <w:szCs w:val="22"/>
              </w:rPr>
              <w:t>27</w:t>
            </w:r>
          </w:p>
        </w:tc>
        <w:tc>
          <w:tcPr>
            <w:tcW w:w="1830" w:type="dxa"/>
            <w:tcBorders>
              <w:top w:val="single" w:color="auto" w:sz="4" w:space="0"/>
              <w:left w:val="single" w:color="auto" w:sz="4" w:space="0"/>
              <w:bottom w:val="single" w:color="auto" w:sz="4" w:space="0"/>
              <w:right w:val="single" w:color="auto" w:sz="4" w:space="0"/>
            </w:tcBorders>
            <w:vAlign w:val="center"/>
          </w:tcPr>
          <w:p w14:paraId="10E692E3">
            <w:pPr>
              <w:spacing w:line="360" w:lineRule="exact"/>
              <w:jc w:val="center"/>
              <w:rPr>
                <w:rFonts w:ascii="宋体" w:hAnsi="宋体" w:cs="宋体"/>
                <w:color w:val="auto"/>
                <w:kern w:val="0"/>
                <w:sz w:val="22"/>
                <w:szCs w:val="22"/>
              </w:rPr>
            </w:pPr>
            <w:r>
              <w:rPr>
                <w:rFonts w:hint="eastAsia" w:ascii="宋体" w:hAnsi="宋体" w:cs="宋体"/>
                <w:bCs/>
                <w:color w:val="auto"/>
                <w:sz w:val="22"/>
                <w:szCs w:val="22"/>
              </w:rPr>
              <w:t>是否允许采购进口产品</w:t>
            </w:r>
          </w:p>
        </w:tc>
        <w:tc>
          <w:tcPr>
            <w:tcW w:w="7397" w:type="dxa"/>
            <w:tcBorders>
              <w:top w:val="single" w:color="auto" w:sz="4" w:space="0"/>
              <w:left w:val="single" w:color="auto" w:sz="4" w:space="0"/>
              <w:bottom w:val="single" w:color="auto" w:sz="4" w:space="0"/>
              <w:right w:val="single" w:color="auto" w:sz="4" w:space="0"/>
            </w:tcBorders>
            <w:vAlign w:val="center"/>
          </w:tcPr>
          <w:p w14:paraId="39BC2DC7">
            <w:pPr>
              <w:spacing w:line="360" w:lineRule="exact"/>
              <w:rPr>
                <w:rFonts w:ascii="宋体" w:hAnsi="宋体" w:cs="宋体"/>
                <w:bCs/>
                <w:color w:val="auto"/>
                <w:kern w:val="0"/>
                <w:sz w:val="22"/>
                <w:szCs w:val="22"/>
              </w:rPr>
            </w:pPr>
            <w:r>
              <w:rPr>
                <w:rFonts w:hint="eastAsia" w:ascii="宋体" w:hAnsi="宋体" w:cs="宋体"/>
                <w:color w:val="auto"/>
                <w:sz w:val="22"/>
                <w:szCs w:val="22"/>
              </w:rPr>
              <w:sym w:font="Wingdings" w:char="F0FE"/>
            </w:r>
            <w:r>
              <w:rPr>
                <w:rFonts w:hint="eastAsia" w:ascii="宋体" w:hAnsi="宋体" w:cs="宋体"/>
                <w:bCs/>
                <w:color w:val="auto"/>
                <w:kern w:val="0"/>
                <w:sz w:val="22"/>
                <w:szCs w:val="22"/>
              </w:rPr>
              <w:t>本项目不允许采购进口产品。</w:t>
            </w:r>
          </w:p>
          <w:p w14:paraId="7883C6F2">
            <w:pPr>
              <w:spacing w:line="360" w:lineRule="exact"/>
              <w:rPr>
                <w:rFonts w:ascii="宋体" w:hAnsi="宋体" w:cs="宋体"/>
                <w:color w:val="auto"/>
                <w:kern w:val="0"/>
                <w:sz w:val="22"/>
                <w:szCs w:val="22"/>
              </w:rPr>
            </w:pPr>
            <w:r>
              <w:rPr>
                <w:rFonts w:hint="eastAsia" w:ascii="宋体" w:hAnsi="宋体" w:cs="宋体"/>
                <w:bCs/>
                <w:color w:val="auto"/>
                <w:kern w:val="0"/>
                <w:sz w:val="22"/>
                <w:szCs w:val="22"/>
              </w:rPr>
              <w:sym w:font="Wingdings" w:char="00A8"/>
            </w:r>
            <w:r>
              <w:rPr>
                <w:rFonts w:hint="eastAsia" w:ascii="宋体" w:hAnsi="宋体" w:cs="宋体"/>
                <w:bCs/>
                <w:color w:val="auto"/>
                <w:kern w:val="0"/>
                <w:sz w:val="22"/>
                <w:szCs w:val="22"/>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34A73F1">
        <w:tblPrEx>
          <w:tblCellMar>
            <w:top w:w="0" w:type="dxa"/>
            <w:left w:w="108" w:type="dxa"/>
            <w:bottom w:w="0" w:type="dxa"/>
            <w:right w:w="108" w:type="dxa"/>
          </w:tblCellMar>
        </w:tblPrEx>
        <w:trPr>
          <w:trHeight w:val="23" w:hRule="atLeast"/>
        </w:trPr>
        <w:tc>
          <w:tcPr>
            <w:tcW w:w="731" w:type="dxa"/>
            <w:tcBorders>
              <w:top w:val="single" w:color="auto" w:sz="4" w:space="0"/>
              <w:left w:val="single" w:color="auto" w:sz="4" w:space="0"/>
              <w:bottom w:val="single" w:color="auto" w:sz="4" w:space="0"/>
              <w:right w:val="single" w:color="auto" w:sz="4" w:space="0"/>
            </w:tcBorders>
            <w:vAlign w:val="center"/>
          </w:tcPr>
          <w:p w14:paraId="3E1F4E91">
            <w:pPr>
              <w:spacing w:line="360" w:lineRule="exact"/>
              <w:jc w:val="center"/>
              <w:rPr>
                <w:rFonts w:ascii="宋体" w:hAnsi="宋体" w:cs="宋体"/>
                <w:color w:val="auto"/>
                <w:kern w:val="0"/>
                <w:sz w:val="22"/>
                <w:szCs w:val="22"/>
              </w:rPr>
            </w:pPr>
            <w:r>
              <w:rPr>
                <w:rFonts w:hint="eastAsia" w:ascii="宋体" w:hAnsi="宋体" w:cs="宋体"/>
                <w:color w:val="auto"/>
                <w:sz w:val="22"/>
                <w:szCs w:val="22"/>
              </w:rPr>
              <w:t>28</w:t>
            </w:r>
          </w:p>
        </w:tc>
        <w:tc>
          <w:tcPr>
            <w:tcW w:w="1830" w:type="dxa"/>
            <w:tcBorders>
              <w:top w:val="single" w:color="auto" w:sz="4" w:space="0"/>
              <w:left w:val="single" w:color="auto" w:sz="4" w:space="0"/>
              <w:bottom w:val="single" w:color="auto" w:sz="4" w:space="0"/>
              <w:right w:val="single" w:color="auto" w:sz="4" w:space="0"/>
            </w:tcBorders>
            <w:vAlign w:val="center"/>
          </w:tcPr>
          <w:p w14:paraId="68850770">
            <w:pPr>
              <w:spacing w:line="360" w:lineRule="exact"/>
              <w:jc w:val="center"/>
              <w:rPr>
                <w:rFonts w:ascii="宋体" w:hAnsi="宋体" w:cs="宋体"/>
                <w:color w:val="auto"/>
                <w:kern w:val="0"/>
                <w:sz w:val="22"/>
                <w:szCs w:val="22"/>
              </w:rPr>
            </w:pPr>
            <w:r>
              <w:rPr>
                <w:rFonts w:hint="eastAsia" w:ascii="宋体" w:hAnsi="宋体" w:cs="宋体"/>
                <w:color w:val="auto"/>
                <w:sz w:val="22"/>
                <w:szCs w:val="22"/>
              </w:rPr>
              <w:t>政府采购信用融资</w:t>
            </w:r>
          </w:p>
        </w:tc>
        <w:tc>
          <w:tcPr>
            <w:tcW w:w="7397" w:type="dxa"/>
            <w:tcBorders>
              <w:top w:val="single" w:color="auto" w:sz="4" w:space="0"/>
              <w:left w:val="single" w:color="auto" w:sz="4" w:space="0"/>
              <w:bottom w:val="single" w:color="auto" w:sz="4" w:space="0"/>
              <w:right w:val="single" w:color="auto" w:sz="4" w:space="0"/>
            </w:tcBorders>
            <w:vAlign w:val="center"/>
          </w:tcPr>
          <w:p w14:paraId="57B263AD">
            <w:pPr>
              <w:spacing w:line="360" w:lineRule="exact"/>
              <w:rPr>
                <w:rFonts w:ascii="宋体" w:hAnsi="宋体" w:cs="宋体"/>
                <w:color w:val="auto"/>
                <w:kern w:val="0"/>
                <w:sz w:val="22"/>
                <w:szCs w:val="22"/>
              </w:rPr>
            </w:pPr>
            <w:r>
              <w:rPr>
                <w:rFonts w:hint="eastAsia" w:ascii="宋体" w:hAnsi="宋体" w:cs="宋体"/>
                <w:color w:val="auto"/>
                <w:sz w:val="22"/>
                <w:szCs w:val="22"/>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14:paraId="0029C06C">
        <w:tblPrEx>
          <w:tblCellMar>
            <w:top w:w="0" w:type="dxa"/>
            <w:left w:w="108" w:type="dxa"/>
            <w:bottom w:w="0" w:type="dxa"/>
            <w:right w:w="108" w:type="dxa"/>
          </w:tblCellMar>
        </w:tblPrEx>
        <w:trPr>
          <w:trHeight w:val="23" w:hRule="atLeast"/>
        </w:trPr>
        <w:tc>
          <w:tcPr>
            <w:tcW w:w="731" w:type="dxa"/>
            <w:tcBorders>
              <w:top w:val="single" w:color="auto" w:sz="4" w:space="0"/>
              <w:left w:val="single" w:color="auto" w:sz="4" w:space="0"/>
              <w:bottom w:val="single" w:color="auto" w:sz="4" w:space="0"/>
              <w:right w:val="single" w:color="auto" w:sz="4" w:space="0"/>
            </w:tcBorders>
            <w:vAlign w:val="center"/>
          </w:tcPr>
          <w:p w14:paraId="4DDCE6B7">
            <w:pPr>
              <w:spacing w:line="360" w:lineRule="exact"/>
              <w:jc w:val="center"/>
              <w:rPr>
                <w:rFonts w:ascii="宋体" w:hAnsi="宋体" w:cs="宋体"/>
                <w:color w:val="auto"/>
                <w:sz w:val="22"/>
                <w:szCs w:val="22"/>
              </w:rPr>
            </w:pPr>
            <w:bookmarkStart w:id="36" w:name="_Toc202085288"/>
            <w:bookmarkStart w:id="37" w:name="_Toc195502488"/>
            <w:bookmarkStart w:id="38" w:name="_Toc195502578"/>
            <w:r>
              <w:rPr>
                <w:rFonts w:hint="eastAsia" w:ascii="宋体" w:hAnsi="宋体" w:cs="宋体"/>
                <w:color w:val="auto"/>
                <w:sz w:val="22"/>
                <w:szCs w:val="22"/>
              </w:rPr>
              <w:t>29</w:t>
            </w:r>
          </w:p>
        </w:tc>
        <w:tc>
          <w:tcPr>
            <w:tcW w:w="1830" w:type="dxa"/>
            <w:tcBorders>
              <w:top w:val="single" w:color="auto" w:sz="4" w:space="0"/>
              <w:left w:val="single" w:color="auto" w:sz="4" w:space="0"/>
              <w:bottom w:val="single" w:color="auto" w:sz="4" w:space="0"/>
              <w:right w:val="single" w:color="auto" w:sz="4" w:space="0"/>
            </w:tcBorders>
            <w:vAlign w:val="center"/>
          </w:tcPr>
          <w:p w14:paraId="0204D4C2">
            <w:pPr>
              <w:spacing w:line="360" w:lineRule="exact"/>
              <w:jc w:val="center"/>
              <w:rPr>
                <w:rFonts w:ascii="宋体" w:hAnsi="宋体" w:cs="宋体"/>
                <w:color w:val="auto"/>
                <w:sz w:val="22"/>
                <w:szCs w:val="22"/>
              </w:rPr>
            </w:pPr>
            <w:r>
              <w:rPr>
                <w:rFonts w:hint="eastAsia" w:ascii="宋体" w:hAnsi="宋体" w:cs="宋体"/>
                <w:color w:val="auto"/>
                <w:kern w:val="0"/>
                <w:sz w:val="22"/>
                <w:szCs w:val="22"/>
              </w:rPr>
              <w:t>采购代理服务费</w:t>
            </w:r>
          </w:p>
        </w:tc>
        <w:tc>
          <w:tcPr>
            <w:tcW w:w="7397" w:type="dxa"/>
            <w:tcBorders>
              <w:top w:val="single" w:color="auto" w:sz="4" w:space="0"/>
              <w:left w:val="single" w:color="auto" w:sz="4" w:space="0"/>
              <w:bottom w:val="single" w:color="auto" w:sz="4" w:space="0"/>
              <w:right w:val="single" w:color="auto" w:sz="4" w:space="0"/>
            </w:tcBorders>
            <w:vAlign w:val="center"/>
          </w:tcPr>
          <w:p w14:paraId="1E267FA6">
            <w:pPr>
              <w:spacing w:line="360" w:lineRule="exact"/>
              <w:rPr>
                <w:rFonts w:ascii="宋体" w:hAnsi="宋体" w:cs="宋体"/>
                <w:color w:val="auto"/>
                <w:sz w:val="22"/>
                <w:szCs w:val="22"/>
              </w:rPr>
            </w:pPr>
            <w:r>
              <w:rPr>
                <w:rFonts w:hint="eastAsia" w:ascii="宋体" w:hAnsi="宋体" w:cs="宋体"/>
                <w:bCs/>
                <w:caps/>
                <w:color w:val="auto"/>
                <w:sz w:val="22"/>
                <w:szCs w:val="22"/>
                <w:u w:val="single"/>
              </w:rPr>
              <w:t>1.</w:t>
            </w:r>
            <w:r>
              <w:rPr>
                <w:rFonts w:hint="eastAsia" w:ascii="宋体" w:hAnsi="宋体" w:cs="宋体"/>
                <w:b w:val="0"/>
                <w:bCs/>
                <w:caps/>
                <w:color w:val="auto"/>
                <w:sz w:val="22"/>
                <w:szCs w:val="22"/>
                <w:u w:val="single"/>
              </w:rPr>
              <w:t>采购代理服务费</w:t>
            </w:r>
            <w:r>
              <w:rPr>
                <w:rFonts w:hint="eastAsia" w:ascii="宋体" w:hAnsi="宋体" w:cs="宋体"/>
                <w:b w:val="0"/>
                <w:bCs/>
                <w:caps/>
                <w:color w:val="auto"/>
                <w:sz w:val="22"/>
                <w:szCs w:val="22"/>
                <w:u w:val="single"/>
                <w:lang w:val="en-US" w:eastAsia="zh-CN"/>
              </w:rPr>
              <w:t>一次性</w:t>
            </w:r>
            <w:r>
              <w:rPr>
                <w:rFonts w:hint="eastAsia" w:ascii="宋体" w:hAnsi="宋体" w:cs="宋体"/>
                <w:b w:val="0"/>
                <w:bCs/>
                <w:caps/>
                <w:color w:val="auto"/>
                <w:sz w:val="22"/>
                <w:szCs w:val="22"/>
                <w:u w:val="single"/>
              </w:rPr>
              <w:t>收取</w:t>
            </w:r>
            <w:r>
              <w:rPr>
                <w:rFonts w:hint="eastAsia" w:ascii="宋体" w:hAnsi="宋体" w:cs="宋体"/>
                <w:b w:val="0"/>
                <w:bCs/>
                <w:caps/>
                <w:color w:val="auto"/>
                <w:sz w:val="22"/>
                <w:szCs w:val="22"/>
                <w:u w:val="single"/>
                <w:lang w:val="en-US" w:eastAsia="zh-CN"/>
              </w:rPr>
              <w:t>人民币贰万元整</w:t>
            </w:r>
            <w:r>
              <w:rPr>
                <w:rFonts w:hint="eastAsia" w:ascii="宋体" w:hAnsi="宋体" w:cs="宋体"/>
                <w:b w:val="0"/>
                <w:bCs/>
                <w:caps/>
                <w:color w:val="auto"/>
                <w:sz w:val="22"/>
                <w:szCs w:val="22"/>
                <w:u w:val="single"/>
              </w:rPr>
              <w:t>，</w:t>
            </w:r>
            <w:r>
              <w:rPr>
                <w:rFonts w:hint="eastAsia" w:ascii="宋体" w:hAnsi="宋体" w:cs="宋体"/>
                <w:b w:val="0"/>
                <w:bCs/>
                <w:color w:val="auto"/>
                <w:sz w:val="22"/>
                <w:szCs w:val="22"/>
                <w:u w:val="single"/>
              </w:rPr>
              <w:t>由成交供应商在领取成交通知书时支付</w:t>
            </w:r>
            <w:r>
              <w:rPr>
                <w:rFonts w:hint="eastAsia" w:ascii="宋体" w:hAnsi="宋体" w:cs="宋体"/>
                <w:b w:val="0"/>
                <w:bCs/>
                <w:color w:val="auto"/>
                <w:sz w:val="22"/>
                <w:szCs w:val="22"/>
              </w:rPr>
              <w:t>。</w:t>
            </w:r>
          </w:p>
          <w:p w14:paraId="765407AC">
            <w:pPr>
              <w:spacing w:line="360" w:lineRule="exact"/>
              <w:ind w:left="440" w:hanging="440" w:hangingChars="200"/>
              <w:rPr>
                <w:rFonts w:ascii="宋体" w:hAnsi="宋体" w:cs="宋体"/>
                <w:color w:val="auto"/>
                <w:spacing w:val="6"/>
                <w:sz w:val="22"/>
                <w:szCs w:val="22"/>
              </w:rPr>
            </w:pPr>
            <w:r>
              <w:rPr>
                <w:rFonts w:hint="eastAsia" w:ascii="宋体" w:hAnsi="宋体" w:cs="宋体"/>
                <w:color w:val="auto"/>
                <w:sz w:val="22"/>
                <w:szCs w:val="22"/>
              </w:rPr>
              <w:t>2.采购代理服务费可以是现金、支票或汇票。</w:t>
            </w:r>
          </w:p>
          <w:p w14:paraId="1247EE8B">
            <w:pPr>
              <w:spacing w:line="360" w:lineRule="exact"/>
              <w:rPr>
                <w:rFonts w:ascii="宋体" w:hAnsi="宋体" w:cs="宋体"/>
                <w:color w:val="auto"/>
                <w:sz w:val="22"/>
                <w:szCs w:val="22"/>
              </w:rPr>
            </w:pPr>
            <w:r>
              <w:rPr>
                <w:rFonts w:hint="eastAsia" w:ascii="宋体" w:hAnsi="宋体" w:cs="宋体"/>
                <w:color w:val="auto"/>
                <w:sz w:val="22"/>
                <w:szCs w:val="22"/>
              </w:rPr>
              <w:t>3.采购代理服务费汇入账户：</w:t>
            </w:r>
          </w:p>
          <w:p w14:paraId="0525D175">
            <w:pPr>
              <w:spacing w:line="360" w:lineRule="exact"/>
              <w:ind w:left="655" w:leftChars="312" w:firstLine="121" w:firstLineChars="55"/>
              <w:rPr>
                <w:rFonts w:ascii="宋体" w:hAnsi="宋体" w:cs="宋体"/>
                <w:color w:val="auto"/>
                <w:sz w:val="22"/>
                <w:szCs w:val="22"/>
              </w:rPr>
            </w:pPr>
            <w:r>
              <w:rPr>
                <w:rFonts w:hint="eastAsia" w:ascii="宋体" w:hAnsi="宋体" w:cs="宋体"/>
                <w:color w:val="auto"/>
                <w:sz w:val="22"/>
                <w:szCs w:val="22"/>
              </w:rPr>
              <w:t>户  名：温州正风招标代理有限公司</w:t>
            </w:r>
          </w:p>
          <w:p w14:paraId="2F3A10E0">
            <w:pPr>
              <w:spacing w:line="360" w:lineRule="exact"/>
              <w:ind w:left="655" w:leftChars="312" w:firstLine="121" w:firstLineChars="55"/>
              <w:rPr>
                <w:rFonts w:ascii="宋体" w:hAnsi="宋体" w:cs="宋体"/>
                <w:color w:val="auto"/>
                <w:sz w:val="22"/>
                <w:szCs w:val="22"/>
              </w:rPr>
            </w:pPr>
            <w:r>
              <w:rPr>
                <w:rFonts w:hint="eastAsia" w:ascii="宋体" w:hAnsi="宋体" w:cs="宋体"/>
                <w:color w:val="auto"/>
                <w:sz w:val="22"/>
                <w:szCs w:val="22"/>
              </w:rPr>
              <w:t>账  号：769000120190010526</w:t>
            </w:r>
          </w:p>
          <w:p w14:paraId="06B42E58">
            <w:pPr>
              <w:spacing w:line="360" w:lineRule="exact"/>
              <w:ind w:left="655" w:leftChars="312" w:firstLine="121" w:firstLineChars="55"/>
              <w:rPr>
                <w:rFonts w:ascii="宋体" w:hAnsi="宋体" w:cs="宋体"/>
                <w:color w:val="auto"/>
                <w:sz w:val="22"/>
                <w:szCs w:val="22"/>
              </w:rPr>
            </w:pPr>
            <w:r>
              <w:rPr>
                <w:rFonts w:hint="eastAsia" w:ascii="宋体" w:hAnsi="宋体" w:cs="宋体"/>
                <w:color w:val="auto"/>
                <w:sz w:val="22"/>
                <w:szCs w:val="22"/>
              </w:rPr>
              <w:t>开户行：温州银行江滨支行</w:t>
            </w:r>
          </w:p>
          <w:p w14:paraId="2A6B5615">
            <w:pPr>
              <w:spacing w:line="360" w:lineRule="exact"/>
              <w:rPr>
                <w:rFonts w:ascii="宋体" w:hAnsi="宋体" w:cs="宋体"/>
                <w:color w:val="auto"/>
                <w:sz w:val="22"/>
                <w:szCs w:val="22"/>
              </w:rPr>
            </w:pPr>
            <w:r>
              <w:rPr>
                <w:rFonts w:hint="eastAsia" w:ascii="宋体" w:hAnsi="宋体" w:cs="宋体"/>
                <w:color w:val="auto"/>
                <w:sz w:val="22"/>
                <w:szCs w:val="22"/>
              </w:rPr>
              <w:t>4.关于采购代理服务费及其他财务方面的详细事宜请咨询采购代理机构财务部周先生（0577-88119278）。</w:t>
            </w:r>
          </w:p>
        </w:tc>
      </w:tr>
      <w:tr w14:paraId="38A09C0C">
        <w:tblPrEx>
          <w:tblCellMar>
            <w:top w:w="0" w:type="dxa"/>
            <w:left w:w="108" w:type="dxa"/>
            <w:bottom w:w="0" w:type="dxa"/>
            <w:right w:w="108" w:type="dxa"/>
          </w:tblCellMar>
        </w:tblPrEx>
        <w:trPr>
          <w:trHeight w:val="23" w:hRule="atLeast"/>
        </w:trPr>
        <w:tc>
          <w:tcPr>
            <w:tcW w:w="731" w:type="dxa"/>
            <w:tcBorders>
              <w:top w:val="single" w:color="auto" w:sz="4" w:space="0"/>
              <w:left w:val="single" w:color="auto" w:sz="4" w:space="0"/>
              <w:bottom w:val="single" w:color="auto" w:sz="4" w:space="0"/>
              <w:right w:val="single" w:color="auto" w:sz="4" w:space="0"/>
            </w:tcBorders>
            <w:vAlign w:val="center"/>
          </w:tcPr>
          <w:p w14:paraId="069B838F">
            <w:pPr>
              <w:spacing w:line="360" w:lineRule="exact"/>
              <w:jc w:val="center"/>
              <w:rPr>
                <w:rFonts w:ascii="宋体" w:hAnsi="宋体" w:cs="宋体"/>
                <w:color w:val="auto"/>
                <w:sz w:val="22"/>
                <w:szCs w:val="22"/>
              </w:rPr>
            </w:pPr>
            <w:r>
              <w:rPr>
                <w:rFonts w:hint="eastAsia" w:ascii="宋体" w:hAnsi="宋体" w:cs="宋体"/>
                <w:color w:val="auto"/>
                <w:sz w:val="22"/>
                <w:szCs w:val="22"/>
              </w:rPr>
              <w:t>30</w:t>
            </w:r>
          </w:p>
        </w:tc>
        <w:tc>
          <w:tcPr>
            <w:tcW w:w="1830" w:type="dxa"/>
            <w:tcBorders>
              <w:top w:val="single" w:color="auto" w:sz="4" w:space="0"/>
              <w:left w:val="single" w:color="auto" w:sz="4" w:space="0"/>
              <w:bottom w:val="single" w:color="auto" w:sz="4" w:space="0"/>
              <w:right w:val="single" w:color="auto" w:sz="4" w:space="0"/>
            </w:tcBorders>
            <w:vAlign w:val="center"/>
          </w:tcPr>
          <w:p w14:paraId="17D4B95B">
            <w:pPr>
              <w:spacing w:line="360" w:lineRule="exact"/>
              <w:jc w:val="center"/>
              <w:rPr>
                <w:rFonts w:ascii="宋体" w:hAnsi="宋体" w:cs="宋体"/>
                <w:color w:val="auto"/>
                <w:kern w:val="0"/>
                <w:sz w:val="22"/>
                <w:szCs w:val="22"/>
              </w:rPr>
            </w:pPr>
            <w:r>
              <w:rPr>
                <w:rFonts w:hint="eastAsia" w:ascii="宋体" w:hAnsi="宋体" w:cs="宋体"/>
                <w:color w:val="auto"/>
                <w:kern w:val="0"/>
                <w:sz w:val="22"/>
                <w:szCs w:val="22"/>
              </w:rPr>
              <w:t>其他约定事项</w:t>
            </w:r>
          </w:p>
        </w:tc>
        <w:tc>
          <w:tcPr>
            <w:tcW w:w="7397" w:type="dxa"/>
            <w:tcBorders>
              <w:top w:val="single" w:color="auto" w:sz="4" w:space="0"/>
              <w:left w:val="single" w:color="auto" w:sz="4" w:space="0"/>
              <w:bottom w:val="single" w:color="auto" w:sz="4" w:space="0"/>
              <w:right w:val="single" w:color="auto" w:sz="4" w:space="0"/>
            </w:tcBorders>
            <w:vAlign w:val="center"/>
          </w:tcPr>
          <w:p w14:paraId="011D2E81">
            <w:pPr>
              <w:spacing w:line="360" w:lineRule="exact"/>
              <w:rPr>
                <w:rFonts w:ascii="宋体" w:hAnsi="宋体" w:cs="宋体"/>
                <w:b/>
                <w:caps/>
                <w:color w:val="auto"/>
                <w:sz w:val="22"/>
                <w:szCs w:val="22"/>
                <w:u w:val="single"/>
              </w:rPr>
            </w:pPr>
            <w:r>
              <w:rPr>
                <w:rFonts w:hint="eastAsia" w:ascii="宋体" w:hAnsi="宋体" w:cs="宋体"/>
                <w:b/>
                <w:caps/>
                <w:color w:val="auto"/>
                <w:sz w:val="22"/>
                <w:szCs w:val="22"/>
                <w:u w:val="single"/>
              </w:rPr>
              <w:t>无。</w:t>
            </w:r>
          </w:p>
        </w:tc>
      </w:tr>
    </w:tbl>
    <w:p w14:paraId="037F153E">
      <w:pPr>
        <w:pStyle w:val="3"/>
        <w:spacing w:line="520" w:lineRule="exact"/>
        <w:jc w:val="center"/>
        <w:rPr>
          <w:color w:val="auto"/>
          <w:sz w:val="28"/>
          <w:szCs w:val="28"/>
        </w:rPr>
      </w:pPr>
      <w:bookmarkStart w:id="39" w:name="_Toc16665"/>
      <w:bookmarkStart w:id="40" w:name="_Toc21400"/>
      <w:bookmarkStart w:id="41" w:name="_Toc26424"/>
      <w:bookmarkStart w:id="42" w:name="_Toc7835"/>
      <w:bookmarkStart w:id="43" w:name="_Toc32154"/>
      <w:r>
        <w:rPr>
          <w:rFonts w:hint="eastAsia"/>
          <w:color w:val="auto"/>
          <w:sz w:val="28"/>
          <w:szCs w:val="28"/>
        </w:rPr>
        <w:t>一、说    明</w:t>
      </w:r>
      <w:bookmarkEnd w:id="36"/>
      <w:bookmarkEnd w:id="37"/>
      <w:bookmarkEnd w:id="38"/>
      <w:bookmarkEnd w:id="39"/>
      <w:bookmarkEnd w:id="40"/>
      <w:bookmarkEnd w:id="41"/>
      <w:bookmarkEnd w:id="42"/>
      <w:bookmarkEnd w:id="43"/>
    </w:p>
    <w:p w14:paraId="51AF4CA0">
      <w:pPr>
        <w:tabs>
          <w:tab w:val="left" w:pos="360"/>
        </w:tabs>
        <w:spacing w:line="440" w:lineRule="exact"/>
        <w:ind w:left="550" w:hanging="550" w:hangingChars="250"/>
        <w:rPr>
          <w:rFonts w:ascii="宋体" w:hAnsi="宋体" w:cs="宋体"/>
          <w:color w:val="auto"/>
          <w:sz w:val="22"/>
          <w:szCs w:val="22"/>
        </w:rPr>
      </w:pPr>
      <w:bookmarkStart w:id="44" w:name="_Toc202085289"/>
      <w:bookmarkStart w:id="45" w:name="_Toc195502489"/>
      <w:bookmarkStart w:id="46" w:name="_Toc195502579"/>
      <w:r>
        <w:rPr>
          <w:rFonts w:hint="eastAsia" w:ascii="宋体" w:hAnsi="宋体" w:cs="宋体"/>
          <w:color w:val="auto"/>
          <w:sz w:val="22"/>
          <w:szCs w:val="22"/>
        </w:rPr>
        <w:t>1.   本次采购是按照《中华人民共和国政府采购法》、《中华人民共和国政府采购法实施条例》、《政府采购竞争性磋商采购方式管理暂行办法》《浙江省政府采购项目电子交易管理暂行办法》（浙财采监〔2019〕10号）及省市等法律法规及有关规范性文件组织和实施的。</w:t>
      </w:r>
    </w:p>
    <w:p w14:paraId="697EF1C0">
      <w:pPr>
        <w:tabs>
          <w:tab w:val="left" w:pos="360"/>
        </w:tabs>
        <w:spacing w:line="440" w:lineRule="exact"/>
        <w:ind w:left="550" w:hanging="550" w:hangingChars="250"/>
        <w:rPr>
          <w:rFonts w:ascii="宋体" w:hAnsi="宋体" w:cs="宋体"/>
          <w:color w:val="auto"/>
          <w:sz w:val="22"/>
          <w:szCs w:val="22"/>
        </w:rPr>
      </w:pPr>
      <w:bookmarkStart w:id="47" w:name="_Toc3235"/>
      <w:bookmarkStart w:id="48" w:name="_Toc31546"/>
      <w:bookmarkStart w:id="49" w:name="_Toc19066"/>
      <w:r>
        <w:rPr>
          <w:rFonts w:hint="eastAsia" w:ascii="宋体" w:hAnsi="宋体" w:cs="宋体"/>
          <w:color w:val="auto"/>
          <w:sz w:val="22"/>
          <w:szCs w:val="22"/>
        </w:rPr>
        <w:t>2.   定义</w:t>
      </w:r>
      <w:bookmarkEnd w:id="47"/>
      <w:bookmarkEnd w:id="48"/>
      <w:bookmarkEnd w:id="49"/>
    </w:p>
    <w:p w14:paraId="128A12E7">
      <w:pPr>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2.1 “采购人”系指磋商公告中载明的本项目的采购人。</w:t>
      </w:r>
    </w:p>
    <w:p w14:paraId="0AB604B0">
      <w:pPr>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2.2 “采购代理机构”系指磋商公告中载明的本项目的采购代理机构。</w:t>
      </w:r>
    </w:p>
    <w:p w14:paraId="2B9FF9D6">
      <w:pPr>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2.3 “磋商供应商、供应商”均系指响应招标、参加投标竞争的法人、其他组织或者自然人。</w:t>
      </w:r>
    </w:p>
    <w:p w14:paraId="7D05D1A0">
      <w:pPr>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2.4 “负责人”系指法人企业的法定负责人，或其他组织为法律、行政法规规定代表单位行使职权的主要负责人，或自然人本人。</w:t>
      </w:r>
    </w:p>
    <w:p w14:paraId="22E7B538">
      <w:pPr>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2.5“电子签名”系指数据电文中以电子形式所含、所附用于识别签名人身份并表明签名人认可其中内容的数据；“公章”系指单位法定名称章。</w:t>
      </w:r>
    </w:p>
    <w:p w14:paraId="119961E5">
      <w:pPr>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2.6“电子交易平台”是指本项目政府采购活动所依托的政府采购云平台（https://www.zcygov.cn/）。</w:t>
      </w:r>
    </w:p>
    <w:p w14:paraId="61FD8E27">
      <w:pPr>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2.7 “▲”</w:t>
      </w:r>
      <w:r>
        <w:rPr>
          <w:rFonts w:hint="eastAsia" w:ascii="宋体" w:hAnsi="宋体" w:cs="宋体"/>
          <w:snapToGrid w:val="0"/>
          <w:color w:val="auto"/>
          <w:kern w:val="28"/>
          <w:sz w:val="22"/>
          <w:szCs w:val="22"/>
        </w:rPr>
        <w:t>且加下划线的条款</w:t>
      </w:r>
      <w:r>
        <w:rPr>
          <w:rFonts w:hint="eastAsia" w:ascii="宋体" w:hAnsi="宋体" w:cs="宋体"/>
          <w:color w:val="auto"/>
          <w:sz w:val="22"/>
          <w:szCs w:val="22"/>
        </w:rPr>
        <w:t>系指实质性要求条款，</w:t>
      </w:r>
      <w:r>
        <w:rPr>
          <w:rFonts w:hint="eastAsia" w:ascii="宋体" w:hAnsi="宋体" w:cs="仿宋"/>
          <w:color w:val="auto"/>
          <w:sz w:val="22"/>
          <w:szCs w:val="22"/>
        </w:rPr>
        <w:t>“</w:t>
      </w:r>
      <w:r>
        <w:rPr>
          <w:rFonts w:hint="eastAsia" w:ascii="宋体" w:hAnsi="宋体" w:cs="仿宋"/>
          <w:color w:val="auto"/>
          <w:sz w:val="22"/>
          <w:szCs w:val="22"/>
        </w:rPr>
        <w:sym w:font="Wingdings" w:char="00FE"/>
      </w:r>
      <w:r>
        <w:rPr>
          <w:rFonts w:hint="eastAsia" w:ascii="宋体" w:hAnsi="宋体" w:cs="仿宋"/>
          <w:color w:val="auto"/>
          <w:sz w:val="22"/>
          <w:szCs w:val="22"/>
        </w:rPr>
        <w:t>” 系指适用本项目的要求，“</w:t>
      </w:r>
      <w:r>
        <w:rPr>
          <w:rFonts w:hint="eastAsia" w:ascii="宋体" w:hAnsi="宋体" w:cs="仿宋"/>
          <w:color w:val="auto"/>
          <w:sz w:val="22"/>
          <w:szCs w:val="22"/>
        </w:rPr>
        <w:sym w:font="Wingdings" w:char="00A8"/>
      </w:r>
      <w:r>
        <w:rPr>
          <w:rFonts w:hint="eastAsia" w:ascii="宋体" w:hAnsi="宋体" w:cs="仿宋"/>
          <w:color w:val="auto"/>
          <w:sz w:val="22"/>
          <w:szCs w:val="22"/>
        </w:rPr>
        <w:t>” 系指不适用本项目的要求</w:t>
      </w:r>
      <w:r>
        <w:rPr>
          <w:rFonts w:hint="eastAsia" w:ascii="宋体" w:hAnsi="宋体" w:cs="宋体"/>
          <w:color w:val="auto"/>
          <w:sz w:val="22"/>
          <w:szCs w:val="22"/>
        </w:rPr>
        <w:t>。</w:t>
      </w:r>
    </w:p>
    <w:p w14:paraId="2832530C">
      <w:pPr>
        <w:spacing w:line="440" w:lineRule="exact"/>
        <w:rPr>
          <w:rFonts w:ascii="宋体" w:hAnsi="宋体" w:cs="宋体"/>
          <w:b/>
          <w:color w:val="auto"/>
          <w:sz w:val="22"/>
          <w:szCs w:val="22"/>
        </w:rPr>
      </w:pPr>
      <w:r>
        <w:rPr>
          <w:rFonts w:hint="eastAsia" w:ascii="宋体" w:hAnsi="宋体" w:cs="宋体"/>
          <w:b/>
          <w:color w:val="auto"/>
          <w:sz w:val="22"/>
          <w:szCs w:val="22"/>
        </w:rPr>
        <w:t>3.  合格磋商供应商要求</w:t>
      </w:r>
    </w:p>
    <w:p w14:paraId="29F185EA">
      <w:pPr>
        <w:tabs>
          <w:tab w:val="left" w:pos="540"/>
          <w:tab w:val="left" w:pos="900"/>
        </w:tabs>
        <w:snapToGrid w:val="0"/>
        <w:spacing w:line="440" w:lineRule="exact"/>
        <w:ind w:firstLine="440" w:firstLineChars="200"/>
        <w:rPr>
          <w:rFonts w:ascii="宋体" w:hAnsi="宋体" w:cs="宋体"/>
          <w:bCs/>
          <w:color w:val="auto"/>
          <w:sz w:val="22"/>
          <w:szCs w:val="22"/>
        </w:rPr>
      </w:pPr>
      <w:r>
        <w:rPr>
          <w:rFonts w:hint="eastAsia" w:ascii="宋体" w:hAnsi="宋体" w:cs="宋体"/>
          <w:bCs/>
          <w:color w:val="auto"/>
          <w:sz w:val="22"/>
          <w:szCs w:val="22"/>
        </w:rPr>
        <w:t>3.1合格的磋商供应商应满足磋商文件第一部分“磋商公告”对供应商的资格要求。</w:t>
      </w:r>
    </w:p>
    <w:p w14:paraId="7D711E81">
      <w:pPr>
        <w:tabs>
          <w:tab w:val="left" w:pos="540"/>
          <w:tab w:val="left" w:pos="900"/>
        </w:tabs>
        <w:snapToGrid w:val="0"/>
        <w:spacing w:line="440" w:lineRule="exact"/>
        <w:ind w:firstLine="440" w:firstLineChars="200"/>
        <w:rPr>
          <w:rFonts w:ascii="宋体" w:hAnsi="宋体" w:cs="宋体"/>
          <w:bCs/>
          <w:color w:val="auto"/>
          <w:sz w:val="22"/>
          <w:szCs w:val="22"/>
        </w:rPr>
      </w:pPr>
      <w:r>
        <w:rPr>
          <w:rFonts w:hint="eastAsia" w:ascii="宋体" w:hAnsi="宋体" w:cs="宋体"/>
          <w:bCs/>
          <w:color w:val="auto"/>
          <w:sz w:val="22"/>
          <w:szCs w:val="22"/>
        </w:rPr>
        <w:t>3.2</w:t>
      </w:r>
      <w:r>
        <w:rPr>
          <w:rFonts w:hint="eastAsia" w:ascii="宋体" w:hAnsi="宋体" w:cs="宋体"/>
          <w:b/>
          <w:color w:val="auto"/>
          <w:sz w:val="22"/>
          <w:szCs w:val="22"/>
        </w:rPr>
        <w:t>单位负责人为同一人或者存在直接控股、管理关系的不同磋商供应商，不得参加同一合同项下的政府采购活动。为采购项目提供整体设计、规范编制或者项目管理、监理、检测等服务的磋商供应商，不得再参加该采购项目的其他采购活动。</w:t>
      </w:r>
    </w:p>
    <w:p w14:paraId="77DFECC5">
      <w:pPr>
        <w:tabs>
          <w:tab w:val="left" w:pos="540"/>
          <w:tab w:val="left" w:pos="900"/>
        </w:tabs>
        <w:snapToGrid w:val="0"/>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3.3磋商供应商可授权磋商供应商代表以磋商供应商名义参加本次采购的投标活动（包括磋商响应文件的签署、澄清、说明、补正、递交、撤回、修改等以及签订合同和处理有关事宜）。如果磋商供应商代表不是法定代表人(负责人)，须持有《法定代表人(负责人)授权书》。</w:t>
      </w:r>
    </w:p>
    <w:p w14:paraId="74922A20">
      <w:pPr>
        <w:snapToGrid w:val="0"/>
        <w:spacing w:line="440" w:lineRule="exact"/>
        <w:ind w:firstLine="464" w:firstLineChars="200"/>
        <w:rPr>
          <w:rFonts w:ascii="宋体" w:hAnsi="宋体" w:cs="宋体"/>
          <w:bCs/>
          <w:color w:val="auto"/>
          <w:spacing w:val="6"/>
          <w:sz w:val="22"/>
          <w:szCs w:val="22"/>
        </w:rPr>
      </w:pPr>
      <w:r>
        <w:rPr>
          <w:rFonts w:hint="eastAsia" w:ascii="宋体" w:hAnsi="宋体" w:cs="宋体"/>
          <w:bCs/>
          <w:color w:val="auto"/>
          <w:spacing w:val="6"/>
          <w:sz w:val="22"/>
          <w:szCs w:val="22"/>
        </w:rPr>
        <w:t>3.4采用最低评标价法的</w:t>
      </w:r>
      <w:r>
        <w:rPr>
          <w:rFonts w:hint="eastAsia" w:ascii="宋体" w:hAnsi="宋体" w:cs="宋体"/>
          <w:color w:val="auto"/>
          <w:sz w:val="22"/>
          <w:szCs w:val="22"/>
        </w:rPr>
        <w:t>货物类</w:t>
      </w:r>
      <w:r>
        <w:rPr>
          <w:rFonts w:hint="eastAsia" w:ascii="宋体" w:hAnsi="宋体" w:cs="宋体"/>
          <w:bCs/>
          <w:color w:val="auto"/>
          <w:spacing w:val="6"/>
          <w:sz w:val="22"/>
          <w:szCs w:val="22"/>
        </w:rPr>
        <w:t>采购项目，提供相同品牌产品的不同磋商供应商参加同一合同项下投标的，以其中通过资格审查、符合性审查且报价最低的参加评标；报价相同的，由采购人或者采购人委托评标委员会按照磋商文件规定的方式确定一个参加评标的磋商供应商，磋商文件未规定的采取随机抽取方式确定，其他投标无效。</w:t>
      </w:r>
    </w:p>
    <w:p w14:paraId="1D922527">
      <w:pPr>
        <w:snapToGrid w:val="0"/>
        <w:spacing w:line="440" w:lineRule="exact"/>
        <w:ind w:firstLine="464" w:firstLineChars="200"/>
        <w:rPr>
          <w:rFonts w:ascii="宋体" w:hAnsi="宋体" w:cs="宋体"/>
          <w:bCs/>
          <w:color w:val="auto"/>
          <w:spacing w:val="6"/>
          <w:sz w:val="22"/>
          <w:szCs w:val="22"/>
        </w:rPr>
      </w:pPr>
      <w:r>
        <w:rPr>
          <w:rFonts w:hint="eastAsia" w:ascii="宋体" w:hAnsi="宋体" w:cs="宋体"/>
          <w:bCs/>
          <w:color w:val="auto"/>
          <w:spacing w:val="6"/>
          <w:sz w:val="22"/>
          <w:szCs w:val="22"/>
        </w:rPr>
        <w:t>使用综合评分法的</w:t>
      </w:r>
      <w:r>
        <w:rPr>
          <w:rFonts w:hint="eastAsia" w:ascii="宋体" w:hAnsi="宋体" w:cs="宋体"/>
          <w:color w:val="auto"/>
          <w:sz w:val="22"/>
          <w:szCs w:val="22"/>
        </w:rPr>
        <w:t>货物类</w:t>
      </w:r>
      <w:r>
        <w:rPr>
          <w:rFonts w:hint="eastAsia" w:ascii="宋体" w:hAnsi="宋体" w:cs="宋体"/>
          <w:bCs/>
          <w:color w:val="auto"/>
          <w:spacing w:val="6"/>
          <w:sz w:val="22"/>
          <w:szCs w:val="22"/>
        </w:rPr>
        <w:t>采购项目，提供相同品牌产品且通过资格审查、符合性审查的不同磋商供应商参加同一合同项下投标的，按一家磋商供应商计算，评审后得分最高的同品牌磋商供应商获得成交供应商推荐资格；评审得分相同的，由采购人或者采购人委托评标委员会按照磋商文件规定的方式确定一个磋商供应商获得成交供应商推荐资格，磋商文件未规定的采取随机抽取方式确定，其他同品牌磋商供应商不作为中标候选人。</w:t>
      </w:r>
    </w:p>
    <w:p w14:paraId="746A75FC">
      <w:pPr>
        <w:snapToGrid w:val="0"/>
        <w:spacing w:line="440" w:lineRule="exact"/>
        <w:ind w:firstLine="464" w:firstLineChars="200"/>
        <w:rPr>
          <w:rFonts w:ascii="宋体" w:hAnsi="宋体" w:cs="宋体"/>
          <w:bCs/>
          <w:color w:val="auto"/>
          <w:spacing w:val="6"/>
          <w:sz w:val="22"/>
          <w:szCs w:val="22"/>
        </w:rPr>
      </w:pPr>
      <w:r>
        <w:rPr>
          <w:rFonts w:hint="eastAsia" w:ascii="宋体" w:hAnsi="宋体" w:cs="宋体"/>
          <w:bCs/>
          <w:color w:val="auto"/>
          <w:spacing w:val="6"/>
          <w:sz w:val="22"/>
          <w:szCs w:val="22"/>
        </w:rPr>
        <w:t>非单一产品采购项目，多家磋商供应商提供的核心产品（见</w:t>
      </w:r>
      <w:r>
        <w:rPr>
          <w:rFonts w:hint="eastAsia" w:ascii="宋体" w:hAnsi="宋体" w:cs="宋体"/>
          <w:color w:val="auto"/>
          <w:sz w:val="22"/>
          <w:szCs w:val="22"/>
        </w:rPr>
        <w:t>磋商供应商须知前附表</w:t>
      </w:r>
      <w:r>
        <w:rPr>
          <w:rFonts w:hint="eastAsia" w:ascii="宋体" w:hAnsi="宋体" w:cs="宋体"/>
          <w:bCs/>
          <w:color w:val="auto"/>
          <w:spacing w:val="6"/>
          <w:sz w:val="22"/>
          <w:szCs w:val="22"/>
        </w:rPr>
        <w:t>）品牌相同的，按前两款规定处理。</w:t>
      </w:r>
    </w:p>
    <w:p w14:paraId="73C5FD38">
      <w:pPr>
        <w:snapToGrid w:val="0"/>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3.5货物类是否允许采购进口产品、是否要求节能/环境标志产品等情况见磋商供应商须知前附表。</w:t>
      </w:r>
    </w:p>
    <w:p w14:paraId="73904717">
      <w:pPr>
        <w:spacing w:line="440" w:lineRule="exact"/>
        <w:rPr>
          <w:rFonts w:ascii="宋体" w:hAnsi="宋体" w:cs="宋体"/>
          <w:b/>
          <w:color w:val="auto"/>
          <w:sz w:val="22"/>
          <w:szCs w:val="22"/>
        </w:rPr>
      </w:pPr>
      <w:r>
        <w:rPr>
          <w:rFonts w:hint="eastAsia" w:ascii="宋体" w:hAnsi="宋体" w:cs="宋体"/>
          <w:b/>
          <w:color w:val="auto"/>
          <w:sz w:val="22"/>
          <w:szCs w:val="22"/>
        </w:rPr>
        <w:t>4.  采购项目需要落实的政府采购政策</w:t>
      </w:r>
    </w:p>
    <w:p w14:paraId="262D7D5F">
      <w:pPr>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4.1 根据《政府采购进口产品管理办法》的通知（财库〔2007〕119 号）文件相关规定，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64CB6DBA">
      <w:pPr>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4.2 支持绿色发展</w:t>
      </w:r>
    </w:p>
    <w:p w14:paraId="2CC87F2A">
      <w:pPr>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4.2.1采购人拟采购的产品属于品目清单范围的，采购人及其委托的采购代理机构将依据国家确定的认证机构出具的、处于有效期之内的节能产品、环境标志产品认证证书，对获得证书的产品实施政府优先采购或强制采购。磋商供应商须按磋商文件要求提供相关产品认证证书。采购人拟采购的产品属于政府强制采购的节能产品品目清单范围的，磋商供应商未按磋商文件要求提供国家确定的认证机构出具的、处于有效期之内的节能产品认证证书的，投标无效。</w:t>
      </w:r>
    </w:p>
    <w:p w14:paraId="05488CDE">
      <w:pPr>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4.3支持中小企业发展</w:t>
      </w:r>
    </w:p>
    <w:p w14:paraId="226F7C61">
      <w:pPr>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4.3.1中小企业，是指在中华人民共和国境内依法设立，依据国务院批准的中小企业划分标准确定的中型企业、小型企业和微型企业，但与大企业的负责人为同一人，或者与大企业存在直接控股、管理关系的除外。</w:t>
      </w:r>
    </w:p>
    <w:p w14:paraId="74FC4958">
      <w:pPr>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符合中小企业划分标准的个体工商户，在政府采购活动中视同中小企业。</w:t>
      </w:r>
    </w:p>
    <w:p w14:paraId="7065D8B4">
      <w:pPr>
        <w:widowControl/>
        <w:spacing w:line="440" w:lineRule="exact"/>
        <w:ind w:firstLine="440" w:firstLineChars="200"/>
        <w:jc w:val="left"/>
        <w:rPr>
          <w:rFonts w:ascii="宋体" w:hAnsi="宋体" w:cs="宋体"/>
          <w:color w:val="auto"/>
          <w:kern w:val="0"/>
          <w:sz w:val="22"/>
          <w:szCs w:val="22"/>
        </w:rPr>
      </w:pPr>
      <w:r>
        <w:rPr>
          <w:rFonts w:hint="eastAsia" w:ascii="宋体" w:hAnsi="宋体" w:cs="宋体"/>
          <w:bCs/>
          <w:color w:val="auto"/>
          <w:sz w:val="22"/>
          <w:szCs w:val="22"/>
        </w:rPr>
        <w:t>4.3.2</w:t>
      </w:r>
      <w:r>
        <w:rPr>
          <w:rFonts w:hint="eastAsia" w:ascii="宋体" w:hAnsi="宋体" w:cs="宋体"/>
          <w:color w:val="auto"/>
          <w:kern w:val="0"/>
          <w:sz w:val="22"/>
          <w:szCs w:val="22"/>
        </w:rPr>
        <w:t>在政府采购活动中，磋商供应商提供的货物、工程或者服务符合下列情形的，享受中小企业扶持政策：</w:t>
      </w:r>
    </w:p>
    <w:p w14:paraId="4B4859DD">
      <w:pPr>
        <w:widowControl/>
        <w:spacing w:line="440" w:lineRule="exact"/>
        <w:ind w:firstLine="440" w:firstLineChars="200"/>
        <w:jc w:val="left"/>
        <w:rPr>
          <w:rFonts w:ascii="宋体" w:hAnsi="宋体" w:cs="宋体"/>
          <w:color w:val="auto"/>
          <w:kern w:val="0"/>
          <w:sz w:val="22"/>
          <w:szCs w:val="22"/>
        </w:rPr>
      </w:pPr>
      <w:r>
        <w:rPr>
          <w:rFonts w:hint="eastAsia" w:ascii="宋体" w:hAnsi="宋体" w:cs="宋体"/>
          <w:color w:val="auto"/>
          <w:kern w:val="0"/>
          <w:sz w:val="22"/>
          <w:szCs w:val="22"/>
        </w:rPr>
        <w:t>4.3.2.1在货物采购项目中，货物由中小企业制造，即货物由中小企业生产且使用该中小企业商号或者注册商标；</w:t>
      </w:r>
    </w:p>
    <w:p w14:paraId="47F10459">
      <w:pPr>
        <w:widowControl/>
        <w:spacing w:line="440" w:lineRule="exact"/>
        <w:ind w:firstLine="440" w:firstLineChars="200"/>
        <w:jc w:val="left"/>
        <w:rPr>
          <w:rFonts w:ascii="宋体" w:hAnsi="宋体" w:cs="宋体"/>
          <w:color w:val="auto"/>
          <w:kern w:val="0"/>
          <w:sz w:val="22"/>
          <w:szCs w:val="22"/>
        </w:rPr>
      </w:pPr>
      <w:r>
        <w:rPr>
          <w:rFonts w:hint="eastAsia" w:ascii="宋体" w:hAnsi="宋体" w:cs="宋体"/>
          <w:color w:val="auto"/>
          <w:kern w:val="0"/>
          <w:sz w:val="22"/>
          <w:szCs w:val="22"/>
        </w:rPr>
        <w:t>4.3.2.2在工程采购项目中，工程由中小企业承建，即工程施工单位为中小企业；</w:t>
      </w:r>
    </w:p>
    <w:p w14:paraId="40DE2AFF">
      <w:pPr>
        <w:widowControl/>
        <w:spacing w:line="440" w:lineRule="exact"/>
        <w:ind w:firstLine="440" w:firstLineChars="200"/>
        <w:jc w:val="left"/>
        <w:rPr>
          <w:rFonts w:ascii="宋体" w:hAnsi="宋体" w:cs="宋体"/>
          <w:color w:val="auto"/>
          <w:kern w:val="0"/>
          <w:sz w:val="22"/>
          <w:szCs w:val="22"/>
        </w:rPr>
      </w:pPr>
      <w:r>
        <w:rPr>
          <w:rFonts w:hint="eastAsia" w:ascii="宋体" w:hAnsi="宋体" w:cs="宋体"/>
          <w:color w:val="auto"/>
          <w:kern w:val="0"/>
          <w:sz w:val="22"/>
          <w:szCs w:val="22"/>
        </w:rPr>
        <w:t>4.3.2.3在服务采购项目中，服务由中小企业承接，即提供服务的人员为中小企业依照《中华人民共和国劳动合同法》订立劳动合同的从业人员。</w:t>
      </w:r>
    </w:p>
    <w:p w14:paraId="4AD99598">
      <w:pPr>
        <w:widowControl/>
        <w:spacing w:line="440" w:lineRule="exact"/>
        <w:ind w:firstLine="440" w:firstLineChars="200"/>
        <w:jc w:val="left"/>
        <w:rPr>
          <w:rFonts w:ascii="宋体" w:hAnsi="宋体" w:cs="宋体"/>
          <w:color w:val="auto"/>
          <w:kern w:val="0"/>
          <w:sz w:val="22"/>
          <w:szCs w:val="22"/>
        </w:rPr>
      </w:pPr>
      <w:r>
        <w:rPr>
          <w:rFonts w:hint="eastAsia" w:ascii="宋体" w:hAnsi="宋体" w:cs="宋体"/>
          <w:color w:val="auto"/>
          <w:kern w:val="0"/>
          <w:sz w:val="22"/>
          <w:szCs w:val="22"/>
        </w:rPr>
        <w:t>在货物采购项目中，磋商供应商提供的货物既有中小企业制造货物，也有大型企业制造货物的，不享受中小企业扶持政策。</w:t>
      </w:r>
    </w:p>
    <w:p w14:paraId="1E246E4E">
      <w:pPr>
        <w:widowControl/>
        <w:spacing w:line="440" w:lineRule="exact"/>
        <w:ind w:firstLine="440" w:firstLineChars="200"/>
        <w:jc w:val="left"/>
        <w:rPr>
          <w:rFonts w:ascii="宋体" w:hAnsi="宋体" w:cs="宋体"/>
          <w:color w:val="auto"/>
          <w:kern w:val="0"/>
          <w:sz w:val="22"/>
          <w:szCs w:val="22"/>
        </w:rPr>
      </w:pPr>
      <w:r>
        <w:rPr>
          <w:rFonts w:hint="eastAsia" w:ascii="宋体" w:hAnsi="宋体" w:cs="宋体"/>
          <w:color w:val="auto"/>
          <w:kern w:val="0"/>
          <w:sz w:val="22"/>
          <w:szCs w:val="22"/>
        </w:rPr>
        <w:t>以联合体形式参加政府采购活动，联合体各方均为中小企业的，联合体视同中小企业。其中，联合体各方均为小微企业的，联合体视同小微企业。</w:t>
      </w:r>
    </w:p>
    <w:p w14:paraId="327D592B">
      <w:pPr>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4.3.3对于未预留份额专门面向中小企业的政府采购货物或服务项目，以及预留份额政府采购货物或服务项目中的非预留部分标项，对小型和微型企业的投标报价给予</w:t>
      </w:r>
      <w:r>
        <w:rPr>
          <w:rFonts w:ascii="宋体" w:hAnsi="宋体" w:cs="宋体"/>
          <w:color w:val="auto"/>
          <w:sz w:val="22"/>
          <w:szCs w:val="22"/>
        </w:rPr>
        <w:t>1</w:t>
      </w:r>
      <w:r>
        <w:rPr>
          <w:rFonts w:hint="eastAsia" w:ascii="宋体" w:hAnsi="宋体" w:cs="宋体"/>
          <w:color w:val="auto"/>
          <w:sz w:val="22"/>
          <w:szCs w:val="22"/>
        </w:rPr>
        <w:t>0</w:t>
      </w:r>
      <w:r>
        <w:rPr>
          <w:rFonts w:hint="eastAsia" w:ascii="宋体" w:hAnsi="宋体" w:cs="宋体"/>
          <w:color w:val="auto"/>
          <w:sz w:val="22"/>
          <w:szCs w:val="22"/>
          <w:lang w:val="en-US" w:eastAsia="zh-CN"/>
        </w:rPr>
        <w:t>%-20</w:t>
      </w:r>
      <w:r>
        <w:rPr>
          <w:rFonts w:hint="eastAsia" w:ascii="宋体" w:hAnsi="宋体" w:cs="宋体"/>
          <w:color w:val="auto"/>
          <w:sz w:val="22"/>
          <w:szCs w:val="22"/>
        </w:rPr>
        <w:t>%（工程项目为3%-5%）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ascii="宋体" w:hAnsi="宋体" w:cs="宋体"/>
          <w:color w:val="auto"/>
          <w:sz w:val="22"/>
          <w:szCs w:val="22"/>
        </w:rPr>
        <w:t>4</w:t>
      </w:r>
      <w:r>
        <w:rPr>
          <w:rFonts w:hint="eastAsia" w:ascii="宋体" w:hAnsi="宋体" w:cs="宋体"/>
          <w:color w:val="auto"/>
          <w:sz w:val="22"/>
          <w:szCs w:val="22"/>
        </w:rPr>
        <w:t>%（工程项目为1%-2%）的扣除，用扣除后的价格参加评审。组成联合体或者接受分包的小微企业与联合体内其他企业、分包企业之间存在直接控股、管理关系的，不享受价格扣除优惠政策。</w:t>
      </w:r>
    </w:p>
    <w:p w14:paraId="73DD6A4F">
      <w:pPr>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4.3.4符合《关于促进残疾人就业政府采购政策的通知》（财库〔2017〕141号）规定的条件并提供《残疾人福利性单位声明函》（附件九）的残疾人福利性单位视同小型、微型企业；</w:t>
      </w:r>
    </w:p>
    <w:p w14:paraId="5E379540">
      <w:pPr>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4.3.5符合《关于政府采购支持监狱企业发展有关问题的通知》（财库[2014]68号）规定的监狱企业并提供由省级以上监狱管理局、戒毒管理局（含新疆生产建设兵团）出具的属于监狱企业证明文件的，视同为小型、微型企业。</w:t>
      </w:r>
    </w:p>
    <w:p w14:paraId="2A6934E2">
      <w:pPr>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4.3.6可享受中小企业扶持政策的磋商供应商应按照磋商文件格式要求提供《中小企业声明函》，磋商供应商提供的《中小企业声明函》与实际情况不符的，不享受中小企业扶持政策。声明内容不实的，属于提供虚假材料谋取中标、成交的，依法承担法律责任。</w:t>
      </w:r>
    </w:p>
    <w:p w14:paraId="1A69DD7F">
      <w:pPr>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4.3.7中小企业享受扶持政策获得政府采购合同的，小微企业不得将合同分包给大中型企业，中型企业不得将合同分包给大型企业。</w:t>
      </w:r>
    </w:p>
    <w:p w14:paraId="491D8DA6">
      <w:pPr>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4.4中小企业信用融资：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14:paraId="3DC76C6F">
      <w:pPr>
        <w:snapToGrid w:val="0"/>
        <w:spacing w:line="440" w:lineRule="exact"/>
        <w:ind w:firstLine="440" w:firstLineChars="200"/>
        <w:rPr>
          <w:rFonts w:ascii="宋体" w:hAnsi="宋体" w:cs="宋体"/>
          <w:color w:val="auto"/>
          <w:sz w:val="22"/>
          <w:szCs w:val="22"/>
        </w:rPr>
      </w:pPr>
      <w:r>
        <w:rPr>
          <w:rFonts w:hint="eastAsia" w:ascii="宋体" w:hAnsi="宋体" w:cs="宋体"/>
          <w:snapToGrid w:val="0"/>
          <w:color w:val="auto"/>
          <w:kern w:val="28"/>
          <w:sz w:val="22"/>
          <w:szCs w:val="22"/>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18207E14">
      <w:pPr>
        <w:spacing w:line="440" w:lineRule="exact"/>
        <w:rPr>
          <w:rFonts w:ascii="宋体" w:hAnsi="宋体" w:cs="宋体"/>
          <w:b/>
          <w:color w:val="auto"/>
          <w:sz w:val="22"/>
          <w:szCs w:val="22"/>
        </w:rPr>
      </w:pPr>
      <w:r>
        <w:rPr>
          <w:rFonts w:hint="eastAsia" w:ascii="宋体" w:hAnsi="宋体" w:cs="宋体"/>
          <w:b/>
          <w:color w:val="auto"/>
          <w:sz w:val="22"/>
          <w:szCs w:val="22"/>
        </w:rPr>
        <w:t>5.  询问、质疑、投诉</w:t>
      </w:r>
    </w:p>
    <w:p w14:paraId="1C972ADF">
      <w:pPr>
        <w:autoSpaceDE w:val="0"/>
        <w:autoSpaceDN w:val="0"/>
        <w:spacing w:line="440" w:lineRule="exact"/>
        <w:ind w:firstLine="220" w:firstLineChars="100"/>
        <w:jc w:val="left"/>
        <w:rPr>
          <w:rFonts w:ascii="宋体" w:hAnsi="宋体" w:cs="宋体"/>
          <w:color w:val="auto"/>
          <w:kern w:val="0"/>
          <w:sz w:val="22"/>
          <w:szCs w:val="22"/>
          <w:lang w:val="zh-CN"/>
        </w:rPr>
      </w:pPr>
      <w:r>
        <w:rPr>
          <w:rFonts w:hint="eastAsia" w:ascii="宋体" w:hAnsi="宋体" w:cs="宋体"/>
          <w:color w:val="auto"/>
          <w:kern w:val="0"/>
          <w:sz w:val="22"/>
          <w:szCs w:val="22"/>
        </w:rPr>
        <w:t>5</w:t>
      </w:r>
      <w:r>
        <w:rPr>
          <w:rFonts w:hint="eastAsia" w:ascii="宋体" w:hAnsi="宋体" w:cs="宋体"/>
          <w:color w:val="auto"/>
          <w:kern w:val="0"/>
          <w:sz w:val="22"/>
          <w:szCs w:val="22"/>
          <w:lang w:val="zh-CN"/>
        </w:rPr>
        <w:t>.1供应商询问</w:t>
      </w:r>
    </w:p>
    <w:p w14:paraId="71425A85">
      <w:pPr>
        <w:autoSpaceDE w:val="0"/>
        <w:autoSpaceDN w:val="0"/>
        <w:spacing w:line="440" w:lineRule="exact"/>
        <w:ind w:firstLine="440" w:firstLineChars="200"/>
        <w:jc w:val="left"/>
        <w:rPr>
          <w:rFonts w:ascii="宋体" w:hAnsi="宋体" w:cs="宋体"/>
          <w:color w:val="auto"/>
          <w:kern w:val="0"/>
          <w:sz w:val="22"/>
          <w:szCs w:val="22"/>
          <w:lang w:val="zh-CN"/>
        </w:rPr>
      </w:pPr>
      <w:r>
        <w:rPr>
          <w:rFonts w:hint="eastAsia" w:ascii="宋体" w:hAnsi="宋体" w:cs="宋体"/>
          <w:color w:val="auto"/>
          <w:kern w:val="0"/>
          <w:sz w:val="22"/>
          <w:szCs w:val="22"/>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5C892BC">
      <w:pPr>
        <w:autoSpaceDE w:val="0"/>
        <w:autoSpaceDN w:val="0"/>
        <w:spacing w:line="440" w:lineRule="exact"/>
        <w:ind w:firstLine="220" w:firstLineChars="100"/>
        <w:jc w:val="left"/>
        <w:rPr>
          <w:rFonts w:ascii="宋体" w:hAnsi="宋体" w:cs="宋体"/>
          <w:color w:val="auto"/>
          <w:kern w:val="0"/>
          <w:sz w:val="22"/>
          <w:szCs w:val="22"/>
          <w:lang w:val="zh-CN"/>
        </w:rPr>
      </w:pPr>
      <w:r>
        <w:rPr>
          <w:rFonts w:hint="eastAsia" w:ascii="宋体" w:hAnsi="宋体" w:cs="宋体"/>
          <w:color w:val="auto"/>
          <w:kern w:val="0"/>
          <w:sz w:val="22"/>
          <w:szCs w:val="22"/>
        </w:rPr>
        <w:t>5</w:t>
      </w:r>
      <w:r>
        <w:rPr>
          <w:rFonts w:hint="eastAsia" w:ascii="宋体" w:hAnsi="宋体" w:cs="宋体"/>
          <w:color w:val="auto"/>
          <w:kern w:val="0"/>
          <w:sz w:val="22"/>
          <w:szCs w:val="22"/>
          <w:lang w:val="zh-CN"/>
        </w:rPr>
        <w:t>.2供应商质疑</w:t>
      </w:r>
    </w:p>
    <w:p w14:paraId="3A5A957C">
      <w:pPr>
        <w:pStyle w:val="18"/>
        <w:spacing w:line="440" w:lineRule="exact"/>
        <w:ind w:firstLine="440" w:firstLineChars="200"/>
        <w:rPr>
          <w:rFonts w:hAnsi="宋体" w:cs="宋体"/>
          <w:color w:val="auto"/>
          <w:sz w:val="22"/>
          <w:szCs w:val="22"/>
        </w:rPr>
      </w:pPr>
      <w:r>
        <w:rPr>
          <w:rFonts w:hint="eastAsia" w:hAnsi="宋体" w:cs="宋体"/>
          <w:color w:val="auto"/>
          <w:sz w:val="22"/>
          <w:szCs w:val="22"/>
        </w:rPr>
        <w:t>5</w:t>
      </w:r>
      <w:r>
        <w:rPr>
          <w:rFonts w:hint="eastAsia" w:hAnsi="宋体" w:cs="宋体"/>
          <w:color w:val="auto"/>
          <w:sz w:val="22"/>
          <w:szCs w:val="22"/>
          <w:lang w:val="zh-CN"/>
        </w:rPr>
        <w:t>.2</w:t>
      </w:r>
      <w:r>
        <w:rPr>
          <w:rFonts w:hint="eastAsia" w:hAnsi="宋体" w:cs="宋体"/>
          <w:color w:val="auto"/>
          <w:sz w:val="22"/>
          <w:szCs w:val="22"/>
        </w:rPr>
        <w:t>.1提出质疑的供应商应当是参与所质疑项目采购活动的供应商。潜在供应商已依法获取其可质疑的磋商文件的，可以对该文件提出质疑。</w:t>
      </w:r>
    </w:p>
    <w:p w14:paraId="4BA5F648">
      <w:pPr>
        <w:pStyle w:val="18"/>
        <w:spacing w:line="440" w:lineRule="exact"/>
        <w:ind w:firstLine="440" w:firstLineChars="200"/>
        <w:rPr>
          <w:rFonts w:hAnsi="宋体" w:cs="宋体"/>
          <w:color w:val="auto"/>
          <w:sz w:val="22"/>
          <w:szCs w:val="22"/>
        </w:rPr>
      </w:pPr>
      <w:r>
        <w:rPr>
          <w:rFonts w:hint="eastAsia" w:hAnsi="宋体" w:cs="宋体"/>
          <w:color w:val="auto"/>
          <w:sz w:val="22"/>
          <w:szCs w:val="22"/>
        </w:rPr>
        <w:t>5</w:t>
      </w:r>
      <w:r>
        <w:rPr>
          <w:rFonts w:hint="eastAsia" w:hAnsi="宋体" w:cs="宋体"/>
          <w:color w:val="auto"/>
          <w:sz w:val="22"/>
          <w:szCs w:val="22"/>
          <w:lang w:val="zh-CN"/>
        </w:rPr>
        <w:t>.2</w:t>
      </w:r>
      <w:r>
        <w:rPr>
          <w:rFonts w:hint="eastAsia" w:hAnsi="宋体" w:cs="宋体"/>
          <w:color w:val="auto"/>
          <w:sz w:val="22"/>
          <w:szCs w:val="22"/>
        </w:rPr>
        <w:t>.2供应商认为磋商文件、采购过程和中标结果使自己的权益受到损害的，可以在知道或者应知其权益受到损害之日起七个工作日内，以书面形式向采购人或者采购代理机构提出质疑，否则，采购人或者采购代理机构不予受理：</w:t>
      </w:r>
    </w:p>
    <w:p w14:paraId="62B4E9FE">
      <w:pPr>
        <w:pStyle w:val="10"/>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5.2.2.1质疑提交形式：以书面形式向磋商公告中载明的质疑联系人提交或登录政采云平台（https://www.zcygov.cn/）通过“询问质疑投诉”栏向采购机构内设的质疑联系人提交并上传书面质疑材料。</w:t>
      </w:r>
    </w:p>
    <w:p w14:paraId="78F13141">
      <w:pPr>
        <w:pStyle w:val="10"/>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5.2.2.2对磋商文件提出质疑的，质疑期限为供应商获得磋商文件之日或者磋商文件公告期限届满之日起计算</w:t>
      </w:r>
      <w:r>
        <w:rPr>
          <w:rFonts w:hint="eastAsia" w:ascii="宋体" w:hAnsi="宋体" w:cs="仿宋"/>
          <w:color w:val="auto"/>
          <w:sz w:val="22"/>
          <w:szCs w:val="22"/>
          <w:highlight w:val="none"/>
          <w:lang w:eastAsia="zh-CN"/>
        </w:rPr>
        <w:t>（公告期限届满后获取采购文件的，以公告期限届满之日为准）</w:t>
      </w:r>
      <w:r>
        <w:rPr>
          <w:rFonts w:hint="eastAsia" w:ascii="宋体" w:hAnsi="宋体" w:cs="宋体"/>
          <w:color w:val="auto"/>
          <w:sz w:val="22"/>
          <w:szCs w:val="22"/>
        </w:rPr>
        <w:t>。</w:t>
      </w:r>
    </w:p>
    <w:p w14:paraId="494E2706">
      <w:pPr>
        <w:pStyle w:val="18"/>
        <w:spacing w:line="440" w:lineRule="exact"/>
        <w:ind w:firstLine="440" w:firstLineChars="200"/>
        <w:rPr>
          <w:rFonts w:hAnsi="宋体" w:cs="宋体"/>
          <w:color w:val="auto"/>
          <w:sz w:val="22"/>
          <w:szCs w:val="22"/>
        </w:rPr>
      </w:pPr>
      <w:r>
        <w:rPr>
          <w:rFonts w:hint="eastAsia" w:hAnsi="宋体" w:cs="宋体"/>
          <w:color w:val="auto"/>
          <w:sz w:val="22"/>
          <w:szCs w:val="22"/>
        </w:rPr>
        <w:t>5.2.2.3对采购过程提出质疑的，质疑期限为各采购程序环节结束之日起计算。对同一采购程序环节的质疑，供应商须一次性提出。</w:t>
      </w:r>
    </w:p>
    <w:p w14:paraId="261D2154">
      <w:pPr>
        <w:pStyle w:val="18"/>
        <w:spacing w:line="440" w:lineRule="exact"/>
        <w:ind w:firstLine="440" w:firstLineChars="200"/>
        <w:rPr>
          <w:rFonts w:hAnsi="宋体" w:cs="宋体"/>
          <w:color w:val="auto"/>
          <w:sz w:val="22"/>
          <w:szCs w:val="22"/>
        </w:rPr>
      </w:pPr>
      <w:r>
        <w:rPr>
          <w:rFonts w:hint="eastAsia" w:hAnsi="宋体" w:cs="宋体"/>
          <w:color w:val="auto"/>
          <w:sz w:val="22"/>
          <w:szCs w:val="22"/>
        </w:rPr>
        <w:t>5.2.2.4对采购结果提出质疑的，质疑期限自采购结果公告期限届满之日起计算。</w:t>
      </w:r>
    </w:p>
    <w:p w14:paraId="4A881B95">
      <w:pPr>
        <w:pStyle w:val="18"/>
        <w:spacing w:line="440" w:lineRule="exact"/>
        <w:ind w:firstLine="440" w:firstLineChars="200"/>
        <w:rPr>
          <w:rFonts w:hAnsi="宋体" w:cs="宋体"/>
          <w:color w:val="auto"/>
          <w:sz w:val="22"/>
          <w:szCs w:val="22"/>
          <w:lang w:val="zh-CN"/>
        </w:rPr>
      </w:pPr>
      <w:r>
        <w:rPr>
          <w:rFonts w:hint="eastAsia" w:hAnsi="宋体" w:cs="宋体"/>
          <w:color w:val="auto"/>
          <w:sz w:val="22"/>
          <w:szCs w:val="22"/>
        </w:rPr>
        <w:t>5</w:t>
      </w:r>
      <w:r>
        <w:rPr>
          <w:rFonts w:hint="eastAsia" w:hAnsi="宋体" w:cs="宋体"/>
          <w:color w:val="auto"/>
          <w:sz w:val="22"/>
          <w:szCs w:val="22"/>
          <w:lang w:val="zh-CN"/>
        </w:rPr>
        <w:t>.2.3</w:t>
      </w:r>
      <w:r>
        <w:rPr>
          <w:rFonts w:hint="eastAsia" w:hAnsi="宋体" w:cs="宋体"/>
          <w:color w:val="auto"/>
          <w:sz w:val="22"/>
          <w:szCs w:val="22"/>
        </w:rPr>
        <w:t>供应商提出质疑应当提交质疑函和必要的证明材料。质疑函应当包括下列内容：</w:t>
      </w:r>
    </w:p>
    <w:p w14:paraId="166F0CD2">
      <w:pPr>
        <w:pStyle w:val="18"/>
        <w:spacing w:line="440" w:lineRule="exact"/>
        <w:ind w:firstLine="440" w:firstLineChars="200"/>
        <w:rPr>
          <w:rFonts w:hAnsi="宋体" w:cs="宋体"/>
          <w:color w:val="auto"/>
          <w:sz w:val="22"/>
          <w:szCs w:val="22"/>
          <w:lang w:val="zh-CN"/>
        </w:rPr>
      </w:pPr>
      <w:r>
        <w:rPr>
          <w:rFonts w:hint="eastAsia" w:hAnsi="宋体" w:cs="宋体"/>
          <w:color w:val="auto"/>
          <w:sz w:val="22"/>
          <w:szCs w:val="22"/>
        </w:rPr>
        <w:t>5</w:t>
      </w:r>
      <w:r>
        <w:rPr>
          <w:rFonts w:hint="eastAsia" w:hAnsi="宋体" w:cs="宋体"/>
          <w:color w:val="auto"/>
          <w:sz w:val="22"/>
          <w:szCs w:val="22"/>
          <w:lang w:val="zh-CN"/>
        </w:rPr>
        <w:t>.2.3.1供应商的姓名或者名称、地址、邮编、联系人及联系电话；</w:t>
      </w:r>
    </w:p>
    <w:p w14:paraId="6AA18D61">
      <w:pPr>
        <w:pStyle w:val="18"/>
        <w:spacing w:line="440" w:lineRule="exact"/>
        <w:ind w:firstLine="440" w:firstLineChars="200"/>
        <w:rPr>
          <w:rFonts w:hAnsi="宋体" w:cs="宋体"/>
          <w:color w:val="auto"/>
          <w:sz w:val="22"/>
          <w:szCs w:val="22"/>
          <w:lang w:val="zh-CN"/>
        </w:rPr>
      </w:pPr>
      <w:r>
        <w:rPr>
          <w:rFonts w:hint="eastAsia" w:hAnsi="宋体" w:cs="宋体"/>
          <w:color w:val="auto"/>
          <w:sz w:val="22"/>
          <w:szCs w:val="22"/>
        </w:rPr>
        <w:t>5</w:t>
      </w:r>
      <w:r>
        <w:rPr>
          <w:rFonts w:hint="eastAsia" w:hAnsi="宋体" w:cs="宋体"/>
          <w:color w:val="auto"/>
          <w:sz w:val="22"/>
          <w:szCs w:val="22"/>
          <w:lang w:val="zh-CN"/>
        </w:rPr>
        <w:t>.2.3.2质疑项目的名称、编号；</w:t>
      </w:r>
    </w:p>
    <w:p w14:paraId="2F0BD5D3">
      <w:pPr>
        <w:pStyle w:val="18"/>
        <w:spacing w:line="440" w:lineRule="exact"/>
        <w:ind w:firstLine="440" w:firstLineChars="200"/>
        <w:rPr>
          <w:rFonts w:hAnsi="宋体" w:cs="宋体"/>
          <w:color w:val="auto"/>
          <w:sz w:val="22"/>
          <w:szCs w:val="22"/>
          <w:lang w:val="zh-CN"/>
        </w:rPr>
      </w:pPr>
      <w:r>
        <w:rPr>
          <w:rFonts w:hint="eastAsia" w:hAnsi="宋体" w:cs="宋体"/>
          <w:color w:val="auto"/>
          <w:sz w:val="22"/>
          <w:szCs w:val="22"/>
        </w:rPr>
        <w:t>5</w:t>
      </w:r>
      <w:r>
        <w:rPr>
          <w:rFonts w:hint="eastAsia" w:hAnsi="宋体" w:cs="宋体"/>
          <w:color w:val="auto"/>
          <w:sz w:val="22"/>
          <w:szCs w:val="22"/>
          <w:lang w:val="zh-CN"/>
        </w:rPr>
        <w:t>.2.3.3具体、明确的质疑事项和与质疑事项相关的请求；</w:t>
      </w:r>
    </w:p>
    <w:p w14:paraId="59ABA0D6">
      <w:pPr>
        <w:pStyle w:val="18"/>
        <w:spacing w:line="440" w:lineRule="exact"/>
        <w:ind w:firstLine="440" w:firstLineChars="200"/>
        <w:rPr>
          <w:rFonts w:hAnsi="宋体" w:cs="宋体"/>
          <w:color w:val="auto"/>
          <w:sz w:val="22"/>
          <w:szCs w:val="22"/>
          <w:lang w:val="zh-CN"/>
        </w:rPr>
      </w:pPr>
      <w:r>
        <w:rPr>
          <w:rFonts w:hint="eastAsia" w:hAnsi="宋体" w:cs="宋体"/>
          <w:color w:val="auto"/>
          <w:sz w:val="22"/>
          <w:szCs w:val="22"/>
        </w:rPr>
        <w:t>5</w:t>
      </w:r>
      <w:r>
        <w:rPr>
          <w:rFonts w:hint="eastAsia" w:hAnsi="宋体" w:cs="宋体"/>
          <w:color w:val="auto"/>
          <w:sz w:val="22"/>
          <w:szCs w:val="22"/>
          <w:lang w:val="zh-CN"/>
        </w:rPr>
        <w:t>.2.3.4事实依据；</w:t>
      </w:r>
    </w:p>
    <w:p w14:paraId="53211A92">
      <w:pPr>
        <w:pStyle w:val="18"/>
        <w:spacing w:line="440" w:lineRule="exact"/>
        <w:ind w:firstLine="440" w:firstLineChars="200"/>
        <w:rPr>
          <w:rFonts w:hAnsi="宋体" w:cs="宋体"/>
          <w:color w:val="auto"/>
          <w:sz w:val="22"/>
          <w:szCs w:val="22"/>
          <w:lang w:val="zh-CN"/>
        </w:rPr>
      </w:pPr>
      <w:r>
        <w:rPr>
          <w:rFonts w:hint="eastAsia" w:hAnsi="宋体" w:cs="宋体"/>
          <w:color w:val="auto"/>
          <w:sz w:val="22"/>
          <w:szCs w:val="22"/>
        </w:rPr>
        <w:t>5</w:t>
      </w:r>
      <w:r>
        <w:rPr>
          <w:rFonts w:hint="eastAsia" w:hAnsi="宋体" w:cs="宋体"/>
          <w:color w:val="auto"/>
          <w:sz w:val="22"/>
          <w:szCs w:val="22"/>
          <w:lang w:val="zh-CN"/>
        </w:rPr>
        <w:t>.2.3.5必要的法律依据；</w:t>
      </w:r>
    </w:p>
    <w:p w14:paraId="0015600E">
      <w:pPr>
        <w:spacing w:line="440" w:lineRule="exact"/>
        <w:ind w:firstLine="440" w:firstLineChars="200"/>
        <w:rPr>
          <w:rFonts w:ascii="宋体" w:hAnsi="宋体" w:cs="宋体"/>
          <w:color w:val="auto"/>
          <w:sz w:val="22"/>
          <w:szCs w:val="22"/>
          <w:lang w:val="zh-CN"/>
        </w:rPr>
      </w:pPr>
      <w:r>
        <w:rPr>
          <w:rFonts w:hint="eastAsia" w:ascii="宋体" w:hAnsi="宋体" w:cs="宋体"/>
          <w:color w:val="auto"/>
          <w:sz w:val="22"/>
          <w:szCs w:val="22"/>
        </w:rPr>
        <w:t>5</w:t>
      </w:r>
      <w:r>
        <w:rPr>
          <w:rFonts w:hint="eastAsia" w:ascii="宋体" w:hAnsi="宋体" w:cs="宋体"/>
          <w:color w:val="auto"/>
          <w:sz w:val="22"/>
          <w:szCs w:val="22"/>
          <w:lang w:val="zh-CN"/>
        </w:rPr>
        <w:t>.2.3.6提出质疑的日期。</w:t>
      </w:r>
    </w:p>
    <w:p w14:paraId="6779D816">
      <w:pPr>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供应商为自然人的，应当由本人签字；供应商为法人或者其他组织的，应当由法定代表人、主要负责人，或者其授权代表签字或者盖章，并加盖公章。</w:t>
      </w:r>
    </w:p>
    <w:p w14:paraId="7C5CF597">
      <w:pPr>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质疑函范本及制作说明详见浙江政府采购网相关格式内容。</w:t>
      </w:r>
    </w:p>
    <w:p w14:paraId="2630AF56">
      <w:pPr>
        <w:spacing w:line="440" w:lineRule="exact"/>
        <w:ind w:firstLine="440" w:firstLineChars="200"/>
        <w:rPr>
          <w:rFonts w:ascii="宋体" w:hAnsi="宋体" w:cs="宋体"/>
          <w:color w:val="auto"/>
          <w:sz w:val="22"/>
          <w:szCs w:val="22"/>
          <w:lang w:val="zh-CN"/>
        </w:rPr>
      </w:pPr>
      <w:r>
        <w:rPr>
          <w:rFonts w:hint="eastAsia" w:ascii="宋体" w:hAnsi="宋体" w:cs="宋体"/>
          <w:color w:val="auto"/>
          <w:sz w:val="22"/>
          <w:szCs w:val="22"/>
        </w:rPr>
        <w:t>5</w:t>
      </w:r>
      <w:r>
        <w:rPr>
          <w:rFonts w:hint="eastAsia" w:ascii="宋体" w:hAnsi="宋体" w:cs="宋体"/>
          <w:color w:val="auto"/>
          <w:sz w:val="22"/>
          <w:szCs w:val="22"/>
          <w:lang w:val="zh-CN"/>
        </w:rPr>
        <w:t>.2.4采购人或者采购代理机构应当在收到供应商的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回复后5个工作日内，在浙江政府采购网的“其他公告”栏目公开质疑答复，答复内容应当完整。质疑函作为附件上传。</w:t>
      </w:r>
    </w:p>
    <w:p w14:paraId="2312B7D8">
      <w:pPr>
        <w:spacing w:line="440" w:lineRule="exact"/>
        <w:ind w:firstLine="440" w:firstLineChars="200"/>
        <w:rPr>
          <w:rFonts w:ascii="宋体" w:hAnsi="宋体" w:cs="宋体"/>
          <w:color w:val="auto"/>
          <w:sz w:val="22"/>
          <w:szCs w:val="22"/>
          <w:lang w:val="zh-CN"/>
        </w:rPr>
      </w:pPr>
      <w:r>
        <w:rPr>
          <w:rFonts w:hint="eastAsia" w:ascii="宋体" w:hAnsi="宋体" w:cs="宋体"/>
          <w:color w:val="auto"/>
          <w:sz w:val="22"/>
          <w:szCs w:val="22"/>
        </w:rPr>
        <w:t>5</w:t>
      </w:r>
      <w:r>
        <w:rPr>
          <w:rFonts w:hint="eastAsia" w:ascii="宋体" w:hAnsi="宋体" w:cs="宋体"/>
          <w:color w:val="auto"/>
          <w:sz w:val="22"/>
          <w:szCs w:val="22"/>
          <w:lang w:val="zh-CN"/>
        </w:rPr>
        <w:t>.2.5询问或者质疑事项可能影响采购结果的，采购人应当暂停签订合同，已经签订合同的，应当中止履行合同。</w:t>
      </w:r>
    </w:p>
    <w:p w14:paraId="1370652C">
      <w:pPr>
        <w:spacing w:line="440" w:lineRule="exact"/>
        <w:ind w:firstLine="440" w:firstLineChars="200"/>
        <w:rPr>
          <w:rFonts w:ascii="宋体" w:hAnsi="宋体" w:cs="宋体"/>
          <w:color w:val="auto"/>
          <w:sz w:val="22"/>
          <w:szCs w:val="22"/>
          <w:lang w:val="zh-CN"/>
        </w:rPr>
      </w:pPr>
      <w:r>
        <w:rPr>
          <w:rFonts w:hint="eastAsia" w:ascii="宋体" w:hAnsi="宋体" w:cs="宋体"/>
          <w:color w:val="auto"/>
          <w:sz w:val="22"/>
          <w:szCs w:val="22"/>
        </w:rPr>
        <w:t>5</w:t>
      </w:r>
      <w:r>
        <w:rPr>
          <w:rFonts w:hint="eastAsia" w:ascii="宋体" w:hAnsi="宋体" w:cs="宋体"/>
          <w:color w:val="auto"/>
          <w:sz w:val="22"/>
          <w:szCs w:val="22"/>
          <w:lang w:val="zh-CN"/>
        </w:rPr>
        <w:t>.3供应商投诉</w:t>
      </w:r>
    </w:p>
    <w:p w14:paraId="0D6A5F69">
      <w:pPr>
        <w:spacing w:line="440" w:lineRule="exact"/>
        <w:ind w:firstLine="440" w:firstLineChars="200"/>
        <w:rPr>
          <w:rFonts w:ascii="宋体" w:hAnsi="宋体" w:cs="宋体"/>
          <w:color w:val="auto"/>
          <w:sz w:val="22"/>
          <w:szCs w:val="22"/>
          <w:lang w:val="zh-CN"/>
        </w:rPr>
      </w:pPr>
      <w:r>
        <w:rPr>
          <w:rFonts w:hint="eastAsia" w:ascii="宋体" w:hAnsi="宋体" w:cs="宋体"/>
          <w:color w:val="auto"/>
          <w:sz w:val="22"/>
          <w:szCs w:val="22"/>
          <w:lang w:val="zh-CN"/>
        </w:rPr>
        <w:t>5.3.1质疑供应商对采购人、采购代理机构的答复不满意或者采购人、采购代理机构未在规定的时间内作出答复的，可以在答复期满后十五个工作日内向同级政府采购监督管理部门提出投诉。</w:t>
      </w:r>
    </w:p>
    <w:p w14:paraId="7C9D843E">
      <w:pPr>
        <w:spacing w:line="440" w:lineRule="exact"/>
        <w:ind w:firstLine="440" w:firstLineChars="200"/>
        <w:rPr>
          <w:rFonts w:ascii="宋体" w:hAnsi="宋体" w:cs="宋体"/>
          <w:color w:val="auto"/>
          <w:sz w:val="22"/>
          <w:szCs w:val="22"/>
          <w:lang w:val="zh-CN"/>
        </w:rPr>
      </w:pPr>
      <w:r>
        <w:rPr>
          <w:rFonts w:hint="eastAsia" w:ascii="宋体" w:hAnsi="宋体" w:cs="宋体"/>
          <w:color w:val="auto"/>
          <w:sz w:val="22"/>
          <w:szCs w:val="22"/>
          <w:lang w:val="zh-CN"/>
        </w:rPr>
        <w:t>5.3.2供应商投诉的事项不得超出已质疑事项的范围，基于质疑答复内容提出的投诉事项除外。</w:t>
      </w:r>
    </w:p>
    <w:p w14:paraId="39F791D4">
      <w:pPr>
        <w:spacing w:line="440" w:lineRule="exact"/>
        <w:ind w:firstLine="440" w:firstLineChars="200"/>
        <w:rPr>
          <w:rFonts w:ascii="宋体" w:hAnsi="宋体" w:cs="宋体"/>
          <w:color w:val="auto"/>
          <w:sz w:val="22"/>
          <w:szCs w:val="22"/>
          <w:lang w:val="zh-CN"/>
        </w:rPr>
      </w:pPr>
      <w:r>
        <w:rPr>
          <w:rFonts w:hint="eastAsia" w:ascii="宋体" w:hAnsi="宋体" w:cs="宋体"/>
          <w:color w:val="auto"/>
          <w:sz w:val="22"/>
          <w:szCs w:val="22"/>
          <w:lang w:val="zh-CN"/>
        </w:rPr>
        <w:t>5.3.3供应商投诉应当有明确的请求和必要的证明材料。</w:t>
      </w:r>
    </w:p>
    <w:p w14:paraId="3ABD1D4E">
      <w:pPr>
        <w:spacing w:line="440" w:lineRule="exact"/>
        <w:ind w:firstLine="440" w:firstLineChars="200"/>
        <w:rPr>
          <w:rFonts w:ascii="宋体" w:hAnsi="宋体" w:cs="宋体"/>
          <w:color w:val="auto"/>
          <w:sz w:val="22"/>
          <w:szCs w:val="22"/>
          <w:lang w:val="zh-CN"/>
        </w:rPr>
      </w:pPr>
      <w:r>
        <w:rPr>
          <w:rFonts w:hint="eastAsia" w:ascii="宋体" w:hAnsi="宋体" w:cs="宋体"/>
          <w:color w:val="auto"/>
          <w:sz w:val="22"/>
          <w:szCs w:val="22"/>
          <w:lang w:val="zh-CN"/>
        </w:rPr>
        <w:t>5.3.</w:t>
      </w:r>
      <w:r>
        <w:rPr>
          <w:rFonts w:ascii="宋体" w:hAnsi="宋体" w:cs="宋体"/>
          <w:color w:val="auto"/>
          <w:sz w:val="22"/>
          <w:szCs w:val="22"/>
          <w:lang w:val="zh-CN"/>
        </w:rPr>
        <w:t>4</w:t>
      </w:r>
      <w:r>
        <w:rPr>
          <w:rFonts w:hint="eastAsia" w:ascii="宋体" w:hAnsi="宋体" w:cs="宋体"/>
          <w:color w:val="auto"/>
          <w:sz w:val="22"/>
          <w:szCs w:val="22"/>
          <w:lang w:val="zh-CN"/>
        </w:rPr>
        <w:t>以联合体形式参加政府采购活动的，其投诉应当由组成联合体的所有供应商共同提出。</w:t>
      </w:r>
    </w:p>
    <w:p w14:paraId="5CFA7347">
      <w:pPr>
        <w:spacing w:line="440" w:lineRule="exact"/>
        <w:ind w:firstLine="440" w:firstLineChars="200"/>
        <w:rPr>
          <w:rFonts w:ascii="宋体" w:hAnsi="宋体" w:cs="宋体"/>
          <w:color w:val="auto"/>
          <w:sz w:val="22"/>
          <w:szCs w:val="22"/>
          <w:lang w:val="zh-CN"/>
        </w:rPr>
      </w:pPr>
      <w:r>
        <w:rPr>
          <w:rFonts w:hint="eastAsia" w:ascii="宋体" w:hAnsi="宋体" w:cs="宋体"/>
          <w:color w:val="auto"/>
          <w:sz w:val="22"/>
          <w:szCs w:val="22"/>
          <w:lang w:val="zh-CN"/>
        </w:rPr>
        <w:t>投诉书范本及制作说明详见浙江政府采购网相关格式内容。</w:t>
      </w:r>
    </w:p>
    <w:p w14:paraId="057A2066">
      <w:pPr>
        <w:pStyle w:val="3"/>
        <w:spacing w:line="520" w:lineRule="exact"/>
        <w:jc w:val="center"/>
        <w:rPr>
          <w:color w:val="auto"/>
          <w:sz w:val="28"/>
          <w:szCs w:val="28"/>
        </w:rPr>
      </w:pPr>
      <w:bookmarkStart w:id="50" w:name="_Toc28743"/>
      <w:bookmarkStart w:id="51" w:name="_Toc22331"/>
      <w:bookmarkStart w:id="52" w:name="_Toc15094"/>
      <w:bookmarkStart w:id="53" w:name="_Toc4052"/>
      <w:bookmarkStart w:id="54" w:name="_Toc16374"/>
      <w:r>
        <w:rPr>
          <w:rFonts w:hint="eastAsia"/>
          <w:color w:val="auto"/>
          <w:sz w:val="28"/>
          <w:szCs w:val="28"/>
        </w:rPr>
        <w:t>二、磋商文件</w:t>
      </w:r>
      <w:bookmarkEnd w:id="44"/>
      <w:bookmarkEnd w:id="45"/>
      <w:bookmarkEnd w:id="46"/>
      <w:bookmarkEnd w:id="50"/>
      <w:bookmarkEnd w:id="51"/>
      <w:bookmarkEnd w:id="52"/>
      <w:bookmarkEnd w:id="53"/>
      <w:bookmarkEnd w:id="54"/>
    </w:p>
    <w:p w14:paraId="5834CE3C">
      <w:pPr>
        <w:spacing w:line="440" w:lineRule="exact"/>
        <w:ind w:firstLine="110" w:firstLineChars="50"/>
        <w:rPr>
          <w:rFonts w:ascii="宋体" w:hAnsi="宋体"/>
          <w:color w:val="auto"/>
          <w:sz w:val="22"/>
        </w:rPr>
      </w:pPr>
      <w:bookmarkStart w:id="55" w:name="_Toc195502490"/>
      <w:bookmarkStart w:id="56" w:name="_Toc195502580"/>
      <w:bookmarkStart w:id="57" w:name="_Toc202085290"/>
      <w:r>
        <w:rPr>
          <w:rFonts w:hint="eastAsia" w:ascii="宋体" w:hAnsi="宋体"/>
          <w:color w:val="auto"/>
          <w:sz w:val="22"/>
        </w:rPr>
        <w:t>1． 磋商文件由磋商文件目录所列内容及相关资料组成。</w:t>
      </w:r>
    </w:p>
    <w:p w14:paraId="4FF1532B">
      <w:pPr>
        <w:spacing w:line="440" w:lineRule="exact"/>
        <w:ind w:firstLine="108" w:firstLineChars="49"/>
        <w:rPr>
          <w:rFonts w:ascii="宋体" w:hAnsi="宋体"/>
          <w:b/>
          <w:color w:val="auto"/>
          <w:sz w:val="22"/>
        </w:rPr>
      </w:pPr>
      <w:r>
        <w:rPr>
          <w:rFonts w:hint="eastAsia" w:ascii="宋体" w:hAnsi="宋体"/>
          <w:b/>
          <w:color w:val="auto"/>
          <w:sz w:val="22"/>
        </w:rPr>
        <w:t>2． 磋商文件的澄清和修改</w:t>
      </w:r>
    </w:p>
    <w:p w14:paraId="58619CE7">
      <w:pPr>
        <w:spacing w:line="440" w:lineRule="exact"/>
        <w:rPr>
          <w:rFonts w:ascii="宋体" w:hAnsi="宋体"/>
          <w:color w:val="auto"/>
          <w:sz w:val="22"/>
        </w:rPr>
      </w:pPr>
      <w:r>
        <w:rPr>
          <w:rFonts w:hint="eastAsia" w:ascii="宋体" w:hAnsi="宋体"/>
          <w:color w:val="auto"/>
          <w:sz w:val="22"/>
        </w:rPr>
        <w:t>2.1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Pr>
          <w:rFonts w:ascii="宋体" w:hAnsi="宋体"/>
          <w:color w:val="auto"/>
          <w:sz w:val="22"/>
        </w:rPr>
        <w:t>5</w:t>
      </w:r>
      <w:r>
        <w:rPr>
          <w:rFonts w:hint="eastAsia" w:ascii="宋体" w:hAnsi="宋体"/>
          <w:color w:val="auto"/>
          <w:sz w:val="22"/>
        </w:rPr>
        <w:t>日前，以书面形式通知所有获取磋商文件的供应商；不足</w:t>
      </w:r>
      <w:r>
        <w:rPr>
          <w:rFonts w:ascii="宋体" w:hAnsi="宋体"/>
          <w:color w:val="auto"/>
          <w:sz w:val="22"/>
        </w:rPr>
        <w:t>5</w:t>
      </w:r>
      <w:r>
        <w:rPr>
          <w:rFonts w:hint="eastAsia" w:ascii="宋体" w:hAnsi="宋体"/>
          <w:color w:val="auto"/>
          <w:sz w:val="22"/>
        </w:rPr>
        <w:t>日的，采购人、采购代理机构应当顺延提交首次响应文件截止时间。</w:t>
      </w:r>
    </w:p>
    <w:bookmarkEnd w:id="55"/>
    <w:bookmarkEnd w:id="56"/>
    <w:bookmarkEnd w:id="57"/>
    <w:p w14:paraId="30D9579A">
      <w:pPr>
        <w:pStyle w:val="3"/>
        <w:spacing w:line="520" w:lineRule="exact"/>
        <w:jc w:val="center"/>
        <w:rPr>
          <w:color w:val="auto"/>
          <w:sz w:val="28"/>
          <w:szCs w:val="28"/>
        </w:rPr>
      </w:pPr>
      <w:bookmarkStart w:id="58" w:name="_Toc17498"/>
      <w:bookmarkStart w:id="59" w:name="_Toc8244"/>
      <w:bookmarkStart w:id="60" w:name="_Toc14769"/>
      <w:bookmarkStart w:id="61" w:name="_Toc6499"/>
      <w:bookmarkStart w:id="62" w:name="_Toc11569"/>
      <w:bookmarkStart w:id="63" w:name="_Toc195502491"/>
      <w:bookmarkStart w:id="64" w:name="_Toc27856"/>
      <w:bookmarkStart w:id="65" w:name="_Toc23539"/>
      <w:bookmarkStart w:id="66" w:name="_Toc5935"/>
      <w:bookmarkStart w:id="67" w:name="_Toc32428"/>
      <w:bookmarkStart w:id="68" w:name="_Toc202085291"/>
      <w:bookmarkStart w:id="69" w:name="_Toc195502581"/>
      <w:r>
        <w:rPr>
          <w:rFonts w:hint="eastAsia"/>
          <w:color w:val="auto"/>
          <w:sz w:val="28"/>
          <w:szCs w:val="28"/>
        </w:rPr>
        <w:t>三、响应文件的编制</w:t>
      </w:r>
      <w:bookmarkEnd w:id="58"/>
      <w:bookmarkEnd w:id="59"/>
      <w:bookmarkEnd w:id="60"/>
      <w:bookmarkEnd w:id="61"/>
      <w:bookmarkEnd w:id="62"/>
    </w:p>
    <w:p w14:paraId="3B481A12">
      <w:pPr>
        <w:spacing w:line="440" w:lineRule="exact"/>
        <w:ind w:left="539" w:hanging="539" w:hangingChars="245"/>
        <w:rPr>
          <w:rFonts w:ascii="宋体" w:hAnsi="宋体"/>
          <w:color w:val="auto"/>
          <w:sz w:val="22"/>
          <w:szCs w:val="22"/>
        </w:rPr>
      </w:pPr>
      <w:r>
        <w:rPr>
          <w:rFonts w:hint="eastAsia" w:ascii="宋体" w:hAnsi="宋体"/>
          <w:color w:val="auto"/>
          <w:sz w:val="22"/>
          <w:szCs w:val="22"/>
        </w:rPr>
        <w:t>1．  磋商供应商应认真阅读磋商文件中所有事项、格式、条款、技术规范和其它要求等。磋商供应商没有按照</w:t>
      </w:r>
      <w:r>
        <w:rPr>
          <w:rFonts w:hint="eastAsia" w:ascii="宋体" w:hAnsi="宋体"/>
          <w:b/>
          <w:bCs/>
          <w:color w:val="auto"/>
          <w:sz w:val="22"/>
          <w:szCs w:val="22"/>
        </w:rPr>
        <w:t>磋商文件要求提交的全部资料，或者没有对磋商文件各个方面作出实质性响应，是磋商供应商的风险，并可能导致其响应被拒绝</w:t>
      </w:r>
      <w:r>
        <w:rPr>
          <w:rFonts w:hint="eastAsia" w:ascii="宋体" w:hAnsi="宋体"/>
          <w:color w:val="auto"/>
          <w:sz w:val="22"/>
          <w:szCs w:val="22"/>
        </w:rPr>
        <w:t>。</w:t>
      </w:r>
    </w:p>
    <w:p w14:paraId="69BCA709">
      <w:pPr>
        <w:spacing w:line="440" w:lineRule="exact"/>
        <w:ind w:left="539" w:hanging="539" w:hangingChars="245"/>
        <w:rPr>
          <w:rFonts w:ascii="宋体" w:hAnsi="宋体"/>
          <w:b/>
          <w:color w:val="auto"/>
          <w:sz w:val="22"/>
          <w:szCs w:val="22"/>
        </w:rPr>
      </w:pPr>
      <w:r>
        <w:rPr>
          <w:rFonts w:hint="eastAsia" w:ascii="宋体" w:hAnsi="宋体"/>
          <w:color w:val="auto"/>
          <w:sz w:val="22"/>
          <w:szCs w:val="22"/>
        </w:rPr>
        <w:t xml:space="preserve">2． </w:t>
      </w:r>
      <w:r>
        <w:rPr>
          <w:rFonts w:hint="eastAsia" w:ascii="宋体" w:hAnsi="宋体"/>
          <w:b/>
          <w:color w:val="auto"/>
          <w:sz w:val="22"/>
          <w:szCs w:val="22"/>
        </w:rPr>
        <w:t xml:space="preserve"> 磋商供应商应保证所提供所有文件资料的真实性，所有文件资料必须是针对本次磋商的。如发现磋商供应商提供了虚假文件资料，其响应将被拒绝，并承担相应的法律责任。</w:t>
      </w:r>
    </w:p>
    <w:p w14:paraId="4E2399A2">
      <w:pPr>
        <w:spacing w:line="440" w:lineRule="exact"/>
        <w:ind w:left="550" w:hanging="550" w:hangingChars="250"/>
        <w:rPr>
          <w:rFonts w:ascii="宋体" w:hAnsi="宋体"/>
          <w:b/>
          <w:bCs/>
          <w:color w:val="auto"/>
          <w:sz w:val="22"/>
          <w:szCs w:val="22"/>
        </w:rPr>
      </w:pPr>
      <w:r>
        <w:rPr>
          <w:rFonts w:hint="eastAsia" w:ascii="宋体" w:hAnsi="宋体"/>
          <w:color w:val="auto"/>
          <w:sz w:val="22"/>
          <w:szCs w:val="22"/>
        </w:rPr>
        <w:t xml:space="preserve">3.   </w:t>
      </w:r>
      <w:r>
        <w:rPr>
          <w:rFonts w:hint="eastAsia" w:ascii="宋体" w:hAnsi="宋体"/>
          <w:b/>
          <w:bCs/>
          <w:color w:val="auto"/>
          <w:sz w:val="22"/>
          <w:szCs w:val="22"/>
        </w:rPr>
        <w:t>磋商响应文件分为电子磋商响应文件以及备份磋商响应文件。</w:t>
      </w:r>
    </w:p>
    <w:p w14:paraId="6C54979E">
      <w:pPr>
        <w:spacing w:line="440" w:lineRule="exact"/>
        <w:ind w:left="550" w:hanging="550" w:hangingChars="250"/>
        <w:rPr>
          <w:rFonts w:ascii="宋体" w:hAnsi="宋体"/>
          <w:b/>
          <w:bCs/>
          <w:color w:val="auto"/>
          <w:sz w:val="22"/>
          <w:szCs w:val="22"/>
          <w:u w:val="single"/>
        </w:rPr>
      </w:pPr>
      <w:r>
        <w:rPr>
          <w:rFonts w:hint="eastAsia" w:ascii="宋体" w:hAnsi="宋体"/>
          <w:color w:val="auto"/>
          <w:sz w:val="22"/>
          <w:szCs w:val="22"/>
        </w:rPr>
        <w:t xml:space="preserve">3.1 </w:t>
      </w:r>
      <w:r>
        <w:rPr>
          <w:rFonts w:hint="eastAsia" w:ascii="宋体" w:hAnsi="宋体"/>
          <w:bCs/>
          <w:color w:val="auto"/>
          <w:sz w:val="22"/>
          <w:szCs w:val="22"/>
        </w:rPr>
        <w:t xml:space="preserve"> </w:t>
      </w:r>
      <w:r>
        <w:rPr>
          <w:rFonts w:hint="eastAsia" w:ascii="宋体" w:hAnsi="宋体"/>
          <w:b/>
          <w:bCs/>
          <w:color w:val="auto"/>
          <w:sz w:val="22"/>
          <w:szCs w:val="22"/>
          <w:u w:val="single"/>
        </w:rPr>
        <w:t>电子磋商响应文件：供应商根据“政采云供应商项目采购-电子招投标操作指南”及本磋商文件规定的格式和顺序编制电子磋商响应文件关联定位、加密并递交。</w:t>
      </w:r>
    </w:p>
    <w:p w14:paraId="71F77E54">
      <w:pPr>
        <w:spacing w:line="440" w:lineRule="exact"/>
        <w:ind w:left="552" w:hanging="552" w:hangingChars="250"/>
        <w:rPr>
          <w:rFonts w:ascii="宋体" w:hAnsi="宋体"/>
          <w:b/>
          <w:bCs/>
          <w:color w:val="auto"/>
          <w:sz w:val="22"/>
          <w:szCs w:val="22"/>
          <w:u w:val="single"/>
        </w:rPr>
      </w:pPr>
      <w:r>
        <w:rPr>
          <w:rFonts w:hint="eastAsia" w:ascii="宋体" w:hAnsi="宋体"/>
          <w:b/>
          <w:bCs/>
          <w:color w:val="auto"/>
          <w:sz w:val="22"/>
          <w:szCs w:val="22"/>
        </w:rPr>
        <w:t xml:space="preserve">3.2  </w:t>
      </w:r>
      <w:r>
        <w:rPr>
          <w:rFonts w:hint="eastAsia" w:ascii="宋体" w:hAnsi="宋体"/>
          <w:b/>
          <w:bCs/>
          <w:color w:val="auto"/>
          <w:sz w:val="22"/>
          <w:szCs w:val="22"/>
          <w:u w:val="single"/>
        </w:rPr>
        <w:t>备份磋商响应文件：磋商供应商</w:t>
      </w:r>
      <w:r>
        <w:rPr>
          <w:rFonts w:ascii="宋体" w:hAnsi="宋体"/>
          <w:b/>
          <w:bCs/>
          <w:color w:val="auto"/>
          <w:sz w:val="22"/>
          <w:szCs w:val="22"/>
          <w:u w:val="single"/>
        </w:rPr>
        <w:t>在</w:t>
      </w:r>
      <w:r>
        <w:rPr>
          <w:rFonts w:hint="eastAsia" w:ascii="宋体" w:hAnsi="宋体"/>
          <w:b/>
          <w:bCs/>
          <w:color w:val="auto"/>
          <w:sz w:val="22"/>
          <w:szCs w:val="22"/>
          <w:u w:val="single"/>
        </w:rPr>
        <w:t>政采云</w:t>
      </w:r>
      <w:r>
        <w:rPr>
          <w:rFonts w:ascii="宋体" w:hAnsi="宋体"/>
          <w:b/>
          <w:bCs/>
          <w:color w:val="auto"/>
          <w:sz w:val="22"/>
          <w:szCs w:val="22"/>
          <w:u w:val="single"/>
        </w:rPr>
        <w:t>平台传输递交</w:t>
      </w:r>
      <w:r>
        <w:rPr>
          <w:rFonts w:hint="eastAsia" w:ascii="宋体" w:hAnsi="宋体"/>
          <w:b/>
          <w:bCs/>
          <w:color w:val="auto"/>
          <w:sz w:val="22"/>
          <w:szCs w:val="22"/>
          <w:u w:val="single"/>
        </w:rPr>
        <w:t>磋商响应</w:t>
      </w:r>
      <w:r>
        <w:rPr>
          <w:rFonts w:ascii="宋体" w:hAnsi="宋体"/>
          <w:b/>
          <w:bCs/>
          <w:color w:val="auto"/>
          <w:sz w:val="22"/>
          <w:szCs w:val="22"/>
          <w:u w:val="single"/>
        </w:rPr>
        <w:t>文件后，还可以在</w:t>
      </w:r>
      <w:r>
        <w:rPr>
          <w:rFonts w:hint="eastAsia" w:ascii="宋体" w:hAnsi="宋体"/>
          <w:b/>
          <w:bCs/>
          <w:color w:val="auto"/>
          <w:sz w:val="22"/>
          <w:szCs w:val="22"/>
          <w:u w:val="single"/>
        </w:rPr>
        <w:t>磋商</w:t>
      </w:r>
      <w:r>
        <w:rPr>
          <w:rFonts w:ascii="宋体" w:hAnsi="宋体"/>
          <w:b/>
          <w:bCs/>
          <w:color w:val="auto"/>
          <w:sz w:val="22"/>
          <w:szCs w:val="22"/>
          <w:u w:val="single"/>
        </w:rPr>
        <w:t>截止时间前提交以介质存储的数据电文形式的备份</w:t>
      </w:r>
      <w:r>
        <w:rPr>
          <w:rFonts w:hint="eastAsia" w:ascii="宋体" w:hAnsi="宋体"/>
          <w:b/>
          <w:bCs/>
          <w:color w:val="auto"/>
          <w:sz w:val="22"/>
          <w:szCs w:val="22"/>
          <w:u w:val="single"/>
        </w:rPr>
        <w:t>磋商响应</w:t>
      </w:r>
      <w:r>
        <w:rPr>
          <w:rFonts w:ascii="宋体" w:hAnsi="宋体"/>
          <w:b/>
          <w:bCs/>
          <w:color w:val="auto"/>
          <w:sz w:val="22"/>
          <w:szCs w:val="22"/>
          <w:u w:val="single"/>
        </w:rPr>
        <w:t>文件。</w:t>
      </w:r>
      <w:r>
        <w:rPr>
          <w:rFonts w:hint="eastAsia" w:ascii="宋体" w:hAnsi="宋体"/>
          <w:b/>
          <w:bCs/>
          <w:color w:val="auto"/>
          <w:sz w:val="22"/>
          <w:szCs w:val="22"/>
          <w:u w:val="single"/>
        </w:rPr>
        <w:t>电子 磋商响应文件按“政采云平台项目采购-电子招投标操作指南”上传。</w:t>
      </w:r>
    </w:p>
    <w:p w14:paraId="13DE4D37">
      <w:pPr>
        <w:spacing w:line="440" w:lineRule="exact"/>
        <w:ind w:left="552" w:hanging="552" w:hangingChars="250"/>
        <w:rPr>
          <w:rFonts w:ascii="宋体" w:hAnsi="宋体"/>
          <w:b/>
          <w:color w:val="auto"/>
          <w:sz w:val="22"/>
          <w:szCs w:val="22"/>
        </w:rPr>
      </w:pPr>
      <w:r>
        <w:rPr>
          <w:rFonts w:hint="eastAsia" w:ascii="宋体" w:hAnsi="宋体"/>
          <w:b/>
          <w:color w:val="auto"/>
          <w:sz w:val="22"/>
          <w:szCs w:val="22"/>
        </w:rPr>
        <w:t>4.   磋商响应文件的效力</w:t>
      </w:r>
    </w:p>
    <w:p w14:paraId="5469DBCC">
      <w:pPr>
        <w:spacing w:line="440" w:lineRule="exact"/>
        <w:ind w:left="533" w:leftChars="254"/>
        <w:rPr>
          <w:rFonts w:ascii="宋体" w:hAnsi="宋体"/>
          <w:b/>
          <w:color w:val="auto"/>
          <w:sz w:val="22"/>
          <w:szCs w:val="22"/>
        </w:rPr>
      </w:pPr>
      <w:r>
        <w:rPr>
          <w:rFonts w:hint="eastAsia" w:ascii="宋体" w:hAnsi="宋体"/>
          <w:color w:val="auto"/>
          <w:sz w:val="22"/>
          <w:szCs w:val="22"/>
        </w:rPr>
        <w:t>磋商响应文件的启用，按先后顺位分别为电子磋商响应文件和备份磋商响应文件。在下一顺位的磋商响应文件启用时，前一顺位的磋商响应文件自动失效。</w:t>
      </w:r>
    </w:p>
    <w:p w14:paraId="2BFB1289">
      <w:pPr>
        <w:spacing w:line="440" w:lineRule="exact"/>
        <w:rPr>
          <w:rFonts w:ascii="宋体" w:hAnsi="宋体" w:cs="宋体"/>
          <w:color w:val="auto"/>
          <w:sz w:val="22"/>
          <w:szCs w:val="22"/>
        </w:rPr>
      </w:pPr>
      <w:r>
        <w:rPr>
          <w:rFonts w:hint="eastAsia" w:ascii="宋体" w:hAnsi="宋体" w:cs="宋体"/>
          <w:color w:val="auto"/>
          <w:sz w:val="22"/>
          <w:szCs w:val="22"/>
        </w:rPr>
        <w:t xml:space="preserve">5.   </w:t>
      </w:r>
      <w:r>
        <w:rPr>
          <w:rFonts w:hint="eastAsia" w:ascii="宋体" w:hAnsi="宋体" w:cs="宋体"/>
          <w:b/>
          <w:bCs/>
          <w:color w:val="auto"/>
          <w:sz w:val="22"/>
          <w:szCs w:val="22"/>
        </w:rPr>
        <w:t>磋商响应文件的组成：</w:t>
      </w:r>
    </w:p>
    <w:p w14:paraId="20CA71F6">
      <w:pPr>
        <w:spacing w:line="440" w:lineRule="exact"/>
        <w:rPr>
          <w:rFonts w:ascii="宋体" w:hAnsi="宋体" w:cs="宋体"/>
          <w:color w:val="auto"/>
          <w:sz w:val="22"/>
          <w:szCs w:val="22"/>
        </w:rPr>
      </w:pPr>
      <w:r>
        <w:rPr>
          <w:rFonts w:hint="eastAsia" w:ascii="宋体" w:hAnsi="宋体" w:cs="宋体"/>
          <w:color w:val="auto"/>
          <w:sz w:val="22"/>
          <w:szCs w:val="22"/>
        </w:rPr>
        <w:t>5.1  磋商响应文件由资格文件、商务技术文件、</w:t>
      </w:r>
      <w:r>
        <w:rPr>
          <w:rFonts w:hint="eastAsia" w:ascii="宋体" w:hAnsi="宋体" w:cs="宋体"/>
          <w:color w:val="auto"/>
          <w:sz w:val="22"/>
          <w:szCs w:val="22"/>
          <w:lang w:eastAsia="zh-CN"/>
        </w:rPr>
        <w:t>报价文件</w:t>
      </w:r>
      <w:r>
        <w:rPr>
          <w:rFonts w:hint="eastAsia" w:ascii="宋体" w:hAnsi="宋体" w:cs="宋体"/>
          <w:color w:val="auto"/>
          <w:sz w:val="22"/>
          <w:szCs w:val="22"/>
        </w:rPr>
        <w:t>三部分组成：</w:t>
      </w:r>
    </w:p>
    <w:p w14:paraId="7F265A69">
      <w:pPr>
        <w:spacing w:line="440" w:lineRule="exact"/>
        <w:rPr>
          <w:rFonts w:ascii="宋体" w:hAnsi="宋体" w:cs="宋体"/>
          <w:b/>
          <w:bCs/>
          <w:color w:val="auto"/>
          <w:sz w:val="22"/>
          <w:szCs w:val="22"/>
        </w:rPr>
      </w:pPr>
      <w:r>
        <w:rPr>
          <w:rFonts w:hint="eastAsia" w:ascii="宋体" w:hAnsi="宋体" w:cs="宋体"/>
          <w:b/>
          <w:bCs/>
          <w:color w:val="auto"/>
          <w:sz w:val="22"/>
          <w:szCs w:val="22"/>
        </w:rPr>
        <w:t>5</w:t>
      </w:r>
      <w:r>
        <w:rPr>
          <w:rFonts w:ascii="宋体" w:hAnsi="宋体" w:cs="宋体"/>
          <w:b/>
          <w:bCs/>
          <w:color w:val="auto"/>
          <w:sz w:val="22"/>
          <w:szCs w:val="22"/>
        </w:rPr>
        <w:t>.1.1</w:t>
      </w:r>
      <w:r>
        <w:rPr>
          <w:rFonts w:hint="eastAsia" w:ascii="宋体" w:hAnsi="宋体" w:cs="宋体"/>
          <w:b/>
          <w:bCs/>
          <w:color w:val="auto"/>
          <w:sz w:val="22"/>
          <w:szCs w:val="22"/>
        </w:rPr>
        <w:t>资格文件</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337"/>
        <w:gridCol w:w="1410"/>
      </w:tblGrid>
      <w:tr w14:paraId="3385B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tcPr>
          <w:p w14:paraId="2ABE2529">
            <w:pPr>
              <w:autoSpaceDE w:val="0"/>
              <w:autoSpaceDN w:val="0"/>
              <w:adjustRightInd w:val="0"/>
              <w:snapToGrid w:val="0"/>
              <w:spacing w:line="430" w:lineRule="atLeast"/>
              <w:rPr>
                <w:rFonts w:ascii="宋体" w:hAnsi="宋体" w:cs="宋体"/>
                <w:b/>
                <w:color w:val="auto"/>
                <w:sz w:val="22"/>
                <w:lang w:val="zh-CN"/>
              </w:rPr>
            </w:pPr>
            <w:r>
              <w:rPr>
                <w:rFonts w:hint="eastAsia" w:ascii="宋体" w:hAnsi="宋体" w:cs="宋体"/>
                <w:b/>
                <w:color w:val="auto"/>
                <w:sz w:val="22"/>
                <w:lang w:val="zh-CN"/>
              </w:rPr>
              <w:t>序号</w:t>
            </w:r>
          </w:p>
        </w:tc>
        <w:tc>
          <w:tcPr>
            <w:tcW w:w="7337" w:type="dxa"/>
          </w:tcPr>
          <w:p w14:paraId="0B0D369E">
            <w:pPr>
              <w:autoSpaceDE w:val="0"/>
              <w:autoSpaceDN w:val="0"/>
              <w:adjustRightInd w:val="0"/>
              <w:snapToGrid w:val="0"/>
              <w:spacing w:line="430" w:lineRule="atLeast"/>
              <w:jc w:val="center"/>
              <w:rPr>
                <w:rFonts w:ascii="宋体" w:hAnsi="宋体" w:cs="宋体"/>
                <w:b/>
                <w:color w:val="auto"/>
                <w:sz w:val="22"/>
                <w:lang w:val="zh-CN"/>
              </w:rPr>
            </w:pPr>
            <w:r>
              <w:rPr>
                <w:rFonts w:hint="eastAsia" w:ascii="宋体" w:hAnsi="宋体" w:cs="宋体"/>
                <w:b/>
                <w:color w:val="auto"/>
                <w:sz w:val="22"/>
                <w:lang w:val="zh-CN"/>
              </w:rPr>
              <w:t>内容</w:t>
            </w:r>
          </w:p>
        </w:tc>
        <w:tc>
          <w:tcPr>
            <w:tcW w:w="1410" w:type="dxa"/>
          </w:tcPr>
          <w:p w14:paraId="68FA0DF9">
            <w:pPr>
              <w:autoSpaceDE w:val="0"/>
              <w:autoSpaceDN w:val="0"/>
              <w:adjustRightInd w:val="0"/>
              <w:snapToGrid w:val="0"/>
              <w:spacing w:line="430" w:lineRule="atLeast"/>
              <w:jc w:val="center"/>
              <w:rPr>
                <w:rFonts w:ascii="宋体" w:hAnsi="宋体" w:cs="宋体"/>
                <w:b/>
                <w:color w:val="auto"/>
                <w:sz w:val="22"/>
                <w:lang w:val="zh-CN"/>
              </w:rPr>
            </w:pPr>
            <w:r>
              <w:rPr>
                <w:rFonts w:hint="eastAsia" w:ascii="宋体" w:hAnsi="宋体" w:cs="宋体"/>
                <w:b/>
                <w:color w:val="auto"/>
                <w:sz w:val="22"/>
                <w:lang w:val="zh-CN"/>
              </w:rPr>
              <w:t>说明</w:t>
            </w:r>
          </w:p>
        </w:tc>
      </w:tr>
      <w:tr w14:paraId="182B9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73" w:type="dxa"/>
            <w:vAlign w:val="center"/>
          </w:tcPr>
          <w:p w14:paraId="14D7C1DA">
            <w:pPr>
              <w:autoSpaceDE w:val="0"/>
              <w:autoSpaceDN w:val="0"/>
              <w:adjustRightInd w:val="0"/>
              <w:snapToGrid w:val="0"/>
              <w:spacing w:line="430" w:lineRule="atLeast"/>
              <w:jc w:val="center"/>
              <w:rPr>
                <w:rFonts w:ascii="宋体" w:hAnsi="宋体" w:cs="宋体"/>
                <w:color w:val="auto"/>
                <w:sz w:val="22"/>
                <w:szCs w:val="22"/>
                <w:lang w:val="zh-CN"/>
              </w:rPr>
            </w:pPr>
            <w:r>
              <w:rPr>
                <w:rFonts w:hint="eastAsia" w:ascii="宋体" w:hAnsi="宋体" w:cs="宋体"/>
                <w:color w:val="auto"/>
                <w:sz w:val="22"/>
                <w:szCs w:val="22"/>
              </w:rPr>
              <w:t>1</w:t>
            </w:r>
          </w:p>
        </w:tc>
        <w:tc>
          <w:tcPr>
            <w:tcW w:w="7337" w:type="dxa"/>
          </w:tcPr>
          <w:p w14:paraId="1F4471E2">
            <w:pPr>
              <w:autoSpaceDE w:val="0"/>
              <w:autoSpaceDN w:val="0"/>
              <w:adjustRightInd w:val="0"/>
              <w:snapToGrid w:val="0"/>
              <w:spacing w:line="430" w:lineRule="atLeast"/>
              <w:rPr>
                <w:rFonts w:ascii="宋体" w:hAnsi="宋体" w:cs="宋体"/>
                <w:color w:val="auto"/>
                <w:sz w:val="22"/>
                <w:szCs w:val="22"/>
              </w:rPr>
            </w:pPr>
            <w:r>
              <w:rPr>
                <w:rFonts w:hint="eastAsia" w:ascii="宋体" w:hAnsi="宋体" w:cs="宋体"/>
                <w:color w:val="auto"/>
                <w:sz w:val="22"/>
                <w:szCs w:val="22"/>
              </w:rPr>
              <w:t>法定代表人身份证明或法定代表人授权书</w:t>
            </w:r>
          </w:p>
        </w:tc>
        <w:tc>
          <w:tcPr>
            <w:tcW w:w="1410" w:type="dxa"/>
          </w:tcPr>
          <w:p w14:paraId="7CD15D49">
            <w:pPr>
              <w:autoSpaceDE w:val="0"/>
              <w:autoSpaceDN w:val="0"/>
              <w:adjustRightInd w:val="0"/>
              <w:snapToGrid w:val="0"/>
              <w:spacing w:line="430" w:lineRule="atLeast"/>
              <w:jc w:val="center"/>
              <w:rPr>
                <w:rFonts w:ascii="宋体" w:hAnsi="宋体" w:cs="宋体"/>
                <w:color w:val="auto"/>
                <w:sz w:val="22"/>
                <w:szCs w:val="22"/>
              </w:rPr>
            </w:pPr>
            <w:r>
              <w:rPr>
                <w:rFonts w:hint="eastAsia" w:ascii="宋体" w:hAnsi="宋体" w:cs="宋体"/>
                <w:color w:val="auto"/>
                <w:sz w:val="22"/>
                <w:szCs w:val="22"/>
              </w:rPr>
              <w:t>附件四-1、2</w:t>
            </w:r>
          </w:p>
        </w:tc>
      </w:tr>
      <w:tr w14:paraId="5F6D7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vAlign w:val="center"/>
          </w:tcPr>
          <w:p w14:paraId="39F0EBBF">
            <w:pPr>
              <w:autoSpaceDE w:val="0"/>
              <w:autoSpaceDN w:val="0"/>
              <w:adjustRightInd w:val="0"/>
              <w:snapToGrid w:val="0"/>
              <w:spacing w:line="440" w:lineRule="exact"/>
              <w:jc w:val="center"/>
              <w:rPr>
                <w:rFonts w:ascii="宋体" w:hAnsi="宋体" w:cs="宋体"/>
                <w:color w:val="auto"/>
                <w:sz w:val="22"/>
                <w:szCs w:val="22"/>
                <w:lang w:val="zh-CN"/>
              </w:rPr>
            </w:pPr>
            <w:r>
              <w:rPr>
                <w:rFonts w:hint="eastAsia" w:ascii="宋体" w:hAnsi="宋体" w:cs="宋体"/>
                <w:color w:val="auto"/>
                <w:sz w:val="22"/>
                <w:szCs w:val="22"/>
              </w:rPr>
              <w:t>2</w:t>
            </w:r>
          </w:p>
        </w:tc>
        <w:tc>
          <w:tcPr>
            <w:tcW w:w="7337" w:type="dxa"/>
            <w:vAlign w:val="center"/>
          </w:tcPr>
          <w:p w14:paraId="7B9CA241">
            <w:pPr>
              <w:autoSpaceDE w:val="0"/>
              <w:autoSpaceDN w:val="0"/>
              <w:adjustRightInd w:val="0"/>
              <w:snapToGrid w:val="0"/>
              <w:spacing w:line="440" w:lineRule="exact"/>
              <w:rPr>
                <w:rFonts w:ascii="宋体" w:hAnsi="宋体" w:cs="宋体"/>
                <w:color w:val="auto"/>
                <w:sz w:val="22"/>
                <w:szCs w:val="22"/>
              </w:rPr>
            </w:pPr>
            <w:r>
              <w:rPr>
                <w:rFonts w:hint="eastAsia" w:ascii="宋体" w:hAnsi="宋体" w:cs="宋体"/>
                <w:color w:val="auto"/>
                <w:sz w:val="22"/>
                <w:szCs w:val="22"/>
              </w:rPr>
              <w:t>磋商供应商企业法人有效营业执照（或事业法人登记证书或其它工商等登记证明材料，自然人提供身份证)复制件（如为联合体，则联合体各方均应提供）（五选一）</w:t>
            </w:r>
          </w:p>
          <w:p w14:paraId="1AF57663">
            <w:pPr>
              <w:autoSpaceDE w:val="0"/>
              <w:autoSpaceDN w:val="0"/>
              <w:adjustRightInd w:val="0"/>
              <w:snapToGrid w:val="0"/>
              <w:spacing w:line="440" w:lineRule="exact"/>
              <w:rPr>
                <w:rFonts w:ascii="宋体" w:hAnsi="宋体" w:cs="宋体"/>
                <w:color w:val="auto"/>
                <w:sz w:val="22"/>
                <w:szCs w:val="22"/>
              </w:rPr>
            </w:pPr>
            <w:r>
              <w:rPr>
                <w:rFonts w:hint="eastAsia" w:ascii="宋体" w:hAnsi="宋体" w:cs="宋体"/>
                <w:color w:val="auto"/>
                <w:sz w:val="22"/>
                <w:szCs w:val="22"/>
              </w:rPr>
              <w:t>①如磋商供应商是企业（包括合伙企业），提供在工商部门注册的有效“企业法人营业执照”或“营业执照”；</w:t>
            </w:r>
          </w:p>
          <w:p w14:paraId="4A8B554A">
            <w:pPr>
              <w:autoSpaceDE w:val="0"/>
              <w:autoSpaceDN w:val="0"/>
              <w:adjustRightInd w:val="0"/>
              <w:snapToGrid w:val="0"/>
              <w:spacing w:line="440" w:lineRule="exact"/>
              <w:rPr>
                <w:rFonts w:ascii="宋体" w:hAnsi="宋体" w:cs="宋体"/>
                <w:color w:val="auto"/>
                <w:sz w:val="22"/>
                <w:szCs w:val="22"/>
              </w:rPr>
            </w:pPr>
            <w:r>
              <w:rPr>
                <w:rFonts w:hint="eastAsia" w:ascii="宋体" w:hAnsi="宋体" w:cs="宋体"/>
                <w:color w:val="auto"/>
                <w:sz w:val="22"/>
                <w:szCs w:val="22"/>
              </w:rPr>
              <w:t>②如磋商供应商是事业单位，提供有效的“事业单位法人证书”；</w:t>
            </w:r>
          </w:p>
          <w:p w14:paraId="4D42622E">
            <w:pPr>
              <w:autoSpaceDE w:val="0"/>
              <w:autoSpaceDN w:val="0"/>
              <w:adjustRightInd w:val="0"/>
              <w:snapToGrid w:val="0"/>
              <w:spacing w:line="440" w:lineRule="exact"/>
              <w:rPr>
                <w:rFonts w:ascii="宋体" w:hAnsi="宋体" w:cs="宋体"/>
                <w:color w:val="auto"/>
                <w:sz w:val="22"/>
                <w:szCs w:val="22"/>
              </w:rPr>
            </w:pPr>
            <w:r>
              <w:rPr>
                <w:rFonts w:hint="eastAsia" w:ascii="宋体" w:hAnsi="宋体" w:cs="宋体"/>
                <w:color w:val="auto"/>
                <w:sz w:val="22"/>
                <w:szCs w:val="22"/>
              </w:rPr>
              <w:t>③如磋商供应商是非企业专业服务机构的，提供执业许可证等证明文件；</w:t>
            </w:r>
          </w:p>
          <w:p w14:paraId="03FF37EA">
            <w:pPr>
              <w:autoSpaceDE w:val="0"/>
              <w:autoSpaceDN w:val="0"/>
              <w:adjustRightInd w:val="0"/>
              <w:snapToGrid w:val="0"/>
              <w:spacing w:line="440" w:lineRule="exact"/>
              <w:rPr>
                <w:rFonts w:ascii="宋体" w:hAnsi="宋体" w:cs="宋体"/>
                <w:color w:val="auto"/>
                <w:sz w:val="22"/>
                <w:szCs w:val="22"/>
              </w:rPr>
            </w:pPr>
            <w:r>
              <w:rPr>
                <w:rFonts w:hint="eastAsia" w:ascii="宋体" w:hAnsi="宋体" w:cs="宋体"/>
                <w:color w:val="auto"/>
                <w:sz w:val="22"/>
                <w:szCs w:val="22"/>
              </w:rPr>
              <w:t>④如磋商供应商是个体工商户，提供有效的“个体工商户营业执照”；</w:t>
            </w:r>
          </w:p>
          <w:p w14:paraId="63EDA77C">
            <w:pPr>
              <w:autoSpaceDE w:val="0"/>
              <w:autoSpaceDN w:val="0"/>
              <w:adjustRightInd w:val="0"/>
              <w:snapToGrid w:val="0"/>
              <w:spacing w:line="440" w:lineRule="exact"/>
              <w:rPr>
                <w:rFonts w:ascii="宋体" w:hAnsi="宋体" w:cs="宋体"/>
                <w:color w:val="auto"/>
                <w:sz w:val="22"/>
                <w:szCs w:val="22"/>
              </w:rPr>
            </w:pPr>
            <w:r>
              <w:rPr>
                <w:rFonts w:hint="eastAsia" w:ascii="宋体" w:hAnsi="宋体" w:cs="宋体"/>
                <w:color w:val="auto"/>
                <w:sz w:val="22"/>
                <w:szCs w:val="22"/>
              </w:rPr>
              <w:t>⑤如磋商供应商是自然人，提供有效的自然人身份证明（居民身份证正反面或公安机关出具的临时居民身份证正反面或港澳台胞证或护照）。</w:t>
            </w:r>
          </w:p>
          <w:p w14:paraId="55ADB7BC">
            <w:pPr>
              <w:autoSpaceDE w:val="0"/>
              <w:autoSpaceDN w:val="0"/>
              <w:adjustRightInd w:val="0"/>
              <w:snapToGrid w:val="0"/>
              <w:spacing w:line="440" w:lineRule="exact"/>
              <w:rPr>
                <w:rFonts w:ascii="宋体" w:hAnsi="宋体" w:cs="宋体"/>
                <w:color w:val="auto"/>
                <w:sz w:val="22"/>
                <w:szCs w:val="22"/>
              </w:rPr>
            </w:pPr>
            <w:r>
              <w:rPr>
                <w:rFonts w:hint="eastAsia" w:ascii="宋体" w:hAnsi="宋体" w:cs="宋体"/>
                <w:color w:val="auto"/>
                <w:sz w:val="22"/>
                <w:szCs w:val="2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w:t>
            </w:r>
            <w:r>
              <w:rPr>
                <w:rFonts w:hint="eastAsia" w:ascii="宋体" w:hAnsi="宋体" w:cs="宋体"/>
                <w:color w:val="auto"/>
                <w:sz w:val="22"/>
                <w:szCs w:val="22"/>
                <w:lang w:eastAsia="zh-CN"/>
              </w:rPr>
              <w:t>响应文件</w:t>
            </w:r>
            <w:r>
              <w:rPr>
                <w:rFonts w:hint="eastAsia" w:ascii="宋体" w:hAnsi="宋体" w:cs="宋体"/>
                <w:color w:val="auto"/>
                <w:sz w:val="22"/>
                <w:szCs w:val="22"/>
              </w:rPr>
              <w:t>中提供相关材料），证明其具备实际承担责任的能力和法定的缔结合同能力，可以独立参加政府采购活动，由单位负责人签署相关文件材料。</w:t>
            </w:r>
          </w:p>
        </w:tc>
        <w:tc>
          <w:tcPr>
            <w:tcW w:w="1410" w:type="dxa"/>
          </w:tcPr>
          <w:p w14:paraId="4A8CF89B">
            <w:pPr>
              <w:autoSpaceDE w:val="0"/>
              <w:autoSpaceDN w:val="0"/>
              <w:adjustRightInd w:val="0"/>
              <w:snapToGrid w:val="0"/>
              <w:spacing w:line="430" w:lineRule="atLeast"/>
              <w:jc w:val="center"/>
              <w:rPr>
                <w:rFonts w:ascii="宋体" w:hAnsi="宋体" w:cs="宋体"/>
                <w:color w:val="auto"/>
                <w:sz w:val="22"/>
                <w:szCs w:val="22"/>
              </w:rPr>
            </w:pPr>
          </w:p>
        </w:tc>
      </w:tr>
      <w:tr w14:paraId="4D297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vAlign w:val="center"/>
          </w:tcPr>
          <w:p w14:paraId="3337A4C7">
            <w:pPr>
              <w:autoSpaceDE w:val="0"/>
              <w:autoSpaceDN w:val="0"/>
              <w:adjustRightInd w:val="0"/>
              <w:snapToGrid w:val="0"/>
              <w:spacing w:line="430" w:lineRule="atLeast"/>
              <w:jc w:val="center"/>
              <w:rPr>
                <w:rFonts w:ascii="宋体" w:hAnsi="宋体" w:cs="宋体"/>
                <w:color w:val="auto"/>
                <w:sz w:val="22"/>
                <w:szCs w:val="22"/>
              </w:rPr>
            </w:pPr>
            <w:r>
              <w:rPr>
                <w:rFonts w:hint="eastAsia" w:ascii="宋体" w:hAnsi="宋体" w:cs="宋体"/>
                <w:color w:val="auto"/>
                <w:sz w:val="22"/>
                <w:szCs w:val="22"/>
              </w:rPr>
              <w:t>3</w:t>
            </w:r>
          </w:p>
        </w:tc>
        <w:tc>
          <w:tcPr>
            <w:tcW w:w="7337" w:type="dxa"/>
            <w:vAlign w:val="center"/>
          </w:tcPr>
          <w:p w14:paraId="4DA575EA">
            <w:pPr>
              <w:autoSpaceDE w:val="0"/>
              <w:autoSpaceDN w:val="0"/>
              <w:adjustRightInd w:val="0"/>
              <w:snapToGrid w:val="0"/>
              <w:spacing w:line="430" w:lineRule="atLeast"/>
              <w:rPr>
                <w:rFonts w:ascii="宋体" w:hAnsi="宋体" w:cs="宋体"/>
                <w:color w:val="auto"/>
                <w:sz w:val="22"/>
                <w:szCs w:val="22"/>
              </w:rPr>
            </w:pPr>
            <w:r>
              <w:rPr>
                <w:rFonts w:hint="eastAsia" w:ascii="宋体" w:hAnsi="宋体" w:cs="宋体"/>
                <w:color w:val="auto"/>
                <w:sz w:val="22"/>
                <w:szCs w:val="22"/>
              </w:rPr>
              <w:t>符合参加政府采购活动应当具备的一般条件的承诺函</w:t>
            </w:r>
          </w:p>
        </w:tc>
        <w:tc>
          <w:tcPr>
            <w:tcW w:w="1410" w:type="dxa"/>
          </w:tcPr>
          <w:p w14:paraId="5CA03C36">
            <w:pPr>
              <w:autoSpaceDE w:val="0"/>
              <w:autoSpaceDN w:val="0"/>
              <w:adjustRightInd w:val="0"/>
              <w:snapToGrid w:val="0"/>
              <w:spacing w:line="430" w:lineRule="atLeast"/>
              <w:jc w:val="center"/>
              <w:rPr>
                <w:rFonts w:ascii="宋体" w:hAnsi="宋体" w:cs="宋体"/>
                <w:color w:val="auto"/>
                <w:sz w:val="22"/>
                <w:szCs w:val="22"/>
              </w:rPr>
            </w:pPr>
            <w:r>
              <w:rPr>
                <w:rFonts w:hint="eastAsia" w:ascii="宋体" w:hAnsi="宋体" w:cs="宋体"/>
                <w:color w:val="auto"/>
                <w:sz w:val="22"/>
                <w:szCs w:val="22"/>
              </w:rPr>
              <w:t>附件四-3</w:t>
            </w:r>
          </w:p>
        </w:tc>
      </w:tr>
      <w:tr w14:paraId="2D969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vAlign w:val="center"/>
          </w:tcPr>
          <w:p w14:paraId="294BAFD1">
            <w:pPr>
              <w:autoSpaceDE w:val="0"/>
              <w:autoSpaceDN w:val="0"/>
              <w:adjustRightInd w:val="0"/>
              <w:snapToGrid w:val="0"/>
              <w:spacing w:line="430" w:lineRule="atLeast"/>
              <w:jc w:val="center"/>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4</w:t>
            </w:r>
          </w:p>
        </w:tc>
        <w:tc>
          <w:tcPr>
            <w:tcW w:w="7337" w:type="dxa"/>
            <w:vAlign w:val="top"/>
          </w:tcPr>
          <w:p w14:paraId="0B80E86D">
            <w:pPr>
              <w:autoSpaceDE w:val="0"/>
              <w:autoSpaceDN w:val="0"/>
              <w:adjustRightInd w:val="0"/>
              <w:snapToGrid w:val="0"/>
              <w:spacing w:line="430" w:lineRule="atLeast"/>
              <w:rPr>
                <w:rFonts w:hint="eastAsia" w:ascii="宋体" w:hAnsi="Times New Roman" w:eastAsia="宋体" w:cs="宋体"/>
                <w:bCs/>
                <w:color w:val="auto"/>
                <w:kern w:val="2"/>
                <w:sz w:val="22"/>
                <w:szCs w:val="24"/>
                <w:lang w:val="en-US" w:eastAsia="zh-CN" w:bidi="ar-SA"/>
              </w:rPr>
            </w:pPr>
            <w:r>
              <w:rPr>
                <w:rFonts w:hint="eastAsia" w:ascii="宋体" w:hAnsi="宋体"/>
                <w:color w:val="auto"/>
                <w:sz w:val="22"/>
                <w:szCs w:val="22"/>
              </w:rPr>
              <w:t>中小企业声明函</w:t>
            </w:r>
          </w:p>
        </w:tc>
        <w:tc>
          <w:tcPr>
            <w:tcW w:w="1410" w:type="dxa"/>
            <w:vAlign w:val="top"/>
          </w:tcPr>
          <w:p w14:paraId="0927F0F6">
            <w:pPr>
              <w:autoSpaceDE w:val="0"/>
              <w:autoSpaceDN w:val="0"/>
              <w:adjustRightInd w:val="0"/>
              <w:snapToGrid w:val="0"/>
              <w:spacing w:line="430" w:lineRule="atLeast"/>
              <w:jc w:val="center"/>
              <w:rPr>
                <w:rFonts w:hint="eastAsia" w:ascii="宋体" w:hAnsi="Times New Roman" w:eastAsia="宋体" w:cs="宋体"/>
                <w:bCs/>
                <w:color w:val="auto"/>
                <w:kern w:val="2"/>
                <w:sz w:val="22"/>
                <w:szCs w:val="24"/>
                <w:lang w:val="en-US" w:eastAsia="zh-CN" w:bidi="ar-SA"/>
              </w:rPr>
            </w:pPr>
            <w:r>
              <w:rPr>
                <w:rFonts w:hint="eastAsia" w:ascii="宋体" w:hAnsi="宋体" w:cs="宋体"/>
                <w:color w:val="auto"/>
                <w:sz w:val="22"/>
                <w:szCs w:val="22"/>
              </w:rPr>
              <w:t>附件</w:t>
            </w:r>
            <w:r>
              <w:rPr>
                <w:rFonts w:hint="eastAsia" w:ascii="宋体" w:hAnsi="宋体" w:cs="宋体"/>
                <w:color w:val="auto"/>
                <w:sz w:val="22"/>
                <w:szCs w:val="22"/>
                <w:lang w:val="en-US" w:eastAsia="zh-CN"/>
              </w:rPr>
              <w:t>九</w:t>
            </w:r>
            <w:r>
              <w:rPr>
                <w:rFonts w:hint="eastAsia" w:ascii="宋体" w:hAnsi="宋体" w:cs="宋体"/>
                <w:color w:val="auto"/>
                <w:sz w:val="22"/>
                <w:szCs w:val="22"/>
              </w:rPr>
              <w:t>-1</w:t>
            </w:r>
          </w:p>
        </w:tc>
      </w:tr>
      <w:tr w14:paraId="381EC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vAlign w:val="center"/>
          </w:tcPr>
          <w:p w14:paraId="32B57B74">
            <w:pPr>
              <w:autoSpaceDE w:val="0"/>
              <w:autoSpaceDN w:val="0"/>
              <w:adjustRightInd w:val="0"/>
              <w:snapToGrid w:val="0"/>
              <w:spacing w:line="430" w:lineRule="atLeast"/>
              <w:jc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5</w:t>
            </w:r>
          </w:p>
        </w:tc>
        <w:tc>
          <w:tcPr>
            <w:tcW w:w="7337" w:type="dxa"/>
            <w:vAlign w:val="top"/>
          </w:tcPr>
          <w:p w14:paraId="7B562B54">
            <w:pPr>
              <w:autoSpaceDE w:val="0"/>
              <w:autoSpaceDN w:val="0"/>
              <w:adjustRightInd w:val="0"/>
              <w:snapToGrid w:val="0"/>
              <w:spacing w:line="430" w:lineRule="atLeast"/>
              <w:rPr>
                <w:rFonts w:hint="eastAsia" w:ascii="宋体" w:hAnsi="Times New Roman" w:eastAsia="宋体" w:cs="宋体"/>
                <w:bCs/>
                <w:color w:val="auto"/>
                <w:kern w:val="2"/>
                <w:sz w:val="22"/>
                <w:szCs w:val="24"/>
                <w:lang w:val="en-US" w:eastAsia="zh-CN" w:bidi="ar-SA"/>
              </w:rPr>
            </w:pPr>
            <w:r>
              <w:rPr>
                <w:rFonts w:hint="eastAsia" w:ascii="宋体" w:hAnsi="宋体"/>
                <w:color w:val="auto"/>
                <w:sz w:val="22"/>
                <w:szCs w:val="22"/>
              </w:rPr>
              <w:t>残疾人福利性单位声明函（如为残疾人单位的请根据附件内容提供）</w:t>
            </w:r>
          </w:p>
        </w:tc>
        <w:tc>
          <w:tcPr>
            <w:tcW w:w="1410" w:type="dxa"/>
            <w:vAlign w:val="top"/>
          </w:tcPr>
          <w:p w14:paraId="7345A0CA">
            <w:pPr>
              <w:autoSpaceDE w:val="0"/>
              <w:autoSpaceDN w:val="0"/>
              <w:adjustRightInd w:val="0"/>
              <w:snapToGrid w:val="0"/>
              <w:spacing w:line="430" w:lineRule="atLeast"/>
              <w:jc w:val="center"/>
              <w:rPr>
                <w:rFonts w:hint="eastAsia" w:ascii="宋体" w:hAnsi="Times New Roman" w:eastAsia="宋体" w:cs="宋体"/>
                <w:bCs/>
                <w:color w:val="auto"/>
                <w:kern w:val="2"/>
                <w:sz w:val="22"/>
                <w:szCs w:val="24"/>
                <w:lang w:val="en-US" w:eastAsia="zh-CN" w:bidi="ar-SA"/>
              </w:rPr>
            </w:pPr>
            <w:r>
              <w:rPr>
                <w:rFonts w:hint="eastAsia" w:ascii="宋体" w:hAnsi="宋体" w:cs="宋体"/>
                <w:color w:val="auto"/>
                <w:sz w:val="22"/>
                <w:szCs w:val="22"/>
              </w:rPr>
              <w:t>附件</w:t>
            </w:r>
            <w:r>
              <w:rPr>
                <w:rFonts w:hint="eastAsia" w:ascii="宋体" w:hAnsi="宋体" w:cs="宋体"/>
                <w:color w:val="auto"/>
                <w:sz w:val="22"/>
                <w:szCs w:val="22"/>
                <w:lang w:val="en-US" w:eastAsia="zh-CN"/>
              </w:rPr>
              <w:t>九</w:t>
            </w:r>
            <w:r>
              <w:rPr>
                <w:rFonts w:hint="eastAsia" w:ascii="宋体" w:hAnsi="宋体" w:cs="宋体"/>
                <w:color w:val="auto"/>
                <w:sz w:val="22"/>
                <w:szCs w:val="22"/>
              </w:rPr>
              <w:t>-1</w:t>
            </w:r>
          </w:p>
        </w:tc>
      </w:tr>
      <w:tr w14:paraId="6562B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vAlign w:val="center"/>
          </w:tcPr>
          <w:p w14:paraId="2B6BC581">
            <w:pPr>
              <w:autoSpaceDE w:val="0"/>
              <w:autoSpaceDN w:val="0"/>
              <w:adjustRightInd w:val="0"/>
              <w:snapToGrid w:val="0"/>
              <w:spacing w:line="430" w:lineRule="atLeast"/>
              <w:jc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6</w:t>
            </w:r>
          </w:p>
        </w:tc>
        <w:tc>
          <w:tcPr>
            <w:tcW w:w="7337" w:type="dxa"/>
            <w:vAlign w:val="top"/>
          </w:tcPr>
          <w:p w14:paraId="288B5BD3">
            <w:pPr>
              <w:autoSpaceDE w:val="0"/>
              <w:autoSpaceDN w:val="0"/>
              <w:adjustRightInd w:val="0"/>
              <w:snapToGrid w:val="0"/>
              <w:spacing w:line="430" w:lineRule="atLeast"/>
              <w:rPr>
                <w:rFonts w:hint="eastAsia" w:ascii="宋体" w:hAnsi="Times New Roman" w:eastAsia="宋体" w:cs="宋体"/>
                <w:bCs/>
                <w:color w:val="auto"/>
                <w:kern w:val="2"/>
                <w:sz w:val="22"/>
                <w:szCs w:val="24"/>
                <w:lang w:val="en-US" w:eastAsia="zh-CN" w:bidi="ar-SA"/>
              </w:rPr>
            </w:pPr>
            <w:r>
              <w:rPr>
                <w:rFonts w:hint="eastAsia" w:ascii="宋体" w:hAnsi="宋体"/>
                <w:color w:val="auto"/>
                <w:sz w:val="22"/>
                <w:szCs w:val="22"/>
              </w:rPr>
              <w:t>监狱企业提供的相关证明材料（如为监狱企业的请根据附件内容提供）</w:t>
            </w:r>
          </w:p>
        </w:tc>
        <w:tc>
          <w:tcPr>
            <w:tcW w:w="1410" w:type="dxa"/>
            <w:vAlign w:val="top"/>
          </w:tcPr>
          <w:p w14:paraId="180FB667">
            <w:pPr>
              <w:autoSpaceDE w:val="0"/>
              <w:autoSpaceDN w:val="0"/>
              <w:adjustRightInd w:val="0"/>
              <w:snapToGrid w:val="0"/>
              <w:spacing w:line="430" w:lineRule="atLeast"/>
              <w:jc w:val="center"/>
              <w:rPr>
                <w:rFonts w:hint="eastAsia" w:ascii="宋体" w:hAnsi="Times New Roman" w:eastAsia="宋体" w:cs="宋体"/>
                <w:bCs/>
                <w:color w:val="auto"/>
                <w:kern w:val="2"/>
                <w:sz w:val="22"/>
                <w:szCs w:val="24"/>
                <w:lang w:val="en-US" w:eastAsia="zh-CN" w:bidi="ar-SA"/>
              </w:rPr>
            </w:pPr>
            <w:r>
              <w:rPr>
                <w:rFonts w:hint="eastAsia" w:ascii="宋体" w:hAnsi="宋体" w:cs="宋体"/>
                <w:color w:val="auto"/>
                <w:sz w:val="22"/>
                <w:szCs w:val="22"/>
              </w:rPr>
              <w:t>附件</w:t>
            </w:r>
            <w:r>
              <w:rPr>
                <w:rFonts w:hint="eastAsia" w:ascii="宋体" w:hAnsi="宋体" w:cs="宋体"/>
                <w:color w:val="auto"/>
                <w:sz w:val="22"/>
                <w:szCs w:val="22"/>
                <w:lang w:val="en-US" w:eastAsia="zh-CN"/>
              </w:rPr>
              <w:t>九</w:t>
            </w:r>
            <w:r>
              <w:rPr>
                <w:rFonts w:hint="eastAsia" w:ascii="宋体" w:hAnsi="宋体" w:cs="宋体"/>
                <w:color w:val="auto"/>
                <w:sz w:val="22"/>
                <w:szCs w:val="22"/>
              </w:rPr>
              <w:t>-1</w:t>
            </w:r>
          </w:p>
        </w:tc>
      </w:tr>
      <w:tr w14:paraId="5C84F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vAlign w:val="center"/>
          </w:tcPr>
          <w:p w14:paraId="250CA8AF">
            <w:pPr>
              <w:autoSpaceDE w:val="0"/>
              <w:autoSpaceDN w:val="0"/>
              <w:adjustRightInd w:val="0"/>
              <w:snapToGrid w:val="0"/>
              <w:spacing w:line="430" w:lineRule="atLeast"/>
              <w:jc w:val="center"/>
              <w:rPr>
                <w:rFonts w:hint="eastAsia" w:ascii="宋体" w:hAnsi="宋体" w:eastAsia="宋体" w:cs="宋体"/>
                <w:color w:val="auto"/>
                <w:sz w:val="22"/>
                <w:szCs w:val="22"/>
                <w:lang w:eastAsia="zh-CN"/>
              </w:rPr>
            </w:pPr>
            <w:r>
              <w:rPr>
                <w:rFonts w:hint="eastAsia" w:ascii="宋体" w:hAnsi="宋体" w:cs="宋体"/>
                <w:color w:val="auto"/>
                <w:sz w:val="22"/>
                <w:szCs w:val="22"/>
                <w:lang w:val="en-US" w:eastAsia="zh-CN"/>
              </w:rPr>
              <w:t>7</w:t>
            </w:r>
          </w:p>
        </w:tc>
        <w:tc>
          <w:tcPr>
            <w:tcW w:w="7337" w:type="dxa"/>
            <w:vAlign w:val="center"/>
          </w:tcPr>
          <w:p w14:paraId="0A13BFD1">
            <w:pPr>
              <w:autoSpaceDE w:val="0"/>
              <w:autoSpaceDN w:val="0"/>
              <w:adjustRightInd w:val="0"/>
              <w:snapToGrid w:val="0"/>
              <w:spacing w:line="430" w:lineRule="atLeast"/>
              <w:rPr>
                <w:rFonts w:hint="eastAsia" w:ascii="宋体" w:hAnsi="宋体" w:eastAsia="新宋体" w:cs="宋体"/>
                <w:color w:val="auto"/>
                <w:sz w:val="22"/>
                <w:szCs w:val="22"/>
                <w:lang w:eastAsia="zh-CN"/>
              </w:rPr>
            </w:pPr>
            <w:r>
              <w:rPr>
                <w:rFonts w:hint="eastAsia" w:ascii="新宋体" w:hAnsi="新宋体" w:eastAsia="新宋体" w:cs="新宋体"/>
                <w:bCs/>
                <w:color w:val="auto"/>
                <w:kern w:val="0"/>
                <w:sz w:val="22"/>
                <w:szCs w:val="22"/>
              </w:rPr>
              <w:t>联合体协议书（如为联合体投标，请根据格式内容提供）</w:t>
            </w:r>
            <w:r>
              <w:rPr>
                <w:rFonts w:hint="eastAsia" w:ascii="新宋体" w:hAnsi="新宋体" w:eastAsia="新宋体" w:cs="新宋体"/>
                <w:bCs/>
                <w:color w:val="auto"/>
                <w:kern w:val="0"/>
                <w:sz w:val="22"/>
                <w:szCs w:val="22"/>
                <w:lang w:eastAsia="zh-CN"/>
              </w:rPr>
              <w:t>，联合体一方须提供建筑装饰装修工程贰级及以上资质。</w:t>
            </w:r>
            <w:bookmarkStart w:id="228" w:name="_GoBack"/>
            <w:bookmarkEnd w:id="228"/>
          </w:p>
        </w:tc>
        <w:tc>
          <w:tcPr>
            <w:tcW w:w="1410" w:type="dxa"/>
          </w:tcPr>
          <w:p w14:paraId="513024B3">
            <w:pPr>
              <w:autoSpaceDE w:val="0"/>
              <w:autoSpaceDN w:val="0"/>
              <w:adjustRightInd w:val="0"/>
              <w:snapToGrid w:val="0"/>
              <w:spacing w:line="430" w:lineRule="atLeast"/>
              <w:jc w:val="center"/>
              <w:rPr>
                <w:rFonts w:ascii="宋体" w:hAnsi="宋体" w:cs="宋体"/>
                <w:color w:val="auto"/>
                <w:sz w:val="22"/>
                <w:szCs w:val="22"/>
              </w:rPr>
            </w:pPr>
            <w:r>
              <w:rPr>
                <w:rFonts w:hint="eastAsia" w:ascii="宋体" w:hAnsi="宋体" w:cs="宋体"/>
                <w:color w:val="auto"/>
                <w:sz w:val="22"/>
                <w:szCs w:val="22"/>
              </w:rPr>
              <w:t>附件四-4</w:t>
            </w:r>
          </w:p>
        </w:tc>
      </w:tr>
      <w:tr w14:paraId="5991B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vAlign w:val="center"/>
          </w:tcPr>
          <w:p w14:paraId="6C9EAF44">
            <w:pPr>
              <w:autoSpaceDE w:val="0"/>
              <w:autoSpaceDN w:val="0"/>
              <w:adjustRightInd w:val="0"/>
              <w:snapToGrid w:val="0"/>
              <w:spacing w:line="430" w:lineRule="atLeast"/>
              <w:jc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8</w:t>
            </w:r>
          </w:p>
        </w:tc>
        <w:tc>
          <w:tcPr>
            <w:tcW w:w="7337" w:type="dxa"/>
            <w:vAlign w:val="center"/>
          </w:tcPr>
          <w:p w14:paraId="24E4033F">
            <w:pPr>
              <w:autoSpaceDE w:val="0"/>
              <w:autoSpaceDN w:val="0"/>
              <w:adjustRightInd w:val="0"/>
              <w:snapToGrid w:val="0"/>
              <w:spacing w:line="440" w:lineRule="exact"/>
              <w:rPr>
                <w:rFonts w:hint="eastAsia" w:ascii="宋体" w:hAnsi="宋体" w:eastAsia="宋体"/>
                <w:color w:val="auto"/>
                <w:sz w:val="22"/>
                <w:szCs w:val="22"/>
                <w:lang w:eastAsia="zh-CN"/>
              </w:rPr>
            </w:pPr>
            <w:r>
              <w:rPr>
                <w:rFonts w:hint="eastAsia" w:ascii="宋体" w:hAnsi="宋体" w:cs="宋体"/>
                <w:color w:val="auto"/>
                <w:sz w:val="22"/>
                <w:szCs w:val="22"/>
              </w:rPr>
              <w:t>分包意向协议（如</w:t>
            </w:r>
            <w:r>
              <w:rPr>
                <w:rFonts w:hint="eastAsia" w:ascii="宋体" w:hAnsi="宋体" w:cs="宋体"/>
                <w:color w:val="auto"/>
                <w:sz w:val="22"/>
                <w:szCs w:val="22"/>
                <w:lang w:val="en-US" w:eastAsia="zh-CN"/>
              </w:rPr>
              <w:t>有</w:t>
            </w:r>
            <w:r>
              <w:rPr>
                <w:rFonts w:hint="eastAsia" w:ascii="宋体" w:hAnsi="宋体" w:cs="宋体"/>
                <w:color w:val="auto"/>
                <w:sz w:val="22"/>
                <w:szCs w:val="22"/>
              </w:rPr>
              <w:t>分包，请根据格式</w:t>
            </w:r>
            <w:r>
              <w:rPr>
                <w:rFonts w:hint="eastAsia" w:ascii="宋体" w:hAnsi="宋体" w:cs="宋体"/>
                <w:color w:val="auto"/>
                <w:sz w:val="22"/>
                <w:szCs w:val="22"/>
                <w:lang w:val="en-US" w:eastAsia="zh-CN"/>
              </w:rPr>
              <w:t>内容</w:t>
            </w:r>
            <w:r>
              <w:rPr>
                <w:rFonts w:hint="eastAsia" w:ascii="宋体" w:hAnsi="宋体" w:cs="宋体"/>
                <w:color w:val="auto"/>
                <w:sz w:val="22"/>
                <w:szCs w:val="22"/>
              </w:rPr>
              <w:t>提供）</w:t>
            </w:r>
            <w:r>
              <w:rPr>
                <w:rFonts w:hint="eastAsia" w:ascii="宋体" w:hAnsi="宋体" w:cs="宋体"/>
                <w:color w:val="auto"/>
                <w:sz w:val="22"/>
                <w:szCs w:val="22"/>
                <w:lang w:eastAsia="zh-CN"/>
              </w:rPr>
              <w:t>，分包供应商应提供建筑装饰装修工程贰级及以上资质。</w:t>
            </w:r>
          </w:p>
        </w:tc>
        <w:tc>
          <w:tcPr>
            <w:tcW w:w="1410" w:type="dxa"/>
            <w:vAlign w:val="top"/>
          </w:tcPr>
          <w:p w14:paraId="414DFCC0">
            <w:pPr>
              <w:autoSpaceDE w:val="0"/>
              <w:autoSpaceDN w:val="0"/>
              <w:adjustRightInd w:val="0"/>
              <w:snapToGrid w:val="0"/>
              <w:spacing w:line="440" w:lineRule="exact"/>
              <w:jc w:val="center"/>
              <w:rPr>
                <w:rFonts w:hint="eastAsia" w:ascii="宋体" w:hAnsi="宋体" w:cs="宋体"/>
                <w:color w:val="auto"/>
                <w:sz w:val="22"/>
                <w:szCs w:val="22"/>
              </w:rPr>
            </w:pPr>
            <w:r>
              <w:rPr>
                <w:rFonts w:hint="eastAsia" w:ascii="宋体" w:hAnsi="宋体" w:cs="宋体"/>
                <w:color w:val="auto"/>
                <w:sz w:val="22"/>
                <w:szCs w:val="22"/>
              </w:rPr>
              <w:t>附件四-</w:t>
            </w:r>
            <w:r>
              <w:rPr>
                <w:rFonts w:hint="eastAsia" w:ascii="宋体" w:hAnsi="宋体" w:cs="宋体"/>
                <w:color w:val="auto"/>
                <w:sz w:val="22"/>
                <w:szCs w:val="22"/>
                <w:lang w:val="en-US" w:eastAsia="zh-CN"/>
              </w:rPr>
              <w:t>5</w:t>
            </w:r>
          </w:p>
        </w:tc>
      </w:tr>
      <w:tr w14:paraId="5F59C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20" w:type="dxa"/>
            <w:gridSpan w:val="3"/>
            <w:vAlign w:val="center"/>
          </w:tcPr>
          <w:p w14:paraId="246C3972">
            <w:pPr>
              <w:autoSpaceDE w:val="0"/>
              <w:autoSpaceDN w:val="0"/>
              <w:adjustRightInd w:val="0"/>
              <w:snapToGrid w:val="0"/>
              <w:spacing w:line="430" w:lineRule="atLeast"/>
              <w:rPr>
                <w:rFonts w:ascii="宋体" w:hAnsi="宋体" w:cs="宋体"/>
                <w:color w:val="auto"/>
                <w:sz w:val="22"/>
              </w:rPr>
            </w:pPr>
            <w:r>
              <w:rPr>
                <w:rFonts w:hint="eastAsia" w:ascii="宋体" w:hAnsi="宋体" w:cs="宋体"/>
                <w:color w:val="auto"/>
                <w:sz w:val="22"/>
              </w:rPr>
              <w:t>说明：</w:t>
            </w:r>
            <w:r>
              <w:rPr>
                <w:rFonts w:hint="eastAsia" w:ascii="宋体" w:hAnsi="宋体" w:cs="宋体"/>
                <w:color w:val="auto"/>
                <w:sz w:val="22"/>
                <w:szCs w:val="22"/>
              </w:rPr>
              <w:t>以上所需的各种实物照片、证书、证件、证明、执照需提供复印件或扫描件加盖电子公章。</w:t>
            </w:r>
          </w:p>
        </w:tc>
      </w:tr>
    </w:tbl>
    <w:p w14:paraId="609F0B7D">
      <w:pPr>
        <w:spacing w:line="440" w:lineRule="exact"/>
        <w:rPr>
          <w:rFonts w:ascii="宋体" w:hAnsi="宋体" w:cs="宋体"/>
          <w:b/>
          <w:color w:val="auto"/>
          <w:sz w:val="22"/>
          <w:szCs w:val="22"/>
        </w:rPr>
      </w:pPr>
      <w:r>
        <w:rPr>
          <w:rFonts w:hint="eastAsia" w:ascii="宋体" w:hAnsi="宋体" w:cs="宋体"/>
          <w:b/>
          <w:color w:val="auto"/>
          <w:sz w:val="22"/>
          <w:szCs w:val="22"/>
        </w:rPr>
        <w:t>5.1.</w:t>
      </w:r>
      <w:r>
        <w:rPr>
          <w:rFonts w:ascii="宋体" w:hAnsi="宋体" w:cs="宋体"/>
          <w:b/>
          <w:color w:val="auto"/>
          <w:sz w:val="22"/>
          <w:szCs w:val="22"/>
        </w:rPr>
        <w:t>2</w:t>
      </w:r>
      <w:r>
        <w:rPr>
          <w:rFonts w:hint="eastAsia" w:ascii="宋体" w:hAnsi="宋体" w:cs="宋体"/>
          <w:b/>
          <w:color w:val="auto"/>
          <w:sz w:val="22"/>
          <w:szCs w:val="22"/>
        </w:rPr>
        <w:t>商务技术文件</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449"/>
        <w:gridCol w:w="1298"/>
      </w:tblGrid>
      <w:tr w14:paraId="7A2AE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3" w:type="dxa"/>
          </w:tcPr>
          <w:p w14:paraId="72FB298C">
            <w:pPr>
              <w:autoSpaceDE w:val="0"/>
              <w:autoSpaceDN w:val="0"/>
              <w:adjustRightInd w:val="0"/>
              <w:snapToGrid w:val="0"/>
              <w:spacing w:line="430" w:lineRule="atLeast"/>
              <w:rPr>
                <w:rFonts w:ascii="宋体" w:hAnsi="宋体" w:cs="宋体"/>
                <w:b/>
                <w:color w:val="auto"/>
                <w:sz w:val="22"/>
                <w:lang w:val="zh-CN"/>
              </w:rPr>
            </w:pPr>
            <w:r>
              <w:rPr>
                <w:rFonts w:hint="eastAsia" w:ascii="宋体" w:hAnsi="宋体" w:cs="宋体"/>
                <w:b/>
                <w:color w:val="auto"/>
                <w:sz w:val="22"/>
                <w:lang w:val="zh-CN"/>
              </w:rPr>
              <w:t>序号</w:t>
            </w:r>
          </w:p>
        </w:tc>
        <w:tc>
          <w:tcPr>
            <w:tcW w:w="7449" w:type="dxa"/>
          </w:tcPr>
          <w:p w14:paraId="7DE0E5C3">
            <w:pPr>
              <w:autoSpaceDE w:val="0"/>
              <w:autoSpaceDN w:val="0"/>
              <w:adjustRightInd w:val="0"/>
              <w:snapToGrid w:val="0"/>
              <w:spacing w:line="430" w:lineRule="atLeast"/>
              <w:jc w:val="center"/>
              <w:rPr>
                <w:rFonts w:ascii="宋体" w:hAnsi="宋体" w:cs="宋体"/>
                <w:b/>
                <w:color w:val="auto"/>
                <w:sz w:val="22"/>
                <w:lang w:val="zh-CN"/>
              </w:rPr>
            </w:pPr>
            <w:r>
              <w:rPr>
                <w:rFonts w:hint="eastAsia" w:ascii="宋体" w:hAnsi="宋体" w:cs="宋体"/>
                <w:b/>
                <w:color w:val="auto"/>
                <w:sz w:val="22"/>
                <w:lang w:val="zh-CN"/>
              </w:rPr>
              <w:t>内容</w:t>
            </w:r>
          </w:p>
        </w:tc>
        <w:tc>
          <w:tcPr>
            <w:tcW w:w="1298" w:type="dxa"/>
          </w:tcPr>
          <w:p w14:paraId="62D88FD3">
            <w:pPr>
              <w:autoSpaceDE w:val="0"/>
              <w:autoSpaceDN w:val="0"/>
              <w:adjustRightInd w:val="0"/>
              <w:snapToGrid w:val="0"/>
              <w:spacing w:line="430" w:lineRule="atLeast"/>
              <w:jc w:val="center"/>
              <w:rPr>
                <w:rFonts w:ascii="宋体" w:hAnsi="宋体" w:cs="宋体"/>
                <w:b/>
                <w:color w:val="auto"/>
                <w:sz w:val="22"/>
                <w:lang w:val="zh-CN"/>
              </w:rPr>
            </w:pPr>
            <w:r>
              <w:rPr>
                <w:rFonts w:hint="eastAsia" w:ascii="宋体" w:hAnsi="宋体" w:cs="宋体"/>
                <w:b/>
                <w:color w:val="auto"/>
                <w:sz w:val="22"/>
                <w:lang w:val="zh-CN"/>
              </w:rPr>
              <w:t>说明</w:t>
            </w:r>
          </w:p>
        </w:tc>
      </w:tr>
      <w:tr w14:paraId="510FA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Align w:val="center"/>
          </w:tcPr>
          <w:p w14:paraId="59DBE155">
            <w:pPr>
              <w:autoSpaceDE w:val="0"/>
              <w:autoSpaceDN w:val="0"/>
              <w:adjustRightInd w:val="0"/>
              <w:snapToGrid w:val="0"/>
              <w:spacing w:line="430" w:lineRule="atLeast"/>
              <w:jc w:val="center"/>
              <w:rPr>
                <w:rFonts w:ascii="宋体" w:hAnsi="宋体" w:cs="宋体"/>
                <w:color w:val="auto"/>
                <w:sz w:val="22"/>
              </w:rPr>
            </w:pPr>
            <w:r>
              <w:rPr>
                <w:rFonts w:hint="eastAsia" w:ascii="宋体" w:hAnsi="宋体" w:cs="宋体"/>
                <w:color w:val="auto"/>
                <w:sz w:val="22"/>
              </w:rPr>
              <w:t>1</w:t>
            </w:r>
          </w:p>
        </w:tc>
        <w:tc>
          <w:tcPr>
            <w:tcW w:w="7449" w:type="dxa"/>
          </w:tcPr>
          <w:p w14:paraId="4A0386E7">
            <w:pPr>
              <w:spacing w:line="380" w:lineRule="exact"/>
              <w:rPr>
                <w:rFonts w:ascii="宋体" w:hAnsi="宋体"/>
                <w:color w:val="auto"/>
                <w:sz w:val="22"/>
                <w:szCs w:val="22"/>
              </w:rPr>
            </w:pPr>
            <w:r>
              <w:rPr>
                <w:rFonts w:hint="eastAsia" w:ascii="宋体" w:hAnsi="宋体"/>
                <w:color w:val="auto"/>
                <w:sz w:val="22"/>
                <w:szCs w:val="22"/>
              </w:rPr>
              <w:t>磋商响应函</w:t>
            </w:r>
          </w:p>
        </w:tc>
        <w:tc>
          <w:tcPr>
            <w:tcW w:w="1298" w:type="dxa"/>
          </w:tcPr>
          <w:p w14:paraId="5B26DEF1">
            <w:pPr>
              <w:autoSpaceDE w:val="0"/>
              <w:autoSpaceDN w:val="0"/>
              <w:adjustRightInd w:val="0"/>
              <w:snapToGrid w:val="0"/>
              <w:spacing w:line="430" w:lineRule="atLeast"/>
              <w:jc w:val="center"/>
              <w:rPr>
                <w:rFonts w:ascii="宋体" w:cs="宋体"/>
                <w:color w:val="auto"/>
                <w:sz w:val="22"/>
              </w:rPr>
            </w:pPr>
            <w:r>
              <w:rPr>
                <w:rFonts w:hint="eastAsia" w:ascii="宋体" w:cs="宋体"/>
                <w:color w:val="auto"/>
                <w:sz w:val="22"/>
              </w:rPr>
              <w:t>附件一</w:t>
            </w:r>
          </w:p>
        </w:tc>
      </w:tr>
      <w:tr w14:paraId="52550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Align w:val="center"/>
          </w:tcPr>
          <w:p w14:paraId="247D4A4E">
            <w:pPr>
              <w:autoSpaceDE w:val="0"/>
              <w:autoSpaceDN w:val="0"/>
              <w:adjustRightInd w:val="0"/>
              <w:snapToGrid w:val="0"/>
              <w:spacing w:line="430" w:lineRule="atLeast"/>
              <w:jc w:val="center"/>
              <w:rPr>
                <w:rFonts w:ascii="宋体" w:hAnsi="宋体" w:cs="宋体"/>
                <w:color w:val="auto"/>
                <w:sz w:val="22"/>
              </w:rPr>
            </w:pPr>
            <w:r>
              <w:rPr>
                <w:rFonts w:hint="eastAsia" w:ascii="宋体" w:hAnsi="宋体" w:cs="宋体"/>
                <w:color w:val="auto"/>
                <w:sz w:val="22"/>
              </w:rPr>
              <w:t>2</w:t>
            </w:r>
          </w:p>
        </w:tc>
        <w:tc>
          <w:tcPr>
            <w:tcW w:w="7449" w:type="dxa"/>
          </w:tcPr>
          <w:p w14:paraId="0327864B">
            <w:pPr>
              <w:spacing w:line="380" w:lineRule="exact"/>
              <w:jc w:val="left"/>
              <w:rPr>
                <w:rFonts w:ascii="宋体" w:hAnsi="宋体"/>
                <w:color w:val="auto"/>
                <w:sz w:val="22"/>
                <w:szCs w:val="22"/>
              </w:rPr>
            </w:pPr>
            <w:r>
              <w:rPr>
                <w:rFonts w:hint="eastAsia" w:ascii="宋体" w:hAnsi="宋体"/>
                <w:color w:val="auto"/>
                <w:sz w:val="22"/>
                <w:szCs w:val="22"/>
              </w:rPr>
              <w:t>商务条款、技术规格偏离表</w:t>
            </w:r>
          </w:p>
        </w:tc>
        <w:tc>
          <w:tcPr>
            <w:tcW w:w="1298" w:type="dxa"/>
          </w:tcPr>
          <w:p w14:paraId="020C151E">
            <w:pPr>
              <w:autoSpaceDE w:val="0"/>
              <w:autoSpaceDN w:val="0"/>
              <w:adjustRightInd w:val="0"/>
              <w:snapToGrid w:val="0"/>
              <w:spacing w:line="430" w:lineRule="atLeast"/>
              <w:jc w:val="center"/>
              <w:rPr>
                <w:rFonts w:ascii="宋体" w:hAnsi="宋体" w:cs="宋体"/>
                <w:color w:val="auto"/>
                <w:sz w:val="22"/>
                <w:szCs w:val="22"/>
              </w:rPr>
            </w:pPr>
            <w:r>
              <w:rPr>
                <w:rFonts w:hint="eastAsia" w:ascii="宋体" w:cs="宋体"/>
                <w:color w:val="auto"/>
                <w:sz w:val="22"/>
              </w:rPr>
              <w:t>附件五</w:t>
            </w:r>
          </w:p>
        </w:tc>
      </w:tr>
      <w:tr w14:paraId="475D5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Align w:val="center"/>
          </w:tcPr>
          <w:p w14:paraId="7FE65554">
            <w:pPr>
              <w:autoSpaceDE w:val="0"/>
              <w:autoSpaceDN w:val="0"/>
              <w:adjustRightInd w:val="0"/>
              <w:snapToGrid w:val="0"/>
              <w:spacing w:line="430" w:lineRule="atLeast"/>
              <w:jc w:val="center"/>
              <w:rPr>
                <w:rFonts w:hint="eastAsia" w:ascii="宋体" w:hAnsi="宋体" w:eastAsia="宋体" w:cs="宋体"/>
                <w:color w:val="auto"/>
                <w:sz w:val="22"/>
                <w:lang w:val="en-US" w:eastAsia="zh-CN"/>
              </w:rPr>
            </w:pPr>
            <w:r>
              <w:rPr>
                <w:rFonts w:hint="eastAsia" w:ascii="宋体" w:hAnsi="宋体" w:cs="宋体"/>
                <w:color w:val="auto"/>
                <w:sz w:val="22"/>
                <w:lang w:val="en-US" w:eastAsia="zh-CN"/>
              </w:rPr>
              <w:t>3</w:t>
            </w:r>
          </w:p>
        </w:tc>
        <w:tc>
          <w:tcPr>
            <w:tcW w:w="7449" w:type="dxa"/>
            <w:vAlign w:val="top"/>
          </w:tcPr>
          <w:p w14:paraId="662ACD22">
            <w:pPr>
              <w:autoSpaceDE w:val="0"/>
              <w:autoSpaceDN w:val="0"/>
              <w:adjustRightInd w:val="0"/>
              <w:snapToGrid w:val="0"/>
              <w:spacing w:line="440" w:lineRule="exact"/>
              <w:rPr>
                <w:rFonts w:hint="eastAsia" w:ascii="宋体" w:hAnsi="宋体" w:eastAsia="宋体" w:cs="Times New Roman"/>
                <w:bCs/>
                <w:color w:val="auto"/>
                <w:kern w:val="2"/>
                <w:sz w:val="22"/>
                <w:szCs w:val="22"/>
                <w:lang w:val="en-US" w:eastAsia="zh-CN" w:bidi="ar-SA"/>
              </w:rPr>
            </w:pPr>
            <w:r>
              <w:rPr>
                <w:rFonts w:hint="eastAsia" w:ascii="宋体" w:hAnsi="宋体"/>
                <w:color w:val="auto"/>
                <w:sz w:val="22"/>
                <w:szCs w:val="22"/>
              </w:rPr>
              <w:t>货物成套供货清单</w:t>
            </w:r>
          </w:p>
        </w:tc>
        <w:tc>
          <w:tcPr>
            <w:tcW w:w="1298" w:type="dxa"/>
            <w:vAlign w:val="top"/>
          </w:tcPr>
          <w:p w14:paraId="35640D34">
            <w:pPr>
              <w:autoSpaceDE w:val="0"/>
              <w:autoSpaceDN w:val="0"/>
              <w:adjustRightInd w:val="0"/>
              <w:snapToGrid w:val="0"/>
              <w:spacing w:line="440" w:lineRule="exact"/>
              <w:jc w:val="center"/>
              <w:rPr>
                <w:rFonts w:hint="eastAsia" w:ascii="宋体" w:hAnsi="宋体" w:eastAsia="宋体" w:cs="宋体"/>
                <w:color w:val="auto"/>
                <w:kern w:val="2"/>
                <w:sz w:val="22"/>
                <w:szCs w:val="24"/>
                <w:lang w:val="en-US" w:eastAsia="zh-CN" w:bidi="ar-SA"/>
              </w:rPr>
            </w:pPr>
            <w:r>
              <w:rPr>
                <w:rFonts w:hint="eastAsia" w:ascii="宋体" w:hAnsi="宋体" w:cs="宋体"/>
                <w:color w:val="auto"/>
                <w:sz w:val="22"/>
                <w:szCs w:val="22"/>
              </w:rPr>
              <w:t>附件六</w:t>
            </w:r>
          </w:p>
        </w:tc>
      </w:tr>
      <w:tr w14:paraId="2DB79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Align w:val="center"/>
          </w:tcPr>
          <w:p w14:paraId="36CFB4AF">
            <w:pPr>
              <w:autoSpaceDE w:val="0"/>
              <w:autoSpaceDN w:val="0"/>
              <w:adjustRightInd w:val="0"/>
              <w:snapToGrid w:val="0"/>
              <w:spacing w:line="430" w:lineRule="atLeast"/>
              <w:jc w:val="center"/>
              <w:rPr>
                <w:rFonts w:hint="default" w:ascii="宋体" w:hAnsi="宋体" w:cs="宋体"/>
                <w:color w:val="auto"/>
                <w:sz w:val="22"/>
                <w:lang w:val="en-US" w:eastAsia="zh-CN"/>
              </w:rPr>
            </w:pPr>
            <w:r>
              <w:rPr>
                <w:rFonts w:hint="eastAsia" w:ascii="宋体" w:hAnsi="宋体" w:cs="宋体"/>
                <w:color w:val="auto"/>
                <w:sz w:val="22"/>
                <w:lang w:val="en-US" w:eastAsia="zh-CN"/>
              </w:rPr>
              <w:t>4</w:t>
            </w:r>
          </w:p>
        </w:tc>
        <w:tc>
          <w:tcPr>
            <w:tcW w:w="7449" w:type="dxa"/>
            <w:vAlign w:val="top"/>
          </w:tcPr>
          <w:p w14:paraId="3F45B9A1">
            <w:pPr>
              <w:autoSpaceDE w:val="0"/>
              <w:autoSpaceDN w:val="0"/>
              <w:adjustRightInd w:val="0"/>
              <w:snapToGrid w:val="0"/>
              <w:spacing w:line="440" w:lineRule="exact"/>
              <w:rPr>
                <w:rFonts w:hint="eastAsia" w:ascii="宋体" w:hAnsi="宋体"/>
                <w:bCs/>
                <w:color w:val="auto"/>
                <w:sz w:val="22"/>
                <w:szCs w:val="22"/>
              </w:rPr>
            </w:pPr>
            <w:r>
              <w:rPr>
                <w:rFonts w:hint="eastAsia" w:ascii="宋体" w:hAnsi="宋体"/>
                <w:bCs/>
                <w:color w:val="auto"/>
                <w:sz w:val="22"/>
                <w:szCs w:val="22"/>
              </w:rPr>
              <w:t>随机备品备件、易损易耗件、耗材和专用工具清单</w:t>
            </w:r>
          </w:p>
        </w:tc>
        <w:tc>
          <w:tcPr>
            <w:tcW w:w="1298" w:type="dxa"/>
            <w:vAlign w:val="top"/>
          </w:tcPr>
          <w:p w14:paraId="3EDA8BD3">
            <w:pPr>
              <w:autoSpaceDE w:val="0"/>
              <w:autoSpaceDN w:val="0"/>
              <w:adjustRightInd w:val="0"/>
              <w:snapToGrid w:val="0"/>
              <w:spacing w:line="440" w:lineRule="exact"/>
              <w:jc w:val="center"/>
              <w:rPr>
                <w:rFonts w:hint="eastAsia" w:ascii="宋体" w:hAnsi="宋体" w:cs="宋体"/>
                <w:color w:val="auto"/>
                <w:sz w:val="22"/>
              </w:rPr>
            </w:pPr>
          </w:p>
        </w:tc>
      </w:tr>
      <w:tr w14:paraId="25CE7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Align w:val="center"/>
          </w:tcPr>
          <w:p w14:paraId="034A9297">
            <w:pPr>
              <w:autoSpaceDE w:val="0"/>
              <w:autoSpaceDN w:val="0"/>
              <w:adjustRightInd w:val="0"/>
              <w:snapToGrid w:val="0"/>
              <w:spacing w:line="430" w:lineRule="atLeast"/>
              <w:jc w:val="center"/>
              <w:rPr>
                <w:rFonts w:hint="eastAsia" w:ascii="宋体" w:hAnsi="宋体" w:eastAsia="宋体" w:cs="宋体"/>
                <w:color w:val="auto"/>
                <w:sz w:val="22"/>
                <w:lang w:eastAsia="zh-CN"/>
              </w:rPr>
            </w:pPr>
            <w:r>
              <w:rPr>
                <w:rFonts w:hint="eastAsia" w:ascii="宋体" w:hAnsi="宋体" w:cs="宋体"/>
                <w:color w:val="auto"/>
                <w:sz w:val="22"/>
                <w:lang w:val="en-US" w:eastAsia="zh-CN"/>
              </w:rPr>
              <w:t>5</w:t>
            </w:r>
          </w:p>
        </w:tc>
        <w:tc>
          <w:tcPr>
            <w:tcW w:w="7449" w:type="dxa"/>
            <w:vAlign w:val="top"/>
          </w:tcPr>
          <w:p w14:paraId="4C92E1E4">
            <w:pPr>
              <w:autoSpaceDE w:val="0"/>
              <w:autoSpaceDN w:val="0"/>
              <w:adjustRightInd w:val="0"/>
              <w:snapToGrid w:val="0"/>
              <w:spacing w:line="440" w:lineRule="exact"/>
              <w:rPr>
                <w:rFonts w:hint="eastAsia" w:ascii="宋体" w:hAnsi="宋体" w:eastAsia="宋体" w:cs="Times New Roman"/>
                <w:bCs/>
                <w:color w:val="auto"/>
                <w:kern w:val="2"/>
                <w:sz w:val="22"/>
                <w:szCs w:val="22"/>
                <w:lang w:val="en-US" w:eastAsia="zh-CN" w:bidi="ar-SA"/>
              </w:rPr>
            </w:pPr>
            <w:r>
              <w:rPr>
                <w:rFonts w:hint="eastAsia" w:hAnsi="宋体"/>
                <w:color w:val="auto"/>
                <w:sz w:val="22"/>
                <w:szCs w:val="22"/>
                <w:lang w:eastAsia="zh-CN"/>
              </w:rPr>
              <w:t>磋商供应商</w:t>
            </w:r>
            <w:r>
              <w:rPr>
                <w:rFonts w:hint="eastAsia" w:hAnsi="宋体"/>
                <w:color w:val="auto"/>
                <w:sz w:val="22"/>
                <w:szCs w:val="22"/>
              </w:rPr>
              <w:t>同类项目业绩一览表</w:t>
            </w:r>
          </w:p>
        </w:tc>
        <w:tc>
          <w:tcPr>
            <w:tcW w:w="1298" w:type="dxa"/>
            <w:vAlign w:val="center"/>
          </w:tcPr>
          <w:p w14:paraId="4BE15AA3">
            <w:pPr>
              <w:autoSpaceDE w:val="0"/>
              <w:autoSpaceDN w:val="0"/>
              <w:adjustRightInd w:val="0"/>
              <w:snapToGrid w:val="0"/>
              <w:spacing w:line="440" w:lineRule="exact"/>
              <w:jc w:val="center"/>
              <w:rPr>
                <w:rFonts w:hint="default" w:ascii="宋体" w:hAnsi="宋体" w:eastAsia="宋体" w:cs="宋体"/>
                <w:color w:val="auto"/>
                <w:kern w:val="2"/>
                <w:sz w:val="22"/>
                <w:szCs w:val="24"/>
                <w:lang w:val="en-US" w:eastAsia="zh-CN" w:bidi="ar-SA"/>
              </w:rPr>
            </w:pPr>
            <w:r>
              <w:rPr>
                <w:rFonts w:hint="eastAsia" w:ascii="宋体" w:hAnsi="宋体" w:cs="宋体"/>
                <w:color w:val="auto"/>
                <w:sz w:val="22"/>
                <w:szCs w:val="22"/>
              </w:rPr>
              <w:t>附件七</w:t>
            </w:r>
          </w:p>
        </w:tc>
      </w:tr>
      <w:tr w14:paraId="274F4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Align w:val="center"/>
          </w:tcPr>
          <w:p w14:paraId="4594B72B">
            <w:pPr>
              <w:autoSpaceDE w:val="0"/>
              <w:autoSpaceDN w:val="0"/>
              <w:adjustRightInd w:val="0"/>
              <w:snapToGrid w:val="0"/>
              <w:spacing w:line="430" w:lineRule="atLeast"/>
              <w:jc w:val="center"/>
              <w:rPr>
                <w:rFonts w:hint="eastAsia" w:ascii="宋体" w:hAnsi="宋体" w:eastAsia="宋体" w:cs="宋体"/>
                <w:color w:val="auto"/>
                <w:sz w:val="22"/>
                <w:lang w:val="en-US" w:eastAsia="zh-CN"/>
              </w:rPr>
            </w:pPr>
            <w:r>
              <w:rPr>
                <w:rFonts w:hint="eastAsia" w:ascii="宋体" w:hAnsi="宋体" w:cs="宋体"/>
                <w:color w:val="auto"/>
                <w:sz w:val="22"/>
                <w:lang w:val="en-US" w:eastAsia="zh-CN"/>
              </w:rPr>
              <w:t>6</w:t>
            </w:r>
          </w:p>
        </w:tc>
        <w:tc>
          <w:tcPr>
            <w:tcW w:w="7449" w:type="dxa"/>
            <w:vAlign w:val="center"/>
          </w:tcPr>
          <w:p w14:paraId="15FDF0E2">
            <w:pPr>
              <w:autoSpaceDE w:val="0"/>
              <w:autoSpaceDN w:val="0"/>
              <w:adjustRightInd w:val="0"/>
              <w:snapToGrid w:val="0"/>
              <w:spacing w:line="440" w:lineRule="exact"/>
              <w:rPr>
                <w:rFonts w:hint="eastAsia" w:ascii="宋体" w:hAnsi="宋体" w:eastAsia="宋体" w:cs="Times New Roman"/>
                <w:bCs/>
                <w:color w:val="auto"/>
                <w:kern w:val="2"/>
                <w:sz w:val="22"/>
                <w:szCs w:val="22"/>
                <w:lang w:val="en-US" w:eastAsia="zh-CN" w:bidi="ar-SA"/>
              </w:rPr>
            </w:pPr>
            <w:r>
              <w:rPr>
                <w:rFonts w:hint="eastAsia" w:ascii="宋体" w:hAnsi="宋体" w:cs="宋体"/>
                <w:color w:val="auto"/>
                <w:sz w:val="22"/>
                <w:szCs w:val="22"/>
                <w:lang w:eastAsia="zh-CN"/>
              </w:rPr>
              <w:t>磋商供应商</w:t>
            </w:r>
            <w:r>
              <w:rPr>
                <w:rFonts w:ascii="宋体" w:hAnsi="宋体"/>
                <w:color w:val="auto"/>
                <w:sz w:val="22"/>
                <w:szCs w:val="22"/>
              </w:rPr>
              <w:t>所投产品</w:t>
            </w:r>
            <w:r>
              <w:rPr>
                <w:rFonts w:hint="eastAsia" w:ascii="宋体" w:hAnsi="宋体"/>
                <w:color w:val="auto"/>
                <w:sz w:val="22"/>
                <w:szCs w:val="22"/>
              </w:rPr>
              <w:t>节能环保水平相关证明材料</w:t>
            </w:r>
          </w:p>
        </w:tc>
        <w:tc>
          <w:tcPr>
            <w:tcW w:w="1298" w:type="dxa"/>
            <w:vAlign w:val="top"/>
          </w:tcPr>
          <w:p w14:paraId="17D9C1D1">
            <w:pPr>
              <w:autoSpaceDE w:val="0"/>
              <w:autoSpaceDN w:val="0"/>
              <w:adjustRightInd w:val="0"/>
              <w:snapToGrid w:val="0"/>
              <w:spacing w:line="440" w:lineRule="exact"/>
              <w:jc w:val="center"/>
              <w:rPr>
                <w:rFonts w:hint="default" w:ascii="宋体" w:hAnsi="宋体" w:eastAsia="宋体" w:cs="宋体"/>
                <w:color w:val="auto"/>
                <w:kern w:val="2"/>
                <w:sz w:val="22"/>
                <w:szCs w:val="24"/>
                <w:lang w:val="en-US" w:eastAsia="zh-CN" w:bidi="ar-SA"/>
              </w:rPr>
            </w:pPr>
            <w:r>
              <w:rPr>
                <w:rFonts w:hint="eastAsia" w:ascii="宋体" w:hAnsi="宋体" w:cs="宋体"/>
                <w:color w:val="auto"/>
                <w:sz w:val="22"/>
                <w:szCs w:val="22"/>
              </w:rPr>
              <w:t>附件</w:t>
            </w:r>
            <w:r>
              <w:rPr>
                <w:rFonts w:hint="eastAsia" w:ascii="宋体" w:hAnsi="宋体" w:cs="宋体"/>
                <w:color w:val="auto"/>
                <w:szCs w:val="22"/>
                <w:lang w:val="en-US" w:eastAsia="zh-CN"/>
              </w:rPr>
              <w:t>八</w:t>
            </w:r>
            <w:r>
              <w:rPr>
                <w:rFonts w:hint="eastAsia" w:ascii="宋体" w:hAnsi="宋体" w:cs="宋体"/>
                <w:color w:val="auto"/>
                <w:sz w:val="22"/>
                <w:szCs w:val="22"/>
              </w:rPr>
              <w:t>-</w:t>
            </w:r>
            <w:r>
              <w:rPr>
                <w:rFonts w:ascii="宋体" w:hAnsi="宋体" w:cs="宋体"/>
                <w:color w:val="auto"/>
                <w:sz w:val="22"/>
                <w:szCs w:val="22"/>
              </w:rPr>
              <w:t>2</w:t>
            </w:r>
          </w:p>
        </w:tc>
      </w:tr>
      <w:tr w14:paraId="4ECB0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Align w:val="center"/>
          </w:tcPr>
          <w:p w14:paraId="5AF6014E">
            <w:pPr>
              <w:autoSpaceDE w:val="0"/>
              <w:autoSpaceDN w:val="0"/>
              <w:adjustRightInd w:val="0"/>
              <w:snapToGrid w:val="0"/>
              <w:spacing w:line="430" w:lineRule="atLeast"/>
              <w:jc w:val="center"/>
              <w:rPr>
                <w:rFonts w:hint="eastAsia" w:ascii="宋体" w:hAnsi="宋体" w:eastAsia="宋体" w:cs="宋体"/>
                <w:color w:val="auto"/>
                <w:sz w:val="22"/>
                <w:lang w:eastAsia="zh-CN"/>
              </w:rPr>
            </w:pPr>
            <w:r>
              <w:rPr>
                <w:rFonts w:hint="eastAsia" w:ascii="宋体" w:hAnsi="宋体" w:cs="宋体"/>
                <w:color w:val="auto"/>
                <w:sz w:val="22"/>
                <w:lang w:val="en-US" w:eastAsia="zh-CN"/>
              </w:rPr>
              <w:t>7</w:t>
            </w:r>
          </w:p>
        </w:tc>
        <w:tc>
          <w:tcPr>
            <w:tcW w:w="7449" w:type="dxa"/>
            <w:vAlign w:val="top"/>
          </w:tcPr>
          <w:p w14:paraId="500CB900">
            <w:pPr>
              <w:spacing w:line="380" w:lineRule="exact"/>
              <w:rPr>
                <w:rFonts w:ascii="Times New Roman" w:hAnsi="宋体" w:eastAsia="宋体" w:cs="Times New Roman"/>
                <w:color w:val="auto"/>
                <w:kern w:val="2"/>
                <w:sz w:val="22"/>
                <w:szCs w:val="22"/>
                <w:lang w:val="en-US" w:eastAsia="zh-CN" w:bidi="ar-SA"/>
              </w:rPr>
            </w:pPr>
            <w:r>
              <w:rPr>
                <w:rFonts w:hint="eastAsia" w:ascii="宋体" w:cs="宋体"/>
                <w:bCs/>
                <w:color w:val="auto"/>
                <w:spacing w:val="-2"/>
                <w:sz w:val="22"/>
                <w:szCs w:val="22"/>
              </w:rPr>
              <w:t>针对本项目的方案（根据评分细则内容提供）</w:t>
            </w:r>
          </w:p>
        </w:tc>
        <w:tc>
          <w:tcPr>
            <w:tcW w:w="1298" w:type="dxa"/>
            <w:vAlign w:val="top"/>
          </w:tcPr>
          <w:p w14:paraId="32C9B340">
            <w:pPr>
              <w:autoSpaceDE w:val="0"/>
              <w:autoSpaceDN w:val="0"/>
              <w:adjustRightInd w:val="0"/>
              <w:snapToGrid w:val="0"/>
              <w:spacing w:line="430" w:lineRule="atLeast"/>
              <w:jc w:val="center"/>
              <w:rPr>
                <w:rFonts w:hint="eastAsia" w:ascii="宋体" w:hAnsi="宋体" w:eastAsia="宋体" w:cs="宋体"/>
                <w:color w:val="auto"/>
                <w:kern w:val="0"/>
                <w:sz w:val="22"/>
                <w:szCs w:val="22"/>
                <w:lang w:val="en-US" w:eastAsia="zh-CN" w:bidi="ar-SA"/>
              </w:rPr>
            </w:pPr>
          </w:p>
        </w:tc>
      </w:tr>
      <w:tr w14:paraId="659A8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Align w:val="center"/>
          </w:tcPr>
          <w:p w14:paraId="77415C46">
            <w:pPr>
              <w:autoSpaceDE w:val="0"/>
              <w:autoSpaceDN w:val="0"/>
              <w:adjustRightInd w:val="0"/>
              <w:snapToGrid w:val="0"/>
              <w:spacing w:line="430" w:lineRule="atLeast"/>
              <w:jc w:val="center"/>
              <w:rPr>
                <w:rFonts w:hint="eastAsia" w:ascii="宋体" w:hAnsi="宋体" w:eastAsia="宋体" w:cs="宋体"/>
                <w:color w:val="auto"/>
                <w:sz w:val="22"/>
                <w:lang w:eastAsia="zh-CN"/>
              </w:rPr>
            </w:pPr>
            <w:r>
              <w:rPr>
                <w:rFonts w:hint="eastAsia" w:ascii="宋体" w:cs="宋体"/>
                <w:color w:val="auto"/>
                <w:sz w:val="22"/>
                <w:lang w:val="en-US" w:eastAsia="zh-CN"/>
              </w:rPr>
              <w:t>8</w:t>
            </w:r>
          </w:p>
        </w:tc>
        <w:tc>
          <w:tcPr>
            <w:tcW w:w="7449" w:type="dxa"/>
            <w:vAlign w:val="center"/>
          </w:tcPr>
          <w:p w14:paraId="1AACB797">
            <w:pPr>
              <w:autoSpaceDE w:val="0"/>
              <w:autoSpaceDN w:val="0"/>
              <w:adjustRightInd w:val="0"/>
              <w:snapToGrid w:val="0"/>
              <w:spacing w:line="430" w:lineRule="atLeast"/>
              <w:rPr>
                <w:rFonts w:ascii="宋体" w:hAnsi="宋体" w:eastAsia="宋体" w:cs="宋体"/>
                <w:color w:val="auto"/>
                <w:kern w:val="2"/>
                <w:sz w:val="22"/>
                <w:szCs w:val="22"/>
                <w:lang w:val="en-US" w:eastAsia="zh-CN" w:bidi="ar-SA"/>
              </w:rPr>
            </w:pPr>
            <w:r>
              <w:rPr>
                <w:rFonts w:hint="eastAsia" w:ascii="宋体" w:hAnsi="宋体"/>
                <w:color w:val="auto"/>
                <w:sz w:val="22"/>
                <w:szCs w:val="22"/>
              </w:rPr>
              <w:t>根据磋商文件中的采购内容与技术要求、评标细则，需要提供的其它文件和资料。</w:t>
            </w:r>
          </w:p>
        </w:tc>
        <w:tc>
          <w:tcPr>
            <w:tcW w:w="1298" w:type="dxa"/>
            <w:vAlign w:val="top"/>
          </w:tcPr>
          <w:p w14:paraId="22CC6C95">
            <w:pPr>
              <w:autoSpaceDE w:val="0"/>
              <w:autoSpaceDN w:val="0"/>
              <w:adjustRightInd w:val="0"/>
              <w:snapToGrid w:val="0"/>
              <w:spacing w:line="430" w:lineRule="atLeast"/>
              <w:jc w:val="center"/>
              <w:rPr>
                <w:rFonts w:ascii="宋体" w:hAnsi="宋体" w:eastAsia="宋体" w:cs="宋体"/>
                <w:color w:val="auto"/>
                <w:kern w:val="0"/>
                <w:sz w:val="22"/>
                <w:szCs w:val="22"/>
                <w:lang w:val="en-US" w:eastAsia="zh-CN" w:bidi="ar-SA"/>
              </w:rPr>
            </w:pPr>
          </w:p>
        </w:tc>
      </w:tr>
      <w:tr w14:paraId="0EA02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20" w:type="dxa"/>
            <w:gridSpan w:val="3"/>
            <w:vAlign w:val="center"/>
          </w:tcPr>
          <w:p w14:paraId="75676420">
            <w:pPr>
              <w:autoSpaceDE w:val="0"/>
              <w:autoSpaceDN w:val="0"/>
              <w:adjustRightInd w:val="0"/>
              <w:snapToGrid w:val="0"/>
              <w:spacing w:line="430" w:lineRule="atLeast"/>
              <w:rPr>
                <w:rFonts w:ascii="宋体" w:hAnsi="宋体" w:cs="宋体"/>
                <w:color w:val="auto"/>
                <w:sz w:val="22"/>
              </w:rPr>
            </w:pPr>
            <w:r>
              <w:rPr>
                <w:rFonts w:hint="eastAsia" w:ascii="宋体" w:hAnsi="宋体" w:cs="宋体"/>
                <w:color w:val="auto"/>
                <w:sz w:val="22"/>
              </w:rPr>
              <w:t>说明：</w:t>
            </w:r>
            <w:r>
              <w:rPr>
                <w:rFonts w:hint="eastAsia" w:ascii="宋体" w:hAnsi="宋体" w:cs="宋体"/>
                <w:color w:val="auto"/>
                <w:sz w:val="22"/>
                <w:szCs w:val="22"/>
              </w:rPr>
              <w:t>以上所需的各种实物照片、证书、证件、证明、执照需提供复印件或扫描件加盖电子公章。</w:t>
            </w:r>
          </w:p>
        </w:tc>
      </w:tr>
    </w:tbl>
    <w:p w14:paraId="6A3524A0">
      <w:pPr>
        <w:spacing w:line="440" w:lineRule="exact"/>
        <w:rPr>
          <w:rFonts w:ascii="宋体" w:hAnsi="宋体" w:cs="宋体"/>
          <w:b/>
          <w:bCs/>
          <w:color w:val="auto"/>
          <w:sz w:val="22"/>
          <w:szCs w:val="22"/>
        </w:rPr>
      </w:pPr>
      <w:r>
        <w:rPr>
          <w:rFonts w:hint="eastAsia" w:ascii="宋体" w:hAnsi="宋体" w:cs="宋体"/>
          <w:b/>
          <w:bCs/>
          <w:color w:val="auto"/>
          <w:sz w:val="22"/>
          <w:szCs w:val="22"/>
        </w:rPr>
        <w:t>5.1.</w:t>
      </w:r>
      <w:r>
        <w:rPr>
          <w:rFonts w:ascii="宋体" w:hAnsi="宋体" w:cs="宋体"/>
          <w:b/>
          <w:bCs/>
          <w:color w:val="auto"/>
          <w:sz w:val="22"/>
          <w:szCs w:val="22"/>
        </w:rPr>
        <w:t>3</w:t>
      </w:r>
      <w:r>
        <w:rPr>
          <w:rFonts w:hint="eastAsia" w:ascii="宋体" w:hAnsi="宋体" w:cs="宋体"/>
          <w:b/>
          <w:bCs/>
          <w:color w:val="auto"/>
          <w:sz w:val="22"/>
          <w:szCs w:val="22"/>
        </w:rPr>
        <w:t>报价文件</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7305"/>
        <w:gridCol w:w="1431"/>
      </w:tblGrid>
      <w:tr w14:paraId="40C80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14:paraId="464241E9">
            <w:pPr>
              <w:autoSpaceDE w:val="0"/>
              <w:autoSpaceDN w:val="0"/>
              <w:adjustRightInd w:val="0"/>
              <w:snapToGrid w:val="0"/>
              <w:spacing w:line="430" w:lineRule="atLeast"/>
              <w:jc w:val="center"/>
              <w:rPr>
                <w:rFonts w:ascii="宋体" w:hAnsi="宋体" w:cs="宋体"/>
                <w:b/>
                <w:color w:val="auto"/>
                <w:sz w:val="22"/>
                <w:highlight w:val="none"/>
                <w:lang w:val="zh-CN"/>
              </w:rPr>
            </w:pPr>
            <w:r>
              <w:rPr>
                <w:rFonts w:hint="eastAsia" w:ascii="宋体" w:hAnsi="宋体" w:cs="宋体"/>
                <w:b/>
                <w:color w:val="auto"/>
                <w:sz w:val="22"/>
                <w:highlight w:val="none"/>
                <w:lang w:val="zh-CN"/>
              </w:rPr>
              <w:t>序号</w:t>
            </w:r>
          </w:p>
        </w:tc>
        <w:tc>
          <w:tcPr>
            <w:tcW w:w="7305" w:type="dxa"/>
          </w:tcPr>
          <w:p w14:paraId="06CFB574">
            <w:pPr>
              <w:autoSpaceDE w:val="0"/>
              <w:autoSpaceDN w:val="0"/>
              <w:adjustRightInd w:val="0"/>
              <w:snapToGrid w:val="0"/>
              <w:spacing w:line="430" w:lineRule="atLeast"/>
              <w:jc w:val="center"/>
              <w:rPr>
                <w:rFonts w:ascii="宋体" w:hAnsi="宋体" w:cs="宋体"/>
                <w:b/>
                <w:color w:val="auto"/>
                <w:sz w:val="22"/>
                <w:highlight w:val="none"/>
                <w:lang w:val="zh-CN"/>
              </w:rPr>
            </w:pPr>
            <w:r>
              <w:rPr>
                <w:rFonts w:hint="eastAsia" w:ascii="宋体" w:hAnsi="宋体" w:cs="宋体"/>
                <w:b/>
                <w:color w:val="auto"/>
                <w:sz w:val="22"/>
                <w:highlight w:val="none"/>
                <w:lang w:val="zh-CN"/>
              </w:rPr>
              <w:t>内容</w:t>
            </w:r>
          </w:p>
        </w:tc>
        <w:tc>
          <w:tcPr>
            <w:tcW w:w="1431" w:type="dxa"/>
          </w:tcPr>
          <w:p w14:paraId="632DEF2A">
            <w:pPr>
              <w:autoSpaceDE w:val="0"/>
              <w:autoSpaceDN w:val="0"/>
              <w:adjustRightInd w:val="0"/>
              <w:snapToGrid w:val="0"/>
              <w:spacing w:line="430" w:lineRule="atLeast"/>
              <w:jc w:val="center"/>
              <w:rPr>
                <w:rFonts w:ascii="宋体" w:hAnsi="宋体" w:cs="宋体"/>
                <w:b/>
                <w:color w:val="auto"/>
                <w:sz w:val="22"/>
                <w:highlight w:val="none"/>
                <w:lang w:val="zh-CN"/>
              </w:rPr>
            </w:pPr>
            <w:r>
              <w:rPr>
                <w:rFonts w:hint="eastAsia" w:ascii="宋体" w:hAnsi="宋体" w:cs="宋体"/>
                <w:b/>
                <w:color w:val="auto"/>
                <w:sz w:val="22"/>
                <w:highlight w:val="none"/>
                <w:lang w:val="zh-CN"/>
              </w:rPr>
              <w:t>说明</w:t>
            </w:r>
          </w:p>
        </w:tc>
      </w:tr>
      <w:tr w14:paraId="57A54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14:paraId="10AB582C">
            <w:pPr>
              <w:autoSpaceDE w:val="0"/>
              <w:autoSpaceDN w:val="0"/>
              <w:adjustRightInd w:val="0"/>
              <w:snapToGrid w:val="0"/>
              <w:spacing w:line="430" w:lineRule="atLeast"/>
              <w:jc w:val="center"/>
              <w:rPr>
                <w:rFonts w:ascii="宋体" w:hAnsi="宋体" w:cs="宋体"/>
                <w:color w:val="auto"/>
                <w:sz w:val="22"/>
                <w:highlight w:val="none"/>
                <w:lang w:val="zh-CN"/>
              </w:rPr>
            </w:pPr>
            <w:r>
              <w:rPr>
                <w:rFonts w:hint="eastAsia" w:ascii="宋体" w:hAnsi="宋体" w:cs="宋体"/>
                <w:color w:val="auto"/>
                <w:sz w:val="22"/>
                <w:highlight w:val="none"/>
                <w:lang w:val="zh-CN"/>
              </w:rPr>
              <w:t>1</w:t>
            </w:r>
          </w:p>
        </w:tc>
        <w:tc>
          <w:tcPr>
            <w:tcW w:w="7305" w:type="dxa"/>
          </w:tcPr>
          <w:p w14:paraId="48205E33">
            <w:pPr>
              <w:autoSpaceDE w:val="0"/>
              <w:autoSpaceDN w:val="0"/>
              <w:adjustRightInd w:val="0"/>
              <w:spacing w:line="430" w:lineRule="atLeast"/>
              <w:textAlignment w:val="bottom"/>
              <w:rPr>
                <w:rFonts w:ascii="宋体" w:hAnsi="宋体" w:cs="宋体"/>
                <w:bCs/>
                <w:color w:val="auto"/>
                <w:sz w:val="22"/>
                <w:highlight w:val="none"/>
              </w:rPr>
            </w:pPr>
            <w:r>
              <w:rPr>
                <w:rFonts w:hint="eastAsia" w:ascii="宋体" w:hAnsi="宋体" w:cs="宋体"/>
                <w:bCs/>
                <w:color w:val="auto"/>
                <w:sz w:val="22"/>
                <w:highlight w:val="none"/>
              </w:rPr>
              <w:t>磋商报价一览表</w:t>
            </w:r>
          </w:p>
        </w:tc>
        <w:tc>
          <w:tcPr>
            <w:tcW w:w="1431" w:type="dxa"/>
          </w:tcPr>
          <w:p w14:paraId="34ABA0DA">
            <w:pPr>
              <w:autoSpaceDE w:val="0"/>
              <w:autoSpaceDN w:val="0"/>
              <w:adjustRightInd w:val="0"/>
              <w:spacing w:line="430" w:lineRule="atLeast"/>
              <w:jc w:val="center"/>
              <w:textAlignment w:val="bottom"/>
              <w:rPr>
                <w:rFonts w:ascii="宋体" w:hAnsi="宋体" w:cs="宋体"/>
                <w:bCs/>
                <w:color w:val="auto"/>
                <w:sz w:val="22"/>
                <w:highlight w:val="none"/>
              </w:rPr>
            </w:pPr>
            <w:r>
              <w:rPr>
                <w:rFonts w:hint="eastAsia" w:ascii="宋体" w:hAnsi="宋体" w:cs="宋体"/>
                <w:bCs/>
                <w:color w:val="auto"/>
                <w:sz w:val="22"/>
                <w:highlight w:val="none"/>
              </w:rPr>
              <w:t>附件二</w:t>
            </w:r>
          </w:p>
        </w:tc>
      </w:tr>
      <w:tr w14:paraId="04A35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14:paraId="0210E7AF">
            <w:pPr>
              <w:autoSpaceDE w:val="0"/>
              <w:autoSpaceDN w:val="0"/>
              <w:adjustRightInd w:val="0"/>
              <w:snapToGrid w:val="0"/>
              <w:spacing w:line="430" w:lineRule="atLeast"/>
              <w:jc w:val="center"/>
              <w:rPr>
                <w:rFonts w:ascii="宋体" w:hAnsi="宋体" w:cs="宋体"/>
                <w:bCs/>
                <w:color w:val="auto"/>
                <w:sz w:val="22"/>
                <w:highlight w:val="none"/>
                <w:lang w:val="zh-CN"/>
              </w:rPr>
            </w:pPr>
            <w:r>
              <w:rPr>
                <w:rFonts w:hint="eastAsia" w:ascii="宋体" w:cs="宋体"/>
                <w:bCs/>
                <w:color w:val="auto"/>
                <w:sz w:val="22"/>
                <w:highlight w:val="none"/>
              </w:rPr>
              <w:t>2</w:t>
            </w:r>
          </w:p>
        </w:tc>
        <w:tc>
          <w:tcPr>
            <w:tcW w:w="7305" w:type="dxa"/>
          </w:tcPr>
          <w:p w14:paraId="58A02EB9">
            <w:pPr>
              <w:autoSpaceDE w:val="0"/>
              <w:autoSpaceDN w:val="0"/>
              <w:adjustRightInd w:val="0"/>
              <w:snapToGrid w:val="0"/>
              <w:spacing w:line="430" w:lineRule="atLeast"/>
              <w:rPr>
                <w:rFonts w:ascii="宋体" w:hAnsi="宋体" w:cs="宋体"/>
                <w:bCs/>
                <w:color w:val="auto"/>
                <w:sz w:val="22"/>
                <w:highlight w:val="none"/>
              </w:rPr>
            </w:pPr>
            <w:r>
              <w:rPr>
                <w:rFonts w:hint="eastAsia" w:ascii="宋体" w:cs="宋体"/>
                <w:bCs/>
                <w:color w:val="auto"/>
                <w:sz w:val="22"/>
                <w:highlight w:val="none"/>
              </w:rPr>
              <w:t>磋商分项报价表</w:t>
            </w:r>
          </w:p>
        </w:tc>
        <w:tc>
          <w:tcPr>
            <w:tcW w:w="1431" w:type="dxa"/>
          </w:tcPr>
          <w:p w14:paraId="22625F88">
            <w:pPr>
              <w:autoSpaceDE w:val="0"/>
              <w:autoSpaceDN w:val="0"/>
              <w:adjustRightInd w:val="0"/>
              <w:snapToGrid w:val="0"/>
              <w:spacing w:line="430" w:lineRule="atLeast"/>
              <w:jc w:val="center"/>
              <w:rPr>
                <w:rFonts w:ascii="宋体" w:hAnsi="宋体" w:cs="宋体"/>
                <w:bCs/>
                <w:color w:val="auto"/>
                <w:sz w:val="22"/>
                <w:highlight w:val="none"/>
              </w:rPr>
            </w:pPr>
            <w:r>
              <w:rPr>
                <w:rFonts w:hint="eastAsia" w:ascii="宋体" w:cs="宋体"/>
                <w:bCs/>
                <w:color w:val="auto"/>
                <w:sz w:val="22"/>
                <w:highlight w:val="none"/>
              </w:rPr>
              <w:t>附件三</w:t>
            </w:r>
          </w:p>
        </w:tc>
      </w:tr>
    </w:tbl>
    <w:p w14:paraId="44A03F12">
      <w:pPr>
        <w:spacing w:line="440" w:lineRule="exact"/>
        <w:rPr>
          <w:rFonts w:ascii="宋体" w:hAnsi="宋体"/>
          <w:color w:val="auto"/>
          <w:sz w:val="22"/>
          <w:szCs w:val="22"/>
        </w:rPr>
      </w:pPr>
      <w:r>
        <w:rPr>
          <w:rFonts w:hint="eastAsia" w:ascii="宋体" w:hAnsi="宋体"/>
          <w:color w:val="auto"/>
          <w:sz w:val="22"/>
          <w:szCs w:val="22"/>
        </w:rPr>
        <w:t>5.2  响应文件格式</w:t>
      </w:r>
    </w:p>
    <w:p w14:paraId="49AE33F3">
      <w:pPr>
        <w:spacing w:line="440" w:lineRule="exact"/>
        <w:ind w:left="525" w:leftChars="250"/>
        <w:rPr>
          <w:rFonts w:ascii="宋体" w:hAnsi="宋体"/>
          <w:color w:val="auto"/>
          <w:sz w:val="22"/>
          <w:szCs w:val="22"/>
        </w:rPr>
      </w:pPr>
      <w:r>
        <w:rPr>
          <w:rFonts w:hint="eastAsia" w:ascii="宋体" w:hAnsi="宋体"/>
          <w:color w:val="auto"/>
          <w:sz w:val="22"/>
          <w:szCs w:val="22"/>
        </w:rPr>
        <w:t>磋商供应商应根据磋商文件中所提供的格式、内容按顺序填写、编写目录和页码，</w:t>
      </w:r>
      <w:r>
        <w:rPr>
          <w:rFonts w:hint="eastAsia" w:ascii="宋体" w:hAnsi="宋体" w:cs="宋体"/>
          <w:color w:val="auto"/>
          <w:sz w:val="22"/>
          <w:szCs w:val="22"/>
        </w:rPr>
        <w:t>分别写入资格文件、商务技术文件和</w:t>
      </w:r>
      <w:r>
        <w:rPr>
          <w:rFonts w:hint="eastAsia" w:ascii="宋体" w:hAnsi="宋体"/>
          <w:color w:val="auto"/>
          <w:sz w:val="22"/>
          <w:szCs w:val="22"/>
          <w:lang w:eastAsia="zh-CN"/>
        </w:rPr>
        <w:t>报价文件</w:t>
      </w:r>
      <w:r>
        <w:rPr>
          <w:rFonts w:hint="eastAsia" w:ascii="宋体" w:hAnsi="宋体"/>
          <w:color w:val="auto"/>
          <w:sz w:val="22"/>
          <w:szCs w:val="22"/>
        </w:rPr>
        <w:t>中</w:t>
      </w:r>
      <w:r>
        <w:rPr>
          <w:rFonts w:hint="eastAsia" w:ascii="宋体" w:hAnsi="宋体" w:cs="宋体"/>
          <w:color w:val="auto"/>
          <w:sz w:val="22"/>
          <w:szCs w:val="22"/>
        </w:rPr>
        <w:t>。</w:t>
      </w:r>
    </w:p>
    <w:p w14:paraId="662A213A">
      <w:pPr>
        <w:tabs>
          <w:tab w:val="left" w:pos="-180"/>
          <w:tab w:val="left" w:pos="180"/>
          <w:tab w:val="left" w:pos="360"/>
        </w:tabs>
        <w:spacing w:line="440" w:lineRule="exact"/>
        <w:rPr>
          <w:rFonts w:ascii="宋体" w:hAnsi="宋体"/>
          <w:b/>
          <w:bCs/>
          <w:color w:val="auto"/>
          <w:sz w:val="22"/>
          <w:szCs w:val="22"/>
        </w:rPr>
      </w:pPr>
      <w:r>
        <w:rPr>
          <w:rFonts w:hint="eastAsia" w:ascii="宋体" w:hAnsi="宋体"/>
          <w:b/>
          <w:bCs/>
          <w:color w:val="auto"/>
          <w:sz w:val="22"/>
          <w:szCs w:val="22"/>
        </w:rPr>
        <w:t>6．  磋商报价</w:t>
      </w:r>
    </w:p>
    <w:p w14:paraId="5A394E7A">
      <w:pPr>
        <w:tabs>
          <w:tab w:val="left" w:pos="-180"/>
          <w:tab w:val="left" w:pos="180"/>
          <w:tab w:val="left" w:pos="360"/>
        </w:tabs>
        <w:spacing w:line="430" w:lineRule="exact"/>
        <w:ind w:left="550" w:hanging="550" w:hangingChars="250"/>
        <w:rPr>
          <w:rFonts w:ascii="宋体" w:hAnsi="宋体"/>
          <w:b/>
          <w:color w:val="auto"/>
          <w:sz w:val="22"/>
          <w:szCs w:val="22"/>
        </w:rPr>
      </w:pPr>
      <w:r>
        <w:rPr>
          <w:rFonts w:hint="eastAsia" w:ascii="宋体" w:hAnsi="宋体"/>
          <w:color w:val="auto"/>
          <w:sz w:val="22"/>
          <w:szCs w:val="22"/>
        </w:rPr>
        <w:t>6.</w:t>
      </w:r>
      <w:r>
        <w:rPr>
          <w:rFonts w:ascii="宋体" w:hAnsi="宋体"/>
          <w:color w:val="auto"/>
          <w:sz w:val="22"/>
          <w:szCs w:val="22"/>
        </w:rPr>
        <w:t>1</w:t>
      </w:r>
      <w:r>
        <w:rPr>
          <w:rFonts w:hint="eastAsia" w:ascii="宋体" w:hAnsi="宋体"/>
          <w:color w:val="auto"/>
          <w:sz w:val="22"/>
          <w:szCs w:val="22"/>
        </w:rPr>
        <w:t>▲</w:t>
      </w:r>
      <w:r>
        <w:rPr>
          <w:rFonts w:hint="eastAsia" w:ascii="宋体" w:hAnsi="宋体"/>
          <w:b/>
          <w:color w:val="auto"/>
          <w:sz w:val="22"/>
          <w:szCs w:val="22"/>
          <w:u w:val="single"/>
        </w:rPr>
        <w:t>磋商报价是指完成本项目所需的所有费用，包括</w:t>
      </w:r>
      <w:r>
        <w:rPr>
          <w:rFonts w:hint="eastAsia" w:ascii="宋体" w:hAnsi="宋体"/>
          <w:b/>
          <w:color w:val="auto"/>
          <w:sz w:val="22"/>
          <w:szCs w:val="22"/>
          <w:u w:val="single"/>
          <w:lang w:val="en-US" w:eastAsia="zh-CN"/>
        </w:rPr>
        <w:t>工程施工相关费用，</w:t>
      </w:r>
      <w:r>
        <w:rPr>
          <w:rFonts w:hint="eastAsia" w:ascii="宋体" w:hAnsi="宋体"/>
          <w:b/>
          <w:color w:val="auto"/>
          <w:sz w:val="22"/>
          <w:szCs w:val="22"/>
          <w:u w:val="single"/>
        </w:rPr>
        <w:t>货物款、专用工具、税金、包装、运输、保险、装卸就位、安装调试、验收（含第三方验收）、技术服务、售后服务、材料、质保期保障、采购代理服务费等全部费用</w:t>
      </w:r>
      <w:r>
        <w:rPr>
          <w:rFonts w:hint="eastAsia" w:ascii="宋体" w:hAnsi="宋体"/>
          <w:b/>
          <w:color w:val="auto"/>
          <w:sz w:val="22"/>
          <w:szCs w:val="22"/>
          <w:u w:val="single"/>
          <w:lang w:eastAsia="zh-CN"/>
        </w:rPr>
        <w:t>。</w:t>
      </w:r>
      <w:r>
        <w:rPr>
          <w:rFonts w:hint="eastAsia" w:ascii="宋体" w:hAnsi="宋体"/>
          <w:b/>
          <w:color w:val="auto"/>
          <w:sz w:val="22"/>
          <w:szCs w:val="22"/>
          <w:u w:val="single"/>
          <w:lang w:val="en-US" w:eastAsia="zh-CN"/>
        </w:rPr>
        <w:t>货物部分</w:t>
      </w:r>
      <w:r>
        <w:rPr>
          <w:rFonts w:hint="eastAsia" w:ascii="宋体" w:hAnsi="宋体"/>
          <w:b/>
          <w:color w:val="auto"/>
          <w:sz w:val="22"/>
          <w:szCs w:val="22"/>
          <w:u w:val="single"/>
        </w:rPr>
        <w:t>实行固定费用总包干</w:t>
      </w:r>
      <w:r>
        <w:rPr>
          <w:rFonts w:hint="eastAsia" w:ascii="宋体" w:hAnsi="宋体"/>
          <w:b/>
          <w:bCs w:val="0"/>
          <w:color w:val="auto"/>
          <w:sz w:val="22"/>
          <w:szCs w:val="22"/>
          <w:u w:val="single"/>
          <w:lang w:eastAsia="zh-CN"/>
        </w:rPr>
        <w:t>，</w:t>
      </w:r>
      <w:r>
        <w:rPr>
          <w:rFonts w:hint="eastAsia" w:ascii="宋体" w:hAnsi="宋体"/>
          <w:b/>
          <w:bCs w:val="0"/>
          <w:color w:val="auto"/>
          <w:sz w:val="22"/>
          <w:szCs w:val="22"/>
          <w:highlight w:val="none"/>
          <w:u w:val="single"/>
          <w:lang w:val="en-US" w:eastAsia="zh-CN"/>
        </w:rPr>
        <w:t>厨房附属改造工程按照固定综合单价法计价，按照工程量清单价进行报价，</w:t>
      </w:r>
      <w:r>
        <w:rPr>
          <w:rFonts w:hint="eastAsia" w:ascii="宋体" w:hAnsi="宋体"/>
          <w:b/>
          <w:bCs w:val="0"/>
          <w:color w:val="auto"/>
          <w:sz w:val="22"/>
          <w:szCs w:val="22"/>
          <w:highlight w:val="none"/>
          <w:u w:val="single"/>
        </w:rPr>
        <w:t>最终价格以第三方</w:t>
      </w:r>
      <w:r>
        <w:rPr>
          <w:rFonts w:hint="eastAsia" w:ascii="宋体" w:hAnsi="宋体"/>
          <w:b/>
          <w:bCs w:val="0"/>
          <w:color w:val="auto"/>
          <w:sz w:val="22"/>
          <w:szCs w:val="22"/>
          <w:highlight w:val="none"/>
          <w:u w:val="single"/>
          <w:lang w:eastAsia="zh-CN"/>
        </w:rPr>
        <w:t>审价</w:t>
      </w:r>
      <w:r>
        <w:rPr>
          <w:rFonts w:hint="eastAsia" w:ascii="宋体" w:hAnsi="宋体"/>
          <w:b/>
          <w:bCs w:val="0"/>
          <w:color w:val="auto"/>
          <w:sz w:val="22"/>
          <w:szCs w:val="22"/>
          <w:highlight w:val="none"/>
          <w:u w:val="single"/>
        </w:rPr>
        <w:t>的结算价为准。</w:t>
      </w:r>
      <w:r>
        <w:rPr>
          <w:rFonts w:hint="eastAsia" w:ascii="宋体" w:hAnsi="宋体" w:eastAsia="宋体"/>
          <w:b/>
          <w:color w:val="auto"/>
          <w:sz w:val="22"/>
          <w:szCs w:val="22"/>
          <w:u w:val="single"/>
        </w:rPr>
        <w:t>磋</w:t>
      </w:r>
      <w:r>
        <w:rPr>
          <w:rFonts w:hint="eastAsia" w:ascii="宋体" w:hAnsi="宋体" w:eastAsia="新宋体"/>
          <w:color w:val="auto"/>
          <w:sz w:val="22"/>
          <w:szCs w:val="22"/>
        </w:rPr>
        <w:t>商供应商</w:t>
      </w:r>
      <w:r>
        <w:rPr>
          <w:rFonts w:hint="eastAsia" w:ascii="宋体" w:hAnsi="宋体"/>
          <w:color w:val="auto"/>
          <w:sz w:val="22"/>
          <w:szCs w:val="22"/>
        </w:rPr>
        <w:t>应根据上述因素自行考虑报价。</w:t>
      </w:r>
    </w:p>
    <w:p w14:paraId="2A71947D">
      <w:pPr>
        <w:tabs>
          <w:tab w:val="left" w:pos="-180"/>
          <w:tab w:val="left" w:pos="180"/>
          <w:tab w:val="left" w:pos="360"/>
        </w:tabs>
        <w:spacing w:line="440" w:lineRule="exact"/>
        <w:ind w:left="660" w:hanging="660" w:hangingChars="300"/>
        <w:rPr>
          <w:rFonts w:ascii="宋体" w:hAnsi="宋体"/>
          <w:b/>
          <w:bCs/>
          <w:color w:val="auto"/>
          <w:sz w:val="22"/>
          <w:szCs w:val="22"/>
        </w:rPr>
      </w:pPr>
      <w:r>
        <w:rPr>
          <w:rFonts w:hint="eastAsia" w:ascii="宋体" w:hAnsi="宋体"/>
          <w:color w:val="auto"/>
          <w:sz w:val="22"/>
          <w:szCs w:val="22"/>
        </w:rPr>
        <w:t>6.</w:t>
      </w:r>
      <w:r>
        <w:rPr>
          <w:rFonts w:hint="eastAsia" w:ascii="宋体" w:hAnsi="宋体"/>
          <w:color w:val="auto"/>
          <w:sz w:val="22"/>
          <w:szCs w:val="22"/>
          <w:lang w:val="en-US" w:eastAsia="zh-CN"/>
        </w:rPr>
        <w:t>2</w:t>
      </w:r>
      <w:r>
        <w:rPr>
          <w:rFonts w:hint="eastAsia" w:ascii="宋体" w:hAnsi="宋体"/>
          <w:color w:val="auto"/>
          <w:sz w:val="22"/>
          <w:szCs w:val="22"/>
        </w:rPr>
        <w:t xml:space="preserve">  磋商供应商必须按附件的磋商报价一览表、磋商分项报价表（均统一格式）的内容填写报价及其他事项，并由磋商供应商代表签署。</w:t>
      </w:r>
    </w:p>
    <w:p w14:paraId="16C89C36">
      <w:pPr>
        <w:tabs>
          <w:tab w:val="left" w:pos="-180"/>
          <w:tab w:val="left" w:pos="180"/>
          <w:tab w:val="left" w:pos="360"/>
        </w:tabs>
        <w:spacing w:line="440" w:lineRule="exact"/>
        <w:ind w:left="539" w:hanging="539" w:hangingChars="245"/>
        <w:rPr>
          <w:rFonts w:ascii="宋体" w:hAnsi="宋体"/>
          <w:color w:val="auto"/>
          <w:sz w:val="22"/>
          <w:szCs w:val="22"/>
        </w:rPr>
      </w:pPr>
      <w:r>
        <w:rPr>
          <w:rFonts w:hint="eastAsia" w:ascii="宋体" w:hAnsi="宋体"/>
          <w:color w:val="auto"/>
          <w:sz w:val="22"/>
          <w:szCs w:val="22"/>
        </w:rPr>
        <w:t>6.</w:t>
      </w:r>
      <w:r>
        <w:rPr>
          <w:rFonts w:hint="eastAsia" w:ascii="宋体" w:hAnsi="宋体"/>
          <w:color w:val="auto"/>
          <w:sz w:val="22"/>
          <w:szCs w:val="22"/>
          <w:lang w:val="en-US" w:eastAsia="zh-CN"/>
        </w:rPr>
        <w:t>3</w:t>
      </w:r>
      <w:r>
        <w:rPr>
          <w:rFonts w:hint="eastAsia" w:ascii="宋体" w:hAnsi="宋体"/>
          <w:color w:val="auto"/>
          <w:sz w:val="22"/>
          <w:szCs w:val="22"/>
        </w:rPr>
        <w:t xml:space="preserve">  所有报价均以人民币为结算货币，磋商供应商如需外汇购入某些货物，须折合成人民币计入报价中。</w:t>
      </w:r>
    </w:p>
    <w:p w14:paraId="2A36B331">
      <w:pPr>
        <w:tabs>
          <w:tab w:val="left" w:pos="-180"/>
          <w:tab w:val="left" w:pos="180"/>
          <w:tab w:val="left" w:pos="360"/>
        </w:tabs>
        <w:spacing w:line="440" w:lineRule="exact"/>
        <w:ind w:left="539" w:hanging="539" w:hangingChars="245"/>
        <w:rPr>
          <w:rFonts w:ascii="宋体" w:hAnsi="宋体"/>
          <w:color w:val="auto"/>
          <w:sz w:val="22"/>
          <w:szCs w:val="22"/>
        </w:rPr>
      </w:pPr>
      <w:r>
        <w:rPr>
          <w:rFonts w:hint="eastAsia" w:ascii="宋体" w:hAnsi="宋体"/>
          <w:color w:val="auto"/>
          <w:sz w:val="22"/>
          <w:szCs w:val="22"/>
        </w:rPr>
        <w:t>6.</w:t>
      </w:r>
      <w:r>
        <w:rPr>
          <w:rFonts w:hint="eastAsia" w:ascii="宋体" w:hAnsi="宋体"/>
          <w:color w:val="auto"/>
          <w:sz w:val="22"/>
          <w:szCs w:val="22"/>
          <w:lang w:val="en-US" w:eastAsia="zh-CN"/>
        </w:rPr>
        <w:t>4</w:t>
      </w:r>
      <w:r>
        <w:rPr>
          <w:rFonts w:hint="eastAsia" w:ascii="宋体" w:hAnsi="宋体"/>
          <w:color w:val="auto"/>
          <w:sz w:val="22"/>
          <w:szCs w:val="22"/>
        </w:rPr>
        <w:t xml:space="preserve">  招标采购单位不接受任何选择报价，对每一种货物（服务）只允许一个报价。</w:t>
      </w:r>
    </w:p>
    <w:p w14:paraId="55FE73F1">
      <w:pPr>
        <w:tabs>
          <w:tab w:val="left" w:pos="-180"/>
          <w:tab w:val="left" w:pos="180"/>
          <w:tab w:val="left" w:pos="360"/>
        </w:tabs>
        <w:spacing w:line="440" w:lineRule="exact"/>
        <w:ind w:left="660" w:hanging="660" w:hangingChars="300"/>
        <w:rPr>
          <w:rFonts w:ascii="宋体" w:hAnsi="宋体"/>
          <w:color w:val="auto"/>
          <w:sz w:val="22"/>
          <w:szCs w:val="22"/>
        </w:rPr>
      </w:pPr>
      <w:r>
        <w:rPr>
          <w:rFonts w:hint="eastAsia" w:ascii="宋体" w:hAnsi="宋体"/>
          <w:color w:val="auto"/>
          <w:sz w:val="22"/>
          <w:szCs w:val="22"/>
        </w:rPr>
        <w:t>6.</w:t>
      </w:r>
      <w:r>
        <w:rPr>
          <w:rFonts w:hint="eastAsia" w:ascii="宋体" w:hAnsi="宋体"/>
          <w:color w:val="auto"/>
          <w:sz w:val="22"/>
          <w:szCs w:val="22"/>
          <w:lang w:val="en-US" w:eastAsia="zh-CN"/>
        </w:rPr>
        <w:t>5</w:t>
      </w:r>
      <w:r>
        <w:rPr>
          <w:rFonts w:hint="eastAsia" w:ascii="宋体" w:hAnsi="宋体"/>
          <w:color w:val="auto"/>
          <w:sz w:val="22"/>
          <w:szCs w:val="22"/>
        </w:rPr>
        <w:t xml:space="preserve">  采购人要求分类报价是为了方便评审，但在任何情况下不限制采购人以其认为最合适的条款、条件签订合同的权利。</w:t>
      </w:r>
    </w:p>
    <w:p w14:paraId="02EDD3E2">
      <w:pPr>
        <w:tabs>
          <w:tab w:val="left" w:pos="-180"/>
          <w:tab w:val="left" w:pos="180"/>
          <w:tab w:val="left" w:pos="360"/>
        </w:tabs>
        <w:spacing w:line="440" w:lineRule="exact"/>
        <w:ind w:left="539" w:hanging="539" w:hangingChars="244"/>
        <w:rPr>
          <w:rFonts w:ascii="宋体" w:hAnsi="宋体"/>
          <w:color w:val="auto"/>
          <w:sz w:val="22"/>
          <w:szCs w:val="22"/>
        </w:rPr>
      </w:pPr>
      <w:r>
        <w:rPr>
          <w:rFonts w:hint="eastAsia" w:ascii="宋体" w:hAnsi="宋体"/>
          <w:b/>
          <w:color w:val="auto"/>
          <w:sz w:val="22"/>
          <w:szCs w:val="22"/>
        </w:rPr>
        <w:t>6.</w:t>
      </w:r>
      <w:r>
        <w:rPr>
          <w:rFonts w:hint="eastAsia" w:ascii="宋体" w:hAnsi="宋体"/>
          <w:b/>
          <w:color w:val="auto"/>
          <w:sz w:val="22"/>
          <w:szCs w:val="22"/>
          <w:lang w:val="en-US" w:eastAsia="zh-CN"/>
        </w:rPr>
        <w:t>6</w:t>
      </w:r>
      <w:r>
        <w:rPr>
          <w:rFonts w:hint="eastAsia" w:ascii="宋体" w:hAnsi="宋体"/>
          <w:b/>
          <w:color w:val="auto"/>
          <w:sz w:val="22"/>
          <w:szCs w:val="22"/>
        </w:rPr>
        <w:t xml:space="preserve">  磋商供应商所报的价格在合同履行过程中是固定不变的，不得以任何理由予以变更。任何包含价格调整要求，将被认为是非实质性响应磋商文件而予以拒绝。</w:t>
      </w:r>
    </w:p>
    <w:p w14:paraId="68D76EC6">
      <w:pPr>
        <w:spacing w:line="440" w:lineRule="exact"/>
        <w:ind w:left="660" w:hanging="660" w:hangingChars="300"/>
        <w:rPr>
          <w:rFonts w:ascii="宋体" w:hAnsi="宋体"/>
          <w:b/>
          <w:bCs/>
          <w:color w:val="auto"/>
          <w:sz w:val="22"/>
          <w:szCs w:val="22"/>
        </w:rPr>
      </w:pPr>
      <w:r>
        <w:rPr>
          <w:rFonts w:hint="eastAsia" w:ascii="宋体" w:hAnsi="宋体"/>
          <w:bCs/>
          <w:color w:val="auto"/>
          <w:sz w:val="22"/>
          <w:szCs w:val="22"/>
        </w:rPr>
        <w:t>7</w:t>
      </w:r>
      <w:r>
        <w:rPr>
          <w:rFonts w:hint="eastAsia" w:ascii="宋体" w:hAnsi="宋体"/>
          <w:b/>
          <w:bCs/>
          <w:color w:val="auto"/>
          <w:sz w:val="22"/>
          <w:szCs w:val="22"/>
        </w:rPr>
        <w:t>．  响应有效期</w:t>
      </w:r>
    </w:p>
    <w:p w14:paraId="3858F3D3">
      <w:pPr>
        <w:spacing w:line="440" w:lineRule="exact"/>
        <w:ind w:left="663" w:hanging="663" w:hangingChars="300"/>
        <w:rPr>
          <w:rFonts w:ascii="宋体" w:hAnsi="宋体"/>
          <w:b/>
          <w:color w:val="auto"/>
          <w:sz w:val="22"/>
          <w:szCs w:val="22"/>
        </w:rPr>
      </w:pPr>
      <w:r>
        <w:rPr>
          <w:rFonts w:hint="eastAsia" w:ascii="宋体" w:hAnsi="宋体"/>
          <w:b/>
          <w:color w:val="auto"/>
          <w:sz w:val="22"/>
          <w:szCs w:val="22"/>
        </w:rPr>
        <w:t>7.1</w:t>
      </w:r>
      <w:r>
        <w:rPr>
          <w:rFonts w:hint="eastAsia" w:ascii="宋体" w:hAnsi="宋体"/>
          <w:b/>
          <w:bCs/>
          <w:color w:val="auto"/>
          <w:sz w:val="22"/>
          <w:szCs w:val="22"/>
        </w:rPr>
        <w:t>▲</w:t>
      </w:r>
      <w:r>
        <w:rPr>
          <w:rFonts w:hint="eastAsia" w:ascii="宋体" w:hAnsi="宋体"/>
          <w:b/>
          <w:color w:val="auto"/>
          <w:sz w:val="22"/>
          <w:szCs w:val="22"/>
          <w:u w:val="single"/>
        </w:rPr>
        <w:t>自磋商之日起</w:t>
      </w:r>
      <w:r>
        <w:rPr>
          <w:rFonts w:hint="eastAsia" w:ascii="宋体" w:hAnsi="宋体"/>
          <w:b/>
          <w:bCs/>
          <w:color w:val="auto"/>
          <w:sz w:val="22"/>
          <w:szCs w:val="22"/>
          <w:u w:val="single"/>
        </w:rPr>
        <w:t xml:space="preserve"> 60 </w:t>
      </w:r>
      <w:r>
        <w:rPr>
          <w:rFonts w:hint="eastAsia" w:ascii="宋体" w:hAnsi="宋体"/>
          <w:b/>
          <w:color w:val="auto"/>
          <w:sz w:val="22"/>
          <w:szCs w:val="22"/>
          <w:u w:val="single"/>
        </w:rPr>
        <w:t>天内响应应保持有效</w:t>
      </w:r>
      <w:r>
        <w:rPr>
          <w:rFonts w:hint="eastAsia" w:ascii="宋体" w:hAnsi="宋体"/>
          <w:b/>
          <w:color w:val="auto"/>
          <w:sz w:val="22"/>
          <w:szCs w:val="22"/>
        </w:rPr>
        <w:t>。</w:t>
      </w:r>
    </w:p>
    <w:p w14:paraId="346C7568">
      <w:pPr>
        <w:spacing w:line="440" w:lineRule="exact"/>
        <w:ind w:left="550" w:hanging="550" w:hangingChars="250"/>
        <w:rPr>
          <w:rFonts w:ascii="宋体" w:hAnsi="宋体"/>
          <w:color w:val="auto"/>
          <w:sz w:val="22"/>
        </w:rPr>
      </w:pPr>
      <w:r>
        <w:rPr>
          <w:rFonts w:hint="eastAsia" w:ascii="宋体" w:hAnsi="宋体"/>
          <w:color w:val="auto"/>
          <w:sz w:val="22"/>
        </w:rPr>
        <w:t>7.2  特殊情况下，在原响应有效期截止前，招标采购单位可与磋商供应商协商延长响应有效期，这种要求和答复均以书面形式进行。磋商供应商可拒绝接受延期要求，也可以接受延期要求，同意延长响应有效期的磋商供应商不得修改响应文件。</w:t>
      </w:r>
    </w:p>
    <w:p w14:paraId="2099D551">
      <w:pPr>
        <w:spacing w:line="440" w:lineRule="exact"/>
        <w:ind w:left="663" w:hanging="663" w:hangingChars="300"/>
        <w:rPr>
          <w:rFonts w:ascii="宋体" w:hAnsi="宋体"/>
          <w:color w:val="auto"/>
          <w:sz w:val="22"/>
        </w:rPr>
      </w:pPr>
      <w:r>
        <w:rPr>
          <w:rFonts w:hint="eastAsia" w:ascii="宋体" w:hAnsi="宋体"/>
          <w:b/>
          <w:color w:val="auto"/>
          <w:sz w:val="22"/>
        </w:rPr>
        <w:t>8．  响应文件的签署和规定</w:t>
      </w:r>
    </w:p>
    <w:p w14:paraId="5E389874">
      <w:pPr>
        <w:spacing w:line="440" w:lineRule="exact"/>
        <w:ind w:left="550" w:hanging="550" w:hangingChars="250"/>
        <w:rPr>
          <w:color w:val="auto"/>
        </w:rPr>
      </w:pPr>
      <w:r>
        <w:rPr>
          <w:rFonts w:hint="eastAsia" w:ascii="宋体" w:hAnsi="宋体"/>
          <w:color w:val="auto"/>
          <w:sz w:val="22"/>
          <w:szCs w:val="22"/>
        </w:rPr>
        <w:t xml:space="preserve">8.1  </w:t>
      </w:r>
      <w:r>
        <w:rPr>
          <w:rFonts w:hint="eastAsia" w:ascii="宋体" w:hAnsi="宋体"/>
          <w:b/>
          <w:color w:val="auto"/>
          <w:sz w:val="22"/>
          <w:szCs w:val="22"/>
          <w:u w:val="single"/>
        </w:rPr>
        <w:t>磋商供应商应根据磋商文件的规定对磋商响应文件进行电子盖章及签署</w:t>
      </w:r>
      <w:r>
        <w:rPr>
          <w:rFonts w:hint="eastAsia" w:ascii="宋体" w:hAnsi="宋体"/>
          <w:color w:val="auto"/>
          <w:sz w:val="22"/>
          <w:szCs w:val="22"/>
        </w:rPr>
        <w:t>。</w:t>
      </w:r>
    </w:p>
    <w:p w14:paraId="6B27EADB">
      <w:pPr>
        <w:pStyle w:val="3"/>
        <w:spacing w:line="520" w:lineRule="exact"/>
        <w:jc w:val="center"/>
        <w:rPr>
          <w:color w:val="auto"/>
          <w:sz w:val="28"/>
          <w:szCs w:val="28"/>
        </w:rPr>
      </w:pPr>
      <w:bookmarkStart w:id="70" w:name="_Toc7498"/>
      <w:r>
        <w:rPr>
          <w:rFonts w:hint="eastAsia"/>
          <w:color w:val="auto"/>
          <w:sz w:val="28"/>
          <w:szCs w:val="28"/>
        </w:rPr>
        <w:t>四、响应文件的递交</w:t>
      </w:r>
      <w:bookmarkEnd w:id="63"/>
      <w:bookmarkEnd w:id="64"/>
      <w:bookmarkEnd w:id="65"/>
      <w:bookmarkEnd w:id="66"/>
      <w:bookmarkEnd w:id="67"/>
      <w:bookmarkEnd w:id="68"/>
      <w:bookmarkEnd w:id="69"/>
      <w:bookmarkEnd w:id="70"/>
    </w:p>
    <w:p w14:paraId="4A71FECC">
      <w:pPr>
        <w:spacing w:line="440" w:lineRule="exact"/>
        <w:rPr>
          <w:rFonts w:ascii="宋体" w:hAnsi="宋体" w:cs="宋体"/>
          <w:b/>
          <w:color w:val="auto"/>
          <w:sz w:val="22"/>
          <w:szCs w:val="22"/>
        </w:rPr>
      </w:pPr>
      <w:bookmarkStart w:id="71" w:name="_Toc195502582"/>
      <w:bookmarkStart w:id="72" w:name="_Toc202085292"/>
      <w:bookmarkStart w:id="73" w:name="_Toc195502492"/>
      <w:r>
        <w:rPr>
          <w:rFonts w:hint="eastAsia" w:ascii="宋体" w:hAnsi="宋体" w:cs="宋体"/>
          <w:b/>
          <w:color w:val="auto"/>
          <w:sz w:val="22"/>
          <w:szCs w:val="22"/>
        </w:rPr>
        <w:t>1.   磋商响应文件的递交</w:t>
      </w:r>
    </w:p>
    <w:p w14:paraId="47C32A5A">
      <w:pPr>
        <w:spacing w:line="440" w:lineRule="exact"/>
        <w:ind w:left="550" w:hanging="550" w:hangingChars="250"/>
        <w:rPr>
          <w:rFonts w:ascii="宋体" w:hAnsi="宋体" w:cs="宋体"/>
          <w:bCs/>
          <w:color w:val="auto"/>
          <w:sz w:val="22"/>
          <w:szCs w:val="22"/>
        </w:rPr>
      </w:pPr>
      <w:r>
        <w:rPr>
          <w:rFonts w:ascii="宋体" w:hAnsi="宋体" w:cs="宋体"/>
          <w:bCs/>
          <w:color w:val="auto"/>
          <w:sz w:val="22"/>
          <w:szCs w:val="22"/>
        </w:rPr>
        <w:t xml:space="preserve">  </w:t>
      </w:r>
      <w:r>
        <w:rPr>
          <w:rFonts w:hint="eastAsia" w:ascii="宋体" w:hAnsi="宋体" w:cs="宋体"/>
          <w:bCs/>
          <w:color w:val="auto"/>
          <w:sz w:val="22"/>
          <w:szCs w:val="22"/>
        </w:rPr>
        <w:t xml:space="preserve"> </w:t>
      </w:r>
      <w:r>
        <w:rPr>
          <w:rFonts w:ascii="宋体" w:hAnsi="宋体" w:cs="宋体"/>
          <w:bCs/>
          <w:color w:val="auto"/>
          <w:sz w:val="22"/>
          <w:szCs w:val="22"/>
        </w:rPr>
        <w:t xml:space="preserve">  </w:t>
      </w:r>
      <w:r>
        <w:rPr>
          <w:rFonts w:hint="eastAsia" w:ascii="宋体" w:hAnsi="宋体" w:cs="宋体"/>
          <w:bCs/>
          <w:color w:val="auto"/>
          <w:sz w:val="22"/>
          <w:szCs w:val="22"/>
        </w:rPr>
        <w:t>磋商响应文件必须在磋商文件规定的磋商响应文件截止时间前完成电子磋商响应文件的传输递交。磋商截止时间前未完成传输的，视为撤回磋商响应文件。磋商截止时间后送达的磋商响应文件，将被政采云平台拒收。</w:t>
      </w:r>
    </w:p>
    <w:p w14:paraId="13DE67C0">
      <w:pPr>
        <w:spacing w:line="440" w:lineRule="exact"/>
        <w:ind w:left="552" w:hanging="552" w:hangingChars="250"/>
        <w:rPr>
          <w:rFonts w:ascii="宋体" w:hAnsi="宋体" w:cs="宋体"/>
          <w:b/>
          <w:color w:val="auto"/>
          <w:sz w:val="22"/>
          <w:szCs w:val="22"/>
        </w:rPr>
      </w:pPr>
      <w:r>
        <w:rPr>
          <w:rFonts w:ascii="宋体" w:hAnsi="宋体" w:cs="宋体"/>
          <w:b/>
          <w:color w:val="auto"/>
          <w:sz w:val="22"/>
          <w:szCs w:val="22"/>
        </w:rPr>
        <w:t>2</w:t>
      </w:r>
      <w:r>
        <w:rPr>
          <w:rFonts w:hint="eastAsia" w:ascii="宋体" w:hAnsi="宋体" w:cs="宋体"/>
          <w:b/>
          <w:color w:val="auto"/>
          <w:sz w:val="22"/>
          <w:szCs w:val="22"/>
        </w:rPr>
        <w:t>.   磋商响应文件的补充、修改和撤回</w:t>
      </w:r>
    </w:p>
    <w:p w14:paraId="407BB3F2">
      <w:pPr>
        <w:spacing w:line="440" w:lineRule="exact"/>
        <w:ind w:left="550" w:hanging="550" w:hangingChars="250"/>
        <w:rPr>
          <w:bCs/>
          <w:color w:val="auto"/>
        </w:rPr>
      </w:pPr>
      <w:r>
        <w:rPr>
          <w:rFonts w:hint="eastAsia" w:ascii="宋体" w:hAnsi="宋体" w:cs="宋体"/>
          <w:bCs/>
          <w:color w:val="auto"/>
          <w:sz w:val="22"/>
          <w:szCs w:val="22"/>
        </w:rPr>
        <w:t xml:space="preserve"> </w:t>
      </w:r>
      <w:r>
        <w:rPr>
          <w:rFonts w:ascii="宋体" w:hAnsi="宋体" w:cs="宋体"/>
          <w:bCs/>
          <w:color w:val="auto"/>
          <w:sz w:val="22"/>
          <w:szCs w:val="22"/>
        </w:rPr>
        <w:t xml:space="preserve">    </w:t>
      </w:r>
      <w:r>
        <w:rPr>
          <w:rFonts w:hint="eastAsia" w:ascii="宋体" w:hAnsi="宋体" w:cs="宋体"/>
          <w:bCs/>
          <w:color w:val="auto"/>
          <w:sz w:val="22"/>
          <w:szCs w:val="22"/>
        </w:rPr>
        <w:t>磋商供应商在磋商截止时间前，可以补充、修改或者撤回电子磋商响应文件。补充或者修改电子磋商响应文件的，应当先行撤回原文件，补充、修改后重新传输递交。</w:t>
      </w:r>
    </w:p>
    <w:p w14:paraId="30E4692C">
      <w:pPr>
        <w:pStyle w:val="3"/>
        <w:spacing w:line="520" w:lineRule="exact"/>
        <w:jc w:val="center"/>
        <w:rPr>
          <w:color w:val="auto"/>
          <w:sz w:val="28"/>
          <w:szCs w:val="28"/>
        </w:rPr>
      </w:pPr>
      <w:bookmarkStart w:id="74" w:name="_Toc27220"/>
      <w:bookmarkStart w:id="75" w:name="_Toc1397"/>
      <w:bookmarkStart w:id="76" w:name="_Toc28115"/>
      <w:bookmarkStart w:id="77" w:name="_Toc31450"/>
      <w:bookmarkStart w:id="78" w:name="_Toc31954"/>
      <w:r>
        <w:rPr>
          <w:rFonts w:hint="eastAsia"/>
          <w:color w:val="auto"/>
          <w:sz w:val="28"/>
          <w:szCs w:val="28"/>
        </w:rPr>
        <w:t>五、磋商和评审</w:t>
      </w:r>
      <w:bookmarkEnd w:id="71"/>
      <w:bookmarkEnd w:id="72"/>
      <w:bookmarkEnd w:id="73"/>
      <w:bookmarkEnd w:id="74"/>
      <w:bookmarkEnd w:id="75"/>
      <w:bookmarkEnd w:id="76"/>
      <w:bookmarkEnd w:id="77"/>
      <w:bookmarkEnd w:id="78"/>
    </w:p>
    <w:p w14:paraId="78B2FE46">
      <w:pPr>
        <w:spacing w:line="440" w:lineRule="exact"/>
        <w:ind w:left="331" w:hanging="331" w:hangingChars="150"/>
        <w:rPr>
          <w:rFonts w:ascii="宋体" w:hAnsi="宋体"/>
          <w:color w:val="auto"/>
          <w:sz w:val="22"/>
          <w:szCs w:val="22"/>
        </w:rPr>
      </w:pPr>
      <w:r>
        <w:rPr>
          <w:rFonts w:hint="eastAsia" w:ascii="宋体" w:hAnsi="宋体"/>
          <w:b/>
          <w:color w:val="auto"/>
          <w:sz w:val="22"/>
          <w:szCs w:val="22"/>
        </w:rPr>
        <w:t>1．  磋商小组</w:t>
      </w:r>
    </w:p>
    <w:p w14:paraId="4707B800">
      <w:pPr>
        <w:spacing w:line="440" w:lineRule="exact"/>
        <w:ind w:left="550" w:hanging="550" w:hangingChars="250"/>
        <w:rPr>
          <w:rFonts w:ascii="宋体" w:hAnsi="宋体"/>
          <w:color w:val="auto"/>
          <w:sz w:val="22"/>
          <w:szCs w:val="22"/>
        </w:rPr>
      </w:pPr>
      <w:r>
        <w:rPr>
          <w:rFonts w:hint="eastAsia" w:ascii="宋体" w:hAnsi="宋体"/>
          <w:color w:val="auto"/>
          <w:sz w:val="22"/>
          <w:szCs w:val="22"/>
        </w:rPr>
        <w:t>1.1  招标采购单位依法组建磋商小组。磋商小组由3人（含）以上的单数组成，负责对响应文件进行审查、质疑、评估和比较并与响应供应商进行磋商。</w:t>
      </w:r>
      <w:r>
        <w:rPr>
          <w:rFonts w:hint="eastAsia" w:ascii="宋体" w:hAnsi="宋体"/>
          <w:color w:val="auto"/>
          <w:sz w:val="22"/>
        </w:rPr>
        <w:t>磋商小组成员在磋商过程中必须严格遵守《中华人民共和国政府采购法》等有关法律、法规的规定。</w:t>
      </w:r>
    </w:p>
    <w:p w14:paraId="3B6C4B59">
      <w:pPr>
        <w:spacing w:line="440" w:lineRule="exact"/>
        <w:rPr>
          <w:rFonts w:ascii="宋体" w:hAnsi="宋体"/>
          <w:b/>
          <w:color w:val="auto"/>
          <w:sz w:val="22"/>
        </w:rPr>
      </w:pPr>
      <w:r>
        <w:rPr>
          <w:rFonts w:hint="eastAsia" w:ascii="宋体" w:hAnsi="宋体"/>
          <w:b/>
          <w:color w:val="auto"/>
          <w:sz w:val="22"/>
          <w:szCs w:val="22"/>
        </w:rPr>
        <w:t xml:space="preserve">2．  </w:t>
      </w:r>
      <w:r>
        <w:rPr>
          <w:rFonts w:hint="eastAsia" w:ascii="宋体" w:hAnsi="宋体"/>
          <w:b/>
          <w:color w:val="auto"/>
          <w:sz w:val="22"/>
        </w:rPr>
        <w:t>评审过程的保密性</w:t>
      </w:r>
    </w:p>
    <w:p w14:paraId="7D12FA82">
      <w:pPr>
        <w:spacing w:line="440" w:lineRule="exact"/>
        <w:ind w:left="548" w:leftChars="261"/>
        <w:rPr>
          <w:rFonts w:ascii="宋体" w:hAnsi="宋体"/>
          <w:b/>
          <w:color w:val="auto"/>
          <w:sz w:val="22"/>
        </w:rPr>
      </w:pPr>
      <w:r>
        <w:rPr>
          <w:rFonts w:hint="eastAsia" w:ascii="宋体" w:hAnsi="宋体"/>
          <w:b/>
          <w:color w:val="auto"/>
          <w:sz w:val="22"/>
        </w:rPr>
        <w:t>磋商开始后直至向成交供应商授予合同时止，凡与磋商有关的资料均不得向磋商供应商及与磋商无关人员透露。如果磋商供应商在磋商过程中试图向招标采购单位和磋商小组成员施加影响，或扰乱磋商和评审秩序，其响应将被拒绝。</w:t>
      </w:r>
    </w:p>
    <w:p w14:paraId="6D0DC2E5">
      <w:pPr>
        <w:spacing w:line="440" w:lineRule="exact"/>
        <w:ind w:left="560" w:leftChars="4" w:hanging="552" w:hangingChars="250"/>
        <w:rPr>
          <w:rFonts w:ascii="宋体" w:hAnsi="宋体" w:cs="宋体"/>
          <w:b/>
          <w:bCs/>
          <w:color w:val="auto"/>
          <w:sz w:val="22"/>
          <w:szCs w:val="22"/>
        </w:rPr>
      </w:pPr>
      <w:r>
        <w:rPr>
          <w:rFonts w:hint="eastAsia" w:ascii="宋体" w:hAnsi="宋体" w:cs="宋体"/>
          <w:b/>
          <w:bCs/>
          <w:color w:val="auto"/>
          <w:sz w:val="22"/>
          <w:szCs w:val="22"/>
        </w:rPr>
        <w:t>3.   磋商前准备</w:t>
      </w:r>
    </w:p>
    <w:p w14:paraId="7B714874">
      <w:pPr>
        <w:spacing w:line="440" w:lineRule="exact"/>
        <w:ind w:left="558" w:leftChars="4" w:hanging="550" w:hangingChars="250"/>
        <w:rPr>
          <w:rFonts w:ascii="宋体" w:hAnsi="宋体" w:cs="宋体"/>
          <w:bCs/>
          <w:color w:val="auto"/>
          <w:sz w:val="22"/>
          <w:szCs w:val="22"/>
        </w:rPr>
      </w:pPr>
      <w:r>
        <w:rPr>
          <w:rFonts w:ascii="宋体" w:hAnsi="宋体" w:cs="宋体"/>
          <w:bCs/>
          <w:color w:val="auto"/>
          <w:sz w:val="22"/>
          <w:szCs w:val="22"/>
        </w:rPr>
        <w:t xml:space="preserve">3.1  </w:t>
      </w:r>
      <w:r>
        <w:rPr>
          <w:rFonts w:hint="eastAsia" w:ascii="宋体" w:hAnsi="宋体" w:cs="宋体"/>
          <w:bCs/>
          <w:color w:val="auto"/>
          <w:sz w:val="22"/>
          <w:szCs w:val="22"/>
        </w:rPr>
        <w:t>磋商响应文件签收及解密：由采购代理机构开始签收并开始解密磋商响应文件。</w:t>
      </w:r>
    </w:p>
    <w:p w14:paraId="20B14302">
      <w:pPr>
        <w:spacing w:line="440" w:lineRule="exact"/>
        <w:ind w:left="558" w:leftChars="4" w:hanging="550" w:hangingChars="250"/>
        <w:rPr>
          <w:rFonts w:ascii="宋体" w:hAnsi="宋体" w:cs="宋体"/>
          <w:bCs/>
          <w:color w:val="auto"/>
          <w:sz w:val="22"/>
          <w:szCs w:val="22"/>
        </w:rPr>
      </w:pPr>
      <w:r>
        <w:rPr>
          <w:rFonts w:hint="eastAsia" w:ascii="宋体" w:hAnsi="宋体" w:cs="宋体"/>
          <w:bCs/>
          <w:color w:val="auto"/>
          <w:sz w:val="22"/>
          <w:szCs w:val="22"/>
        </w:rPr>
        <w:t>3</w:t>
      </w:r>
      <w:r>
        <w:rPr>
          <w:rFonts w:ascii="宋体" w:hAnsi="宋体" w:cs="宋体"/>
          <w:bCs/>
          <w:color w:val="auto"/>
          <w:sz w:val="22"/>
          <w:szCs w:val="22"/>
        </w:rPr>
        <w:t xml:space="preserve">.2  </w:t>
      </w:r>
      <w:r>
        <w:rPr>
          <w:rFonts w:hint="eastAsia" w:ascii="宋体" w:hAnsi="宋体" w:cs="宋体"/>
          <w:bCs/>
          <w:color w:val="auto"/>
          <w:sz w:val="22"/>
          <w:szCs w:val="22"/>
        </w:rPr>
        <w:t>磋商响应文件解密：磋商响应文件递交截止时间后，磋商供应商登录政采云平台，用“项目采购-开标评标”功能对电子磋商响应文件进行在线解密。在线解密电子磋商响应文件时间为开标时间起半个小时内。磋商响应</w:t>
      </w:r>
      <w:r>
        <w:rPr>
          <w:rFonts w:ascii="宋体" w:hAnsi="宋体" w:cs="宋体"/>
          <w:bCs/>
          <w:color w:val="auto"/>
          <w:sz w:val="22"/>
          <w:szCs w:val="22"/>
        </w:rPr>
        <w:t>文件未按时解密，</w:t>
      </w:r>
      <w:r>
        <w:rPr>
          <w:rFonts w:hint="eastAsia" w:ascii="宋体" w:hAnsi="宋体" w:cs="宋体"/>
          <w:bCs/>
          <w:color w:val="auto"/>
          <w:sz w:val="22"/>
          <w:szCs w:val="22"/>
        </w:rPr>
        <w:t>磋商供应商</w:t>
      </w:r>
      <w:r>
        <w:rPr>
          <w:rFonts w:ascii="宋体" w:hAnsi="宋体" w:cs="宋体"/>
          <w:bCs/>
          <w:color w:val="auto"/>
          <w:sz w:val="22"/>
          <w:szCs w:val="22"/>
        </w:rPr>
        <w:t>提供了备份</w:t>
      </w:r>
      <w:r>
        <w:rPr>
          <w:rFonts w:hint="eastAsia" w:ascii="宋体" w:hAnsi="宋体" w:cs="宋体"/>
          <w:bCs/>
          <w:color w:val="auto"/>
          <w:sz w:val="22"/>
          <w:szCs w:val="22"/>
        </w:rPr>
        <w:t>磋商响应</w:t>
      </w:r>
      <w:r>
        <w:rPr>
          <w:rFonts w:ascii="宋体" w:hAnsi="宋体" w:cs="宋体"/>
          <w:bCs/>
          <w:color w:val="auto"/>
          <w:sz w:val="22"/>
          <w:szCs w:val="22"/>
        </w:rPr>
        <w:t>文件的，以备份</w:t>
      </w:r>
      <w:r>
        <w:rPr>
          <w:rFonts w:hint="eastAsia" w:ascii="宋体" w:hAnsi="宋体" w:cs="宋体"/>
          <w:bCs/>
          <w:color w:val="auto"/>
          <w:sz w:val="22"/>
          <w:szCs w:val="22"/>
        </w:rPr>
        <w:t>磋商响应</w:t>
      </w:r>
      <w:r>
        <w:rPr>
          <w:rFonts w:ascii="宋体" w:hAnsi="宋体" w:cs="宋体"/>
          <w:bCs/>
          <w:color w:val="auto"/>
          <w:sz w:val="22"/>
          <w:szCs w:val="22"/>
        </w:rPr>
        <w:t>文件作为依据，否则视为</w:t>
      </w:r>
      <w:r>
        <w:rPr>
          <w:rFonts w:hint="eastAsia" w:ascii="宋体" w:hAnsi="宋体" w:cs="宋体"/>
          <w:bCs/>
          <w:color w:val="auto"/>
          <w:sz w:val="22"/>
          <w:szCs w:val="22"/>
        </w:rPr>
        <w:t>磋商响应</w:t>
      </w:r>
      <w:r>
        <w:rPr>
          <w:rFonts w:ascii="宋体" w:hAnsi="宋体" w:cs="宋体"/>
          <w:bCs/>
          <w:color w:val="auto"/>
          <w:sz w:val="22"/>
          <w:szCs w:val="22"/>
        </w:rPr>
        <w:t>文件撤回。</w:t>
      </w:r>
      <w:r>
        <w:rPr>
          <w:rFonts w:hint="eastAsia" w:ascii="宋体" w:hAnsi="宋体" w:cs="宋体"/>
          <w:bCs/>
          <w:color w:val="auto"/>
          <w:sz w:val="22"/>
          <w:szCs w:val="22"/>
        </w:rPr>
        <w:t>磋商响应</w:t>
      </w:r>
      <w:r>
        <w:rPr>
          <w:rFonts w:ascii="宋体" w:hAnsi="宋体" w:cs="宋体"/>
          <w:bCs/>
          <w:color w:val="auto"/>
          <w:sz w:val="22"/>
          <w:szCs w:val="22"/>
        </w:rPr>
        <w:t>文件已按时解密的，备份</w:t>
      </w:r>
      <w:r>
        <w:rPr>
          <w:rFonts w:hint="eastAsia" w:ascii="宋体" w:hAnsi="宋体" w:cs="宋体"/>
          <w:bCs/>
          <w:color w:val="auto"/>
          <w:sz w:val="22"/>
          <w:szCs w:val="22"/>
        </w:rPr>
        <w:t>磋商响应</w:t>
      </w:r>
      <w:r>
        <w:rPr>
          <w:rFonts w:ascii="宋体" w:hAnsi="宋体" w:cs="宋体"/>
          <w:bCs/>
          <w:color w:val="auto"/>
          <w:sz w:val="22"/>
          <w:szCs w:val="22"/>
        </w:rPr>
        <w:t>文件自动失效。</w:t>
      </w:r>
    </w:p>
    <w:p w14:paraId="39C6E903">
      <w:pPr>
        <w:spacing w:line="440" w:lineRule="exact"/>
        <w:ind w:left="558" w:leftChars="4" w:hanging="550" w:hangingChars="250"/>
        <w:rPr>
          <w:rFonts w:ascii="宋体" w:hAnsi="宋体" w:cs="宋体"/>
          <w:bCs/>
          <w:color w:val="auto"/>
          <w:sz w:val="22"/>
          <w:szCs w:val="22"/>
        </w:rPr>
      </w:pPr>
      <w:r>
        <w:rPr>
          <w:rFonts w:hint="eastAsia" w:ascii="宋体" w:hAnsi="宋体" w:cs="宋体"/>
          <w:bCs/>
          <w:color w:val="auto"/>
          <w:sz w:val="22"/>
          <w:szCs w:val="22"/>
        </w:rPr>
        <w:t>3</w:t>
      </w:r>
      <w:r>
        <w:rPr>
          <w:rFonts w:ascii="宋体" w:hAnsi="宋体" w:cs="宋体"/>
          <w:bCs/>
          <w:color w:val="auto"/>
          <w:sz w:val="22"/>
          <w:szCs w:val="22"/>
        </w:rPr>
        <w:t xml:space="preserve">.3  </w:t>
      </w:r>
      <w:r>
        <w:rPr>
          <w:rFonts w:hint="eastAsia" w:ascii="宋体" w:hAnsi="宋体" w:cs="宋体"/>
          <w:bCs/>
          <w:color w:val="auto"/>
          <w:sz w:val="22"/>
          <w:szCs w:val="22"/>
        </w:rPr>
        <w:t>磋商响应文件解密结束。磋商供应商在线解密磋商响应文件完毕后，由采购代理机构结束解密磋商响应文件。</w:t>
      </w:r>
    </w:p>
    <w:p w14:paraId="1273A5D3">
      <w:pPr>
        <w:spacing w:line="440" w:lineRule="exact"/>
        <w:ind w:left="552" w:hanging="552" w:hangingChars="250"/>
        <w:rPr>
          <w:rFonts w:ascii="宋体" w:hAnsi="宋体"/>
          <w:color w:val="auto"/>
          <w:sz w:val="22"/>
          <w:szCs w:val="22"/>
        </w:rPr>
      </w:pPr>
      <w:r>
        <w:rPr>
          <w:rFonts w:hint="eastAsia" w:ascii="宋体" w:hAnsi="宋体"/>
          <w:b/>
          <w:color w:val="auto"/>
          <w:sz w:val="22"/>
          <w:szCs w:val="22"/>
        </w:rPr>
        <w:t>4    磋商和评审</w:t>
      </w:r>
    </w:p>
    <w:p w14:paraId="3438D2D4">
      <w:pPr>
        <w:spacing w:line="440" w:lineRule="exact"/>
        <w:ind w:left="552" w:hanging="552" w:hangingChars="250"/>
        <w:rPr>
          <w:rFonts w:ascii="宋体" w:hAnsi="宋体"/>
          <w:color w:val="auto"/>
          <w:sz w:val="22"/>
          <w:szCs w:val="22"/>
        </w:rPr>
      </w:pPr>
      <w:r>
        <w:rPr>
          <w:rFonts w:hint="eastAsia" w:ascii="宋体" w:hAnsi="宋体"/>
          <w:b/>
          <w:color w:val="auto"/>
          <w:sz w:val="22"/>
          <w:szCs w:val="22"/>
        </w:rPr>
        <w:t>4.</w:t>
      </w:r>
      <w:r>
        <w:rPr>
          <w:rFonts w:ascii="宋体" w:hAnsi="宋体"/>
          <w:b/>
          <w:color w:val="auto"/>
          <w:sz w:val="22"/>
          <w:szCs w:val="22"/>
        </w:rPr>
        <w:t>1</w:t>
      </w:r>
      <w:r>
        <w:rPr>
          <w:rFonts w:hint="eastAsia" w:ascii="宋体" w:hAnsi="宋体"/>
          <w:b/>
          <w:color w:val="auto"/>
          <w:sz w:val="22"/>
          <w:szCs w:val="22"/>
        </w:rPr>
        <w:t xml:space="preserve">  磋商资格审查</w:t>
      </w:r>
    </w:p>
    <w:p w14:paraId="108FAB88">
      <w:pPr>
        <w:spacing w:line="440" w:lineRule="exact"/>
        <w:ind w:left="533" w:leftChars="254"/>
        <w:rPr>
          <w:rFonts w:ascii="宋体" w:hAnsi="宋体" w:cs="宋体"/>
          <w:bCs/>
          <w:color w:val="auto"/>
          <w:sz w:val="22"/>
          <w:szCs w:val="22"/>
        </w:rPr>
      </w:pPr>
      <w:r>
        <w:rPr>
          <w:rFonts w:hint="eastAsia" w:ascii="宋体" w:hAnsi="宋体" w:cs="宋体"/>
          <w:bCs/>
          <w:color w:val="auto"/>
          <w:sz w:val="22"/>
          <w:szCs w:val="22"/>
        </w:rPr>
        <w:t>采购人或采购代理机构依据法律、法规和磋商文件的规定，对各磋商响应文件中的资格证明在线进行审查，以确定是否具备磋商资格。</w:t>
      </w:r>
      <w:r>
        <w:rPr>
          <w:rFonts w:hint="eastAsia" w:ascii="宋体" w:hAnsi="宋体" w:cs="宋体"/>
          <w:b/>
          <w:color w:val="auto"/>
          <w:sz w:val="22"/>
          <w:szCs w:val="22"/>
        </w:rPr>
        <w:t>▲</w:t>
      </w:r>
      <w:r>
        <w:rPr>
          <w:rFonts w:hint="eastAsia" w:ascii="宋体" w:hAnsi="宋体" w:cs="宋体"/>
          <w:bCs/>
          <w:color w:val="auto"/>
          <w:sz w:val="22"/>
          <w:szCs w:val="22"/>
          <w:u w:val="single"/>
        </w:rPr>
        <w:t>只要有一项审查不合格，则该磋商供应商的资格审查不合格，审查不合格的磋商响应文件将不予评审。</w:t>
      </w:r>
    </w:p>
    <w:p w14:paraId="3902AF92">
      <w:pPr>
        <w:spacing w:line="440" w:lineRule="exact"/>
        <w:ind w:left="552" w:hanging="552" w:hangingChars="250"/>
        <w:rPr>
          <w:rFonts w:ascii="宋体" w:hAnsi="宋体"/>
          <w:color w:val="auto"/>
          <w:sz w:val="22"/>
          <w:szCs w:val="22"/>
        </w:rPr>
      </w:pPr>
      <w:r>
        <w:rPr>
          <w:rFonts w:hint="eastAsia" w:ascii="宋体" w:hAnsi="宋体"/>
          <w:b/>
          <w:color w:val="auto"/>
          <w:sz w:val="22"/>
          <w:szCs w:val="22"/>
        </w:rPr>
        <w:t>4.</w:t>
      </w:r>
      <w:r>
        <w:rPr>
          <w:rFonts w:ascii="宋体" w:hAnsi="宋体"/>
          <w:b/>
          <w:color w:val="auto"/>
          <w:sz w:val="22"/>
          <w:szCs w:val="22"/>
        </w:rPr>
        <w:t>2</w:t>
      </w:r>
      <w:r>
        <w:rPr>
          <w:rFonts w:hint="eastAsia" w:ascii="宋体" w:hAnsi="宋体"/>
          <w:b/>
          <w:color w:val="auto"/>
          <w:sz w:val="22"/>
          <w:szCs w:val="22"/>
        </w:rPr>
        <w:t xml:space="preserve">  响应文件的评审</w:t>
      </w:r>
    </w:p>
    <w:p w14:paraId="68398A40">
      <w:pPr>
        <w:spacing w:line="440" w:lineRule="exact"/>
        <w:ind w:left="548" w:leftChars="261"/>
        <w:rPr>
          <w:rFonts w:ascii="宋体" w:hAnsi="宋体"/>
          <w:color w:val="auto"/>
          <w:sz w:val="22"/>
          <w:szCs w:val="22"/>
        </w:rPr>
      </w:pPr>
      <w:r>
        <w:rPr>
          <w:rFonts w:hint="eastAsia" w:ascii="宋体" w:hAnsi="宋体"/>
          <w:color w:val="auto"/>
          <w:sz w:val="22"/>
          <w:szCs w:val="22"/>
        </w:rPr>
        <w:t>磋商小组根据竞争性磋商文件的规定，对响应文件的有效性、完整性和对竞争性磋商文件的响应程度进行审查，以确定其是否对磋商文件作出了实质性响应。实质上没有响应磋商文件要求的响应按无效处理。磋商小组对响应文件是否实质上响应磋商文件的要求是根据响应文件本身而不是依据外部证明。</w:t>
      </w:r>
    </w:p>
    <w:p w14:paraId="7262BD54">
      <w:pPr>
        <w:spacing w:line="440" w:lineRule="exact"/>
        <w:ind w:left="554" w:leftChars="1" w:hanging="552" w:hangingChars="250"/>
        <w:rPr>
          <w:rFonts w:ascii="宋体" w:hAnsi="宋体"/>
          <w:color w:val="auto"/>
          <w:sz w:val="22"/>
          <w:szCs w:val="22"/>
        </w:rPr>
      </w:pPr>
      <w:r>
        <w:rPr>
          <w:rFonts w:hint="eastAsia" w:ascii="宋体" w:hAnsi="宋体"/>
          <w:b/>
          <w:color w:val="auto"/>
          <w:sz w:val="22"/>
          <w:szCs w:val="22"/>
        </w:rPr>
        <w:t>4.</w:t>
      </w:r>
      <w:r>
        <w:rPr>
          <w:rFonts w:ascii="宋体" w:hAnsi="宋体"/>
          <w:b/>
          <w:color w:val="auto"/>
          <w:sz w:val="22"/>
          <w:szCs w:val="22"/>
        </w:rPr>
        <w:t>3</w:t>
      </w:r>
      <w:r>
        <w:rPr>
          <w:rFonts w:hint="eastAsia" w:ascii="宋体" w:hAnsi="宋体"/>
          <w:b/>
          <w:color w:val="auto"/>
          <w:sz w:val="22"/>
          <w:szCs w:val="22"/>
        </w:rPr>
        <w:t xml:space="preserve">  竞争性磋商</w:t>
      </w:r>
    </w:p>
    <w:p w14:paraId="42817F79">
      <w:pPr>
        <w:spacing w:line="440" w:lineRule="exact"/>
        <w:ind w:left="550" w:hanging="550" w:hangingChars="250"/>
        <w:rPr>
          <w:rFonts w:ascii="宋体" w:hAnsi="宋体"/>
          <w:color w:val="auto"/>
          <w:sz w:val="22"/>
          <w:szCs w:val="22"/>
        </w:rPr>
      </w:pPr>
      <w:r>
        <w:rPr>
          <w:rFonts w:hint="eastAsia" w:ascii="宋体" w:hAnsi="宋体"/>
          <w:color w:val="auto"/>
          <w:sz w:val="22"/>
          <w:szCs w:val="22"/>
        </w:rPr>
        <w:t>（1）磋商小组所有成员根据磋商文件规定的程序、评定成交标准等事项与实质性响应磋商文件要求的供应商进行在线磋商。</w:t>
      </w:r>
    </w:p>
    <w:p w14:paraId="06486889">
      <w:pPr>
        <w:spacing w:line="440" w:lineRule="exact"/>
        <w:ind w:left="550" w:hanging="550" w:hangingChars="250"/>
        <w:rPr>
          <w:rFonts w:ascii="宋体" w:hAnsi="宋体"/>
          <w:color w:val="auto"/>
          <w:sz w:val="22"/>
          <w:szCs w:val="22"/>
        </w:rPr>
      </w:pPr>
      <w:r>
        <w:rPr>
          <w:rFonts w:hint="eastAsia" w:ascii="宋体" w:hAnsi="宋体"/>
          <w:color w:val="auto"/>
          <w:sz w:val="22"/>
          <w:szCs w:val="22"/>
        </w:rPr>
        <w:t>（2）磋商小组将遵循公平、公正的原则，采用相同的程序和标准，集中与单一供应商分别进行磋商。磋商主要针对磋商供应商提供货物或服务的价格、技术性能、质量水平和保证措施、交货时间、安装实施方案、售后服务及承诺、培训计划、履约能力、付款方式等方面进行磋商和综合分析考评。</w:t>
      </w:r>
    </w:p>
    <w:p w14:paraId="319DEBD7">
      <w:pPr>
        <w:spacing w:line="440" w:lineRule="exact"/>
        <w:ind w:left="550" w:hanging="550" w:hangingChars="250"/>
        <w:rPr>
          <w:rFonts w:ascii="宋体" w:hAnsi="宋体"/>
          <w:color w:val="auto"/>
          <w:sz w:val="22"/>
          <w:szCs w:val="22"/>
        </w:rPr>
      </w:pPr>
      <w:r>
        <w:rPr>
          <w:rFonts w:hint="eastAsia" w:ascii="宋体" w:hAnsi="宋体"/>
          <w:color w:val="auto"/>
          <w:sz w:val="22"/>
          <w:szCs w:val="22"/>
        </w:rPr>
        <w:t>（3）在磋商过程中，磋商的任何一方都不得透露与磋商有关的其他供应商的技术资料、价格和其他信息。</w:t>
      </w:r>
    </w:p>
    <w:p w14:paraId="24B80A9B">
      <w:pPr>
        <w:spacing w:line="440" w:lineRule="exact"/>
        <w:ind w:left="550" w:hanging="550" w:hangingChars="250"/>
        <w:rPr>
          <w:rFonts w:ascii="宋体" w:hAnsi="宋体"/>
          <w:color w:val="auto"/>
          <w:sz w:val="22"/>
          <w:szCs w:val="22"/>
        </w:rPr>
      </w:pPr>
      <w:r>
        <w:rPr>
          <w:rFonts w:hint="eastAsia" w:ascii="宋体" w:hAnsi="宋体"/>
          <w:color w:val="auto"/>
          <w:sz w:val="22"/>
          <w:szCs w:val="22"/>
        </w:rPr>
        <w:t>（4）在磋商过程中，磋商小组可以根据磋商文件和响应情况实质性变动采购需求中的技术、服务要求以及合同草案条款，但不得变动磋商文件的其他内容。实质性变动的内容，须经采购人代表确认。</w:t>
      </w:r>
    </w:p>
    <w:p w14:paraId="739C0A03">
      <w:pPr>
        <w:spacing w:line="440" w:lineRule="exact"/>
        <w:ind w:left="550" w:hanging="550" w:hangingChars="250"/>
        <w:rPr>
          <w:rFonts w:ascii="宋体" w:hAnsi="宋体"/>
          <w:color w:val="auto"/>
          <w:sz w:val="22"/>
          <w:szCs w:val="22"/>
        </w:rPr>
      </w:pPr>
      <w:r>
        <w:rPr>
          <w:rFonts w:hint="eastAsia" w:ascii="宋体" w:hAnsi="宋体"/>
          <w:color w:val="auto"/>
          <w:sz w:val="22"/>
          <w:szCs w:val="22"/>
        </w:rPr>
        <w:t>（5）对磋商文件作出的实质性变动是磋商文件的有效组成部分，磋商小组应及时以书面形式通知所有参加磋商的供应商。</w:t>
      </w:r>
    </w:p>
    <w:p w14:paraId="45CAF651">
      <w:pPr>
        <w:spacing w:line="440" w:lineRule="exact"/>
        <w:ind w:left="550" w:hanging="550" w:hangingChars="250"/>
        <w:rPr>
          <w:rFonts w:ascii="宋体" w:hAnsi="宋体" w:cs="Arial"/>
          <w:color w:val="auto"/>
          <w:kern w:val="0"/>
          <w:sz w:val="22"/>
          <w:szCs w:val="22"/>
        </w:rPr>
      </w:pPr>
      <w:r>
        <w:rPr>
          <w:rFonts w:hint="eastAsia" w:ascii="宋体" w:hAnsi="宋体"/>
          <w:color w:val="auto"/>
          <w:sz w:val="22"/>
          <w:szCs w:val="22"/>
        </w:rPr>
        <w:t>（6）</w:t>
      </w:r>
      <w:r>
        <w:rPr>
          <w:rFonts w:ascii="宋体" w:hAnsi="宋体" w:cs="Arial"/>
          <w:color w:val="auto"/>
          <w:kern w:val="0"/>
          <w:sz w:val="22"/>
          <w:szCs w:val="22"/>
        </w:rPr>
        <w:t>供应商应当按照磋商文件的变动情况和磋商小组的要求重新提交响应文件，并</w:t>
      </w:r>
      <w:r>
        <w:rPr>
          <w:rFonts w:hint="eastAsia" w:ascii="宋体" w:hAnsi="宋体" w:cs="Arial"/>
          <w:color w:val="auto"/>
          <w:kern w:val="0"/>
          <w:sz w:val="22"/>
          <w:szCs w:val="22"/>
        </w:rPr>
        <w:t>根据磋商文件的规定对磋商响应文件进行电子盖章及签署</w:t>
      </w:r>
      <w:r>
        <w:rPr>
          <w:rFonts w:ascii="宋体" w:hAnsi="宋体" w:cs="Arial"/>
          <w:color w:val="auto"/>
          <w:kern w:val="0"/>
          <w:sz w:val="22"/>
          <w:szCs w:val="22"/>
        </w:rPr>
        <w:t>。</w:t>
      </w:r>
    </w:p>
    <w:p w14:paraId="010ACD66">
      <w:pPr>
        <w:widowControl/>
        <w:spacing w:line="440" w:lineRule="exact"/>
        <w:ind w:left="552" w:hanging="552" w:hangingChars="250"/>
        <w:jc w:val="left"/>
        <w:rPr>
          <w:rFonts w:ascii="宋体" w:hAnsi="宋体" w:cs="Arial"/>
          <w:color w:val="auto"/>
          <w:kern w:val="0"/>
          <w:sz w:val="22"/>
          <w:szCs w:val="22"/>
        </w:rPr>
      </w:pPr>
      <w:r>
        <w:rPr>
          <w:rFonts w:hint="eastAsia" w:ascii="宋体" w:hAnsi="宋体"/>
          <w:b/>
          <w:color w:val="auto"/>
          <w:sz w:val="22"/>
          <w:szCs w:val="22"/>
        </w:rPr>
        <w:t>4.</w:t>
      </w:r>
      <w:r>
        <w:rPr>
          <w:rFonts w:ascii="宋体" w:hAnsi="宋体"/>
          <w:b/>
          <w:color w:val="auto"/>
          <w:sz w:val="22"/>
          <w:szCs w:val="22"/>
        </w:rPr>
        <w:t>4</w:t>
      </w:r>
      <w:r>
        <w:rPr>
          <w:rFonts w:hint="eastAsia" w:ascii="宋体" w:hAnsi="宋体"/>
          <w:b/>
          <w:color w:val="auto"/>
          <w:sz w:val="22"/>
          <w:szCs w:val="22"/>
        </w:rPr>
        <w:t xml:space="preserve">  </w:t>
      </w:r>
      <w:r>
        <w:rPr>
          <w:rFonts w:hint="eastAsia" w:ascii="宋体" w:hAnsi="宋体" w:cs="Arial"/>
          <w:b/>
          <w:color w:val="auto"/>
          <w:kern w:val="0"/>
          <w:sz w:val="22"/>
          <w:szCs w:val="22"/>
        </w:rPr>
        <w:t>最后报价</w:t>
      </w:r>
    </w:p>
    <w:p w14:paraId="7888D5E2">
      <w:pPr>
        <w:widowControl/>
        <w:spacing w:line="440" w:lineRule="exact"/>
        <w:ind w:left="550" w:hanging="550" w:hangingChars="250"/>
        <w:jc w:val="left"/>
        <w:rPr>
          <w:rFonts w:ascii="宋体" w:hAnsi="宋体"/>
          <w:color w:val="auto"/>
          <w:sz w:val="22"/>
          <w:szCs w:val="22"/>
        </w:rPr>
      </w:pPr>
      <w:r>
        <w:rPr>
          <w:rFonts w:hint="eastAsia" w:ascii="宋体" w:hAnsi="宋体"/>
          <w:color w:val="auto"/>
          <w:sz w:val="22"/>
          <w:szCs w:val="22"/>
        </w:rPr>
        <w:t>（1）磋商文件能够详细列明采购标的的技术、服务要求的，磋商结束后，磋商小组应当要求所有实质性响应的供应商在规定时间内提交最后报价，提交最后报价的供应商不得少于</w:t>
      </w:r>
      <w:r>
        <w:rPr>
          <w:rFonts w:ascii="宋体" w:hAnsi="宋体"/>
          <w:color w:val="auto"/>
          <w:sz w:val="22"/>
          <w:szCs w:val="22"/>
        </w:rPr>
        <w:t>3</w:t>
      </w:r>
      <w:r>
        <w:rPr>
          <w:rFonts w:hint="eastAsia" w:ascii="宋体" w:hAnsi="宋体"/>
          <w:color w:val="auto"/>
          <w:sz w:val="22"/>
          <w:szCs w:val="22"/>
        </w:rPr>
        <w:t>家。</w:t>
      </w:r>
    </w:p>
    <w:p w14:paraId="29706ADD">
      <w:pPr>
        <w:widowControl/>
        <w:spacing w:line="440" w:lineRule="exact"/>
        <w:ind w:left="550" w:hanging="550" w:hangingChars="250"/>
        <w:jc w:val="left"/>
        <w:rPr>
          <w:rFonts w:ascii="宋体" w:hAnsi="宋体"/>
          <w:color w:val="auto"/>
          <w:sz w:val="22"/>
          <w:szCs w:val="22"/>
        </w:rPr>
      </w:pPr>
      <w:r>
        <w:rPr>
          <w:rFonts w:hint="eastAsia" w:ascii="宋体" w:hAnsi="宋体"/>
          <w:color w:val="auto"/>
          <w:sz w:val="22"/>
          <w:szCs w:val="22"/>
        </w:rPr>
        <w:t>（2）磋商文件不能详细列明采购标的的技术、服务要求，需经磋商由供应商提供最终设计方案或解决方案的，磋商结束后，磋商小组应当按照少数服从多数的原则投票推荐</w:t>
      </w:r>
      <w:r>
        <w:rPr>
          <w:rFonts w:ascii="宋体" w:hAnsi="宋体"/>
          <w:color w:val="auto"/>
          <w:sz w:val="22"/>
          <w:szCs w:val="22"/>
        </w:rPr>
        <w:t>3</w:t>
      </w:r>
      <w:r>
        <w:rPr>
          <w:rFonts w:hint="eastAsia" w:ascii="宋体" w:hAnsi="宋体"/>
          <w:color w:val="auto"/>
          <w:sz w:val="22"/>
          <w:szCs w:val="22"/>
        </w:rPr>
        <w:t>家以上供应商的设计方案或者解决方案，并要求其在规定时间内提交最后报价。</w:t>
      </w:r>
    </w:p>
    <w:p w14:paraId="6A8F7606">
      <w:pPr>
        <w:widowControl/>
        <w:spacing w:line="440" w:lineRule="exact"/>
        <w:ind w:left="550" w:hanging="550" w:hangingChars="250"/>
        <w:jc w:val="left"/>
        <w:rPr>
          <w:rFonts w:ascii="宋体" w:hAnsi="宋体" w:cs="Arial"/>
          <w:color w:val="auto"/>
          <w:kern w:val="0"/>
          <w:sz w:val="22"/>
          <w:szCs w:val="22"/>
        </w:rPr>
      </w:pPr>
      <w:r>
        <w:rPr>
          <w:rFonts w:hint="eastAsia" w:ascii="宋体" w:hAnsi="宋体" w:cs="Arial"/>
          <w:color w:val="auto"/>
          <w:kern w:val="0"/>
          <w:sz w:val="22"/>
          <w:szCs w:val="22"/>
        </w:rPr>
        <w:t>（3）</w:t>
      </w:r>
      <w:r>
        <w:rPr>
          <w:rFonts w:ascii="宋体" w:hAnsi="宋体" w:cs="Arial"/>
          <w:color w:val="auto"/>
          <w:kern w:val="0"/>
          <w:sz w:val="22"/>
          <w:szCs w:val="22"/>
        </w:rPr>
        <w:t>已提交响应文件的供应商，在提交最后报价之前，可以根据磋商情况退出磋商。</w:t>
      </w:r>
    </w:p>
    <w:p w14:paraId="29F43E7F">
      <w:pPr>
        <w:spacing w:line="440" w:lineRule="exact"/>
        <w:ind w:left="552" w:hanging="552" w:hangingChars="250"/>
        <w:rPr>
          <w:rFonts w:ascii="宋体" w:hAnsi="宋体" w:cs="Arial"/>
          <w:b/>
          <w:color w:val="auto"/>
          <w:kern w:val="0"/>
          <w:sz w:val="22"/>
          <w:szCs w:val="22"/>
        </w:rPr>
      </w:pPr>
      <w:r>
        <w:rPr>
          <w:rFonts w:hint="eastAsia" w:ascii="宋体" w:hAnsi="宋体" w:cs="Arial"/>
          <w:b/>
          <w:color w:val="auto"/>
          <w:kern w:val="0"/>
          <w:sz w:val="22"/>
          <w:szCs w:val="22"/>
        </w:rPr>
        <w:t>4.</w:t>
      </w:r>
      <w:r>
        <w:rPr>
          <w:rFonts w:ascii="宋体" w:hAnsi="宋体" w:cs="Arial"/>
          <w:b/>
          <w:color w:val="auto"/>
          <w:kern w:val="0"/>
          <w:sz w:val="22"/>
          <w:szCs w:val="22"/>
        </w:rPr>
        <w:t>5</w:t>
      </w:r>
      <w:r>
        <w:rPr>
          <w:rFonts w:hint="eastAsia" w:ascii="宋体" w:hAnsi="宋体" w:cs="Arial"/>
          <w:b/>
          <w:color w:val="auto"/>
          <w:kern w:val="0"/>
          <w:sz w:val="22"/>
          <w:szCs w:val="22"/>
        </w:rPr>
        <w:t xml:space="preserve">  综合评分</w:t>
      </w:r>
    </w:p>
    <w:p w14:paraId="24B09ADD">
      <w:pPr>
        <w:spacing w:line="440" w:lineRule="exact"/>
        <w:ind w:left="550" w:hanging="550" w:hangingChars="250"/>
        <w:rPr>
          <w:rFonts w:ascii="宋体" w:hAnsi="宋体" w:cs="Arial"/>
          <w:color w:val="auto"/>
          <w:kern w:val="0"/>
          <w:sz w:val="22"/>
          <w:szCs w:val="22"/>
        </w:rPr>
      </w:pPr>
      <w:r>
        <w:rPr>
          <w:rFonts w:hint="eastAsia" w:ascii="宋体" w:hAnsi="宋体" w:cs="Arial"/>
          <w:color w:val="auto"/>
          <w:kern w:val="0"/>
          <w:sz w:val="22"/>
          <w:szCs w:val="22"/>
        </w:rPr>
        <w:t>（1）经磋商确定最终采购需求和提交最后报价的供应商后，由磋商小组采用综合评分法对提交最后报价的供应商的响应文件和最后报价进行综合评分。</w:t>
      </w:r>
    </w:p>
    <w:p w14:paraId="6A4C88D5">
      <w:pPr>
        <w:spacing w:line="440" w:lineRule="exact"/>
        <w:ind w:left="550" w:hanging="550" w:hangingChars="250"/>
        <w:rPr>
          <w:rFonts w:ascii="宋体" w:hAnsi="宋体" w:cs="Arial"/>
          <w:color w:val="auto"/>
          <w:kern w:val="0"/>
          <w:sz w:val="22"/>
          <w:szCs w:val="22"/>
        </w:rPr>
      </w:pPr>
      <w:r>
        <w:rPr>
          <w:rFonts w:hint="eastAsia" w:ascii="宋体" w:hAnsi="宋体" w:cs="Arial"/>
          <w:color w:val="auto"/>
          <w:kern w:val="0"/>
          <w:sz w:val="22"/>
          <w:szCs w:val="22"/>
        </w:rPr>
        <w:t>（2）综合评分法，是指响应文件满足磋商文件全部实质性要求且按评审因素的量化指标评审得分最高的供应商为成交候选供应商的评审方法。</w:t>
      </w:r>
    </w:p>
    <w:p w14:paraId="1DF8E38D">
      <w:pPr>
        <w:spacing w:line="440" w:lineRule="exact"/>
        <w:ind w:left="550" w:hanging="550" w:hangingChars="250"/>
        <w:rPr>
          <w:rFonts w:ascii="宋体" w:hAnsi="宋体" w:cs="Arial"/>
          <w:color w:val="auto"/>
          <w:kern w:val="0"/>
          <w:sz w:val="22"/>
          <w:szCs w:val="22"/>
        </w:rPr>
      </w:pPr>
      <w:r>
        <w:rPr>
          <w:rFonts w:hint="eastAsia" w:ascii="宋体" w:hAnsi="宋体" w:cs="Arial"/>
          <w:color w:val="auto"/>
          <w:kern w:val="0"/>
          <w:sz w:val="22"/>
          <w:szCs w:val="22"/>
        </w:rPr>
        <w:t>（3）综合评分法评审标准中的分值设置应当与评审因素的量化指标相对应。磋商文件中没有规定的评审标准不得作为评审依据。</w:t>
      </w:r>
    </w:p>
    <w:p w14:paraId="62173CF8">
      <w:pPr>
        <w:spacing w:line="440" w:lineRule="exact"/>
        <w:ind w:left="550" w:hanging="550" w:hangingChars="250"/>
        <w:rPr>
          <w:rFonts w:ascii="宋体" w:hAnsi="宋体" w:cs="Arial"/>
          <w:color w:val="auto"/>
          <w:kern w:val="0"/>
          <w:sz w:val="22"/>
          <w:szCs w:val="22"/>
        </w:rPr>
      </w:pPr>
      <w:r>
        <w:rPr>
          <w:rFonts w:hint="eastAsia" w:ascii="宋体" w:hAnsi="宋体" w:cs="Arial"/>
          <w:color w:val="auto"/>
          <w:kern w:val="0"/>
          <w:sz w:val="22"/>
          <w:szCs w:val="22"/>
        </w:rPr>
        <w:t>（4）评审时，磋商小组各成员应当独立对每个有效响应的文件进行评价、打分，然后汇总每个供应商每项评分因素的得分。</w:t>
      </w:r>
    </w:p>
    <w:p w14:paraId="6D088AE9">
      <w:pPr>
        <w:spacing w:line="440" w:lineRule="exact"/>
        <w:rPr>
          <w:rFonts w:ascii="宋体" w:hAnsi="宋体"/>
          <w:color w:val="auto"/>
          <w:sz w:val="22"/>
          <w:szCs w:val="22"/>
        </w:rPr>
      </w:pPr>
      <w:r>
        <w:rPr>
          <w:rFonts w:hint="eastAsia" w:ascii="宋体" w:hAnsi="宋体"/>
          <w:color w:val="auto"/>
          <w:sz w:val="22"/>
        </w:rPr>
        <w:t xml:space="preserve">5．  </w:t>
      </w:r>
      <w:r>
        <w:rPr>
          <w:rFonts w:hint="eastAsia" w:ascii="宋体" w:hAnsi="宋体"/>
          <w:b/>
          <w:color w:val="auto"/>
          <w:sz w:val="22"/>
        </w:rPr>
        <w:t>响应文件的澄清</w:t>
      </w:r>
    </w:p>
    <w:p w14:paraId="7CEB20AC">
      <w:pPr>
        <w:tabs>
          <w:tab w:val="left" w:pos="1365"/>
        </w:tabs>
        <w:spacing w:line="440" w:lineRule="exact"/>
        <w:ind w:left="558" w:leftChars="4" w:hanging="550" w:hangingChars="250"/>
        <w:rPr>
          <w:rFonts w:ascii="宋体" w:hAnsi="宋体" w:cs="Arial"/>
          <w:color w:val="auto"/>
          <w:kern w:val="0"/>
          <w:sz w:val="22"/>
          <w:szCs w:val="22"/>
        </w:rPr>
      </w:pPr>
      <w:r>
        <w:rPr>
          <w:rFonts w:hint="eastAsia" w:ascii="宋体" w:hAnsi="宋体"/>
          <w:color w:val="auto"/>
          <w:sz w:val="22"/>
        </w:rPr>
        <w:t xml:space="preserve">5.1  </w:t>
      </w:r>
      <w:r>
        <w:rPr>
          <w:rFonts w:ascii="宋体" w:hAnsi="宋体" w:cs="Arial"/>
          <w:color w:val="auto"/>
          <w:kern w:val="0"/>
          <w:sz w:val="22"/>
          <w:szCs w:val="22"/>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r>
        <w:rPr>
          <w:rFonts w:hint="eastAsia" w:ascii="宋体" w:hAnsi="宋体"/>
          <w:color w:val="auto"/>
          <w:sz w:val="22"/>
        </w:rPr>
        <w:t>拒不按要求对其响应文件进行澄清，说明或更正的磋商供应商，磋商小组可以认定其响应文件无效。</w:t>
      </w:r>
    </w:p>
    <w:p w14:paraId="7DEDCD83">
      <w:pPr>
        <w:tabs>
          <w:tab w:val="left" w:pos="1365"/>
        </w:tabs>
        <w:spacing w:line="440" w:lineRule="exact"/>
        <w:ind w:left="550" w:hanging="550" w:hangingChars="250"/>
        <w:rPr>
          <w:rFonts w:ascii="宋体" w:hAnsi="宋体" w:cs="Arial"/>
          <w:color w:val="auto"/>
          <w:kern w:val="0"/>
          <w:sz w:val="22"/>
          <w:szCs w:val="22"/>
        </w:rPr>
      </w:pPr>
      <w:r>
        <w:rPr>
          <w:rFonts w:hint="eastAsia" w:ascii="宋体" w:hAnsi="宋体" w:cs="Arial"/>
          <w:color w:val="auto"/>
          <w:kern w:val="0"/>
          <w:sz w:val="22"/>
          <w:szCs w:val="22"/>
        </w:rPr>
        <w:t xml:space="preserve">5.2  </w:t>
      </w:r>
      <w:r>
        <w:rPr>
          <w:rFonts w:hint="eastAsia" w:ascii="宋体" w:hAnsi="宋体" w:cs="宋体"/>
          <w:color w:val="auto"/>
          <w:sz w:val="22"/>
          <w:szCs w:val="22"/>
        </w:rPr>
        <w:t>磋商供应商的澄清、说明或者补正应当采用电子传输形式。磋商供应商的澄清、说明或者补正不得超出磋商响应文件的范围或者改变磋商响应文件的实质性内容。</w:t>
      </w:r>
    </w:p>
    <w:p w14:paraId="60F2476F">
      <w:pPr>
        <w:tabs>
          <w:tab w:val="left" w:pos="1365"/>
        </w:tabs>
        <w:spacing w:line="440" w:lineRule="exact"/>
        <w:ind w:left="558" w:leftChars="4" w:hanging="550" w:hangingChars="250"/>
        <w:rPr>
          <w:rFonts w:ascii="宋体" w:hAnsi="宋体"/>
          <w:color w:val="auto"/>
          <w:sz w:val="22"/>
        </w:rPr>
      </w:pPr>
      <w:r>
        <w:rPr>
          <w:rFonts w:hint="eastAsia" w:ascii="宋体" w:hAnsi="宋体"/>
          <w:color w:val="auto"/>
          <w:sz w:val="22"/>
        </w:rPr>
        <w:t xml:space="preserve">5.3  </w:t>
      </w:r>
      <w:r>
        <w:rPr>
          <w:rFonts w:hint="eastAsia" w:ascii="宋体" w:hAnsi="宋体"/>
          <w:b/>
          <w:color w:val="auto"/>
          <w:sz w:val="22"/>
        </w:rPr>
        <w:t>经澄清后，若偏差仍存在，且不可接受，响应文件则被认为是“没有实质性响应磋商文件要求”，不进入下一步评审。</w:t>
      </w:r>
    </w:p>
    <w:p w14:paraId="31458553">
      <w:pPr>
        <w:tabs>
          <w:tab w:val="left" w:pos="1365"/>
        </w:tabs>
        <w:spacing w:line="440" w:lineRule="exact"/>
        <w:ind w:left="549" w:leftChars="4" w:hanging="541" w:hangingChars="245"/>
        <w:rPr>
          <w:rFonts w:ascii="宋体" w:hAnsi="宋体"/>
          <w:color w:val="auto"/>
          <w:sz w:val="22"/>
        </w:rPr>
      </w:pPr>
      <w:r>
        <w:rPr>
          <w:rFonts w:hint="eastAsia" w:ascii="宋体" w:hAnsi="宋体"/>
          <w:b/>
          <w:color w:val="auto"/>
          <w:sz w:val="22"/>
        </w:rPr>
        <w:t xml:space="preserve">6. </w:t>
      </w:r>
      <w:r>
        <w:rPr>
          <w:rFonts w:hint="eastAsia" w:ascii="宋体" w:hAnsi="宋体"/>
          <w:b/>
          <w:bCs/>
          <w:color w:val="auto"/>
          <w:sz w:val="22"/>
          <w:szCs w:val="22"/>
        </w:rPr>
        <w:t>▲</w:t>
      </w:r>
      <w:r>
        <w:rPr>
          <w:rFonts w:hint="eastAsia" w:ascii="宋体" w:hAnsi="宋体"/>
          <w:b/>
          <w:color w:val="auto"/>
          <w:sz w:val="22"/>
          <w:u w:val="single"/>
        </w:rPr>
        <w:t>在对各磋商供应商的响应文件进行评审时，响应文件有下列情况之一的，经磋商小组认定后按无效响应文件处理</w:t>
      </w:r>
      <w:r>
        <w:rPr>
          <w:rFonts w:hint="eastAsia" w:ascii="宋体" w:hAnsi="宋体"/>
          <w:b/>
          <w:color w:val="auto"/>
          <w:sz w:val="22"/>
        </w:rPr>
        <w:t>：</w:t>
      </w:r>
    </w:p>
    <w:p w14:paraId="53A54684">
      <w:pPr>
        <w:spacing w:line="440" w:lineRule="exact"/>
        <w:ind w:left="648" w:leftChars="51" w:hanging="541" w:hangingChars="245"/>
        <w:rPr>
          <w:rFonts w:ascii="宋体" w:hAnsi="宋体"/>
          <w:b/>
          <w:color w:val="auto"/>
          <w:sz w:val="22"/>
        </w:rPr>
      </w:pPr>
      <w:r>
        <w:rPr>
          <w:rFonts w:hint="eastAsia" w:ascii="宋体" w:hAnsi="宋体"/>
          <w:b/>
          <w:color w:val="auto"/>
          <w:sz w:val="22"/>
        </w:rPr>
        <w:t>（1）</w:t>
      </w:r>
      <w:r>
        <w:rPr>
          <w:rFonts w:hint="eastAsia" w:ascii="宋体" w:hAnsi="宋体"/>
          <w:b/>
          <w:color w:val="auto"/>
          <w:sz w:val="22"/>
          <w:u w:val="single"/>
        </w:rPr>
        <w:t>响应文件未按磋商文件要求签署、盖章的</w:t>
      </w:r>
      <w:r>
        <w:rPr>
          <w:rFonts w:hint="eastAsia" w:ascii="宋体" w:hAnsi="宋体"/>
          <w:b/>
          <w:color w:val="auto"/>
          <w:sz w:val="22"/>
        </w:rPr>
        <w:t>；</w:t>
      </w:r>
    </w:p>
    <w:p w14:paraId="0D627200">
      <w:pPr>
        <w:spacing w:line="440" w:lineRule="exact"/>
        <w:ind w:firstLine="108" w:firstLineChars="49"/>
        <w:rPr>
          <w:rFonts w:ascii="宋体" w:hAnsi="宋体"/>
          <w:b/>
          <w:color w:val="auto"/>
          <w:sz w:val="22"/>
        </w:rPr>
      </w:pPr>
      <w:r>
        <w:rPr>
          <w:rFonts w:hint="eastAsia" w:ascii="宋体" w:hAnsi="宋体"/>
          <w:b/>
          <w:color w:val="auto"/>
          <w:sz w:val="22"/>
        </w:rPr>
        <w:t>（2）</w:t>
      </w:r>
      <w:r>
        <w:rPr>
          <w:rFonts w:hint="eastAsia" w:ascii="宋体" w:hAnsi="宋体"/>
          <w:b/>
          <w:color w:val="auto"/>
          <w:sz w:val="22"/>
          <w:u w:val="single"/>
        </w:rPr>
        <w:t>明显不符合磋商文件中主要技术要求的</w:t>
      </w:r>
      <w:r>
        <w:rPr>
          <w:rFonts w:hint="eastAsia" w:ascii="宋体" w:hAnsi="宋体"/>
          <w:b/>
          <w:color w:val="auto"/>
          <w:sz w:val="22"/>
        </w:rPr>
        <w:t>；</w:t>
      </w:r>
    </w:p>
    <w:p w14:paraId="54A9CB0A">
      <w:pPr>
        <w:spacing w:line="440" w:lineRule="exact"/>
        <w:ind w:firstLine="108" w:firstLineChars="49"/>
        <w:rPr>
          <w:rFonts w:ascii="宋体" w:hAnsi="宋体"/>
          <w:b/>
          <w:color w:val="auto"/>
          <w:sz w:val="22"/>
        </w:rPr>
      </w:pPr>
      <w:r>
        <w:rPr>
          <w:rFonts w:hint="eastAsia" w:ascii="宋体" w:hAnsi="宋体"/>
          <w:b/>
          <w:color w:val="auto"/>
          <w:sz w:val="22"/>
        </w:rPr>
        <w:t>（3）</w:t>
      </w:r>
      <w:r>
        <w:rPr>
          <w:rFonts w:hint="eastAsia" w:ascii="宋体" w:hAnsi="宋体"/>
          <w:b/>
          <w:color w:val="auto"/>
          <w:sz w:val="22"/>
          <w:u w:val="single"/>
        </w:rPr>
        <w:t>响应文件内容不全或关键字迹模糊无法辨认或未做好节点关联导致关键内容缺失的</w:t>
      </w:r>
      <w:r>
        <w:rPr>
          <w:rFonts w:hint="eastAsia" w:ascii="宋体" w:hAnsi="宋体"/>
          <w:b/>
          <w:color w:val="auto"/>
          <w:sz w:val="22"/>
        </w:rPr>
        <w:t>；</w:t>
      </w:r>
    </w:p>
    <w:p w14:paraId="37D2BE52">
      <w:pPr>
        <w:spacing w:line="440" w:lineRule="exact"/>
        <w:ind w:firstLine="108" w:firstLineChars="49"/>
        <w:rPr>
          <w:rFonts w:ascii="宋体" w:hAnsi="宋体"/>
          <w:b/>
          <w:color w:val="auto"/>
          <w:sz w:val="22"/>
        </w:rPr>
      </w:pPr>
      <w:r>
        <w:rPr>
          <w:rFonts w:hint="eastAsia" w:ascii="宋体" w:hAnsi="宋体"/>
          <w:b/>
          <w:color w:val="auto"/>
          <w:sz w:val="22"/>
        </w:rPr>
        <w:t>（4）</w:t>
      </w:r>
      <w:r>
        <w:rPr>
          <w:rFonts w:hint="eastAsia" w:ascii="宋体" w:hAnsi="宋体"/>
          <w:b/>
          <w:color w:val="auto"/>
          <w:sz w:val="22"/>
          <w:u w:val="single"/>
        </w:rPr>
        <w:t>响应文件附有采购人不能接受的条件的</w:t>
      </w:r>
      <w:r>
        <w:rPr>
          <w:rFonts w:hint="eastAsia" w:ascii="宋体" w:hAnsi="宋体"/>
          <w:b/>
          <w:color w:val="auto"/>
          <w:sz w:val="22"/>
        </w:rPr>
        <w:t>；</w:t>
      </w:r>
    </w:p>
    <w:p w14:paraId="0D28F01D">
      <w:pPr>
        <w:spacing w:line="440" w:lineRule="exact"/>
        <w:ind w:firstLine="108" w:firstLineChars="49"/>
        <w:rPr>
          <w:rFonts w:ascii="宋体" w:hAnsi="宋体"/>
          <w:b/>
          <w:color w:val="auto"/>
          <w:sz w:val="22"/>
        </w:rPr>
      </w:pPr>
      <w:r>
        <w:rPr>
          <w:rFonts w:hint="eastAsia" w:ascii="宋体" w:hAnsi="宋体"/>
          <w:b/>
          <w:color w:val="auto"/>
          <w:sz w:val="22"/>
        </w:rPr>
        <w:t>（5）</w:t>
      </w:r>
      <w:r>
        <w:rPr>
          <w:rFonts w:hint="eastAsia" w:ascii="宋体" w:hAnsi="宋体"/>
          <w:b/>
          <w:color w:val="auto"/>
          <w:sz w:val="22"/>
          <w:u w:val="single"/>
        </w:rPr>
        <w:t>磋商供应商代表没有法定代表人合法、有效委托的</w:t>
      </w:r>
      <w:r>
        <w:rPr>
          <w:rFonts w:hint="eastAsia" w:ascii="宋体" w:hAnsi="宋体"/>
          <w:b/>
          <w:color w:val="auto"/>
          <w:sz w:val="22"/>
        </w:rPr>
        <w:t>；</w:t>
      </w:r>
    </w:p>
    <w:p w14:paraId="530CE504">
      <w:pPr>
        <w:spacing w:line="440" w:lineRule="exact"/>
        <w:ind w:firstLine="108" w:firstLineChars="49"/>
        <w:rPr>
          <w:rFonts w:ascii="宋体" w:hAnsi="宋体"/>
          <w:b/>
          <w:color w:val="auto"/>
          <w:sz w:val="22"/>
        </w:rPr>
      </w:pPr>
      <w:r>
        <w:rPr>
          <w:rFonts w:hint="eastAsia" w:ascii="宋体" w:hAnsi="宋体"/>
          <w:b/>
          <w:color w:val="auto"/>
          <w:sz w:val="22"/>
        </w:rPr>
        <w:t>（6）</w:t>
      </w:r>
      <w:r>
        <w:rPr>
          <w:rFonts w:hint="eastAsia" w:ascii="宋体" w:hAnsi="宋体"/>
          <w:b/>
          <w:color w:val="auto"/>
          <w:sz w:val="22"/>
          <w:u w:val="single"/>
        </w:rPr>
        <w:t>仅提交备份磋商响应文件的</w:t>
      </w:r>
      <w:r>
        <w:rPr>
          <w:rFonts w:hint="eastAsia" w:ascii="宋体" w:hAnsi="宋体"/>
          <w:b/>
          <w:color w:val="auto"/>
          <w:sz w:val="22"/>
        </w:rPr>
        <w:t>；</w:t>
      </w:r>
    </w:p>
    <w:p w14:paraId="5E8869E6">
      <w:pPr>
        <w:spacing w:line="440" w:lineRule="exact"/>
        <w:ind w:firstLine="108" w:firstLineChars="49"/>
        <w:rPr>
          <w:rFonts w:ascii="宋体" w:hAnsi="宋体"/>
          <w:color w:val="auto"/>
          <w:sz w:val="22"/>
          <w:szCs w:val="22"/>
        </w:rPr>
      </w:pPr>
      <w:r>
        <w:rPr>
          <w:rFonts w:hint="eastAsia" w:ascii="宋体" w:hAnsi="宋体"/>
          <w:b/>
          <w:color w:val="auto"/>
          <w:sz w:val="22"/>
        </w:rPr>
        <w:t>（7）</w:t>
      </w:r>
      <w:r>
        <w:rPr>
          <w:rFonts w:hint="eastAsia" w:ascii="宋体" w:hAnsi="宋体"/>
          <w:b/>
          <w:color w:val="auto"/>
          <w:sz w:val="22"/>
          <w:u w:val="single"/>
        </w:rPr>
        <w:t>磋商小组认定不符合法律、法规和磋商文件中规定的其他实质性要求的</w:t>
      </w:r>
      <w:r>
        <w:rPr>
          <w:rFonts w:hint="eastAsia" w:ascii="宋体" w:hAnsi="宋体"/>
          <w:b/>
          <w:color w:val="auto"/>
          <w:sz w:val="22"/>
        </w:rPr>
        <w:t>。</w:t>
      </w:r>
    </w:p>
    <w:p w14:paraId="480FE161">
      <w:pPr>
        <w:tabs>
          <w:tab w:val="left" w:pos="1365"/>
        </w:tabs>
        <w:spacing w:line="440" w:lineRule="exact"/>
        <w:ind w:left="560" w:leftChars="4" w:hanging="552" w:hangingChars="250"/>
        <w:rPr>
          <w:rFonts w:ascii="宋体" w:hAnsi="宋体"/>
          <w:b/>
          <w:color w:val="auto"/>
          <w:sz w:val="22"/>
        </w:rPr>
      </w:pPr>
      <w:r>
        <w:rPr>
          <w:rFonts w:ascii="宋体" w:hAnsi="宋体"/>
          <w:b/>
          <w:color w:val="auto"/>
          <w:sz w:val="22"/>
        </w:rPr>
        <w:t xml:space="preserve">7. </w:t>
      </w:r>
      <w:r>
        <w:rPr>
          <w:rFonts w:hint="eastAsia" w:ascii="宋体" w:hAnsi="宋体"/>
          <w:b/>
          <w:color w:val="auto"/>
          <w:sz w:val="22"/>
        </w:rPr>
        <w:t xml:space="preserve">  评审过程中遇到特殊情况，由磋商小组遵循公开、公正原则，采取记名投票方式按照少数服从多数原则决定。磋商文件内容违反国家有关强制性规定的，磋商小组应当停止评审并向采购人或者采购代理机构说明情况。</w:t>
      </w:r>
    </w:p>
    <w:p w14:paraId="163CAF5B">
      <w:pPr>
        <w:tabs>
          <w:tab w:val="left" w:pos="1365"/>
        </w:tabs>
        <w:spacing w:line="440" w:lineRule="exact"/>
        <w:ind w:left="560" w:leftChars="4" w:hanging="552" w:hangingChars="250"/>
        <w:rPr>
          <w:rFonts w:ascii="宋体" w:hAnsi="宋体" w:cs="宋体"/>
          <w:color w:val="auto"/>
          <w:sz w:val="22"/>
          <w:szCs w:val="22"/>
        </w:rPr>
      </w:pPr>
      <w:r>
        <w:rPr>
          <w:rFonts w:hint="eastAsia" w:ascii="宋体" w:hAnsi="宋体"/>
          <w:b/>
          <w:color w:val="auto"/>
          <w:sz w:val="22"/>
        </w:rPr>
        <w:t>8.</w:t>
      </w:r>
      <w:r>
        <w:rPr>
          <w:rFonts w:ascii="宋体" w:hAnsi="宋体"/>
          <w:b/>
          <w:color w:val="auto"/>
          <w:sz w:val="22"/>
        </w:rPr>
        <w:t xml:space="preserve">   </w:t>
      </w:r>
      <w:r>
        <w:rPr>
          <w:rFonts w:hint="eastAsia" w:ascii="宋体" w:hAnsi="宋体" w:cs="宋体"/>
          <w:b/>
          <w:bCs/>
          <w:color w:val="auto"/>
          <w:sz w:val="22"/>
          <w:szCs w:val="22"/>
        </w:rPr>
        <w:t>优化评审管理</w:t>
      </w:r>
    </w:p>
    <w:p w14:paraId="503D3227">
      <w:pPr>
        <w:tabs>
          <w:tab w:val="left" w:pos="1365"/>
        </w:tabs>
        <w:spacing w:line="440" w:lineRule="exact"/>
        <w:ind w:left="560" w:leftChars="4" w:hanging="552" w:hangingChars="250"/>
        <w:rPr>
          <w:rFonts w:ascii="宋体" w:hAnsi="宋体"/>
          <w:b/>
          <w:color w:val="auto"/>
          <w:sz w:val="22"/>
        </w:rPr>
      </w:pPr>
      <w:r>
        <w:rPr>
          <w:rFonts w:hint="eastAsia" w:ascii="宋体" w:hAnsi="宋体"/>
          <w:b/>
          <w:color w:val="auto"/>
          <w:sz w:val="22"/>
        </w:rPr>
        <w:t xml:space="preserve"> </w:t>
      </w:r>
      <w:r>
        <w:rPr>
          <w:rFonts w:ascii="宋体" w:hAnsi="宋体"/>
          <w:b/>
          <w:color w:val="auto"/>
          <w:sz w:val="22"/>
        </w:rPr>
        <w:t xml:space="preserve">    </w:t>
      </w:r>
      <w:r>
        <w:rPr>
          <w:rFonts w:hint="eastAsia" w:ascii="宋体" w:hAnsi="宋体" w:cs="宋体"/>
          <w:color w:val="auto"/>
          <w:sz w:val="22"/>
          <w:szCs w:val="22"/>
        </w:rPr>
        <w:t>根据浙财采监〔2022〕</w:t>
      </w:r>
      <w:r>
        <w:rPr>
          <w:rFonts w:ascii="宋体" w:hAnsi="宋体" w:cs="宋体"/>
          <w:color w:val="auto"/>
          <w:sz w:val="22"/>
          <w:szCs w:val="22"/>
        </w:rPr>
        <w:t>8</w:t>
      </w:r>
      <w:r>
        <w:rPr>
          <w:rFonts w:hint="eastAsia" w:ascii="宋体" w:hAnsi="宋体" w:cs="宋体"/>
          <w:color w:val="auto"/>
          <w:sz w:val="22"/>
          <w:szCs w:val="22"/>
        </w:rPr>
        <w:t>号文相关的规定，</w:t>
      </w:r>
      <w:r>
        <w:rPr>
          <w:rFonts w:ascii="宋体" w:hAnsi="宋体" w:cs="宋体"/>
          <w:color w:val="auto"/>
          <w:sz w:val="22"/>
          <w:szCs w:val="22"/>
        </w:rPr>
        <w:t>评审小组成员个人主观打分偏离所有评审小组成员主观打分平均值30%以上的，由评审委员会启动评分畸高、畸低行为认定程序。</w:t>
      </w:r>
    </w:p>
    <w:p w14:paraId="1EE55501">
      <w:pPr>
        <w:spacing w:line="440" w:lineRule="exact"/>
        <w:ind w:left="550" w:hanging="550" w:hangingChars="250"/>
        <w:rPr>
          <w:rFonts w:ascii="宋体" w:hAnsi="宋体"/>
          <w:color w:val="auto"/>
          <w:sz w:val="22"/>
        </w:rPr>
      </w:pPr>
      <w:r>
        <w:rPr>
          <w:rFonts w:ascii="宋体" w:hAnsi="宋体"/>
          <w:color w:val="auto"/>
          <w:sz w:val="22"/>
          <w:szCs w:val="22"/>
        </w:rPr>
        <w:t>9</w:t>
      </w:r>
      <w:r>
        <w:rPr>
          <w:rFonts w:hint="eastAsia" w:ascii="宋体" w:hAnsi="宋体"/>
          <w:color w:val="auto"/>
          <w:sz w:val="22"/>
          <w:szCs w:val="22"/>
        </w:rPr>
        <w:t xml:space="preserve">.  </w:t>
      </w:r>
      <w:r>
        <w:rPr>
          <w:rFonts w:hint="eastAsia" w:ascii="宋体" w:hAnsi="宋体"/>
          <w:b/>
          <w:color w:val="auto"/>
          <w:sz w:val="22"/>
        </w:rPr>
        <w:t>确定成交供应商</w:t>
      </w:r>
    </w:p>
    <w:p w14:paraId="43D72883">
      <w:pPr>
        <w:widowControl/>
        <w:spacing w:line="440" w:lineRule="exact"/>
        <w:ind w:left="550" w:hanging="550" w:hangingChars="250"/>
        <w:jc w:val="left"/>
        <w:rPr>
          <w:rFonts w:ascii="宋体" w:hAnsi="宋体" w:cs="Arial"/>
          <w:color w:val="auto"/>
          <w:kern w:val="0"/>
          <w:sz w:val="22"/>
          <w:szCs w:val="22"/>
        </w:rPr>
      </w:pPr>
      <w:r>
        <w:rPr>
          <w:rFonts w:ascii="宋体" w:hAnsi="宋体" w:cs="Arial"/>
          <w:color w:val="auto"/>
          <w:kern w:val="0"/>
          <w:sz w:val="22"/>
          <w:szCs w:val="22"/>
        </w:rPr>
        <w:t>9</w:t>
      </w:r>
      <w:r>
        <w:rPr>
          <w:rFonts w:hint="eastAsia" w:ascii="宋体" w:hAnsi="宋体" w:cs="Arial"/>
          <w:color w:val="auto"/>
          <w:kern w:val="0"/>
          <w:sz w:val="22"/>
          <w:szCs w:val="22"/>
        </w:rPr>
        <w:t>.1  磋商小组应当根据综合评分情况，按照综合得分由高到低顺序推荐3名以上成交候选供应商，并编写评审报告。综合得分相同的，按照最后报价由低到高的顺序推荐。评审得分且最后报价相同的，按照技术指标优劣顺序推荐。</w:t>
      </w:r>
    </w:p>
    <w:p w14:paraId="0B53FB0F">
      <w:pPr>
        <w:spacing w:line="440" w:lineRule="exact"/>
        <w:ind w:left="550" w:hanging="550" w:hangingChars="250"/>
        <w:rPr>
          <w:rFonts w:ascii="宋体" w:hAnsi="宋体"/>
          <w:color w:val="auto"/>
          <w:sz w:val="22"/>
        </w:rPr>
      </w:pPr>
      <w:r>
        <w:rPr>
          <w:rFonts w:ascii="宋体" w:hAnsi="宋体"/>
          <w:color w:val="auto"/>
          <w:sz w:val="22"/>
          <w:szCs w:val="22"/>
        </w:rPr>
        <w:t>9</w:t>
      </w:r>
      <w:r>
        <w:rPr>
          <w:rFonts w:hint="eastAsia" w:ascii="宋体" w:hAnsi="宋体"/>
          <w:color w:val="auto"/>
          <w:sz w:val="22"/>
          <w:szCs w:val="22"/>
        </w:rPr>
        <w:t xml:space="preserve">.2  </w:t>
      </w:r>
      <w:r>
        <w:rPr>
          <w:rFonts w:hint="eastAsia" w:ascii="宋体" w:hAnsi="宋体"/>
          <w:color w:val="auto"/>
          <w:sz w:val="22"/>
        </w:rPr>
        <w:t>排名第一的成交候选供应商放弃成交；或因不可抗力提出不能履行合同；或未能在规定时间内与采购人签订合同的；或经质疑，采购组织机构审查确因排名第一的候选供应商在本次采购活动中存在违法违规行为或其他原因使质疑成立的，采购人可以直接确定排名第二的候选供应商为成交供应商，以此类推至第三名。</w:t>
      </w:r>
    </w:p>
    <w:p w14:paraId="289C06F0">
      <w:pPr>
        <w:spacing w:line="440" w:lineRule="exact"/>
        <w:rPr>
          <w:rFonts w:ascii="宋体" w:hAnsi="宋体"/>
          <w:color w:val="auto"/>
          <w:sz w:val="22"/>
          <w:szCs w:val="22"/>
        </w:rPr>
      </w:pPr>
      <w:r>
        <w:rPr>
          <w:rFonts w:ascii="宋体" w:hAnsi="宋体"/>
          <w:color w:val="auto"/>
          <w:sz w:val="22"/>
          <w:szCs w:val="22"/>
        </w:rPr>
        <w:t>1</w:t>
      </w:r>
      <w:r>
        <w:rPr>
          <w:rFonts w:hint="eastAsia" w:ascii="宋体" w:hAnsi="宋体"/>
          <w:color w:val="auto"/>
          <w:sz w:val="22"/>
          <w:szCs w:val="22"/>
          <w:lang w:val="en-US" w:eastAsia="zh-CN"/>
        </w:rPr>
        <w:t>0</w:t>
      </w:r>
      <w:r>
        <w:rPr>
          <w:rFonts w:hint="eastAsia" w:ascii="宋体" w:hAnsi="宋体"/>
          <w:color w:val="auto"/>
          <w:sz w:val="22"/>
          <w:szCs w:val="22"/>
        </w:rPr>
        <w:t>.</w:t>
      </w:r>
      <w:r>
        <w:rPr>
          <w:rFonts w:ascii="宋体" w:hAnsi="宋体"/>
          <w:b/>
          <w:bCs/>
          <w:color w:val="auto"/>
          <w:sz w:val="22"/>
          <w:szCs w:val="22"/>
        </w:rPr>
        <w:t xml:space="preserve">  </w:t>
      </w:r>
      <w:r>
        <w:rPr>
          <w:rFonts w:hint="eastAsia" w:ascii="宋体" w:hAnsi="宋体"/>
          <w:b/>
          <w:bCs/>
          <w:color w:val="auto"/>
          <w:sz w:val="22"/>
          <w:szCs w:val="22"/>
        </w:rPr>
        <w:t>其他未尽事宜遵循相关法律法规及规范性文件执行。</w:t>
      </w:r>
    </w:p>
    <w:p w14:paraId="69E72DD3">
      <w:pPr>
        <w:pStyle w:val="3"/>
        <w:spacing w:line="520" w:lineRule="exact"/>
        <w:jc w:val="center"/>
        <w:rPr>
          <w:color w:val="auto"/>
          <w:sz w:val="28"/>
          <w:szCs w:val="28"/>
        </w:rPr>
      </w:pPr>
      <w:bookmarkStart w:id="79" w:name="_Toc12748"/>
      <w:bookmarkStart w:id="80" w:name="_Toc195502583"/>
      <w:bookmarkStart w:id="81" w:name="_Toc7447"/>
      <w:bookmarkStart w:id="82" w:name="_Toc9647"/>
      <w:bookmarkStart w:id="83" w:name="_Toc13408"/>
      <w:bookmarkStart w:id="84" w:name="_Toc202085293"/>
      <w:bookmarkStart w:id="85" w:name="_Toc25479"/>
      <w:bookmarkStart w:id="86" w:name="_Toc195502493"/>
      <w:r>
        <w:rPr>
          <w:rFonts w:hint="eastAsia"/>
          <w:color w:val="auto"/>
          <w:sz w:val="28"/>
          <w:szCs w:val="28"/>
        </w:rPr>
        <w:t>六、授予合同</w:t>
      </w:r>
      <w:bookmarkEnd w:id="79"/>
      <w:bookmarkEnd w:id="80"/>
      <w:bookmarkEnd w:id="81"/>
      <w:bookmarkEnd w:id="82"/>
      <w:bookmarkEnd w:id="83"/>
      <w:bookmarkEnd w:id="84"/>
      <w:bookmarkEnd w:id="85"/>
      <w:bookmarkEnd w:id="86"/>
    </w:p>
    <w:p w14:paraId="03B34FDB">
      <w:pPr>
        <w:tabs>
          <w:tab w:val="left" w:pos="1365"/>
        </w:tabs>
        <w:spacing w:line="440" w:lineRule="exact"/>
        <w:ind w:left="552" w:hanging="552" w:hangingChars="250"/>
        <w:rPr>
          <w:rFonts w:ascii="宋体" w:hAnsi="宋体" w:cs="宋体"/>
          <w:b/>
          <w:color w:val="auto"/>
          <w:sz w:val="22"/>
          <w:szCs w:val="22"/>
        </w:rPr>
      </w:pPr>
      <w:r>
        <w:rPr>
          <w:rFonts w:hint="eastAsia" w:ascii="宋体" w:hAnsi="宋体" w:cs="宋体"/>
          <w:b/>
          <w:color w:val="auto"/>
          <w:sz w:val="22"/>
          <w:szCs w:val="22"/>
        </w:rPr>
        <w:t>1.   确定成交供应商</w:t>
      </w:r>
    </w:p>
    <w:p w14:paraId="28CF9E56">
      <w:pPr>
        <w:tabs>
          <w:tab w:val="left" w:pos="1365"/>
        </w:tabs>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1.1  采购代理机构应当在评审结束后2个工作日内将评审报告送采购人。</w:t>
      </w:r>
    </w:p>
    <w:p w14:paraId="7FD2E94A">
      <w:pPr>
        <w:tabs>
          <w:tab w:val="left" w:pos="1365"/>
        </w:tabs>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1.2  采购人应当自收到评评审告之日起5个工作日内，从评审报告提出的成交候选供应商中，按照排序由高到低的原则确定的成交供应商，也可以书面授权磋商小组直接确定成交供应商。采购人逾期未确定成交供应商且不提出异议的，视为确定评审报告提出的排序第一的供应商为成交供应商。</w:t>
      </w:r>
    </w:p>
    <w:p w14:paraId="487BC403">
      <w:pPr>
        <w:tabs>
          <w:tab w:val="left" w:pos="1365"/>
        </w:tabs>
        <w:spacing w:line="440" w:lineRule="exact"/>
        <w:ind w:left="550" w:hanging="550" w:hangingChars="250"/>
        <w:rPr>
          <w:rFonts w:ascii="宋体" w:hAnsi="宋体" w:cs="宋体"/>
          <w:color w:val="auto"/>
          <w:sz w:val="22"/>
          <w:szCs w:val="22"/>
        </w:rPr>
      </w:pPr>
      <w:r>
        <w:rPr>
          <w:rFonts w:ascii="宋体" w:hAnsi="宋体" w:cs="宋体"/>
          <w:color w:val="auto"/>
          <w:sz w:val="22"/>
          <w:szCs w:val="22"/>
        </w:rPr>
        <w:t xml:space="preserve">1.3  </w:t>
      </w:r>
      <w:r>
        <w:rPr>
          <w:rFonts w:hint="eastAsia" w:ascii="宋体" w:hAnsi="宋体" w:cs="宋体"/>
          <w:color w:val="auto"/>
          <w:sz w:val="22"/>
          <w:szCs w:val="22"/>
        </w:rPr>
        <w:t>成交候选供应商并列的，由采购人采取随机抽取的方式确定。</w:t>
      </w:r>
    </w:p>
    <w:p w14:paraId="324B9B1A">
      <w:pPr>
        <w:spacing w:line="440" w:lineRule="exact"/>
        <w:rPr>
          <w:rFonts w:ascii="宋体" w:hAnsi="宋体" w:cs="宋体"/>
          <w:b/>
          <w:bCs/>
          <w:color w:val="auto"/>
          <w:sz w:val="22"/>
          <w:szCs w:val="22"/>
        </w:rPr>
      </w:pPr>
      <w:r>
        <w:rPr>
          <w:rFonts w:hint="eastAsia" w:ascii="宋体" w:hAnsi="宋体" w:cs="宋体"/>
          <w:bCs/>
          <w:color w:val="auto"/>
          <w:sz w:val="22"/>
          <w:szCs w:val="22"/>
        </w:rPr>
        <w:t xml:space="preserve">2.   </w:t>
      </w:r>
      <w:r>
        <w:rPr>
          <w:rFonts w:hint="eastAsia" w:ascii="宋体" w:hAnsi="宋体" w:cs="宋体"/>
          <w:b/>
          <w:bCs/>
          <w:color w:val="auto"/>
          <w:sz w:val="22"/>
          <w:szCs w:val="22"/>
        </w:rPr>
        <w:t>成交公告</w:t>
      </w:r>
    </w:p>
    <w:p w14:paraId="1F15FEC1">
      <w:pPr>
        <w:spacing w:line="440" w:lineRule="exact"/>
        <w:ind w:left="550" w:hanging="550" w:hangingChars="250"/>
        <w:rPr>
          <w:rFonts w:ascii="宋体" w:hAnsi="宋体" w:cs="宋体"/>
          <w:b/>
          <w:bCs/>
          <w:color w:val="auto"/>
          <w:sz w:val="22"/>
          <w:szCs w:val="22"/>
        </w:rPr>
      </w:pPr>
      <w:r>
        <w:rPr>
          <w:rFonts w:hint="eastAsia" w:ascii="宋体" w:hAnsi="宋体" w:cs="宋体"/>
          <w:bCs/>
          <w:color w:val="auto"/>
          <w:sz w:val="22"/>
          <w:szCs w:val="22"/>
        </w:rPr>
        <w:t>2.1  采购人或者采购代理机构应当自成交供应商确定之日起2个工作日内，在省级以上财政部门指定的媒体上公告成交结果，磋商文件应当随成交结果同时公告。</w:t>
      </w:r>
    </w:p>
    <w:p w14:paraId="7E7A01E4">
      <w:pPr>
        <w:spacing w:line="440" w:lineRule="exact"/>
        <w:rPr>
          <w:rFonts w:ascii="宋体" w:hAnsi="宋体"/>
          <w:bCs/>
          <w:color w:val="auto"/>
          <w:sz w:val="22"/>
          <w:szCs w:val="22"/>
        </w:rPr>
      </w:pPr>
      <w:r>
        <w:rPr>
          <w:rFonts w:hint="eastAsia" w:ascii="宋体" w:hAnsi="宋体"/>
          <w:b/>
          <w:bCs/>
          <w:color w:val="auto"/>
          <w:sz w:val="22"/>
          <w:szCs w:val="22"/>
        </w:rPr>
        <w:t xml:space="preserve">3． </w:t>
      </w:r>
      <w:r>
        <w:rPr>
          <w:rFonts w:hint="eastAsia" w:ascii="宋体" w:hAnsi="宋体"/>
          <w:bCs/>
          <w:color w:val="auto"/>
          <w:sz w:val="22"/>
          <w:szCs w:val="22"/>
        </w:rPr>
        <w:t xml:space="preserve"> </w:t>
      </w:r>
      <w:r>
        <w:rPr>
          <w:rFonts w:hint="eastAsia" w:ascii="宋体" w:hAnsi="宋体"/>
          <w:b/>
          <w:bCs/>
          <w:color w:val="auto"/>
          <w:sz w:val="22"/>
          <w:szCs w:val="22"/>
        </w:rPr>
        <w:t>成交通知书</w:t>
      </w:r>
    </w:p>
    <w:p w14:paraId="688EC816">
      <w:pPr>
        <w:spacing w:line="440" w:lineRule="exact"/>
        <w:rPr>
          <w:rFonts w:ascii="宋体" w:hAnsi="宋体"/>
          <w:b w:val="0"/>
          <w:bCs w:val="0"/>
          <w:color w:val="auto"/>
          <w:sz w:val="22"/>
          <w:szCs w:val="22"/>
        </w:rPr>
      </w:pPr>
      <w:r>
        <w:rPr>
          <w:rFonts w:hint="eastAsia" w:ascii="宋体" w:hAnsi="宋体"/>
          <w:b w:val="0"/>
          <w:bCs w:val="0"/>
          <w:color w:val="auto"/>
          <w:sz w:val="22"/>
          <w:szCs w:val="22"/>
        </w:rPr>
        <w:t>3.1  成交供应商确定后，招标采购单位在发布成交公告的同时向成交供应商签发成交通知书。</w:t>
      </w:r>
    </w:p>
    <w:p w14:paraId="618C2CA0">
      <w:pPr>
        <w:spacing w:line="440" w:lineRule="exact"/>
        <w:rPr>
          <w:rFonts w:ascii="宋体" w:hAnsi="宋体"/>
          <w:bCs/>
          <w:color w:val="auto"/>
          <w:sz w:val="22"/>
          <w:szCs w:val="22"/>
        </w:rPr>
      </w:pPr>
      <w:r>
        <w:rPr>
          <w:rFonts w:hint="eastAsia" w:ascii="宋体" w:hAnsi="宋体"/>
          <w:b w:val="0"/>
          <w:bCs w:val="0"/>
          <w:color w:val="auto"/>
          <w:sz w:val="22"/>
          <w:szCs w:val="22"/>
        </w:rPr>
        <w:t>3.2  成交通</w:t>
      </w:r>
      <w:r>
        <w:rPr>
          <w:rFonts w:hint="eastAsia" w:ascii="宋体" w:hAnsi="宋体"/>
          <w:color w:val="auto"/>
          <w:sz w:val="22"/>
          <w:szCs w:val="22"/>
        </w:rPr>
        <w:t>知书是合同的一个组成部分,对采购人和成交供应商均具有同等法律效力。</w:t>
      </w:r>
    </w:p>
    <w:p w14:paraId="2A8BD09D">
      <w:pPr>
        <w:spacing w:line="440" w:lineRule="exact"/>
        <w:rPr>
          <w:rFonts w:ascii="宋体" w:hAnsi="宋体"/>
          <w:b/>
          <w:bCs/>
          <w:color w:val="auto"/>
          <w:sz w:val="22"/>
          <w:szCs w:val="22"/>
        </w:rPr>
      </w:pPr>
      <w:r>
        <w:rPr>
          <w:rFonts w:hint="eastAsia" w:ascii="宋体" w:hAnsi="宋体"/>
          <w:b/>
          <w:bCs/>
          <w:color w:val="auto"/>
          <w:sz w:val="22"/>
          <w:szCs w:val="22"/>
        </w:rPr>
        <w:t>4．  签订合同</w:t>
      </w:r>
    </w:p>
    <w:p w14:paraId="6E3A1924">
      <w:pPr>
        <w:spacing w:line="440" w:lineRule="exact"/>
        <w:ind w:left="550" w:hanging="550" w:hangingChars="250"/>
        <w:rPr>
          <w:rFonts w:ascii="宋体" w:hAnsi="宋体"/>
          <w:bCs/>
          <w:color w:val="auto"/>
          <w:sz w:val="22"/>
          <w:szCs w:val="22"/>
        </w:rPr>
      </w:pPr>
      <w:r>
        <w:rPr>
          <w:rFonts w:hint="eastAsia" w:ascii="宋体" w:hAnsi="宋体"/>
          <w:bCs/>
          <w:color w:val="auto"/>
          <w:sz w:val="22"/>
          <w:szCs w:val="22"/>
        </w:rPr>
        <w:t>4.1  成交供应商应按成交通知书规定的时间、地点以及其他内容与采购人签订合同。</w:t>
      </w:r>
    </w:p>
    <w:p w14:paraId="74A62D80">
      <w:pPr>
        <w:spacing w:line="440" w:lineRule="exact"/>
        <w:ind w:left="550" w:hanging="550" w:hangingChars="250"/>
        <w:rPr>
          <w:rFonts w:ascii="宋体" w:hAnsi="宋体"/>
          <w:b w:val="0"/>
          <w:bCs w:val="0"/>
          <w:color w:val="auto"/>
          <w:sz w:val="22"/>
          <w:szCs w:val="22"/>
        </w:rPr>
      </w:pPr>
      <w:r>
        <w:rPr>
          <w:rFonts w:hint="eastAsia" w:ascii="宋体" w:hAnsi="宋体"/>
          <w:b w:val="0"/>
          <w:bCs w:val="0"/>
          <w:color w:val="auto"/>
          <w:sz w:val="22"/>
          <w:szCs w:val="22"/>
        </w:rPr>
        <w:t xml:space="preserve">4.2  </w:t>
      </w:r>
      <w:r>
        <w:rPr>
          <w:rFonts w:hint="eastAsia" w:ascii="宋体" w:hAnsi="宋体"/>
          <w:b w:val="0"/>
          <w:bCs w:val="0"/>
          <w:color w:val="auto"/>
          <w:spacing w:val="6"/>
          <w:sz w:val="22"/>
          <w:szCs w:val="22"/>
        </w:rPr>
        <w:t>在签订合同前，采购人有权在成交总价不变的前提下要求成交供应商对商务报价中的不平衡报价和缺漏项进行调整，如果成交供应商无合理理由拒绝调整，其成交资格将被取消，且将导致其它进一步的赔偿和处罚。</w:t>
      </w:r>
    </w:p>
    <w:p w14:paraId="4B3AA384">
      <w:pPr>
        <w:spacing w:line="440" w:lineRule="exact"/>
        <w:ind w:left="550" w:hanging="550" w:hangingChars="250"/>
        <w:rPr>
          <w:rFonts w:ascii="宋体" w:hAnsi="宋体"/>
          <w:bCs/>
          <w:color w:val="auto"/>
          <w:sz w:val="22"/>
          <w:szCs w:val="22"/>
        </w:rPr>
      </w:pPr>
      <w:r>
        <w:rPr>
          <w:rFonts w:hint="eastAsia" w:ascii="宋体" w:hAnsi="宋体"/>
          <w:color w:val="auto"/>
          <w:sz w:val="22"/>
          <w:szCs w:val="22"/>
        </w:rPr>
        <w:t>4.3  竞争性磋商文件、成交供应商的响应文件、响应修改文件、评审过程中有关澄清文件及经磋商供应商和磋商小组双方签字的磋商纪要和成交通知书均作为合同附件。</w:t>
      </w:r>
    </w:p>
    <w:p w14:paraId="6C962CCA">
      <w:pPr>
        <w:spacing w:line="440" w:lineRule="exact"/>
        <w:ind w:left="550" w:hanging="550" w:hangingChars="250"/>
        <w:rPr>
          <w:rFonts w:ascii="宋体" w:hAnsi="宋体"/>
          <w:bCs/>
          <w:color w:val="auto"/>
          <w:sz w:val="22"/>
          <w:szCs w:val="22"/>
        </w:rPr>
      </w:pPr>
      <w:r>
        <w:rPr>
          <w:rFonts w:hint="eastAsia" w:ascii="宋体" w:hAnsi="宋体"/>
          <w:color w:val="auto"/>
          <w:sz w:val="22"/>
          <w:szCs w:val="22"/>
        </w:rPr>
        <w:t>4.4  拒签合同的违约责任</w:t>
      </w:r>
    </w:p>
    <w:p w14:paraId="5C7FCF74">
      <w:pPr>
        <w:spacing w:line="440" w:lineRule="exact"/>
        <w:ind w:left="565" w:leftChars="269"/>
        <w:rPr>
          <w:rFonts w:ascii="宋体" w:hAnsi="宋体"/>
          <w:b w:val="0"/>
          <w:bCs/>
          <w:color w:val="auto"/>
          <w:spacing w:val="6"/>
          <w:sz w:val="22"/>
          <w:szCs w:val="22"/>
        </w:rPr>
      </w:pPr>
      <w:r>
        <w:rPr>
          <w:rFonts w:hint="eastAsia" w:ascii="宋体" w:hAnsi="宋体"/>
          <w:b w:val="0"/>
          <w:bCs/>
          <w:color w:val="auto"/>
          <w:spacing w:val="6"/>
          <w:sz w:val="22"/>
          <w:szCs w:val="22"/>
        </w:rPr>
        <w:t>成交供应商接到成交通知书后，在规定时间内借故否认已经承诺的条件而拒签合同的，报采购监管部门处理。</w:t>
      </w:r>
    </w:p>
    <w:p w14:paraId="6F73C1A8">
      <w:pPr>
        <w:spacing w:line="440" w:lineRule="exact"/>
        <w:ind w:left="571" w:hanging="568" w:hangingChars="245"/>
        <w:rPr>
          <w:b w:val="0"/>
          <w:bCs/>
          <w:color w:val="auto"/>
        </w:rPr>
      </w:pPr>
      <w:r>
        <w:rPr>
          <w:rFonts w:hint="eastAsia" w:ascii="宋体" w:hAnsi="宋体"/>
          <w:b w:val="0"/>
          <w:bCs/>
          <w:color w:val="auto"/>
          <w:spacing w:val="6"/>
          <w:sz w:val="22"/>
          <w:szCs w:val="22"/>
        </w:rPr>
        <w:t>4.4  合同一式五份，其中采购人二份，成交供应商二份，采购代理机构备案一份。成交供应商在采购合同签订后应及时提交壹份交采购代理机构备案。</w:t>
      </w:r>
    </w:p>
    <w:p w14:paraId="48FA792B">
      <w:pPr>
        <w:spacing w:line="440" w:lineRule="exact"/>
        <w:rPr>
          <w:rFonts w:hint="eastAsia" w:ascii="宋体" w:hAnsi="宋体" w:eastAsia="宋体"/>
          <w:b/>
          <w:color w:val="auto"/>
          <w:spacing w:val="6"/>
          <w:sz w:val="22"/>
          <w:szCs w:val="22"/>
          <w:lang w:val="en-US" w:eastAsia="zh-CN"/>
        </w:rPr>
      </w:pPr>
      <w:r>
        <w:rPr>
          <w:rFonts w:hint="eastAsia" w:ascii="宋体" w:hAnsi="宋体"/>
          <w:b/>
          <w:color w:val="auto"/>
          <w:spacing w:val="6"/>
          <w:sz w:val="22"/>
          <w:szCs w:val="22"/>
        </w:rPr>
        <w:t>5.   合同履行时更改采购数量的</w:t>
      </w:r>
      <w:r>
        <w:rPr>
          <w:rFonts w:hint="eastAsia" w:ascii="宋体" w:hAnsi="宋体"/>
          <w:b/>
          <w:color w:val="auto"/>
          <w:spacing w:val="6"/>
          <w:sz w:val="22"/>
          <w:szCs w:val="22"/>
          <w:lang w:val="en-US" w:eastAsia="zh-CN"/>
        </w:rPr>
        <w:t>权利</w:t>
      </w:r>
    </w:p>
    <w:p w14:paraId="326F928B">
      <w:pPr>
        <w:spacing w:line="440" w:lineRule="exact"/>
        <w:ind w:left="571" w:hanging="568" w:hangingChars="245"/>
        <w:rPr>
          <w:rFonts w:hint="eastAsia" w:ascii="宋体" w:hAnsi="宋体"/>
          <w:b w:val="0"/>
          <w:bCs/>
          <w:color w:val="auto"/>
          <w:spacing w:val="6"/>
          <w:sz w:val="22"/>
          <w:szCs w:val="22"/>
        </w:rPr>
      </w:pPr>
      <w:r>
        <w:rPr>
          <w:rFonts w:hint="eastAsia" w:ascii="宋体" w:hAnsi="宋体"/>
          <w:b w:val="0"/>
          <w:bCs/>
          <w:color w:val="auto"/>
          <w:spacing w:val="6"/>
          <w:sz w:val="22"/>
          <w:szCs w:val="22"/>
        </w:rPr>
        <w:t>5.1  在合同履行中，采购人需追加与合同标的相同的货物、工程或者服务的，在不改变合同其他条款的前提下，可以与供应商协商签订补充合同，但所有补充合同的采购金额不得超过原采购合同金额的百分之十。</w:t>
      </w:r>
    </w:p>
    <w:p w14:paraId="78DA0579">
      <w:pPr>
        <w:shd w:val="clear"/>
        <w:spacing w:line="440" w:lineRule="exact"/>
        <w:rPr>
          <w:rFonts w:hint="eastAsia" w:ascii="宋体" w:hAnsi="宋体"/>
          <w:b/>
          <w:color w:val="auto"/>
          <w:spacing w:val="6"/>
          <w:sz w:val="22"/>
          <w:szCs w:val="22"/>
          <w:highlight w:val="none"/>
        </w:rPr>
      </w:pPr>
      <w:r>
        <w:rPr>
          <w:rFonts w:hint="eastAsia" w:ascii="宋体" w:hAnsi="宋体"/>
          <w:b/>
          <w:color w:val="auto"/>
          <w:spacing w:val="6"/>
          <w:sz w:val="22"/>
          <w:szCs w:val="22"/>
          <w:highlight w:val="none"/>
          <w:lang w:val="en-US" w:eastAsia="zh-CN"/>
        </w:rPr>
        <w:t>6</w:t>
      </w:r>
      <w:r>
        <w:rPr>
          <w:rFonts w:hint="eastAsia" w:ascii="宋体" w:hAnsi="宋体"/>
          <w:b/>
          <w:color w:val="auto"/>
          <w:spacing w:val="6"/>
          <w:sz w:val="22"/>
          <w:szCs w:val="22"/>
          <w:highlight w:val="none"/>
        </w:rPr>
        <w:t>．  履约保证金</w:t>
      </w:r>
    </w:p>
    <w:p w14:paraId="4BDB1F20">
      <w:pPr>
        <w:spacing w:line="440" w:lineRule="exact"/>
        <w:rPr>
          <w:rFonts w:ascii="宋体" w:hAnsi="宋体" w:cs="宋体"/>
          <w:color w:val="auto"/>
          <w:spacing w:val="6"/>
          <w:sz w:val="22"/>
        </w:rPr>
      </w:pPr>
      <w:bookmarkStart w:id="87" w:name="_Toc78874943"/>
      <w:bookmarkStart w:id="88" w:name="_Toc77407760"/>
      <w:bookmarkStart w:id="89" w:name="_Toc17908"/>
      <w:bookmarkStart w:id="90" w:name="_Toc15816"/>
      <w:bookmarkStart w:id="91" w:name="_Toc77410345"/>
      <w:bookmarkStart w:id="92" w:name="_Toc83738068"/>
      <w:bookmarkStart w:id="93" w:name="_Toc2681"/>
      <w:bookmarkStart w:id="94" w:name="_Toc24138"/>
      <w:bookmarkStart w:id="95" w:name="_Toc88679991"/>
      <w:r>
        <w:rPr>
          <w:rFonts w:hint="eastAsia" w:ascii="宋体" w:hAnsi="宋体" w:cs="宋体"/>
          <w:color w:val="auto"/>
          <w:spacing w:val="6"/>
          <w:sz w:val="22"/>
        </w:rPr>
        <w:t>6.1  供应商</w:t>
      </w:r>
      <w:r>
        <w:rPr>
          <w:rFonts w:hint="eastAsia" w:ascii="宋体" w:hAnsi="宋体" w:cs="宋体"/>
          <w:color w:val="auto"/>
          <w:sz w:val="22"/>
        </w:rPr>
        <w:t>在收到成交通知书后，签订合同后7个工作日内须向采购人提交履约保证金。</w:t>
      </w:r>
    </w:p>
    <w:p w14:paraId="32892A1E">
      <w:pPr>
        <w:spacing w:line="440" w:lineRule="exact"/>
        <w:rPr>
          <w:rFonts w:ascii="宋体" w:hAnsi="宋体" w:cs="宋体"/>
          <w:color w:val="auto"/>
          <w:spacing w:val="6"/>
          <w:sz w:val="22"/>
        </w:rPr>
      </w:pPr>
      <w:r>
        <w:rPr>
          <w:rFonts w:hint="eastAsia" w:ascii="宋体" w:hAnsi="宋体" w:cs="宋体"/>
          <w:color w:val="auto"/>
          <w:spacing w:val="6"/>
          <w:sz w:val="22"/>
        </w:rPr>
        <w:t>6.2  履约保证金用于补偿采购人因成交供应商不能履行其合同义务而蒙受的损失。</w:t>
      </w:r>
    </w:p>
    <w:p w14:paraId="1B87B8E1">
      <w:pPr>
        <w:spacing w:line="440" w:lineRule="exact"/>
        <w:ind w:left="580" w:hanging="580" w:hangingChars="250"/>
        <w:rPr>
          <w:rFonts w:hint="eastAsia" w:ascii="宋体" w:hAnsi="宋体" w:cs="宋体"/>
          <w:color w:val="auto"/>
          <w:sz w:val="22"/>
        </w:rPr>
      </w:pPr>
      <w:r>
        <w:rPr>
          <w:rFonts w:hint="eastAsia" w:ascii="宋体" w:hAnsi="宋体" w:cs="宋体"/>
          <w:color w:val="auto"/>
          <w:spacing w:val="6"/>
          <w:sz w:val="22"/>
        </w:rPr>
        <w:t xml:space="preserve">6.3  </w:t>
      </w:r>
      <w:r>
        <w:rPr>
          <w:rFonts w:hint="eastAsia" w:ascii="宋体" w:hAnsi="宋体" w:cs="宋体"/>
          <w:color w:val="auto"/>
          <w:sz w:val="22"/>
        </w:rPr>
        <w:t>履约保证金自合同签订之日起至项目结束止有效。有效期满后，采购人应及时将履约保证金无息退还给</w:t>
      </w:r>
      <w:r>
        <w:rPr>
          <w:rFonts w:hint="eastAsia" w:ascii="宋体" w:hAnsi="宋体" w:cs="宋体"/>
          <w:color w:val="auto"/>
          <w:spacing w:val="6"/>
          <w:sz w:val="22"/>
        </w:rPr>
        <w:t>成交供应商</w:t>
      </w:r>
      <w:r>
        <w:rPr>
          <w:rFonts w:hint="eastAsia" w:ascii="宋体" w:hAnsi="宋体" w:cs="宋体"/>
          <w:color w:val="auto"/>
          <w:sz w:val="22"/>
        </w:rPr>
        <w:t xml:space="preserve">。 </w:t>
      </w:r>
    </w:p>
    <w:p w14:paraId="65565353">
      <w:pPr>
        <w:pStyle w:val="3"/>
        <w:spacing w:line="520" w:lineRule="exact"/>
        <w:jc w:val="center"/>
        <w:rPr>
          <w:color w:val="auto"/>
          <w:sz w:val="28"/>
          <w:szCs w:val="28"/>
        </w:rPr>
      </w:pPr>
      <w:bookmarkStart w:id="96" w:name="_Toc4822"/>
      <w:r>
        <w:rPr>
          <w:rFonts w:hint="eastAsia"/>
          <w:color w:val="auto"/>
          <w:sz w:val="28"/>
          <w:szCs w:val="28"/>
        </w:rPr>
        <w:t>七、可中止电子交易活动的情形</w:t>
      </w:r>
      <w:bookmarkEnd w:id="87"/>
      <w:bookmarkEnd w:id="88"/>
      <w:bookmarkEnd w:id="89"/>
      <w:bookmarkEnd w:id="90"/>
      <w:bookmarkEnd w:id="91"/>
      <w:bookmarkEnd w:id="92"/>
      <w:bookmarkEnd w:id="93"/>
      <w:bookmarkEnd w:id="94"/>
      <w:bookmarkEnd w:id="95"/>
      <w:bookmarkEnd w:id="96"/>
    </w:p>
    <w:p w14:paraId="1F20130C">
      <w:pPr>
        <w:tabs>
          <w:tab w:val="left" w:pos="1365"/>
        </w:tabs>
        <w:spacing w:line="440" w:lineRule="exact"/>
        <w:ind w:left="525" w:leftChars="250"/>
        <w:rPr>
          <w:rFonts w:ascii="宋体" w:hAnsi="宋体" w:cs="宋体"/>
          <w:color w:val="auto"/>
          <w:sz w:val="22"/>
          <w:szCs w:val="22"/>
        </w:rPr>
      </w:pPr>
      <w:r>
        <w:rPr>
          <w:rFonts w:hint="eastAsia" w:ascii="宋体" w:hAnsi="宋体" w:cs="宋体"/>
          <w:color w:val="auto"/>
          <w:sz w:val="22"/>
          <w:szCs w:val="22"/>
        </w:rPr>
        <w:t>采购过程中出现以下情形，导致电子交易平台无法正常运行，或者无法保证电子交易的公平、公正和安全时，采购代理机构可中止电子交易活动：</w:t>
      </w:r>
    </w:p>
    <w:p w14:paraId="6BFC1C6A">
      <w:pPr>
        <w:tabs>
          <w:tab w:val="left" w:pos="1365"/>
        </w:tabs>
        <w:spacing w:line="440" w:lineRule="exact"/>
        <w:ind w:left="550" w:hanging="550" w:hangingChars="250"/>
        <w:rPr>
          <w:rFonts w:ascii="宋体" w:hAnsi="宋体" w:cs="宋体"/>
          <w:color w:val="auto"/>
          <w:sz w:val="22"/>
          <w:szCs w:val="22"/>
        </w:rPr>
      </w:pPr>
      <w:r>
        <w:rPr>
          <w:rFonts w:ascii="宋体" w:hAnsi="宋体" w:cs="宋体"/>
          <w:color w:val="auto"/>
          <w:sz w:val="22"/>
          <w:szCs w:val="22"/>
        </w:rPr>
        <w:t xml:space="preserve">1.   </w:t>
      </w:r>
      <w:r>
        <w:rPr>
          <w:rFonts w:hint="eastAsia" w:ascii="宋体" w:hAnsi="宋体" w:cs="宋体"/>
          <w:color w:val="auto"/>
          <w:sz w:val="22"/>
          <w:szCs w:val="22"/>
        </w:rPr>
        <w:t>电子交易平台发生故障而无法登录访问的；</w:t>
      </w:r>
    </w:p>
    <w:p w14:paraId="6B5CC0BC">
      <w:pPr>
        <w:tabs>
          <w:tab w:val="left" w:pos="1365"/>
        </w:tabs>
        <w:spacing w:line="440" w:lineRule="exact"/>
        <w:ind w:left="550" w:hanging="550" w:hangingChars="250"/>
        <w:rPr>
          <w:rFonts w:ascii="宋体" w:hAnsi="宋体" w:cs="宋体"/>
          <w:color w:val="auto"/>
          <w:sz w:val="22"/>
          <w:szCs w:val="22"/>
        </w:rPr>
      </w:pPr>
      <w:r>
        <w:rPr>
          <w:rFonts w:ascii="宋体" w:hAnsi="宋体" w:cs="宋体"/>
          <w:color w:val="auto"/>
          <w:sz w:val="22"/>
          <w:szCs w:val="22"/>
        </w:rPr>
        <w:t xml:space="preserve">2.   </w:t>
      </w:r>
      <w:r>
        <w:rPr>
          <w:rFonts w:hint="eastAsia" w:ascii="宋体" w:hAnsi="宋体" w:cs="宋体"/>
          <w:color w:val="auto"/>
          <w:sz w:val="22"/>
          <w:szCs w:val="22"/>
        </w:rPr>
        <w:t>电子交易平台应用或数据库出现错误，不能进行正常操作的；</w:t>
      </w:r>
    </w:p>
    <w:p w14:paraId="6AF9EDB2">
      <w:pPr>
        <w:tabs>
          <w:tab w:val="left" w:pos="1365"/>
        </w:tabs>
        <w:spacing w:line="440" w:lineRule="exact"/>
        <w:ind w:left="550" w:hanging="550" w:hangingChars="250"/>
        <w:rPr>
          <w:rFonts w:ascii="宋体" w:hAnsi="宋体" w:cs="宋体"/>
          <w:color w:val="auto"/>
          <w:sz w:val="22"/>
          <w:szCs w:val="22"/>
        </w:rPr>
      </w:pPr>
      <w:r>
        <w:rPr>
          <w:rFonts w:ascii="宋体" w:hAnsi="宋体" w:cs="宋体"/>
          <w:color w:val="auto"/>
          <w:sz w:val="22"/>
          <w:szCs w:val="22"/>
        </w:rPr>
        <w:t xml:space="preserve">3.   </w:t>
      </w:r>
      <w:r>
        <w:rPr>
          <w:rFonts w:hint="eastAsia" w:ascii="宋体" w:hAnsi="宋体" w:cs="宋体"/>
          <w:color w:val="auto"/>
          <w:sz w:val="22"/>
          <w:szCs w:val="22"/>
        </w:rPr>
        <w:t>电子交易平台发现严重安全漏洞，有潜在泄密危险的；</w:t>
      </w:r>
    </w:p>
    <w:p w14:paraId="66756EA6">
      <w:pPr>
        <w:tabs>
          <w:tab w:val="left" w:pos="1365"/>
        </w:tabs>
        <w:spacing w:line="440" w:lineRule="exact"/>
        <w:ind w:left="550" w:hanging="550" w:hangingChars="250"/>
        <w:rPr>
          <w:rFonts w:ascii="宋体" w:hAnsi="宋体" w:cs="宋体"/>
          <w:color w:val="auto"/>
          <w:sz w:val="22"/>
          <w:szCs w:val="22"/>
        </w:rPr>
      </w:pPr>
      <w:r>
        <w:rPr>
          <w:rFonts w:ascii="宋体" w:hAnsi="宋体" w:cs="宋体"/>
          <w:color w:val="auto"/>
          <w:sz w:val="22"/>
          <w:szCs w:val="22"/>
        </w:rPr>
        <w:t xml:space="preserve">4.   </w:t>
      </w:r>
      <w:r>
        <w:rPr>
          <w:rFonts w:hint="eastAsia" w:ascii="宋体" w:hAnsi="宋体" w:cs="宋体"/>
          <w:color w:val="auto"/>
          <w:sz w:val="22"/>
          <w:szCs w:val="22"/>
        </w:rPr>
        <w:t>病毒发作导致不能进行正常操作的；</w:t>
      </w:r>
    </w:p>
    <w:p w14:paraId="11CEDA9C">
      <w:pPr>
        <w:tabs>
          <w:tab w:val="left" w:pos="1365"/>
        </w:tabs>
        <w:spacing w:line="440" w:lineRule="exact"/>
        <w:ind w:left="550" w:hanging="550" w:hangingChars="250"/>
        <w:rPr>
          <w:rFonts w:ascii="宋体" w:hAnsi="宋体" w:cs="宋体"/>
          <w:color w:val="auto"/>
          <w:sz w:val="22"/>
          <w:szCs w:val="22"/>
        </w:rPr>
      </w:pPr>
      <w:r>
        <w:rPr>
          <w:rFonts w:ascii="宋体" w:hAnsi="宋体" w:cs="宋体"/>
          <w:color w:val="auto"/>
          <w:sz w:val="22"/>
          <w:szCs w:val="22"/>
        </w:rPr>
        <w:t xml:space="preserve">5.   </w:t>
      </w:r>
      <w:r>
        <w:rPr>
          <w:rFonts w:hint="eastAsia" w:ascii="宋体" w:hAnsi="宋体" w:cs="宋体"/>
          <w:color w:val="auto"/>
          <w:sz w:val="22"/>
          <w:szCs w:val="22"/>
        </w:rPr>
        <w:t>其他无法保证电子交易的公平、公正和安全的情况。</w:t>
      </w:r>
    </w:p>
    <w:p w14:paraId="26BC43EE">
      <w:pPr>
        <w:tabs>
          <w:tab w:val="left" w:pos="1365"/>
        </w:tabs>
        <w:spacing w:line="440" w:lineRule="exact"/>
        <w:ind w:left="420" w:leftChars="200" w:firstLine="110" w:firstLineChars="50"/>
        <w:rPr>
          <w:rFonts w:hint="eastAsia" w:ascii="宋体" w:hAnsi="宋体" w:cs="宋体"/>
          <w:color w:val="auto"/>
          <w:sz w:val="22"/>
          <w:szCs w:val="22"/>
        </w:rPr>
      </w:pPr>
      <w:r>
        <w:rPr>
          <w:rFonts w:hint="eastAsia" w:ascii="宋体" w:hAnsi="宋体" w:cs="宋体"/>
          <w:color w:val="auto"/>
          <w:sz w:val="22"/>
          <w:szCs w:val="22"/>
        </w:rPr>
        <w:t>出现前款规定情形，不影响采购公平、公正性的，采购代理机构可以待上述情形消除后继续组织电子交易活动；影响或可能影响采购公平、公正性的，应当重新采购。</w:t>
      </w:r>
    </w:p>
    <w:p w14:paraId="44A42C6B">
      <w:pPr>
        <w:pStyle w:val="3"/>
        <w:numPr>
          <w:ilvl w:val="0"/>
          <w:numId w:val="0"/>
        </w:numPr>
        <w:spacing w:line="680" w:lineRule="exact"/>
        <w:jc w:val="center"/>
        <w:rPr>
          <w:rFonts w:hint="eastAsia" w:ascii="宋体" w:hAnsi="宋体" w:eastAsia="宋体" w:cs="宋体"/>
          <w:color w:val="auto"/>
          <w:sz w:val="28"/>
          <w:szCs w:val="28"/>
          <w:lang w:val="en-US" w:eastAsia="zh-CN"/>
        </w:rPr>
      </w:pPr>
      <w:bookmarkStart w:id="97" w:name="_Toc13429"/>
      <w:bookmarkStart w:id="98" w:name="_Toc24950"/>
      <w:r>
        <w:rPr>
          <w:rFonts w:hint="eastAsia" w:ascii="宋体" w:hAnsi="宋体" w:eastAsia="宋体" w:cs="宋体"/>
          <w:color w:val="auto"/>
          <w:sz w:val="28"/>
          <w:szCs w:val="28"/>
          <w:lang w:val="en-US" w:eastAsia="zh-CN"/>
        </w:rPr>
        <w:t>八、验  收</w:t>
      </w:r>
      <w:bookmarkEnd w:id="97"/>
      <w:bookmarkEnd w:id="98"/>
    </w:p>
    <w:p w14:paraId="4769AD4D">
      <w:pPr>
        <w:tabs>
          <w:tab w:val="left" w:pos="1365"/>
        </w:tabs>
        <w:spacing w:line="440" w:lineRule="exact"/>
        <w:ind w:left="550" w:hanging="550" w:hangingChars="250"/>
        <w:rPr>
          <w:rFonts w:hint="eastAsia" w:ascii="宋体" w:hAnsi="宋体" w:eastAsia="宋体" w:cs="宋体"/>
          <w:color w:val="auto"/>
          <w:kern w:val="2"/>
          <w:sz w:val="22"/>
          <w:szCs w:val="22"/>
        </w:rPr>
      </w:pPr>
      <w:r>
        <w:rPr>
          <w:rFonts w:hint="eastAsia" w:ascii="宋体" w:hAnsi="宋体" w:eastAsia="宋体" w:cs="宋体"/>
          <w:color w:val="auto"/>
          <w:sz w:val="22"/>
          <w:szCs w:val="22"/>
          <w:lang w:val="en-US" w:eastAsia="zh-CN"/>
        </w:rPr>
        <w:t xml:space="preserve">1.   </w:t>
      </w:r>
      <w:r>
        <w:rPr>
          <w:rFonts w:hint="eastAsia" w:ascii="宋体" w:hAnsi="宋体" w:eastAsia="宋体" w:cs="宋体"/>
          <w:color w:val="auto"/>
          <w:kern w:val="2"/>
          <w:sz w:val="22"/>
          <w:szCs w:val="22"/>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7C6CA19">
      <w:pPr>
        <w:tabs>
          <w:tab w:val="left" w:pos="1365"/>
        </w:tabs>
        <w:spacing w:line="440" w:lineRule="exact"/>
        <w:ind w:left="550" w:hanging="550" w:hangingChars="250"/>
        <w:rPr>
          <w:rFonts w:hint="eastAsia" w:ascii="宋体" w:hAnsi="宋体" w:eastAsia="宋体" w:cs="宋体"/>
          <w:color w:val="auto"/>
          <w:kern w:val="2"/>
          <w:sz w:val="22"/>
          <w:szCs w:val="22"/>
        </w:rPr>
      </w:pPr>
      <w:r>
        <w:rPr>
          <w:rFonts w:hint="eastAsia" w:ascii="宋体" w:hAnsi="宋体" w:eastAsia="宋体" w:cs="宋体"/>
          <w:color w:val="auto"/>
          <w:kern w:val="2"/>
          <w:sz w:val="22"/>
          <w:szCs w:val="22"/>
          <w:lang w:eastAsia="zh-CN"/>
        </w:rPr>
        <w:t>2</w:t>
      </w:r>
      <w:r>
        <w:rPr>
          <w:rFonts w:hint="eastAsia" w:ascii="宋体" w:hAnsi="宋体" w:eastAsia="宋体" w:cs="宋体"/>
          <w:color w:val="auto"/>
          <w:kern w:val="2"/>
          <w:sz w:val="22"/>
          <w:szCs w:val="22"/>
          <w:lang w:val="en-US" w:eastAsia="zh-CN"/>
        </w:rPr>
        <w:t xml:space="preserve">.   </w:t>
      </w:r>
      <w:r>
        <w:rPr>
          <w:rFonts w:hint="eastAsia" w:ascii="宋体" w:hAnsi="宋体" w:eastAsia="宋体" w:cs="宋体"/>
          <w:color w:val="auto"/>
          <w:kern w:val="2"/>
          <w:sz w:val="22"/>
          <w:szCs w:val="22"/>
        </w:rPr>
        <w:t>采购人可以邀请参加本项目的其他</w:t>
      </w:r>
      <w:r>
        <w:rPr>
          <w:rFonts w:hint="eastAsia" w:ascii="宋体" w:hAnsi="宋体" w:eastAsia="宋体" w:cs="宋体"/>
          <w:color w:val="auto"/>
          <w:kern w:val="2"/>
          <w:sz w:val="22"/>
          <w:szCs w:val="22"/>
          <w:lang w:eastAsia="zh-CN"/>
        </w:rPr>
        <w:t>供应商</w:t>
      </w:r>
      <w:r>
        <w:rPr>
          <w:rFonts w:hint="eastAsia" w:ascii="宋体" w:hAnsi="宋体" w:eastAsia="宋体" w:cs="宋体"/>
          <w:color w:val="auto"/>
          <w:kern w:val="2"/>
          <w:sz w:val="22"/>
          <w:szCs w:val="22"/>
        </w:rPr>
        <w:t>或者第三方机构参与验收。参与验收的</w:t>
      </w:r>
      <w:r>
        <w:rPr>
          <w:rFonts w:hint="eastAsia" w:ascii="宋体" w:hAnsi="宋体" w:eastAsia="宋体" w:cs="宋体"/>
          <w:color w:val="auto"/>
          <w:kern w:val="2"/>
          <w:sz w:val="22"/>
          <w:szCs w:val="22"/>
          <w:lang w:eastAsia="zh-CN"/>
        </w:rPr>
        <w:t>供应商</w:t>
      </w:r>
      <w:r>
        <w:rPr>
          <w:rFonts w:hint="eastAsia" w:ascii="宋体" w:hAnsi="宋体" w:eastAsia="宋体" w:cs="宋体"/>
          <w:color w:val="auto"/>
          <w:kern w:val="2"/>
          <w:sz w:val="22"/>
          <w:szCs w:val="22"/>
        </w:rPr>
        <w:t>或者第三方机构的意见作为验收书的参考资料一并存档。</w:t>
      </w:r>
    </w:p>
    <w:p w14:paraId="0F08DA31">
      <w:pPr>
        <w:tabs>
          <w:tab w:val="left" w:pos="1365"/>
        </w:tabs>
        <w:spacing w:line="440" w:lineRule="exact"/>
        <w:ind w:left="550" w:hanging="550" w:hangingChars="250"/>
        <w:rPr>
          <w:rFonts w:hint="eastAsia" w:ascii="宋体" w:hAnsi="宋体" w:eastAsia="宋体" w:cs="宋体"/>
          <w:color w:val="auto"/>
          <w:kern w:val="2"/>
          <w:sz w:val="22"/>
          <w:szCs w:val="22"/>
        </w:rPr>
      </w:pPr>
      <w:r>
        <w:rPr>
          <w:rFonts w:hint="eastAsia" w:ascii="宋体" w:hAnsi="宋体" w:eastAsia="宋体" w:cs="宋体"/>
          <w:color w:val="auto"/>
          <w:kern w:val="2"/>
          <w:sz w:val="22"/>
          <w:szCs w:val="22"/>
          <w:lang w:eastAsia="zh-CN"/>
        </w:rPr>
        <w:t>3</w:t>
      </w:r>
      <w:r>
        <w:rPr>
          <w:rFonts w:hint="eastAsia" w:ascii="宋体" w:hAnsi="宋体" w:eastAsia="宋体" w:cs="宋体"/>
          <w:color w:val="auto"/>
          <w:kern w:val="2"/>
          <w:sz w:val="22"/>
          <w:szCs w:val="22"/>
          <w:lang w:val="en-US" w:eastAsia="zh-CN"/>
        </w:rPr>
        <w:t xml:space="preserve">.   </w:t>
      </w:r>
      <w:r>
        <w:rPr>
          <w:rFonts w:hint="eastAsia" w:ascii="宋体" w:hAnsi="宋体" w:eastAsia="宋体" w:cs="宋体"/>
          <w:color w:val="auto"/>
          <w:kern w:val="2"/>
          <w:sz w:val="22"/>
          <w:szCs w:val="22"/>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0F9C93B">
      <w:pPr>
        <w:tabs>
          <w:tab w:val="left" w:pos="1365"/>
        </w:tabs>
        <w:spacing w:line="440" w:lineRule="exact"/>
        <w:ind w:left="550" w:hanging="550" w:hangingChars="250"/>
        <w:rPr>
          <w:rFonts w:hint="eastAsia" w:ascii="宋体" w:hAnsi="宋体" w:eastAsia="宋体" w:cs="宋体"/>
          <w:color w:val="auto"/>
          <w:sz w:val="22"/>
          <w:szCs w:val="22"/>
        </w:rPr>
      </w:pPr>
      <w:r>
        <w:rPr>
          <w:rFonts w:hint="eastAsia" w:ascii="宋体" w:hAnsi="宋体" w:eastAsia="宋体" w:cs="宋体"/>
          <w:color w:val="auto"/>
          <w:kern w:val="2"/>
          <w:sz w:val="22"/>
          <w:szCs w:val="22"/>
          <w:lang w:eastAsia="zh-CN"/>
        </w:rPr>
        <w:t>4</w:t>
      </w:r>
      <w:r>
        <w:rPr>
          <w:rFonts w:hint="eastAsia" w:ascii="宋体" w:hAnsi="宋体" w:eastAsia="宋体" w:cs="宋体"/>
          <w:color w:val="auto"/>
          <w:kern w:val="2"/>
          <w:sz w:val="22"/>
          <w:szCs w:val="22"/>
          <w:lang w:val="en-US" w:eastAsia="zh-CN"/>
        </w:rPr>
        <w:t xml:space="preserve">.   </w:t>
      </w:r>
      <w:r>
        <w:rPr>
          <w:rFonts w:hint="eastAsia" w:ascii="宋体" w:hAnsi="宋体" w:eastAsia="宋体" w:cs="宋体"/>
          <w:color w:val="auto"/>
          <w:kern w:val="2"/>
          <w:sz w:val="22"/>
          <w:szCs w:val="22"/>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宋体" w:hAnsi="宋体" w:eastAsia="宋体" w:cs="宋体"/>
          <w:color w:val="auto"/>
          <w:kern w:val="2"/>
          <w:sz w:val="22"/>
          <w:szCs w:val="22"/>
          <w:lang w:eastAsia="zh-CN"/>
        </w:rPr>
        <w:t>。</w:t>
      </w:r>
    </w:p>
    <w:p w14:paraId="707A501B">
      <w:pPr>
        <w:pStyle w:val="28"/>
        <w:rPr>
          <w:color w:val="auto"/>
        </w:rPr>
      </w:pPr>
    </w:p>
    <w:p w14:paraId="7E18C186">
      <w:pPr>
        <w:pStyle w:val="2"/>
        <w:rPr>
          <w:color w:val="auto"/>
        </w:rPr>
        <w:sectPr>
          <w:footerReference r:id="rId7" w:type="first"/>
          <w:footerReference r:id="rId6" w:type="default"/>
          <w:pgSz w:w="11906" w:h="16838"/>
          <w:pgMar w:top="1134" w:right="1134" w:bottom="1134" w:left="1134" w:header="851" w:footer="992" w:gutter="0"/>
          <w:pgNumType w:start="1"/>
          <w:cols w:space="720" w:num="1"/>
          <w:docGrid w:linePitch="312" w:charSpace="0"/>
        </w:sectPr>
      </w:pPr>
    </w:p>
    <w:p w14:paraId="0C26E4C1">
      <w:pPr>
        <w:pStyle w:val="2"/>
        <w:spacing w:line="600" w:lineRule="exact"/>
        <w:jc w:val="center"/>
        <w:rPr>
          <w:rFonts w:ascii="黑体" w:hAnsi="黑体" w:eastAsia="黑体"/>
          <w:color w:val="auto"/>
          <w:sz w:val="36"/>
          <w:szCs w:val="36"/>
        </w:rPr>
      </w:pPr>
      <w:bookmarkStart w:id="99" w:name="_Toc50"/>
      <w:bookmarkStart w:id="100" w:name="_Toc28793"/>
      <w:bookmarkStart w:id="101" w:name="_Toc2"/>
      <w:bookmarkStart w:id="102" w:name="_Toc25591"/>
      <w:bookmarkStart w:id="103" w:name="_Toc24226"/>
      <w:bookmarkStart w:id="104" w:name="_Toc14682749"/>
      <w:bookmarkStart w:id="105" w:name="_Toc30488974"/>
      <w:bookmarkStart w:id="106" w:name="_Toc32532"/>
      <w:bookmarkStart w:id="107" w:name="_Toc195502585"/>
      <w:bookmarkStart w:id="108" w:name="_Toc195502495"/>
      <w:bookmarkStart w:id="109" w:name="_Toc202085295"/>
      <w:r>
        <w:rPr>
          <w:rFonts w:hint="eastAsia" w:ascii="黑体" w:hAnsi="黑体" w:eastAsia="黑体"/>
          <w:color w:val="auto"/>
          <w:sz w:val="36"/>
          <w:szCs w:val="36"/>
        </w:rPr>
        <w:t>第三部分   主要合同条款</w:t>
      </w:r>
      <w:bookmarkEnd w:id="99"/>
      <w:bookmarkEnd w:id="100"/>
      <w:bookmarkEnd w:id="101"/>
      <w:bookmarkEnd w:id="102"/>
      <w:bookmarkEnd w:id="103"/>
      <w:bookmarkEnd w:id="104"/>
      <w:bookmarkEnd w:id="105"/>
      <w:bookmarkEnd w:id="106"/>
    </w:p>
    <w:bookmarkEnd w:id="107"/>
    <w:bookmarkEnd w:id="108"/>
    <w:bookmarkEnd w:id="109"/>
    <w:p w14:paraId="18A01DC4">
      <w:pPr>
        <w:spacing w:line="400" w:lineRule="exact"/>
        <w:jc w:val="center"/>
        <w:rPr>
          <w:rFonts w:ascii="新宋体" w:hAnsi="新宋体" w:eastAsia="新宋体"/>
          <w:color w:val="auto"/>
          <w:sz w:val="22"/>
          <w:szCs w:val="22"/>
          <w:highlight w:val="none"/>
        </w:rPr>
      </w:pPr>
      <w:bookmarkStart w:id="110" w:name="_Toc7928"/>
      <w:bookmarkStart w:id="111" w:name="_Toc29547"/>
      <w:bookmarkStart w:id="112" w:name="_Toc13294"/>
      <w:bookmarkStart w:id="113" w:name="_Toc25683"/>
      <w:bookmarkStart w:id="114" w:name="_Toc14494"/>
      <w:bookmarkStart w:id="115" w:name="_Toc195502586"/>
      <w:bookmarkStart w:id="116" w:name="_Toc202085296"/>
      <w:bookmarkStart w:id="117" w:name="_Toc195502496"/>
      <w:bookmarkStart w:id="118" w:name="_Toc18538"/>
      <w:r>
        <w:rPr>
          <w:rFonts w:hint="eastAsia" w:ascii="宋体" w:hAnsi="宋体" w:cs="宋体"/>
          <w:color w:val="auto"/>
          <w:sz w:val="22"/>
          <w:szCs w:val="22"/>
          <w:highlight w:val="none"/>
          <w:lang w:bidi="ar"/>
        </w:rPr>
        <w:t>（本合同为样稿，最终稿由甲乙方协商后确定）</w:t>
      </w:r>
      <w:r>
        <w:rPr>
          <w:rFonts w:hint="eastAsia" w:ascii="宋体" w:hAnsi="宋体" w:cs="宋体"/>
          <w:b/>
          <w:color w:val="auto"/>
          <w:sz w:val="22"/>
          <w:szCs w:val="22"/>
          <w:highlight w:val="none"/>
          <w:lang w:bidi="ar"/>
        </w:rPr>
        <w:t xml:space="preserve">  </w:t>
      </w:r>
    </w:p>
    <w:bookmarkEnd w:id="110"/>
    <w:bookmarkEnd w:id="111"/>
    <w:p w14:paraId="6214E836">
      <w:pPr>
        <w:spacing w:line="440" w:lineRule="atLeast"/>
        <w:rPr>
          <w:rFonts w:ascii="宋体" w:hAnsi="宋体"/>
          <w:color w:val="auto"/>
          <w:sz w:val="22"/>
          <w:szCs w:val="22"/>
          <w:u w:val="single"/>
        </w:rPr>
      </w:pPr>
      <w:r>
        <w:rPr>
          <w:rFonts w:hint="eastAsia" w:ascii="宋体" w:hAnsi="宋体"/>
          <w:color w:val="auto"/>
          <w:sz w:val="22"/>
          <w:szCs w:val="22"/>
        </w:rPr>
        <w:t>甲</w:t>
      </w:r>
      <w:r>
        <w:rPr>
          <w:rFonts w:ascii="宋体" w:hAnsi="宋体"/>
          <w:color w:val="auto"/>
          <w:sz w:val="22"/>
          <w:szCs w:val="22"/>
        </w:rPr>
        <w:t>方：</w:t>
      </w:r>
      <w:r>
        <w:rPr>
          <w:rFonts w:ascii="宋体" w:hAnsi="宋体"/>
          <w:color w:val="auto"/>
          <w:sz w:val="22"/>
          <w:szCs w:val="22"/>
          <w:u w:val="single"/>
        </w:rPr>
        <w:t xml:space="preserve"> </w:t>
      </w:r>
      <w:r>
        <w:rPr>
          <w:rFonts w:hint="eastAsia" w:ascii="宋体" w:hAnsi="宋体"/>
          <w:color w:val="auto"/>
          <w:sz w:val="22"/>
          <w:szCs w:val="22"/>
          <w:u w:val="single"/>
          <w:lang w:eastAsia="zh-CN"/>
        </w:rPr>
        <w:t>温州市特殊教育学校</w:t>
      </w:r>
      <w:r>
        <w:rPr>
          <w:rFonts w:ascii="宋体" w:hAnsi="宋体"/>
          <w:color w:val="auto"/>
          <w:sz w:val="22"/>
          <w:szCs w:val="22"/>
          <w:u w:val="single"/>
        </w:rPr>
        <w:t xml:space="preserve"> </w:t>
      </w:r>
    </w:p>
    <w:p w14:paraId="34EEA284">
      <w:pPr>
        <w:spacing w:line="440" w:lineRule="atLeast"/>
        <w:rPr>
          <w:rFonts w:ascii="宋体" w:hAnsi="宋体"/>
          <w:color w:val="auto"/>
          <w:sz w:val="22"/>
          <w:szCs w:val="22"/>
        </w:rPr>
      </w:pPr>
      <w:r>
        <w:rPr>
          <w:rFonts w:hint="eastAsia" w:ascii="宋体" w:hAnsi="宋体"/>
          <w:color w:val="auto"/>
          <w:sz w:val="22"/>
          <w:szCs w:val="22"/>
        </w:rPr>
        <w:t>乙</w:t>
      </w:r>
      <w:r>
        <w:rPr>
          <w:rFonts w:ascii="宋体" w:hAnsi="宋体"/>
          <w:color w:val="auto"/>
          <w:sz w:val="22"/>
          <w:szCs w:val="22"/>
        </w:rPr>
        <w:t>方：</w:t>
      </w:r>
      <w:r>
        <w:rPr>
          <w:rFonts w:ascii="宋体" w:hAnsi="宋体"/>
          <w:color w:val="auto"/>
          <w:sz w:val="22"/>
          <w:szCs w:val="22"/>
          <w:u w:val="single"/>
          <w:shd w:val="clear" w:color="auto" w:fill="FFFFFF"/>
        </w:rPr>
        <w:t xml:space="preserve">          </w:t>
      </w:r>
      <w:r>
        <w:rPr>
          <w:rFonts w:hint="eastAsia" w:ascii="宋体" w:hAnsi="宋体"/>
          <w:color w:val="auto"/>
          <w:sz w:val="22"/>
          <w:szCs w:val="22"/>
          <w:u w:val="single"/>
          <w:shd w:val="clear" w:color="auto" w:fill="FFFFFF"/>
        </w:rPr>
        <w:t xml:space="preserve">                            </w:t>
      </w:r>
    </w:p>
    <w:p w14:paraId="4B94D947">
      <w:pPr>
        <w:spacing w:line="440" w:lineRule="atLeast"/>
        <w:ind w:firstLine="440" w:firstLineChars="200"/>
        <w:rPr>
          <w:rFonts w:ascii="宋体" w:hAnsi="宋体"/>
          <w:color w:val="auto"/>
          <w:sz w:val="22"/>
          <w:szCs w:val="22"/>
        </w:rPr>
      </w:pPr>
      <w:r>
        <w:rPr>
          <w:rFonts w:hint="eastAsia" w:ascii="宋体" w:hAnsi="宋体"/>
          <w:color w:val="auto"/>
          <w:sz w:val="22"/>
          <w:szCs w:val="22"/>
          <w:u w:val="single"/>
        </w:rPr>
        <w:t xml:space="preserve">     </w:t>
      </w:r>
      <w:r>
        <w:rPr>
          <w:rFonts w:ascii="宋体" w:hAnsi="宋体"/>
          <w:color w:val="auto"/>
          <w:sz w:val="22"/>
          <w:szCs w:val="22"/>
        </w:rPr>
        <w:t>年</w:t>
      </w:r>
      <w:r>
        <w:rPr>
          <w:rFonts w:ascii="宋体" w:hAnsi="宋体"/>
          <w:color w:val="auto"/>
          <w:sz w:val="22"/>
          <w:szCs w:val="22"/>
          <w:u w:val="single"/>
        </w:rPr>
        <w:t xml:space="preserve">     </w:t>
      </w:r>
      <w:r>
        <w:rPr>
          <w:rFonts w:ascii="宋体" w:hAnsi="宋体"/>
          <w:color w:val="auto"/>
          <w:sz w:val="22"/>
          <w:szCs w:val="22"/>
        </w:rPr>
        <w:t>月</w:t>
      </w:r>
      <w:r>
        <w:rPr>
          <w:rFonts w:ascii="宋体" w:hAnsi="宋体"/>
          <w:color w:val="auto"/>
          <w:sz w:val="22"/>
          <w:szCs w:val="22"/>
          <w:u w:val="single"/>
        </w:rPr>
        <w:t xml:space="preserve">     </w:t>
      </w:r>
      <w:r>
        <w:rPr>
          <w:rFonts w:ascii="宋体" w:hAnsi="宋体"/>
          <w:color w:val="auto"/>
          <w:sz w:val="22"/>
          <w:szCs w:val="22"/>
        </w:rPr>
        <w:t>日在</w:t>
      </w:r>
      <w:r>
        <w:rPr>
          <w:rFonts w:hint="eastAsia" w:ascii="宋体" w:hAnsi="宋体"/>
          <w:color w:val="auto"/>
          <w:sz w:val="22"/>
          <w:szCs w:val="22"/>
          <w:lang w:eastAsia="zh-CN"/>
        </w:rPr>
        <w:t>温州市特殊教育学校</w:t>
      </w:r>
      <w:r>
        <w:rPr>
          <w:rFonts w:ascii="宋体" w:hAnsi="宋体"/>
          <w:color w:val="auto"/>
          <w:sz w:val="22"/>
          <w:szCs w:val="22"/>
        </w:rPr>
        <w:t>的</w:t>
      </w:r>
      <w:r>
        <w:rPr>
          <w:rFonts w:ascii="宋体" w:hAnsi="宋体"/>
          <w:color w:val="auto"/>
          <w:sz w:val="22"/>
          <w:szCs w:val="22"/>
          <w:u w:val="single"/>
          <w:shd w:val="clear" w:color="auto" w:fill="FFFFFF"/>
        </w:rPr>
        <w:t xml:space="preserve">    </w:t>
      </w:r>
      <w:r>
        <w:rPr>
          <w:rFonts w:hint="eastAsia" w:ascii="宋体" w:hAnsi="宋体"/>
          <w:color w:val="auto"/>
          <w:sz w:val="22"/>
          <w:szCs w:val="22"/>
          <w:u w:val="single"/>
          <w:shd w:val="clear" w:color="auto" w:fill="FFFFFF"/>
        </w:rPr>
        <w:t>（项目名称）</w:t>
      </w:r>
      <w:r>
        <w:rPr>
          <w:rFonts w:ascii="宋体" w:hAnsi="宋体"/>
          <w:color w:val="auto"/>
          <w:sz w:val="22"/>
          <w:szCs w:val="22"/>
          <w:u w:val="single"/>
          <w:shd w:val="clear" w:color="auto" w:fill="FFFFFF"/>
        </w:rPr>
        <w:t xml:space="preserve">      </w:t>
      </w:r>
      <w:r>
        <w:rPr>
          <w:rFonts w:ascii="宋体" w:hAnsi="宋体"/>
          <w:color w:val="auto"/>
          <w:sz w:val="22"/>
          <w:szCs w:val="22"/>
        </w:rPr>
        <w:t>采购中，</w:t>
      </w:r>
      <w:r>
        <w:rPr>
          <w:rFonts w:hint="eastAsia" w:ascii="宋体" w:hAnsi="宋体"/>
          <w:color w:val="auto"/>
          <w:sz w:val="22"/>
          <w:szCs w:val="22"/>
        </w:rPr>
        <w:t>甲</w:t>
      </w:r>
      <w:r>
        <w:rPr>
          <w:rFonts w:ascii="宋体" w:hAnsi="宋体"/>
          <w:color w:val="auto"/>
          <w:sz w:val="22"/>
          <w:szCs w:val="22"/>
        </w:rPr>
        <w:t>方接受</w:t>
      </w:r>
      <w:r>
        <w:rPr>
          <w:rFonts w:hint="eastAsia" w:ascii="宋体" w:hAnsi="宋体"/>
          <w:color w:val="auto"/>
          <w:sz w:val="22"/>
          <w:szCs w:val="22"/>
        </w:rPr>
        <w:t>乙方</w:t>
      </w:r>
      <w:r>
        <w:rPr>
          <w:rFonts w:ascii="宋体" w:hAnsi="宋体"/>
          <w:color w:val="auto"/>
          <w:sz w:val="22"/>
          <w:szCs w:val="22"/>
        </w:rPr>
        <w:t>对本次设备的报价，</w:t>
      </w:r>
      <w:r>
        <w:rPr>
          <w:rFonts w:hint="eastAsia" w:ascii="宋体" w:hAnsi="宋体"/>
          <w:color w:val="auto"/>
          <w:sz w:val="22"/>
          <w:szCs w:val="22"/>
        </w:rPr>
        <w:t>甲乙</w:t>
      </w:r>
      <w:r>
        <w:rPr>
          <w:rFonts w:ascii="宋体" w:hAnsi="宋体"/>
          <w:color w:val="auto"/>
          <w:sz w:val="22"/>
          <w:szCs w:val="22"/>
        </w:rPr>
        <w:t>双方及采购方根据《中华人民共和国</w:t>
      </w:r>
      <w:r>
        <w:rPr>
          <w:rFonts w:hint="eastAsia" w:ascii="宋体" w:hAnsi="宋体"/>
          <w:color w:val="auto"/>
          <w:sz w:val="22"/>
          <w:szCs w:val="22"/>
        </w:rPr>
        <w:t>民法典</w:t>
      </w:r>
      <w:r>
        <w:rPr>
          <w:rFonts w:ascii="宋体" w:hAnsi="宋体"/>
          <w:color w:val="auto"/>
          <w:sz w:val="22"/>
          <w:szCs w:val="22"/>
        </w:rPr>
        <w:t>》等法规和本合同的承诺，经双方协商，同意签订本合同，共同遵守。</w:t>
      </w:r>
    </w:p>
    <w:p w14:paraId="7A0BA27D">
      <w:pPr>
        <w:numPr>
          <w:ilvl w:val="0"/>
          <w:numId w:val="1"/>
        </w:numPr>
        <w:spacing w:line="440" w:lineRule="atLeast"/>
        <w:rPr>
          <w:rFonts w:ascii="宋体" w:hAnsi="宋体"/>
          <w:color w:val="auto"/>
          <w:sz w:val="22"/>
          <w:szCs w:val="22"/>
          <w:u w:val="single"/>
        </w:rPr>
      </w:pPr>
      <w:r>
        <w:rPr>
          <w:rFonts w:ascii="宋体" w:hAnsi="宋体"/>
          <w:color w:val="auto"/>
          <w:sz w:val="22"/>
          <w:szCs w:val="22"/>
        </w:rPr>
        <w:t>采购</w:t>
      </w:r>
      <w:r>
        <w:rPr>
          <w:rFonts w:hint="eastAsia" w:ascii="宋体" w:hAnsi="宋体"/>
          <w:color w:val="auto"/>
          <w:sz w:val="22"/>
          <w:szCs w:val="22"/>
        </w:rPr>
        <w:t>货物</w:t>
      </w:r>
      <w:r>
        <w:rPr>
          <w:rFonts w:ascii="宋体" w:hAnsi="宋体"/>
          <w:color w:val="auto"/>
          <w:sz w:val="22"/>
          <w:szCs w:val="22"/>
        </w:rPr>
        <w:t xml:space="preserve">内容及价格（详细清单可附后）                           单位： </w:t>
      </w:r>
      <w:r>
        <w:rPr>
          <w:rFonts w:ascii="宋体" w:hAnsi="宋体"/>
          <w:color w:val="auto"/>
          <w:sz w:val="22"/>
          <w:szCs w:val="22"/>
          <w:u w:val="single"/>
        </w:rPr>
        <w:t xml:space="preserve"> 人民币 </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524"/>
        <w:gridCol w:w="1134"/>
        <w:gridCol w:w="2115"/>
        <w:gridCol w:w="845"/>
        <w:gridCol w:w="745"/>
        <w:gridCol w:w="845"/>
        <w:gridCol w:w="1458"/>
      </w:tblGrid>
      <w:tr w14:paraId="50699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711" w:type="dxa"/>
            <w:noWrap w:val="0"/>
            <w:vAlign w:val="center"/>
          </w:tcPr>
          <w:p w14:paraId="57094651">
            <w:pPr>
              <w:spacing w:line="440" w:lineRule="atLeast"/>
              <w:jc w:val="center"/>
              <w:rPr>
                <w:rFonts w:ascii="宋体" w:hAnsi="宋体"/>
                <w:color w:val="auto"/>
                <w:sz w:val="22"/>
                <w:szCs w:val="22"/>
              </w:rPr>
            </w:pPr>
            <w:r>
              <w:rPr>
                <w:rFonts w:ascii="宋体" w:hAnsi="宋体"/>
                <w:color w:val="auto"/>
                <w:sz w:val="22"/>
                <w:szCs w:val="22"/>
              </w:rPr>
              <w:t>序号</w:t>
            </w:r>
          </w:p>
        </w:tc>
        <w:tc>
          <w:tcPr>
            <w:tcW w:w="1524" w:type="dxa"/>
            <w:noWrap w:val="0"/>
            <w:vAlign w:val="center"/>
          </w:tcPr>
          <w:p w14:paraId="2D50B8AC">
            <w:pPr>
              <w:spacing w:line="440" w:lineRule="atLeast"/>
              <w:jc w:val="center"/>
              <w:rPr>
                <w:rFonts w:ascii="宋体" w:hAnsi="宋体"/>
                <w:color w:val="auto"/>
                <w:sz w:val="22"/>
                <w:szCs w:val="22"/>
              </w:rPr>
            </w:pPr>
            <w:r>
              <w:rPr>
                <w:rFonts w:hint="eastAsia" w:ascii="宋体" w:hAnsi="宋体"/>
                <w:color w:val="auto"/>
                <w:sz w:val="22"/>
                <w:szCs w:val="22"/>
              </w:rPr>
              <w:t>名称</w:t>
            </w:r>
          </w:p>
        </w:tc>
        <w:tc>
          <w:tcPr>
            <w:tcW w:w="1134" w:type="dxa"/>
            <w:noWrap w:val="0"/>
            <w:vAlign w:val="center"/>
          </w:tcPr>
          <w:p w14:paraId="0E9F9BFF">
            <w:pPr>
              <w:spacing w:line="440" w:lineRule="atLeast"/>
              <w:jc w:val="center"/>
              <w:rPr>
                <w:rFonts w:ascii="宋体" w:hAnsi="宋体"/>
                <w:color w:val="auto"/>
                <w:sz w:val="22"/>
                <w:szCs w:val="22"/>
              </w:rPr>
            </w:pPr>
            <w:r>
              <w:rPr>
                <w:rFonts w:hint="eastAsia" w:ascii="宋体" w:hAnsi="宋体"/>
                <w:color w:val="auto"/>
                <w:sz w:val="22"/>
                <w:szCs w:val="22"/>
              </w:rPr>
              <w:t>品牌</w:t>
            </w:r>
          </w:p>
        </w:tc>
        <w:tc>
          <w:tcPr>
            <w:tcW w:w="2115" w:type="dxa"/>
            <w:noWrap w:val="0"/>
            <w:vAlign w:val="center"/>
          </w:tcPr>
          <w:p w14:paraId="777A6511">
            <w:pPr>
              <w:spacing w:line="440" w:lineRule="atLeast"/>
              <w:jc w:val="center"/>
              <w:rPr>
                <w:rFonts w:ascii="宋体" w:hAnsi="宋体"/>
                <w:color w:val="auto"/>
                <w:sz w:val="22"/>
                <w:szCs w:val="22"/>
              </w:rPr>
            </w:pPr>
            <w:r>
              <w:rPr>
                <w:rFonts w:hint="eastAsia" w:ascii="宋体" w:hAnsi="宋体"/>
                <w:color w:val="auto"/>
                <w:sz w:val="22"/>
                <w:szCs w:val="22"/>
              </w:rPr>
              <w:t>规格型号</w:t>
            </w:r>
          </w:p>
        </w:tc>
        <w:tc>
          <w:tcPr>
            <w:tcW w:w="845" w:type="dxa"/>
            <w:noWrap w:val="0"/>
            <w:vAlign w:val="center"/>
          </w:tcPr>
          <w:p w14:paraId="5562BF03">
            <w:pPr>
              <w:spacing w:line="440" w:lineRule="atLeast"/>
              <w:jc w:val="center"/>
              <w:rPr>
                <w:rFonts w:ascii="宋体" w:hAnsi="宋体"/>
                <w:color w:val="auto"/>
                <w:sz w:val="22"/>
                <w:szCs w:val="22"/>
              </w:rPr>
            </w:pPr>
            <w:r>
              <w:rPr>
                <w:rFonts w:hint="eastAsia" w:ascii="宋体" w:hAnsi="宋体"/>
                <w:color w:val="auto"/>
                <w:sz w:val="22"/>
                <w:szCs w:val="22"/>
              </w:rPr>
              <w:t>单位</w:t>
            </w:r>
          </w:p>
        </w:tc>
        <w:tc>
          <w:tcPr>
            <w:tcW w:w="745" w:type="dxa"/>
            <w:noWrap w:val="0"/>
            <w:vAlign w:val="center"/>
          </w:tcPr>
          <w:p w14:paraId="327D10AF">
            <w:pPr>
              <w:spacing w:line="440" w:lineRule="atLeast"/>
              <w:jc w:val="center"/>
              <w:rPr>
                <w:rFonts w:ascii="宋体" w:hAnsi="宋体"/>
                <w:color w:val="auto"/>
                <w:sz w:val="22"/>
                <w:szCs w:val="22"/>
              </w:rPr>
            </w:pPr>
            <w:r>
              <w:rPr>
                <w:rFonts w:hint="eastAsia" w:ascii="宋体" w:hAnsi="宋体"/>
                <w:color w:val="auto"/>
                <w:sz w:val="22"/>
                <w:szCs w:val="22"/>
              </w:rPr>
              <w:t>数量</w:t>
            </w:r>
          </w:p>
        </w:tc>
        <w:tc>
          <w:tcPr>
            <w:tcW w:w="845" w:type="dxa"/>
            <w:noWrap w:val="0"/>
            <w:vAlign w:val="center"/>
          </w:tcPr>
          <w:p w14:paraId="60A785F8">
            <w:pPr>
              <w:spacing w:line="440" w:lineRule="atLeast"/>
              <w:jc w:val="center"/>
              <w:rPr>
                <w:rFonts w:ascii="宋体" w:hAnsi="宋体"/>
                <w:color w:val="auto"/>
                <w:sz w:val="22"/>
                <w:szCs w:val="22"/>
              </w:rPr>
            </w:pPr>
            <w:r>
              <w:rPr>
                <w:rFonts w:hint="eastAsia" w:ascii="宋体" w:hAnsi="宋体"/>
                <w:color w:val="auto"/>
                <w:sz w:val="22"/>
                <w:szCs w:val="22"/>
              </w:rPr>
              <w:t>单价</w:t>
            </w:r>
          </w:p>
        </w:tc>
        <w:tc>
          <w:tcPr>
            <w:tcW w:w="1458" w:type="dxa"/>
            <w:noWrap w:val="0"/>
            <w:vAlign w:val="center"/>
          </w:tcPr>
          <w:p w14:paraId="65F1046D">
            <w:pPr>
              <w:spacing w:line="440" w:lineRule="atLeast"/>
              <w:jc w:val="center"/>
              <w:rPr>
                <w:rFonts w:ascii="宋体" w:hAnsi="宋体"/>
                <w:color w:val="auto"/>
                <w:sz w:val="22"/>
                <w:szCs w:val="22"/>
              </w:rPr>
            </w:pPr>
            <w:r>
              <w:rPr>
                <w:rFonts w:hint="eastAsia" w:ascii="宋体" w:hAnsi="宋体"/>
                <w:color w:val="auto"/>
                <w:sz w:val="22"/>
                <w:szCs w:val="22"/>
              </w:rPr>
              <w:t>金额</w:t>
            </w:r>
          </w:p>
        </w:tc>
      </w:tr>
      <w:tr w14:paraId="1EA20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711" w:type="dxa"/>
            <w:noWrap w:val="0"/>
            <w:vAlign w:val="center"/>
          </w:tcPr>
          <w:p w14:paraId="4CBFA966">
            <w:pPr>
              <w:spacing w:line="440" w:lineRule="atLeast"/>
              <w:jc w:val="center"/>
              <w:rPr>
                <w:rFonts w:ascii="宋体" w:hAnsi="宋体"/>
                <w:color w:val="auto"/>
                <w:sz w:val="22"/>
                <w:szCs w:val="22"/>
              </w:rPr>
            </w:pPr>
            <w:r>
              <w:rPr>
                <w:rFonts w:ascii="宋体" w:hAnsi="宋体"/>
                <w:color w:val="auto"/>
                <w:sz w:val="22"/>
                <w:szCs w:val="22"/>
              </w:rPr>
              <w:t>1</w:t>
            </w:r>
          </w:p>
        </w:tc>
        <w:tc>
          <w:tcPr>
            <w:tcW w:w="1524" w:type="dxa"/>
            <w:noWrap w:val="0"/>
            <w:vAlign w:val="center"/>
          </w:tcPr>
          <w:p w14:paraId="5A8AC61E">
            <w:pPr>
              <w:widowControl/>
              <w:shd w:val="clear" w:color="auto" w:fill="FFFFFF"/>
              <w:spacing w:line="440" w:lineRule="atLeast"/>
              <w:jc w:val="center"/>
              <w:outlineLvl w:val="0"/>
              <w:rPr>
                <w:rFonts w:ascii="宋体" w:hAnsi="宋体"/>
                <w:color w:val="auto"/>
                <w:sz w:val="22"/>
                <w:szCs w:val="22"/>
              </w:rPr>
            </w:pPr>
          </w:p>
        </w:tc>
        <w:tc>
          <w:tcPr>
            <w:tcW w:w="1134" w:type="dxa"/>
            <w:noWrap w:val="0"/>
            <w:vAlign w:val="center"/>
          </w:tcPr>
          <w:p w14:paraId="15DC86B1">
            <w:pPr>
              <w:spacing w:line="440" w:lineRule="atLeast"/>
              <w:jc w:val="center"/>
              <w:rPr>
                <w:rFonts w:ascii="宋体" w:hAnsi="宋体"/>
                <w:color w:val="auto"/>
                <w:sz w:val="22"/>
                <w:szCs w:val="22"/>
              </w:rPr>
            </w:pPr>
          </w:p>
        </w:tc>
        <w:tc>
          <w:tcPr>
            <w:tcW w:w="2115" w:type="dxa"/>
            <w:noWrap w:val="0"/>
            <w:vAlign w:val="center"/>
          </w:tcPr>
          <w:p w14:paraId="1DA6B4A0">
            <w:pPr>
              <w:widowControl/>
              <w:shd w:val="clear" w:color="auto" w:fill="FFFFFF"/>
              <w:spacing w:line="440" w:lineRule="atLeast"/>
              <w:jc w:val="center"/>
              <w:outlineLvl w:val="0"/>
              <w:rPr>
                <w:rFonts w:ascii="宋体" w:hAnsi="宋体"/>
                <w:color w:val="auto"/>
                <w:sz w:val="22"/>
                <w:szCs w:val="22"/>
              </w:rPr>
            </w:pPr>
          </w:p>
        </w:tc>
        <w:tc>
          <w:tcPr>
            <w:tcW w:w="845" w:type="dxa"/>
            <w:noWrap w:val="0"/>
            <w:vAlign w:val="center"/>
          </w:tcPr>
          <w:p w14:paraId="4969A41C">
            <w:pPr>
              <w:spacing w:line="440" w:lineRule="atLeast"/>
              <w:jc w:val="center"/>
              <w:rPr>
                <w:rFonts w:ascii="宋体" w:hAnsi="宋体"/>
                <w:color w:val="auto"/>
                <w:sz w:val="22"/>
                <w:szCs w:val="22"/>
              </w:rPr>
            </w:pPr>
          </w:p>
        </w:tc>
        <w:tc>
          <w:tcPr>
            <w:tcW w:w="745" w:type="dxa"/>
            <w:noWrap w:val="0"/>
            <w:vAlign w:val="center"/>
          </w:tcPr>
          <w:p w14:paraId="41B1126B">
            <w:pPr>
              <w:spacing w:line="440" w:lineRule="atLeast"/>
              <w:jc w:val="center"/>
              <w:rPr>
                <w:rFonts w:ascii="宋体" w:hAnsi="宋体"/>
                <w:color w:val="auto"/>
                <w:sz w:val="22"/>
                <w:szCs w:val="22"/>
              </w:rPr>
            </w:pPr>
          </w:p>
        </w:tc>
        <w:tc>
          <w:tcPr>
            <w:tcW w:w="845" w:type="dxa"/>
            <w:noWrap w:val="0"/>
            <w:vAlign w:val="center"/>
          </w:tcPr>
          <w:p w14:paraId="32159762">
            <w:pPr>
              <w:spacing w:line="440" w:lineRule="atLeast"/>
              <w:jc w:val="center"/>
              <w:rPr>
                <w:rFonts w:ascii="宋体" w:hAnsi="宋体"/>
                <w:color w:val="auto"/>
                <w:sz w:val="22"/>
                <w:szCs w:val="22"/>
              </w:rPr>
            </w:pPr>
          </w:p>
        </w:tc>
        <w:tc>
          <w:tcPr>
            <w:tcW w:w="1458" w:type="dxa"/>
            <w:noWrap w:val="0"/>
            <w:vAlign w:val="center"/>
          </w:tcPr>
          <w:p w14:paraId="6FACAA8E">
            <w:pPr>
              <w:spacing w:line="440" w:lineRule="atLeast"/>
              <w:jc w:val="center"/>
              <w:rPr>
                <w:rFonts w:ascii="宋体" w:hAnsi="宋体"/>
                <w:color w:val="auto"/>
                <w:sz w:val="22"/>
                <w:szCs w:val="22"/>
              </w:rPr>
            </w:pPr>
          </w:p>
        </w:tc>
      </w:tr>
      <w:tr w14:paraId="20557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711" w:type="dxa"/>
            <w:noWrap w:val="0"/>
            <w:vAlign w:val="center"/>
          </w:tcPr>
          <w:p w14:paraId="5ED3A8EA">
            <w:pPr>
              <w:spacing w:line="440" w:lineRule="atLeast"/>
              <w:jc w:val="center"/>
              <w:rPr>
                <w:rFonts w:ascii="宋体" w:hAnsi="宋体"/>
                <w:color w:val="auto"/>
                <w:sz w:val="22"/>
                <w:szCs w:val="22"/>
              </w:rPr>
            </w:pPr>
            <w:r>
              <w:rPr>
                <w:rFonts w:ascii="宋体" w:hAnsi="宋体"/>
                <w:color w:val="auto"/>
                <w:sz w:val="22"/>
                <w:szCs w:val="22"/>
              </w:rPr>
              <w:t>2</w:t>
            </w:r>
          </w:p>
        </w:tc>
        <w:tc>
          <w:tcPr>
            <w:tcW w:w="1524" w:type="dxa"/>
            <w:noWrap w:val="0"/>
            <w:vAlign w:val="center"/>
          </w:tcPr>
          <w:p w14:paraId="3A27824A">
            <w:pPr>
              <w:widowControl/>
              <w:shd w:val="clear" w:color="auto" w:fill="FFFFFF"/>
              <w:spacing w:line="440" w:lineRule="atLeast"/>
              <w:jc w:val="center"/>
              <w:outlineLvl w:val="0"/>
              <w:rPr>
                <w:rFonts w:ascii="宋体" w:hAnsi="宋体"/>
                <w:color w:val="auto"/>
                <w:sz w:val="22"/>
                <w:szCs w:val="22"/>
              </w:rPr>
            </w:pPr>
          </w:p>
        </w:tc>
        <w:tc>
          <w:tcPr>
            <w:tcW w:w="1134" w:type="dxa"/>
            <w:noWrap w:val="0"/>
            <w:vAlign w:val="center"/>
          </w:tcPr>
          <w:p w14:paraId="0B71E9A6">
            <w:pPr>
              <w:spacing w:line="440" w:lineRule="atLeast"/>
              <w:jc w:val="center"/>
              <w:rPr>
                <w:rFonts w:ascii="宋体" w:hAnsi="宋体"/>
                <w:color w:val="auto"/>
                <w:sz w:val="22"/>
                <w:szCs w:val="22"/>
              </w:rPr>
            </w:pPr>
          </w:p>
        </w:tc>
        <w:tc>
          <w:tcPr>
            <w:tcW w:w="2115" w:type="dxa"/>
            <w:noWrap w:val="0"/>
            <w:vAlign w:val="center"/>
          </w:tcPr>
          <w:p w14:paraId="78A71CD3">
            <w:pPr>
              <w:widowControl/>
              <w:shd w:val="clear" w:color="auto" w:fill="FFFFFF"/>
              <w:spacing w:line="440" w:lineRule="atLeast"/>
              <w:jc w:val="center"/>
              <w:outlineLvl w:val="0"/>
              <w:rPr>
                <w:rFonts w:ascii="宋体" w:hAnsi="宋体"/>
                <w:color w:val="auto"/>
                <w:sz w:val="22"/>
                <w:szCs w:val="22"/>
              </w:rPr>
            </w:pPr>
          </w:p>
        </w:tc>
        <w:tc>
          <w:tcPr>
            <w:tcW w:w="845" w:type="dxa"/>
            <w:noWrap w:val="0"/>
            <w:vAlign w:val="center"/>
          </w:tcPr>
          <w:p w14:paraId="595C414A">
            <w:pPr>
              <w:spacing w:line="440" w:lineRule="atLeast"/>
              <w:jc w:val="center"/>
              <w:rPr>
                <w:rFonts w:ascii="宋体" w:hAnsi="宋体"/>
                <w:color w:val="auto"/>
                <w:sz w:val="22"/>
                <w:szCs w:val="22"/>
              </w:rPr>
            </w:pPr>
          </w:p>
        </w:tc>
        <w:tc>
          <w:tcPr>
            <w:tcW w:w="745" w:type="dxa"/>
            <w:noWrap w:val="0"/>
            <w:vAlign w:val="center"/>
          </w:tcPr>
          <w:p w14:paraId="6719F366">
            <w:pPr>
              <w:spacing w:line="440" w:lineRule="atLeast"/>
              <w:jc w:val="center"/>
              <w:rPr>
                <w:rFonts w:ascii="宋体" w:hAnsi="宋体"/>
                <w:color w:val="auto"/>
                <w:sz w:val="22"/>
                <w:szCs w:val="22"/>
              </w:rPr>
            </w:pPr>
          </w:p>
        </w:tc>
        <w:tc>
          <w:tcPr>
            <w:tcW w:w="845" w:type="dxa"/>
            <w:noWrap w:val="0"/>
            <w:vAlign w:val="center"/>
          </w:tcPr>
          <w:p w14:paraId="0ACB49D3">
            <w:pPr>
              <w:spacing w:line="440" w:lineRule="atLeast"/>
              <w:jc w:val="center"/>
              <w:rPr>
                <w:rFonts w:ascii="宋体" w:hAnsi="宋体"/>
                <w:color w:val="auto"/>
                <w:sz w:val="22"/>
                <w:szCs w:val="22"/>
              </w:rPr>
            </w:pPr>
          </w:p>
        </w:tc>
        <w:tc>
          <w:tcPr>
            <w:tcW w:w="1458" w:type="dxa"/>
            <w:noWrap w:val="0"/>
            <w:vAlign w:val="center"/>
          </w:tcPr>
          <w:p w14:paraId="38E82D9F">
            <w:pPr>
              <w:spacing w:line="440" w:lineRule="atLeast"/>
              <w:jc w:val="center"/>
              <w:rPr>
                <w:rFonts w:ascii="宋体" w:hAnsi="宋体"/>
                <w:color w:val="auto"/>
                <w:sz w:val="22"/>
                <w:szCs w:val="22"/>
              </w:rPr>
            </w:pPr>
          </w:p>
        </w:tc>
      </w:tr>
      <w:tr w14:paraId="142EE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711" w:type="dxa"/>
            <w:noWrap w:val="0"/>
            <w:vAlign w:val="center"/>
          </w:tcPr>
          <w:p w14:paraId="7499AE3D">
            <w:pPr>
              <w:spacing w:line="440" w:lineRule="atLeast"/>
              <w:jc w:val="center"/>
              <w:rPr>
                <w:rFonts w:ascii="宋体" w:hAnsi="宋体"/>
                <w:color w:val="auto"/>
                <w:sz w:val="22"/>
                <w:szCs w:val="22"/>
              </w:rPr>
            </w:pPr>
            <w:r>
              <w:rPr>
                <w:rFonts w:ascii="宋体" w:hAnsi="宋体"/>
                <w:color w:val="auto"/>
                <w:sz w:val="22"/>
                <w:szCs w:val="22"/>
              </w:rPr>
              <w:t>3</w:t>
            </w:r>
          </w:p>
        </w:tc>
        <w:tc>
          <w:tcPr>
            <w:tcW w:w="1524" w:type="dxa"/>
            <w:noWrap w:val="0"/>
            <w:vAlign w:val="center"/>
          </w:tcPr>
          <w:p w14:paraId="5BB24D94">
            <w:pPr>
              <w:widowControl/>
              <w:shd w:val="clear" w:color="auto" w:fill="FFFFFF"/>
              <w:spacing w:line="440" w:lineRule="atLeast"/>
              <w:jc w:val="center"/>
              <w:outlineLvl w:val="0"/>
              <w:rPr>
                <w:rFonts w:ascii="宋体" w:hAnsi="宋体"/>
                <w:bCs/>
                <w:color w:val="auto"/>
                <w:kern w:val="44"/>
                <w:sz w:val="22"/>
                <w:szCs w:val="22"/>
                <w:shd w:val="clear" w:color="auto" w:fill="FFFFFF"/>
              </w:rPr>
            </w:pPr>
          </w:p>
        </w:tc>
        <w:tc>
          <w:tcPr>
            <w:tcW w:w="1134" w:type="dxa"/>
            <w:noWrap w:val="0"/>
            <w:vAlign w:val="center"/>
          </w:tcPr>
          <w:p w14:paraId="185F4D56">
            <w:pPr>
              <w:spacing w:line="440" w:lineRule="atLeast"/>
              <w:jc w:val="center"/>
              <w:rPr>
                <w:rFonts w:ascii="宋体" w:hAnsi="宋体"/>
                <w:bCs/>
                <w:color w:val="auto"/>
                <w:sz w:val="22"/>
                <w:szCs w:val="22"/>
                <w:highlight w:val="red"/>
              </w:rPr>
            </w:pPr>
          </w:p>
        </w:tc>
        <w:tc>
          <w:tcPr>
            <w:tcW w:w="2115" w:type="dxa"/>
            <w:noWrap w:val="0"/>
            <w:vAlign w:val="center"/>
          </w:tcPr>
          <w:p w14:paraId="5A7C0137">
            <w:pPr>
              <w:spacing w:line="440" w:lineRule="atLeast"/>
              <w:jc w:val="center"/>
              <w:rPr>
                <w:rFonts w:ascii="宋体" w:hAnsi="宋体"/>
                <w:bCs/>
                <w:color w:val="auto"/>
                <w:sz w:val="22"/>
                <w:szCs w:val="22"/>
              </w:rPr>
            </w:pPr>
          </w:p>
        </w:tc>
        <w:tc>
          <w:tcPr>
            <w:tcW w:w="845" w:type="dxa"/>
            <w:noWrap w:val="0"/>
            <w:vAlign w:val="center"/>
          </w:tcPr>
          <w:p w14:paraId="46DDF95C">
            <w:pPr>
              <w:spacing w:line="440" w:lineRule="atLeast"/>
              <w:jc w:val="center"/>
              <w:rPr>
                <w:rFonts w:ascii="宋体" w:hAnsi="宋体"/>
                <w:color w:val="auto"/>
                <w:sz w:val="22"/>
                <w:szCs w:val="22"/>
              </w:rPr>
            </w:pPr>
          </w:p>
        </w:tc>
        <w:tc>
          <w:tcPr>
            <w:tcW w:w="745" w:type="dxa"/>
            <w:noWrap w:val="0"/>
            <w:vAlign w:val="center"/>
          </w:tcPr>
          <w:p w14:paraId="6B012DD9">
            <w:pPr>
              <w:spacing w:line="440" w:lineRule="atLeast"/>
              <w:jc w:val="center"/>
              <w:rPr>
                <w:rFonts w:ascii="宋体" w:hAnsi="宋体"/>
                <w:color w:val="auto"/>
                <w:sz w:val="22"/>
                <w:szCs w:val="22"/>
              </w:rPr>
            </w:pPr>
          </w:p>
        </w:tc>
        <w:tc>
          <w:tcPr>
            <w:tcW w:w="845" w:type="dxa"/>
            <w:noWrap w:val="0"/>
            <w:vAlign w:val="center"/>
          </w:tcPr>
          <w:p w14:paraId="1DB53286">
            <w:pPr>
              <w:spacing w:line="440" w:lineRule="atLeast"/>
              <w:jc w:val="center"/>
              <w:rPr>
                <w:rFonts w:ascii="宋体" w:hAnsi="宋体"/>
                <w:color w:val="auto"/>
                <w:sz w:val="22"/>
                <w:szCs w:val="22"/>
              </w:rPr>
            </w:pPr>
          </w:p>
        </w:tc>
        <w:tc>
          <w:tcPr>
            <w:tcW w:w="1458" w:type="dxa"/>
            <w:noWrap w:val="0"/>
            <w:vAlign w:val="center"/>
          </w:tcPr>
          <w:p w14:paraId="7125DEA6">
            <w:pPr>
              <w:spacing w:line="440" w:lineRule="atLeast"/>
              <w:jc w:val="center"/>
              <w:rPr>
                <w:rFonts w:ascii="宋体" w:hAnsi="宋体"/>
                <w:color w:val="auto"/>
                <w:sz w:val="22"/>
                <w:szCs w:val="22"/>
              </w:rPr>
            </w:pPr>
          </w:p>
        </w:tc>
      </w:tr>
      <w:tr w14:paraId="125E6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711" w:type="dxa"/>
            <w:noWrap w:val="0"/>
            <w:vAlign w:val="center"/>
          </w:tcPr>
          <w:p w14:paraId="5A3FD69A">
            <w:pPr>
              <w:spacing w:line="440" w:lineRule="atLeast"/>
              <w:jc w:val="center"/>
              <w:rPr>
                <w:rFonts w:ascii="宋体" w:hAnsi="宋体"/>
                <w:color w:val="auto"/>
                <w:sz w:val="22"/>
                <w:szCs w:val="22"/>
              </w:rPr>
            </w:pPr>
            <w:r>
              <w:rPr>
                <w:rFonts w:ascii="宋体" w:hAnsi="宋体"/>
                <w:color w:val="auto"/>
                <w:sz w:val="22"/>
                <w:szCs w:val="22"/>
              </w:rPr>
              <w:t>4</w:t>
            </w:r>
          </w:p>
        </w:tc>
        <w:tc>
          <w:tcPr>
            <w:tcW w:w="1524" w:type="dxa"/>
            <w:noWrap w:val="0"/>
            <w:vAlign w:val="center"/>
          </w:tcPr>
          <w:p w14:paraId="3135204F">
            <w:pPr>
              <w:spacing w:line="440" w:lineRule="atLeast"/>
              <w:jc w:val="center"/>
              <w:rPr>
                <w:rFonts w:ascii="宋体" w:hAnsi="宋体"/>
                <w:bCs/>
                <w:color w:val="auto"/>
                <w:sz w:val="22"/>
                <w:szCs w:val="22"/>
                <w:shd w:val="clear" w:color="auto" w:fill="FFFFFF"/>
              </w:rPr>
            </w:pPr>
            <w:r>
              <w:rPr>
                <w:rFonts w:hint="eastAsia" w:ascii="宋体" w:hAnsi="宋体"/>
                <w:bCs/>
                <w:color w:val="auto"/>
                <w:sz w:val="22"/>
                <w:szCs w:val="22"/>
                <w:shd w:val="clear" w:color="auto" w:fill="FFFFFF"/>
              </w:rPr>
              <w:t>.....</w:t>
            </w:r>
          </w:p>
        </w:tc>
        <w:tc>
          <w:tcPr>
            <w:tcW w:w="1134" w:type="dxa"/>
            <w:noWrap w:val="0"/>
            <w:vAlign w:val="center"/>
          </w:tcPr>
          <w:p w14:paraId="2EDD8593">
            <w:pPr>
              <w:spacing w:line="440" w:lineRule="atLeast"/>
              <w:jc w:val="center"/>
              <w:rPr>
                <w:rFonts w:ascii="宋体" w:hAnsi="宋体"/>
                <w:bCs/>
                <w:color w:val="auto"/>
                <w:sz w:val="22"/>
                <w:szCs w:val="22"/>
                <w:highlight w:val="red"/>
              </w:rPr>
            </w:pPr>
          </w:p>
        </w:tc>
        <w:tc>
          <w:tcPr>
            <w:tcW w:w="2115" w:type="dxa"/>
            <w:noWrap w:val="0"/>
            <w:vAlign w:val="center"/>
          </w:tcPr>
          <w:p w14:paraId="18BD707A">
            <w:pPr>
              <w:spacing w:line="440" w:lineRule="atLeast"/>
              <w:jc w:val="center"/>
              <w:rPr>
                <w:rFonts w:ascii="宋体" w:hAnsi="宋体"/>
                <w:bCs/>
                <w:color w:val="auto"/>
                <w:sz w:val="22"/>
                <w:szCs w:val="22"/>
              </w:rPr>
            </w:pPr>
          </w:p>
        </w:tc>
        <w:tc>
          <w:tcPr>
            <w:tcW w:w="845" w:type="dxa"/>
            <w:noWrap w:val="0"/>
            <w:vAlign w:val="center"/>
          </w:tcPr>
          <w:p w14:paraId="267B9706">
            <w:pPr>
              <w:spacing w:line="440" w:lineRule="atLeast"/>
              <w:jc w:val="center"/>
              <w:rPr>
                <w:rFonts w:ascii="宋体" w:hAnsi="宋体"/>
                <w:color w:val="auto"/>
                <w:sz w:val="22"/>
                <w:szCs w:val="22"/>
              </w:rPr>
            </w:pPr>
          </w:p>
        </w:tc>
        <w:tc>
          <w:tcPr>
            <w:tcW w:w="745" w:type="dxa"/>
            <w:noWrap w:val="0"/>
            <w:vAlign w:val="center"/>
          </w:tcPr>
          <w:p w14:paraId="5E22798B">
            <w:pPr>
              <w:spacing w:line="440" w:lineRule="atLeast"/>
              <w:jc w:val="center"/>
              <w:rPr>
                <w:rFonts w:ascii="宋体" w:hAnsi="宋体"/>
                <w:color w:val="auto"/>
                <w:sz w:val="22"/>
                <w:szCs w:val="22"/>
              </w:rPr>
            </w:pPr>
          </w:p>
        </w:tc>
        <w:tc>
          <w:tcPr>
            <w:tcW w:w="845" w:type="dxa"/>
            <w:noWrap w:val="0"/>
            <w:vAlign w:val="center"/>
          </w:tcPr>
          <w:p w14:paraId="3C1A4880">
            <w:pPr>
              <w:spacing w:line="440" w:lineRule="atLeast"/>
              <w:jc w:val="center"/>
              <w:rPr>
                <w:rFonts w:ascii="宋体" w:hAnsi="宋体"/>
                <w:color w:val="auto"/>
                <w:sz w:val="22"/>
                <w:szCs w:val="22"/>
              </w:rPr>
            </w:pPr>
          </w:p>
        </w:tc>
        <w:tc>
          <w:tcPr>
            <w:tcW w:w="1458" w:type="dxa"/>
            <w:noWrap w:val="0"/>
            <w:vAlign w:val="center"/>
          </w:tcPr>
          <w:p w14:paraId="6E9522D1">
            <w:pPr>
              <w:spacing w:line="440" w:lineRule="atLeast"/>
              <w:jc w:val="center"/>
              <w:rPr>
                <w:rFonts w:ascii="宋体" w:hAnsi="宋体"/>
                <w:color w:val="auto"/>
                <w:sz w:val="22"/>
                <w:szCs w:val="22"/>
              </w:rPr>
            </w:pPr>
          </w:p>
        </w:tc>
      </w:tr>
      <w:tr w14:paraId="388CA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trPr>
        <w:tc>
          <w:tcPr>
            <w:tcW w:w="9377" w:type="dxa"/>
            <w:gridSpan w:val="8"/>
            <w:noWrap w:val="0"/>
            <w:vAlign w:val="center"/>
          </w:tcPr>
          <w:p w14:paraId="79E830FC">
            <w:pPr>
              <w:spacing w:line="440" w:lineRule="atLeast"/>
              <w:jc w:val="center"/>
              <w:rPr>
                <w:rFonts w:hint="eastAsia" w:ascii="宋体" w:hAnsi="宋体"/>
                <w:color w:val="auto"/>
                <w:sz w:val="22"/>
                <w:szCs w:val="22"/>
              </w:rPr>
            </w:pPr>
            <w:r>
              <w:rPr>
                <w:rFonts w:hint="eastAsia" w:ascii="宋体" w:hAnsi="宋体"/>
                <w:color w:val="auto"/>
                <w:sz w:val="22"/>
                <w:szCs w:val="22"/>
              </w:rPr>
              <w:t>合同总价（人民币大写）：元整</w:t>
            </w:r>
          </w:p>
        </w:tc>
      </w:tr>
    </w:tbl>
    <w:p w14:paraId="478713DF">
      <w:pPr>
        <w:spacing w:line="440" w:lineRule="atLeast"/>
        <w:ind w:firstLine="440" w:firstLineChars="200"/>
        <w:rPr>
          <w:rFonts w:hint="default" w:ascii="宋体" w:hAnsi="宋体"/>
          <w:color w:val="auto"/>
          <w:sz w:val="22"/>
          <w:szCs w:val="22"/>
          <w:lang w:val="en-US" w:eastAsia="zh-CN"/>
        </w:rPr>
      </w:pPr>
      <w:r>
        <w:rPr>
          <w:rFonts w:hint="eastAsia" w:ascii="宋体" w:hAnsi="宋体"/>
          <w:color w:val="auto"/>
          <w:sz w:val="22"/>
          <w:szCs w:val="22"/>
          <w:lang w:val="en-US" w:eastAsia="zh-CN"/>
        </w:rPr>
        <w:t>2、已标价工程量清单（附后）</w:t>
      </w:r>
    </w:p>
    <w:p w14:paraId="67D3F617">
      <w:pPr>
        <w:spacing w:line="440" w:lineRule="atLeast"/>
        <w:ind w:firstLine="440" w:firstLineChars="200"/>
        <w:rPr>
          <w:rFonts w:ascii="宋体" w:hAnsi="宋体"/>
          <w:color w:val="auto"/>
          <w:sz w:val="22"/>
          <w:szCs w:val="22"/>
        </w:rPr>
      </w:pPr>
      <w:r>
        <w:rPr>
          <w:rFonts w:ascii="宋体" w:hAnsi="宋体"/>
          <w:color w:val="auto"/>
          <w:sz w:val="22"/>
          <w:szCs w:val="22"/>
        </w:rPr>
        <w:t>2、本合同总价为</w:t>
      </w:r>
      <w:r>
        <w:rPr>
          <w:rFonts w:hint="eastAsia" w:ascii="宋体" w:hAnsi="宋体"/>
          <w:color w:val="auto"/>
          <w:sz w:val="22"/>
          <w:szCs w:val="22"/>
        </w:rPr>
        <w:t>货物</w:t>
      </w:r>
      <w:r>
        <w:rPr>
          <w:rFonts w:ascii="宋体" w:hAnsi="宋体"/>
          <w:color w:val="auto"/>
          <w:sz w:val="22"/>
          <w:szCs w:val="22"/>
        </w:rPr>
        <w:t>供货、运输、保险、装卸、安装调试及技术、验收（含第三方验收）、培训、售后服务、税费等的全部费用，实行固定总价包干</w:t>
      </w:r>
      <w:r>
        <w:rPr>
          <w:rFonts w:hint="default" w:ascii="宋体" w:hAnsi="宋体"/>
          <w:color w:val="auto"/>
          <w:sz w:val="22"/>
          <w:szCs w:val="22"/>
          <w:lang w:eastAsia="zh-CN"/>
        </w:rPr>
        <w:t>；</w:t>
      </w:r>
      <w:r>
        <w:rPr>
          <w:rFonts w:hint="default" w:ascii="宋体" w:hAnsi="宋体"/>
          <w:b w:val="0"/>
          <w:bCs w:val="0"/>
          <w:color w:val="auto"/>
          <w:sz w:val="22"/>
          <w:szCs w:val="22"/>
          <w:highlight w:val="none"/>
          <w:u w:val="none"/>
          <w:lang w:val="en-US" w:eastAsia="zh-CN"/>
        </w:rPr>
        <w:t>其中厨房附属改造工程按照固定综合单价法计价，按照工程量清单价进行报价，</w:t>
      </w:r>
      <w:r>
        <w:rPr>
          <w:rFonts w:hint="default" w:ascii="宋体" w:hAnsi="宋体"/>
          <w:b w:val="0"/>
          <w:bCs w:val="0"/>
          <w:color w:val="auto"/>
          <w:sz w:val="22"/>
          <w:szCs w:val="22"/>
          <w:highlight w:val="none"/>
          <w:u w:val="none"/>
        </w:rPr>
        <w:t>最终价格以第三方</w:t>
      </w:r>
      <w:r>
        <w:rPr>
          <w:rFonts w:hint="default" w:ascii="宋体" w:hAnsi="宋体"/>
          <w:b w:val="0"/>
          <w:bCs w:val="0"/>
          <w:color w:val="auto"/>
          <w:sz w:val="22"/>
          <w:szCs w:val="22"/>
          <w:highlight w:val="none"/>
          <w:u w:val="none"/>
          <w:lang w:eastAsia="zh-CN"/>
        </w:rPr>
        <w:t>审价</w:t>
      </w:r>
      <w:r>
        <w:rPr>
          <w:rFonts w:hint="default" w:ascii="宋体" w:hAnsi="宋体"/>
          <w:b w:val="0"/>
          <w:bCs w:val="0"/>
          <w:color w:val="auto"/>
          <w:sz w:val="22"/>
          <w:szCs w:val="22"/>
          <w:highlight w:val="none"/>
          <w:u w:val="none"/>
        </w:rPr>
        <w:t>的结算价为准</w:t>
      </w:r>
      <w:r>
        <w:rPr>
          <w:rFonts w:ascii="宋体" w:hAnsi="宋体"/>
          <w:color w:val="auto"/>
          <w:sz w:val="22"/>
          <w:szCs w:val="22"/>
        </w:rPr>
        <w:t>。除发生下列因素可调整合同价外，不得以任何其他理由调整任何费用。</w:t>
      </w:r>
    </w:p>
    <w:p w14:paraId="41DBE048">
      <w:pPr>
        <w:spacing w:line="440" w:lineRule="atLeast"/>
        <w:ind w:firstLine="440" w:firstLineChars="200"/>
        <w:rPr>
          <w:rFonts w:ascii="宋体" w:hAnsi="宋体"/>
          <w:color w:val="auto"/>
          <w:sz w:val="22"/>
          <w:szCs w:val="22"/>
        </w:rPr>
      </w:pPr>
      <w:r>
        <w:rPr>
          <w:rFonts w:ascii="宋体" w:hAnsi="宋体"/>
          <w:color w:val="auto"/>
          <w:sz w:val="22"/>
          <w:szCs w:val="22"/>
        </w:rPr>
        <w:t>2.1</w:t>
      </w:r>
      <w:r>
        <w:rPr>
          <w:rFonts w:hint="eastAsia" w:ascii="宋体" w:hAnsi="宋体"/>
          <w:color w:val="auto"/>
          <w:sz w:val="22"/>
          <w:szCs w:val="22"/>
        </w:rPr>
        <w:t>甲</w:t>
      </w:r>
      <w:r>
        <w:rPr>
          <w:rFonts w:ascii="宋体" w:hAnsi="宋体"/>
          <w:color w:val="auto"/>
          <w:sz w:val="22"/>
          <w:szCs w:val="22"/>
        </w:rPr>
        <w:t>方提出的设备变更或由</w:t>
      </w:r>
      <w:r>
        <w:rPr>
          <w:rFonts w:hint="eastAsia" w:ascii="宋体" w:hAnsi="宋体"/>
          <w:color w:val="auto"/>
          <w:sz w:val="22"/>
          <w:szCs w:val="22"/>
        </w:rPr>
        <w:t>乙</w:t>
      </w:r>
      <w:r>
        <w:rPr>
          <w:rFonts w:ascii="宋体" w:hAnsi="宋体"/>
          <w:color w:val="auto"/>
          <w:sz w:val="22"/>
          <w:szCs w:val="22"/>
        </w:rPr>
        <w:t>方提出的合理化建议，经</w:t>
      </w:r>
      <w:r>
        <w:rPr>
          <w:rFonts w:hint="eastAsia" w:ascii="宋体" w:hAnsi="宋体"/>
          <w:color w:val="auto"/>
          <w:sz w:val="22"/>
          <w:szCs w:val="22"/>
        </w:rPr>
        <w:t>甲</w:t>
      </w:r>
      <w:r>
        <w:rPr>
          <w:rFonts w:ascii="宋体" w:hAnsi="宋体"/>
          <w:color w:val="auto"/>
          <w:sz w:val="22"/>
          <w:szCs w:val="22"/>
        </w:rPr>
        <w:t>方同意采纳的设备型号、规格等各方面的变更，可根据原合同单价计算变更费用。但属</w:t>
      </w:r>
      <w:r>
        <w:rPr>
          <w:rFonts w:hint="eastAsia" w:ascii="宋体" w:hAnsi="宋体"/>
          <w:color w:val="auto"/>
          <w:sz w:val="22"/>
          <w:szCs w:val="22"/>
        </w:rPr>
        <w:t>乙</w:t>
      </w:r>
      <w:r>
        <w:rPr>
          <w:rFonts w:ascii="宋体" w:hAnsi="宋体"/>
          <w:color w:val="auto"/>
          <w:sz w:val="22"/>
          <w:szCs w:val="22"/>
        </w:rPr>
        <w:t>方投标漏项少算的设备及服务费用不得追补。</w:t>
      </w:r>
    </w:p>
    <w:p w14:paraId="0CD3A8E2">
      <w:pPr>
        <w:spacing w:line="440" w:lineRule="atLeast"/>
        <w:ind w:firstLine="440" w:firstLineChars="200"/>
        <w:rPr>
          <w:rFonts w:hint="default" w:ascii="宋体" w:hAnsi="宋体" w:eastAsia="宋体"/>
          <w:color w:val="auto"/>
          <w:sz w:val="22"/>
          <w:szCs w:val="22"/>
          <w:lang w:val="en-US" w:eastAsia="zh-CN"/>
        </w:rPr>
      </w:pPr>
      <w:r>
        <w:rPr>
          <w:rFonts w:hint="eastAsia" w:ascii="宋体" w:hAnsi="宋体"/>
          <w:color w:val="auto"/>
          <w:sz w:val="22"/>
          <w:szCs w:val="22"/>
          <w:lang w:val="en-US" w:eastAsia="zh-CN"/>
        </w:rPr>
        <w:t>2.3设计方案变更和采购货物数量、工程量变动。</w:t>
      </w:r>
    </w:p>
    <w:p w14:paraId="0778B7D9">
      <w:pPr>
        <w:spacing w:line="440" w:lineRule="atLeast"/>
        <w:ind w:firstLine="440" w:firstLineChars="200"/>
        <w:rPr>
          <w:rFonts w:ascii="宋体" w:hAnsi="宋体"/>
          <w:color w:val="auto"/>
          <w:sz w:val="22"/>
          <w:szCs w:val="22"/>
        </w:rPr>
      </w:pPr>
      <w:r>
        <w:rPr>
          <w:rFonts w:ascii="宋体" w:hAnsi="宋体"/>
          <w:color w:val="auto"/>
          <w:sz w:val="22"/>
          <w:szCs w:val="22"/>
        </w:rPr>
        <w:t>3、设备、材料供应</w:t>
      </w:r>
    </w:p>
    <w:p w14:paraId="4AA3B13A">
      <w:pPr>
        <w:spacing w:line="440" w:lineRule="atLeast"/>
        <w:ind w:firstLine="440" w:firstLineChars="200"/>
        <w:rPr>
          <w:rFonts w:ascii="宋体" w:hAnsi="宋体"/>
          <w:color w:val="auto"/>
          <w:sz w:val="22"/>
          <w:szCs w:val="22"/>
        </w:rPr>
      </w:pPr>
      <w:r>
        <w:rPr>
          <w:rFonts w:ascii="宋体" w:hAnsi="宋体"/>
          <w:color w:val="auto"/>
          <w:sz w:val="22"/>
          <w:szCs w:val="22"/>
        </w:rPr>
        <w:t>本合同范围所需的设备均由</w:t>
      </w:r>
      <w:r>
        <w:rPr>
          <w:rFonts w:hint="eastAsia" w:ascii="宋体" w:hAnsi="宋体"/>
          <w:color w:val="auto"/>
          <w:sz w:val="22"/>
          <w:szCs w:val="22"/>
        </w:rPr>
        <w:t>乙</w:t>
      </w:r>
      <w:r>
        <w:rPr>
          <w:rFonts w:ascii="宋体" w:hAnsi="宋体"/>
          <w:color w:val="auto"/>
          <w:sz w:val="22"/>
          <w:szCs w:val="22"/>
        </w:rPr>
        <w:t>方提供。采购供应的材料、设备均须有合格证、质保书等相关技术资料。如发现不合格的设备材料，由乙方承担全部的经济损失和责任。</w:t>
      </w:r>
    </w:p>
    <w:p w14:paraId="48F87175">
      <w:pPr>
        <w:spacing w:line="440" w:lineRule="atLeast"/>
        <w:ind w:firstLine="440" w:firstLineChars="200"/>
        <w:rPr>
          <w:rFonts w:ascii="宋体" w:hAnsi="宋体"/>
          <w:color w:val="auto"/>
          <w:sz w:val="22"/>
          <w:szCs w:val="22"/>
        </w:rPr>
      </w:pPr>
      <w:r>
        <w:rPr>
          <w:rFonts w:ascii="宋体" w:hAnsi="宋体"/>
          <w:color w:val="auto"/>
          <w:sz w:val="22"/>
          <w:szCs w:val="22"/>
        </w:rPr>
        <w:t>4、产品包装</w:t>
      </w:r>
    </w:p>
    <w:p w14:paraId="03A34B20">
      <w:pPr>
        <w:spacing w:line="440" w:lineRule="atLeast"/>
        <w:ind w:firstLine="440" w:firstLineChars="200"/>
        <w:rPr>
          <w:rFonts w:ascii="宋体" w:hAnsi="宋体"/>
          <w:color w:val="auto"/>
          <w:sz w:val="22"/>
          <w:szCs w:val="22"/>
        </w:rPr>
      </w:pPr>
      <w:r>
        <w:rPr>
          <w:rFonts w:ascii="宋体" w:hAnsi="宋体"/>
          <w:color w:val="auto"/>
          <w:sz w:val="22"/>
          <w:szCs w:val="22"/>
        </w:rPr>
        <w:t>4.1为了保证设备在长途运输和装卸过程中的安全，产品包装应符合国家或专业（部）标准规定。由于包装不善导致设备锈蚀、失缺或损坏，由乙方承担一切责任。</w:t>
      </w:r>
    </w:p>
    <w:p w14:paraId="78C03396">
      <w:pPr>
        <w:spacing w:line="440" w:lineRule="atLeast"/>
        <w:ind w:firstLine="440" w:firstLineChars="200"/>
        <w:rPr>
          <w:rFonts w:ascii="宋体" w:hAnsi="宋体"/>
          <w:color w:val="auto"/>
          <w:sz w:val="22"/>
          <w:szCs w:val="22"/>
        </w:rPr>
      </w:pPr>
      <w:r>
        <w:rPr>
          <w:rFonts w:ascii="宋体" w:hAnsi="宋体"/>
          <w:color w:val="auto"/>
          <w:sz w:val="22"/>
          <w:szCs w:val="22"/>
        </w:rPr>
        <w:t>4.2每一包装箱内必须附有装箱清单。</w:t>
      </w:r>
    </w:p>
    <w:p w14:paraId="7B19997D">
      <w:pPr>
        <w:spacing w:line="440" w:lineRule="atLeast"/>
        <w:ind w:firstLine="440" w:firstLineChars="200"/>
        <w:rPr>
          <w:rFonts w:ascii="宋体" w:hAnsi="宋体"/>
          <w:color w:val="auto"/>
          <w:sz w:val="22"/>
          <w:szCs w:val="22"/>
        </w:rPr>
      </w:pPr>
      <w:r>
        <w:rPr>
          <w:rFonts w:ascii="宋体" w:hAnsi="宋体"/>
          <w:color w:val="auto"/>
          <w:sz w:val="22"/>
          <w:szCs w:val="22"/>
        </w:rPr>
        <w:t>5、唛头</w:t>
      </w:r>
    </w:p>
    <w:p w14:paraId="1DD0661C">
      <w:pPr>
        <w:spacing w:line="440" w:lineRule="atLeast"/>
        <w:ind w:firstLine="440" w:firstLineChars="200"/>
        <w:rPr>
          <w:rFonts w:ascii="宋体" w:hAnsi="宋体"/>
          <w:color w:val="auto"/>
          <w:sz w:val="22"/>
          <w:szCs w:val="22"/>
        </w:rPr>
      </w:pPr>
      <w:r>
        <w:rPr>
          <w:rFonts w:ascii="宋体" w:hAnsi="宋体"/>
          <w:color w:val="auto"/>
          <w:sz w:val="22"/>
          <w:szCs w:val="22"/>
        </w:rPr>
        <w:t>5.1乙方应在每件包装箱上,明显地标注下列标记：</w:t>
      </w:r>
    </w:p>
    <w:p w14:paraId="2E7591A1">
      <w:pPr>
        <w:spacing w:line="440" w:lineRule="atLeast"/>
        <w:ind w:firstLine="440" w:firstLineChars="200"/>
        <w:rPr>
          <w:rFonts w:ascii="宋体" w:hAnsi="宋体"/>
          <w:color w:val="auto"/>
          <w:sz w:val="22"/>
          <w:szCs w:val="22"/>
        </w:rPr>
      </w:pPr>
      <w:r>
        <w:rPr>
          <w:rFonts w:ascii="宋体" w:hAnsi="宋体"/>
          <w:color w:val="auto"/>
          <w:sz w:val="22"/>
          <w:szCs w:val="22"/>
        </w:rPr>
        <w:t>1)</w:t>
      </w:r>
      <w:r>
        <w:rPr>
          <w:rFonts w:hint="eastAsia" w:ascii="宋体" w:hAnsi="宋体"/>
          <w:color w:val="auto"/>
          <w:sz w:val="22"/>
          <w:szCs w:val="22"/>
        </w:rPr>
        <w:t>收货人；</w:t>
      </w:r>
      <w:r>
        <w:rPr>
          <w:rFonts w:ascii="宋体" w:hAnsi="宋体"/>
          <w:color w:val="auto"/>
          <w:sz w:val="22"/>
          <w:szCs w:val="22"/>
        </w:rPr>
        <w:t>2)</w:t>
      </w:r>
      <w:r>
        <w:rPr>
          <w:rFonts w:hint="eastAsia" w:ascii="宋体" w:hAnsi="宋体"/>
          <w:color w:val="auto"/>
          <w:sz w:val="22"/>
          <w:szCs w:val="22"/>
        </w:rPr>
        <w:t>产品名称；</w:t>
      </w:r>
      <w:r>
        <w:rPr>
          <w:rFonts w:ascii="宋体" w:hAnsi="宋体"/>
          <w:color w:val="auto"/>
          <w:sz w:val="22"/>
          <w:szCs w:val="22"/>
        </w:rPr>
        <w:t>3)</w:t>
      </w:r>
      <w:r>
        <w:rPr>
          <w:rFonts w:hint="eastAsia" w:ascii="宋体" w:hAnsi="宋体"/>
          <w:color w:val="auto"/>
          <w:sz w:val="22"/>
          <w:szCs w:val="22"/>
        </w:rPr>
        <w:t>合同号；</w:t>
      </w:r>
      <w:r>
        <w:rPr>
          <w:rFonts w:ascii="宋体" w:hAnsi="宋体"/>
          <w:color w:val="auto"/>
          <w:sz w:val="22"/>
          <w:szCs w:val="22"/>
        </w:rPr>
        <w:t>4)</w:t>
      </w:r>
      <w:r>
        <w:rPr>
          <w:rFonts w:hint="eastAsia" w:ascii="宋体" w:hAnsi="宋体"/>
          <w:color w:val="auto"/>
          <w:sz w:val="22"/>
          <w:szCs w:val="22"/>
        </w:rPr>
        <w:t>品目号和箱号；</w:t>
      </w:r>
      <w:r>
        <w:rPr>
          <w:rFonts w:ascii="宋体" w:hAnsi="宋体"/>
          <w:color w:val="auto"/>
          <w:sz w:val="22"/>
          <w:szCs w:val="22"/>
        </w:rPr>
        <w:t>5)</w:t>
      </w:r>
      <w:r>
        <w:rPr>
          <w:rFonts w:hint="eastAsia" w:ascii="宋体" w:hAnsi="宋体"/>
          <w:color w:val="auto"/>
          <w:sz w:val="22"/>
          <w:szCs w:val="22"/>
        </w:rPr>
        <w:t>到达站或到货地点；</w:t>
      </w:r>
      <w:r>
        <w:rPr>
          <w:rFonts w:ascii="宋体" w:hAnsi="宋体"/>
          <w:color w:val="auto"/>
          <w:sz w:val="22"/>
          <w:szCs w:val="22"/>
        </w:rPr>
        <w:t>6)</w:t>
      </w:r>
      <w:r>
        <w:rPr>
          <w:rFonts w:hint="eastAsia" w:ascii="宋体" w:hAnsi="宋体"/>
          <w:color w:val="auto"/>
          <w:sz w:val="22"/>
          <w:szCs w:val="22"/>
        </w:rPr>
        <w:t>外形尺寸</w:t>
      </w:r>
      <w:r>
        <w:rPr>
          <w:rFonts w:ascii="宋体" w:hAnsi="宋体"/>
          <w:color w:val="auto"/>
          <w:sz w:val="22"/>
          <w:szCs w:val="22"/>
        </w:rPr>
        <w:t>(</w:t>
      </w:r>
      <w:r>
        <w:rPr>
          <w:rFonts w:hint="eastAsia" w:ascii="宋体" w:hAnsi="宋体"/>
          <w:color w:val="auto"/>
          <w:sz w:val="22"/>
          <w:szCs w:val="22"/>
        </w:rPr>
        <w:t>长宽高</w:t>
      </w:r>
      <w:r>
        <w:rPr>
          <w:rFonts w:ascii="宋体" w:hAnsi="宋体"/>
          <w:color w:val="auto"/>
          <w:sz w:val="22"/>
          <w:szCs w:val="22"/>
        </w:rPr>
        <w:t>)</w:t>
      </w:r>
      <w:r>
        <w:rPr>
          <w:rFonts w:hint="eastAsia" w:ascii="宋体" w:hAnsi="宋体"/>
          <w:color w:val="auto"/>
          <w:sz w:val="22"/>
          <w:szCs w:val="22"/>
        </w:rPr>
        <w:t>，以厘米计；</w:t>
      </w:r>
      <w:r>
        <w:rPr>
          <w:rFonts w:ascii="宋体" w:hAnsi="宋体"/>
          <w:color w:val="auto"/>
          <w:sz w:val="22"/>
          <w:szCs w:val="22"/>
        </w:rPr>
        <w:t>7)</w:t>
      </w:r>
      <w:r>
        <w:rPr>
          <w:rFonts w:hint="eastAsia" w:ascii="宋体" w:hAnsi="宋体"/>
          <w:color w:val="auto"/>
          <w:sz w:val="22"/>
          <w:szCs w:val="22"/>
        </w:rPr>
        <w:t>毛重、净重</w:t>
      </w:r>
      <w:r>
        <w:rPr>
          <w:rFonts w:ascii="宋体" w:hAnsi="宋体"/>
          <w:color w:val="auto"/>
          <w:sz w:val="22"/>
          <w:szCs w:val="22"/>
        </w:rPr>
        <w:t>(</w:t>
      </w:r>
      <w:r>
        <w:rPr>
          <w:rFonts w:hint="eastAsia" w:ascii="宋体" w:hAnsi="宋体"/>
          <w:color w:val="auto"/>
          <w:sz w:val="22"/>
          <w:szCs w:val="22"/>
        </w:rPr>
        <w:t>公斤</w:t>
      </w:r>
      <w:r>
        <w:rPr>
          <w:rFonts w:ascii="宋体" w:hAnsi="宋体"/>
          <w:color w:val="auto"/>
          <w:sz w:val="22"/>
          <w:szCs w:val="22"/>
        </w:rPr>
        <w:t>)</w:t>
      </w:r>
      <w:r>
        <w:rPr>
          <w:rFonts w:hint="eastAsia" w:ascii="宋体" w:hAnsi="宋体"/>
          <w:color w:val="auto"/>
          <w:sz w:val="22"/>
          <w:szCs w:val="22"/>
        </w:rPr>
        <w:t>。</w:t>
      </w:r>
    </w:p>
    <w:p w14:paraId="1235ED1C">
      <w:pPr>
        <w:spacing w:line="440" w:lineRule="atLeast"/>
        <w:ind w:firstLine="440" w:firstLineChars="200"/>
        <w:rPr>
          <w:rFonts w:ascii="宋体" w:hAnsi="宋体"/>
          <w:color w:val="auto"/>
          <w:sz w:val="22"/>
          <w:szCs w:val="22"/>
        </w:rPr>
      </w:pPr>
      <w:r>
        <w:rPr>
          <w:rFonts w:ascii="宋体" w:hAnsi="宋体"/>
          <w:color w:val="auto"/>
          <w:sz w:val="22"/>
          <w:szCs w:val="22"/>
        </w:rPr>
        <w:t>5.2</w:t>
      </w:r>
      <w:r>
        <w:rPr>
          <w:rFonts w:hint="eastAsia" w:ascii="宋体" w:hAnsi="宋体"/>
          <w:color w:val="auto"/>
          <w:sz w:val="22"/>
          <w:szCs w:val="22"/>
        </w:rPr>
        <w:t>乙</w:t>
      </w:r>
      <w:r>
        <w:rPr>
          <w:rFonts w:ascii="宋体" w:hAnsi="宋体"/>
          <w:color w:val="auto"/>
          <w:sz w:val="22"/>
          <w:szCs w:val="22"/>
        </w:rPr>
        <w:t>方应根据设备特点，在包装箱上标明“小心轻放”、“请勿倒置”、“防潮”等字样和吊装标记。</w:t>
      </w:r>
    </w:p>
    <w:p w14:paraId="50646B0B">
      <w:pPr>
        <w:spacing w:line="440" w:lineRule="atLeast"/>
        <w:ind w:firstLine="440" w:firstLineChars="200"/>
        <w:rPr>
          <w:rFonts w:hint="eastAsia" w:ascii="宋体" w:hAnsi="宋体"/>
          <w:color w:val="auto"/>
          <w:sz w:val="22"/>
          <w:szCs w:val="22"/>
        </w:rPr>
      </w:pPr>
      <w:r>
        <w:rPr>
          <w:rFonts w:ascii="宋体" w:hAnsi="宋体"/>
          <w:color w:val="auto"/>
          <w:sz w:val="22"/>
          <w:szCs w:val="22"/>
        </w:rPr>
        <w:t>6、本合同产品的免费保修期限为</w:t>
      </w:r>
      <w:r>
        <w:rPr>
          <w:rFonts w:hint="eastAsia" w:ascii="宋体" w:hAnsi="宋体"/>
          <w:color w:val="auto"/>
          <w:sz w:val="22"/>
          <w:szCs w:val="22"/>
        </w:rPr>
        <w:t>货物</w:t>
      </w:r>
      <w:r>
        <w:rPr>
          <w:rFonts w:ascii="宋体" w:hAnsi="宋体"/>
          <w:color w:val="auto"/>
          <w:sz w:val="22"/>
          <w:szCs w:val="22"/>
        </w:rPr>
        <w:t>验收合格交付使用后</w:t>
      </w:r>
      <w:r>
        <w:rPr>
          <w:rFonts w:ascii="宋体" w:hAnsi="宋体"/>
          <w:color w:val="auto"/>
          <w:sz w:val="22"/>
          <w:szCs w:val="22"/>
          <w:u w:val="single"/>
        </w:rPr>
        <w:t xml:space="preserve">   </w:t>
      </w:r>
      <w:r>
        <w:rPr>
          <w:rFonts w:hint="eastAsia" w:ascii="宋体" w:hAnsi="宋体"/>
          <w:color w:val="auto"/>
          <w:sz w:val="22"/>
          <w:szCs w:val="22"/>
          <w:u w:val="single"/>
        </w:rPr>
        <w:t xml:space="preserve"> </w:t>
      </w:r>
      <w:r>
        <w:rPr>
          <w:rFonts w:hint="eastAsia" w:ascii="宋体" w:hAnsi="宋体"/>
          <w:color w:val="auto"/>
          <w:sz w:val="22"/>
          <w:szCs w:val="22"/>
        </w:rPr>
        <w:t>，如厂商本身承诺的产品质保期高于此要求的则按照厂商承诺执行</w:t>
      </w:r>
      <w:r>
        <w:rPr>
          <w:rFonts w:ascii="宋体" w:hAnsi="宋体"/>
          <w:color w:val="auto"/>
          <w:sz w:val="22"/>
          <w:szCs w:val="22"/>
        </w:rPr>
        <w:t>。在产品质量保证期限内，乙方对由于产品设计、工艺、材料、配套件的缺陷而造成的任何产品质量问题或故障负责。</w:t>
      </w:r>
    </w:p>
    <w:p w14:paraId="1632CC23">
      <w:pPr>
        <w:spacing w:line="440" w:lineRule="atLeast"/>
        <w:ind w:firstLine="440" w:firstLineChars="200"/>
        <w:rPr>
          <w:rFonts w:ascii="宋体" w:hAnsi="宋体"/>
          <w:color w:val="auto"/>
          <w:sz w:val="22"/>
          <w:szCs w:val="22"/>
        </w:rPr>
      </w:pPr>
      <w:r>
        <w:rPr>
          <w:rFonts w:ascii="宋体" w:hAnsi="宋体"/>
          <w:color w:val="auto"/>
          <w:sz w:val="22"/>
          <w:szCs w:val="22"/>
        </w:rPr>
        <w:t>7、产品资料</w:t>
      </w:r>
    </w:p>
    <w:p w14:paraId="1D5FC72B">
      <w:pPr>
        <w:spacing w:line="440" w:lineRule="atLeast"/>
        <w:ind w:firstLine="440" w:firstLineChars="200"/>
        <w:rPr>
          <w:rFonts w:ascii="宋体" w:hAnsi="宋体"/>
          <w:color w:val="auto"/>
          <w:sz w:val="22"/>
          <w:szCs w:val="22"/>
        </w:rPr>
      </w:pPr>
      <w:r>
        <w:rPr>
          <w:rFonts w:ascii="宋体" w:hAnsi="宋体"/>
          <w:color w:val="auto"/>
          <w:sz w:val="22"/>
          <w:szCs w:val="22"/>
        </w:rPr>
        <w:t>档案资料，包括：设备的数量、型号、规格，设备生产厂家的产品检测证书，出厂检验报告，合格证书，产品说明书等有关资料。如发现不合格的设备材料，由乙方承担全部的经济损失的责任。设备开箱后的全部随机资料所有权归甲方所有。开箱验收后由甲方保管。</w:t>
      </w:r>
    </w:p>
    <w:p w14:paraId="16E24B39">
      <w:pPr>
        <w:spacing w:line="440" w:lineRule="atLeast"/>
        <w:ind w:firstLine="440" w:firstLineChars="200"/>
        <w:rPr>
          <w:rFonts w:ascii="宋体" w:hAnsi="宋体"/>
          <w:color w:val="auto"/>
          <w:sz w:val="22"/>
          <w:szCs w:val="22"/>
        </w:rPr>
      </w:pPr>
      <w:r>
        <w:rPr>
          <w:rFonts w:ascii="宋体" w:hAnsi="宋体"/>
          <w:color w:val="auto"/>
          <w:sz w:val="22"/>
          <w:szCs w:val="22"/>
        </w:rPr>
        <w:t>8、交付</w:t>
      </w:r>
      <w:r>
        <w:rPr>
          <w:rFonts w:hint="eastAsia" w:ascii="宋体" w:hAnsi="宋体"/>
          <w:color w:val="auto"/>
          <w:sz w:val="22"/>
          <w:szCs w:val="22"/>
        </w:rPr>
        <w:t>验收</w:t>
      </w:r>
      <w:r>
        <w:rPr>
          <w:rFonts w:ascii="宋体" w:hAnsi="宋体"/>
          <w:color w:val="auto"/>
          <w:sz w:val="22"/>
          <w:szCs w:val="22"/>
        </w:rPr>
        <w:t>使用时间：</w:t>
      </w:r>
      <w:r>
        <w:rPr>
          <w:rFonts w:ascii="宋体" w:hAnsi="宋体"/>
          <w:color w:val="auto"/>
          <w:sz w:val="22"/>
          <w:szCs w:val="22"/>
          <w:u w:val="single"/>
        </w:rPr>
        <w:t xml:space="preserve"> </w:t>
      </w:r>
      <w:r>
        <w:rPr>
          <w:rFonts w:hint="eastAsia" w:ascii="宋体" w:hAnsi="宋体"/>
          <w:color w:val="auto"/>
          <w:sz w:val="22"/>
          <w:szCs w:val="22"/>
          <w:u w:val="single"/>
        </w:rPr>
        <w:t xml:space="preserve">         </w:t>
      </w:r>
      <w:r>
        <w:rPr>
          <w:rFonts w:ascii="宋体" w:hAnsi="宋体"/>
          <w:color w:val="auto"/>
          <w:sz w:val="22"/>
          <w:szCs w:val="22"/>
          <w:u w:val="single"/>
        </w:rPr>
        <w:t xml:space="preserve"> </w:t>
      </w:r>
      <w:r>
        <w:rPr>
          <w:rFonts w:ascii="宋体" w:hAnsi="宋体"/>
          <w:color w:val="auto"/>
          <w:sz w:val="22"/>
          <w:szCs w:val="22"/>
        </w:rPr>
        <w:t>，交货地点：</w:t>
      </w:r>
      <w:r>
        <w:rPr>
          <w:rFonts w:hint="eastAsia" w:ascii="宋体" w:hAnsi="宋体"/>
          <w:color w:val="auto"/>
          <w:sz w:val="22"/>
          <w:szCs w:val="22"/>
          <w:u w:val="single"/>
          <w:lang w:eastAsia="zh-CN"/>
        </w:rPr>
        <w:t>温州市特殊教育学校</w:t>
      </w:r>
      <w:r>
        <w:rPr>
          <w:rFonts w:ascii="宋体" w:hAnsi="宋体"/>
          <w:color w:val="auto"/>
          <w:sz w:val="22"/>
          <w:szCs w:val="22"/>
        </w:rPr>
        <w:t>。</w:t>
      </w:r>
    </w:p>
    <w:p w14:paraId="4B25A15C">
      <w:pPr>
        <w:spacing w:line="440" w:lineRule="atLeast"/>
        <w:ind w:firstLine="440" w:firstLineChars="200"/>
        <w:rPr>
          <w:rFonts w:ascii="宋体" w:hAnsi="宋体"/>
          <w:color w:val="auto"/>
          <w:sz w:val="22"/>
          <w:szCs w:val="22"/>
        </w:rPr>
      </w:pPr>
      <w:r>
        <w:rPr>
          <w:rFonts w:ascii="宋体" w:hAnsi="宋体"/>
          <w:color w:val="auto"/>
          <w:sz w:val="22"/>
          <w:szCs w:val="22"/>
        </w:rPr>
        <w:t>9、付款方式与结算</w:t>
      </w:r>
    </w:p>
    <w:p w14:paraId="3DFA7312">
      <w:pPr>
        <w:keepNext w:val="0"/>
        <w:keepLines w:val="0"/>
        <w:pageBreakBefore w:val="0"/>
        <w:kinsoku/>
        <w:wordWrap/>
        <w:overflowPunct/>
        <w:topLinePunct w:val="0"/>
        <w:bidi w:val="0"/>
        <w:snapToGrid/>
        <w:spacing w:line="440" w:lineRule="exact"/>
        <w:ind w:firstLine="440" w:firstLineChars="200"/>
        <w:textAlignment w:val="auto"/>
        <w:rPr>
          <w:rFonts w:hint="eastAsia" w:ascii="宋体" w:hAnsi="宋体" w:eastAsia="宋体" w:cs="宋体"/>
          <w:color w:val="auto"/>
          <w:sz w:val="22"/>
          <w:szCs w:val="22"/>
        </w:rPr>
      </w:pPr>
      <w:bookmarkStart w:id="119" w:name="_Hlk144210472"/>
      <w:r>
        <w:rPr>
          <w:rFonts w:hint="eastAsia" w:ascii="宋体" w:hAnsi="宋体" w:eastAsia="宋体" w:cs="宋体"/>
          <w:color w:val="auto"/>
          <w:sz w:val="22"/>
          <w:szCs w:val="22"/>
          <w:lang w:val="en-US" w:eastAsia="zh-CN"/>
        </w:rPr>
        <w:t>9</w:t>
      </w:r>
      <w:r>
        <w:rPr>
          <w:rFonts w:hint="eastAsia" w:ascii="宋体" w:hAnsi="宋体" w:eastAsia="宋体" w:cs="宋体"/>
          <w:color w:val="auto"/>
          <w:sz w:val="22"/>
          <w:szCs w:val="22"/>
        </w:rPr>
        <w:t xml:space="preserve">.1履约保证金 </w:t>
      </w:r>
    </w:p>
    <w:p w14:paraId="724D98E1">
      <w:pPr>
        <w:keepNext w:val="0"/>
        <w:keepLines w:val="0"/>
        <w:pageBreakBefore w:val="0"/>
        <w:kinsoku/>
        <w:wordWrap/>
        <w:overflowPunct/>
        <w:topLinePunct w:val="0"/>
        <w:bidi w:val="0"/>
        <w:snapToGrid/>
        <w:spacing w:line="440" w:lineRule="exact"/>
        <w:ind w:firstLine="440" w:firstLineChars="200"/>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rPr>
        <w:t>乙方在合同签订后</w:t>
      </w:r>
      <w:r>
        <w:rPr>
          <w:rFonts w:hint="eastAsia" w:ascii="宋体" w:hAnsi="宋体" w:eastAsia="宋体" w:cs="宋体"/>
          <w:color w:val="auto"/>
          <w:sz w:val="22"/>
          <w:szCs w:val="22"/>
          <w:lang w:val="en-US" w:eastAsia="zh-CN"/>
        </w:rPr>
        <w:t>7</w:t>
      </w:r>
      <w:r>
        <w:rPr>
          <w:rFonts w:hint="eastAsia" w:ascii="宋体" w:hAnsi="宋体" w:eastAsia="宋体" w:cs="宋体"/>
          <w:color w:val="auto"/>
          <w:sz w:val="22"/>
          <w:szCs w:val="22"/>
        </w:rPr>
        <w:t>个工作日内，支付给甲方合同金额</w:t>
      </w:r>
      <w:r>
        <w:rPr>
          <w:rFonts w:hint="eastAsia" w:ascii="宋体" w:hAnsi="宋体" w:cs="宋体"/>
          <w:color w:val="auto"/>
          <w:sz w:val="22"/>
          <w:szCs w:val="22"/>
          <w:lang w:val="en-US" w:eastAsia="zh-CN"/>
        </w:rPr>
        <w:t>1</w:t>
      </w:r>
      <w:r>
        <w:rPr>
          <w:rFonts w:hint="eastAsia" w:ascii="宋体" w:hAnsi="宋体" w:eastAsia="宋体" w:cs="宋体"/>
          <w:color w:val="auto"/>
          <w:sz w:val="22"/>
          <w:szCs w:val="22"/>
        </w:rPr>
        <w:t xml:space="preserve"> %作为履约保证金（接受支票、汇票、本票、履约保函等多种非现金形式）。</w:t>
      </w:r>
      <w:bookmarkStart w:id="120" w:name="_Hlk144210598"/>
      <w:r>
        <w:rPr>
          <w:rFonts w:hint="eastAsia" w:ascii="宋体" w:hAnsi="宋体" w:eastAsia="宋体" w:cs="宋体"/>
          <w:color w:val="auto"/>
          <w:sz w:val="22"/>
          <w:szCs w:val="22"/>
        </w:rPr>
        <w:t>在合同履行期内乙方违约的，在履约保证金内先扣除乙方应承担的违约金。乙方没有违约或扣除违约金后有剩余的，履约保证金在乙方履约验收合格后</w:t>
      </w:r>
      <w:r>
        <w:rPr>
          <w:rFonts w:hint="eastAsia" w:ascii="宋体" w:hAnsi="宋体" w:eastAsia="宋体" w:cs="宋体"/>
          <w:color w:val="auto"/>
          <w:sz w:val="22"/>
          <w:szCs w:val="22"/>
          <w:lang w:val="en-US" w:eastAsia="zh-CN"/>
        </w:rPr>
        <w:t>5</w:t>
      </w:r>
      <w:r>
        <w:rPr>
          <w:rFonts w:hint="eastAsia" w:ascii="宋体" w:hAnsi="宋体" w:eastAsia="宋体" w:cs="宋体"/>
          <w:color w:val="auto"/>
          <w:sz w:val="22"/>
          <w:szCs w:val="22"/>
        </w:rPr>
        <w:t>个工作日内无息返还。</w:t>
      </w:r>
    </w:p>
    <w:bookmarkEnd w:id="120"/>
    <w:p w14:paraId="541CD562">
      <w:pPr>
        <w:keepNext w:val="0"/>
        <w:keepLines w:val="0"/>
        <w:pageBreakBefore w:val="0"/>
        <w:kinsoku/>
        <w:wordWrap/>
        <w:overflowPunct/>
        <w:topLinePunct w:val="0"/>
        <w:bidi w:val="0"/>
        <w:snapToGrid/>
        <w:spacing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9</w:t>
      </w:r>
      <w:r>
        <w:rPr>
          <w:rFonts w:hint="eastAsia" w:ascii="宋体" w:hAnsi="宋体" w:eastAsia="宋体" w:cs="宋体"/>
          <w:color w:val="auto"/>
          <w:sz w:val="22"/>
          <w:szCs w:val="22"/>
        </w:rPr>
        <w:t>.2合同价款支付方式</w:t>
      </w:r>
    </w:p>
    <w:p w14:paraId="6584B63C">
      <w:pPr>
        <w:keepNext w:val="0"/>
        <w:keepLines w:val="0"/>
        <w:pageBreakBefore w:val="0"/>
        <w:kinsoku/>
        <w:wordWrap/>
        <w:overflowPunct/>
        <w:topLinePunct w:val="0"/>
        <w:bidi w:val="0"/>
        <w:snapToGrid/>
        <w:spacing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合同签订后</w:t>
      </w:r>
      <w:r>
        <w:rPr>
          <w:rFonts w:hint="eastAsia" w:ascii="宋体" w:hAnsi="宋体" w:eastAsia="宋体" w:cs="宋体"/>
          <w:color w:val="auto"/>
          <w:sz w:val="22"/>
          <w:szCs w:val="22"/>
          <w:lang w:val="en-US" w:eastAsia="zh-CN"/>
        </w:rPr>
        <w:t>7</w:t>
      </w:r>
      <w:r>
        <w:rPr>
          <w:rFonts w:hint="eastAsia" w:ascii="宋体" w:hAnsi="宋体" w:eastAsia="宋体" w:cs="宋体"/>
          <w:color w:val="auto"/>
          <w:sz w:val="22"/>
          <w:szCs w:val="22"/>
        </w:rPr>
        <w:t>个工作日内，甲方</w:t>
      </w:r>
      <w:r>
        <w:rPr>
          <w:rFonts w:hint="eastAsia" w:ascii="宋体" w:hAnsi="宋体" w:eastAsia="宋体" w:cs="宋体"/>
          <w:color w:val="auto"/>
          <w:sz w:val="22"/>
          <w:szCs w:val="22"/>
          <w:lang w:val="en-US" w:eastAsia="zh-CN"/>
        </w:rPr>
        <w:t>待财政资金下达后</w:t>
      </w:r>
      <w:r>
        <w:rPr>
          <w:rFonts w:hint="eastAsia" w:ascii="宋体" w:hAnsi="宋体" w:eastAsia="宋体" w:cs="宋体"/>
          <w:color w:val="auto"/>
          <w:sz w:val="22"/>
          <w:szCs w:val="22"/>
        </w:rPr>
        <w:t>向乙方支付合同总价的40%作为预付款；全部设备</w:t>
      </w:r>
      <w:r>
        <w:rPr>
          <w:rFonts w:hint="eastAsia" w:ascii="宋体" w:hAnsi="宋体" w:eastAsia="宋体" w:cs="宋体"/>
          <w:color w:val="auto"/>
          <w:sz w:val="22"/>
          <w:szCs w:val="22"/>
          <w:lang w:val="en-US" w:eastAsia="zh-CN"/>
        </w:rPr>
        <w:t>供货安装完成</w:t>
      </w:r>
      <w:r>
        <w:rPr>
          <w:rFonts w:hint="eastAsia" w:ascii="宋体" w:hAnsi="宋体" w:eastAsia="宋体" w:cs="宋体"/>
          <w:color w:val="auto"/>
          <w:sz w:val="22"/>
          <w:szCs w:val="22"/>
        </w:rPr>
        <w:t>交付使用后</w:t>
      </w:r>
      <w:r>
        <w:rPr>
          <w:rFonts w:hint="eastAsia" w:ascii="宋体" w:hAnsi="宋体" w:eastAsia="宋体" w:cs="宋体"/>
          <w:color w:val="auto"/>
          <w:sz w:val="22"/>
          <w:szCs w:val="22"/>
          <w:lang w:val="en-US" w:eastAsia="zh-CN"/>
        </w:rPr>
        <w:t>并且厨房附属改造工程竣工后7</w:t>
      </w:r>
      <w:r>
        <w:rPr>
          <w:rFonts w:hint="eastAsia" w:ascii="宋体" w:hAnsi="宋体" w:eastAsia="宋体" w:cs="宋体"/>
          <w:color w:val="auto"/>
          <w:sz w:val="22"/>
          <w:szCs w:val="22"/>
        </w:rPr>
        <w:t>个工作日内，甲方向乙方支付合同总价的50%；全部设备验收合格</w:t>
      </w:r>
      <w:r>
        <w:rPr>
          <w:rFonts w:hint="eastAsia" w:ascii="宋体" w:hAnsi="宋体" w:cs="宋体"/>
          <w:color w:val="auto"/>
          <w:sz w:val="22"/>
          <w:szCs w:val="22"/>
          <w:lang w:eastAsia="zh-CN"/>
        </w:rPr>
        <w:t>、</w:t>
      </w:r>
      <w:r>
        <w:rPr>
          <w:rFonts w:hint="eastAsia" w:ascii="宋体" w:hAnsi="宋体" w:cs="宋体"/>
          <w:color w:val="auto"/>
          <w:sz w:val="22"/>
          <w:szCs w:val="22"/>
          <w:lang w:val="en-US" w:eastAsia="zh-CN"/>
        </w:rPr>
        <w:t>工程经第三方结算审价后</w:t>
      </w:r>
      <w:r>
        <w:rPr>
          <w:rFonts w:hint="eastAsia" w:ascii="宋体" w:hAnsi="宋体" w:eastAsia="宋体" w:cs="宋体"/>
          <w:color w:val="auto"/>
          <w:sz w:val="22"/>
          <w:szCs w:val="22"/>
        </w:rPr>
        <w:t>且收到乙方开具的全额正式发票后</w:t>
      </w:r>
      <w:r>
        <w:rPr>
          <w:rFonts w:hint="eastAsia" w:ascii="宋体" w:hAnsi="宋体" w:eastAsia="宋体" w:cs="宋体"/>
          <w:color w:val="auto"/>
          <w:sz w:val="22"/>
          <w:szCs w:val="22"/>
          <w:lang w:val="en-US"/>
        </w:rPr>
        <w:t>7</w:t>
      </w:r>
      <w:r>
        <w:rPr>
          <w:rFonts w:hint="eastAsia" w:ascii="宋体" w:hAnsi="宋体" w:eastAsia="宋体" w:cs="宋体"/>
          <w:color w:val="auto"/>
          <w:sz w:val="22"/>
          <w:szCs w:val="22"/>
        </w:rPr>
        <w:t>个工作日内，甲方向乙方支付剩余合同总价的10%</w:t>
      </w:r>
      <w:r>
        <w:rPr>
          <w:rFonts w:hint="eastAsia" w:ascii="宋体" w:hAnsi="宋体" w:eastAsia="宋体" w:cs="宋体"/>
          <w:color w:val="auto"/>
          <w:sz w:val="22"/>
          <w:szCs w:val="22"/>
          <w:lang w:eastAsia="zh-CN"/>
        </w:rPr>
        <w:t>（</w:t>
      </w:r>
      <w:r>
        <w:rPr>
          <w:rFonts w:hint="eastAsia" w:ascii="宋体" w:hAnsi="宋体" w:eastAsia="宋体" w:cs="宋体"/>
          <w:b w:val="0"/>
          <w:bCs w:val="0"/>
          <w:color w:val="auto"/>
          <w:sz w:val="22"/>
          <w:szCs w:val="22"/>
          <w:highlight w:val="none"/>
          <w:u w:val="none"/>
          <w:lang w:val="en-US" w:eastAsia="zh-CN"/>
        </w:rPr>
        <w:t>其中</w:t>
      </w:r>
      <w:r>
        <w:rPr>
          <w:rFonts w:hint="eastAsia" w:ascii="宋体" w:hAnsi="宋体" w:cs="宋体"/>
          <w:b w:val="0"/>
          <w:bCs w:val="0"/>
          <w:color w:val="auto"/>
          <w:sz w:val="22"/>
          <w:szCs w:val="22"/>
          <w:highlight w:val="none"/>
          <w:u w:val="none"/>
          <w:lang w:val="en-US" w:eastAsia="zh-CN"/>
        </w:rPr>
        <w:t>厨房附属改造工程根据</w:t>
      </w:r>
      <w:r>
        <w:rPr>
          <w:rFonts w:hint="eastAsia" w:ascii="宋体" w:hAnsi="宋体" w:cs="宋体"/>
          <w:b w:val="0"/>
          <w:bCs w:val="0"/>
          <w:color w:val="auto"/>
          <w:sz w:val="22"/>
          <w:szCs w:val="22"/>
          <w:highlight w:val="none"/>
          <w:u w:val="none"/>
        </w:rPr>
        <w:t>最终第三方</w:t>
      </w:r>
      <w:r>
        <w:rPr>
          <w:rFonts w:hint="eastAsia" w:ascii="宋体" w:hAnsi="宋体" w:cs="宋体"/>
          <w:b w:val="0"/>
          <w:bCs w:val="0"/>
          <w:color w:val="auto"/>
          <w:sz w:val="22"/>
          <w:szCs w:val="22"/>
          <w:highlight w:val="none"/>
          <w:u w:val="none"/>
          <w:lang w:eastAsia="zh-CN"/>
        </w:rPr>
        <w:t>审价</w:t>
      </w:r>
      <w:r>
        <w:rPr>
          <w:rFonts w:hint="eastAsia" w:ascii="宋体" w:hAnsi="宋体" w:cs="宋体"/>
          <w:b w:val="0"/>
          <w:bCs w:val="0"/>
          <w:color w:val="auto"/>
          <w:sz w:val="22"/>
          <w:szCs w:val="22"/>
          <w:highlight w:val="none"/>
          <w:u w:val="none"/>
        </w:rPr>
        <w:t>的结算价</w:t>
      </w:r>
      <w:r>
        <w:rPr>
          <w:rFonts w:hint="eastAsia" w:ascii="宋体" w:hAnsi="宋体" w:cs="宋体"/>
          <w:b w:val="0"/>
          <w:bCs w:val="0"/>
          <w:color w:val="auto"/>
          <w:sz w:val="22"/>
          <w:szCs w:val="22"/>
          <w:highlight w:val="none"/>
          <w:u w:val="none"/>
          <w:lang w:val="en-US" w:eastAsia="zh-CN"/>
        </w:rPr>
        <w:t>支付</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w:t>
      </w:r>
    </w:p>
    <w:p w14:paraId="6D190E51">
      <w:pPr>
        <w:keepNext w:val="0"/>
        <w:keepLines w:val="0"/>
        <w:pageBreakBefore w:val="0"/>
        <w:kinsoku/>
        <w:wordWrap/>
        <w:overflowPunct/>
        <w:topLinePunct w:val="0"/>
        <w:bidi w:val="0"/>
        <w:snapToGrid/>
        <w:spacing w:line="440" w:lineRule="exact"/>
        <w:ind w:firstLine="440" w:firstLineChars="200"/>
        <w:textAlignment w:val="auto"/>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备注：2024年最多支付72万元，剩余资金在2025年财政资金下达之后再支付。</w:t>
      </w:r>
    </w:p>
    <w:bookmarkEnd w:id="119"/>
    <w:p w14:paraId="673D00B5">
      <w:pPr>
        <w:spacing w:line="440" w:lineRule="atLeast"/>
        <w:ind w:firstLine="440" w:firstLineChars="200"/>
        <w:rPr>
          <w:rFonts w:ascii="宋体" w:hAnsi="宋体"/>
          <w:color w:val="auto"/>
          <w:sz w:val="22"/>
          <w:szCs w:val="22"/>
        </w:rPr>
      </w:pPr>
      <w:r>
        <w:rPr>
          <w:rFonts w:ascii="宋体" w:hAnsi="宋体"/>
          <w:color w:val="auto"/>
          <w:sz w:val="22"/>
          <w:szCs w:val="22"/>
        </w:rPr>
        <w:t>10、违约责任</w:t>
      </w:r>
    </w:p>
    <w:p w14:paraId="75EFFD63">
      <w:pPr>
        <w:spacing w:line="440" w:lineRule="atLeast"/>
        <w:ind w:firstLine="440" w:firstLineChars="200"/>
        <w:rPr>
          <w:rFonts w:ascii="宋体" w:hAnsi="宋体"/>
          <w:color w:val="auto"/>
          <w:sz w:val="22"/>
          <w:szCs w:val="22"/>
        </w:rPr>
      </w:pPr>
      <w:r>
        <w:rPr>
          <w:rFonts w:ascii="宋体" w:hAnsi="宋体"/>
          <w:color w:val="auto"/>
          <w:sz w:val="22"/>
          <w:szCs w:val="22"/>
        </w:rPr>
        <w:t>10.1设备质量责任</w:t>
      </w:r>
    </w:p>
    <w:p w14:paraId="72CFEF0F">
      <w:pPr>
        <w:spacing w:line="440" w:lineRule="atLeast"/>
        <w:ind w:firstLine="440" w:firstLineChars="200"/>
        <w:rPr>
          <w:rFonts w:ascii="宋体" w:hAnsi="宋体"/>
          <w:color w:val="auto"/>
          <w:sz w:val="22"/>
          <w:szCs w:val="22"/>
        </w:rPr>
      </w:pPr>
      <w:r>
        <w:rPr>
          <w:rFonts w:ascii="宋体" w:hAnsi="宋体"/>
          <w:color w:val="auto"/>
          <w:sz w:val="22"/>
          <w:szCs w:val="22"/>
        </w:rPr>
        <w:t>1）在设备质量保证期内，如</w:t>
      </w:r>
      <w:r>
        <w:rPr>
          <w:rFonts w:hint="eastAsia" w:ascii="宋体" w:hAnsi="宋体"/>
          <w:color w:val="auto"/>
          <w:sz w:val="22"/>
          <w:szCs w:val="22"/>
        </w:rPr>
        <w:t>产品</w:t>
      </w:r>
      <w:r>
        <w:rPr>
          <w:rFonts w:ascii="宋体" w:hAnsi="宋体"/>
          <w:color w:val="auto"/>
          <w:sz w:val="22"/>
          <w:szCs w:val="22"/>
        </w:rPr>
        <w:t>有功能原理性错误或者设备在开箱检验、安装调试、设备试运行过程中发现的设备质量问题，由</w:t>
      </w:r>
      <w:r>
        <w:rPr>
          <w:rFonts w:hint="eastAsia" w:ascii="宋体" w:hAnsi="宋体"/>
          <w:color w:val="auto"/>
          <w:sz w:val="22"/>
          <w:szCs w:val="22"/>
        </w:rPr>
        <w:t>乙</w:t>
      </w:r>
      <w:r>
        <w:rPr>
          <w:rFonts w:ascii="宋体" w:hAnsi="宋体"/>
          <w:color w:val="auto"/>
          <w:sz w:val="22"/>
          <w:szCs w:val="22"/>
        </w:rPr>
        <w:t>方负责处理，实行包修、包换、包退、直至产品符合质量要求。乙方承担修理、调换、退货发生的一切费用和甲方的直接经济损失。</w:t>
      </w:r>
    </w:p>
    <w:p w14:paraId="4377A55C">
      <w:pPr>
        <w:spacing w:line="440" w:lineRule="atLeast"/>
        <w:ind w:firstLine="440" w:firstLineChars="200"/>
        <w:rPr>
          <w:rFonts w:ascii="宋体" w:hAnsi="宋体"/>
          <w:color w:val="auto"/>
          <w:sz w:val="22"/>
          <w:szCs w:val="22"/>
        </w:rPr>
      </w:pPr>
      <w:r>
        <w:rPr>
          <w:rFonts w:ascii="宋体" w:hAnsi="宋体"/>
          <w:color w:val="auto"/>
          <w:sz w:val="22"/>
          <w:szCs w:val="22"/>
        </w:rPr>
        <w:t>2）接到</w:t>
      </w:r>
      <w:r>
        <w:rPr>
          <w:rFonts w:hint="eastAsia" w:ascii="宋体" w:hAnsi="宋体"/>
          <w:color w:val="auto"/>
          <w:sz w:val="22"/>
          <w:szCs w:val="22"/>
        </w:rPr>
        <w:t>甲</w:t>
      </w:r>
      <w:r>
        <w:rPr>
          <w:rFonts w:ascii="宋体" w:hAnsi="宋体"/>
          <w:color w:val="auto"/>
          <w:sz w:val="22"/>
          <w:szCs w:val="22"/>
        </w:rPr>
        <w:t>方通知后，温州及附近地区</w:t>
      </w:r>
      <w:r>
        <w:rPr>
          <w:rFonts w:hint="eastAsia" w:ascii="宋体" w:hAnsi="宋体"/>
          <w:color w:val="auto"/>
          <w:sz w:val="22"/>
          <w:szCs w:val="22"/>
        </w:rPr>
        <w:t>___</w:t>
      </w:r>
      <w:r>
        <w:rPr>
          <w:rFonts w:ascii="宋体" w:hAnsi="宋体"/>
          <w:color w:val="auto"/>
          <w:sz w:val="22"/>
          <w:szCs w:val="22"/>
        </w:rPr>
        <w:t>小时内，外地</w:t>
      </w:r>
      <w:r>
        <w:rPr>
          <w:rFonts w:hint="eastAsia" w:ascii="宋体" w:hAnsi="宋体"/>
          <w:color w:val="auto"/>
          <w:sz w:val="22"/>
          <w:szCs w:val="22"/>
        </w:rPr>
        <w:t>___</w:t>
      </w:r>
      <w:r>
        <w:rPr>
          <w:rFonts w:ascii="宋体" w:hAnsi="宋体"/>
          <w:color w:val="auto"/>
          <w:sz w:val="22"/>
          <w:szCs w:val="22"/>
        </w:rPr>
        <w:t>小时内派人赴现场处理设备质量问题。</w:t>
      </w:r>
    </w:p>
    <w:p w14:paraId="4AE147DB">
      <w:pPr>
        <w:spacing w:line="440" w:lineRule="atLeast"/>
        <w:ind w:firstLine="440" w:firstLineChars="200"/>
        <w:rPr>
          <w:rFonts w:ascii="宋体" w:hAnsi="宋体"/>
          <w:color w:val="auto"/>
          <w:sz w:val="22"/>
          <w:szCs w:val="22"/>
        </w:rPr>
      </w:pPr>
      <w:r>
        <w:rPr>
          <w:rFonts w:ascii="宋体" w:hAnsi="宋体"/>
          <w:color w:val="auto"/>
          <w:sz w:val="22"/>
          <w:szCs w:val="22"/>
        </w:rPr>
        <w:t>3）由于</w:t>
      </w:r>
      <w:r>
        <w:rPr>
          <w:rFonts w:hint="eastAsia" w:ascii="宋体" w:hAnsi="宋体"/>
          <w:color w:val="auto"/>
          <w:sz w:val="22"/>
          <w:szCs w:val="22"/>
        </w:rPr>
        <w:t>甲</w:t>
      </w:r>
      <w:r>
        <w:rPr>
          <w:rFonts w:ascii="宋体" w:hAnsi="宋体"/>
          <w:color w:val="auto"/>
          <w:sz w:val="22"/>
          <w:szCs w:val="22"/>
        </w:rPr>
        <w:t>方保管不善或使用不当造成设备短缺、故障或损坏，由</w:t>
      </w:r>
      <w:r>
        <w:rPr>
          <w:rFonts w:hint="eastAsia" w:ascii="宋体" w:hAnsi="宋体"/>
          <w:color w:val="auto"/>
          <w:sz w:val="22"/>
          <w:szCs w:val="22"/>
        </w:rPr>
        <w:t>甲</w:t>
      </w:r>
      <w:r>
        <w:rPr>
          <w:rFonts w:ascii="宋体" w:hAnsi="宋体"/>
          <w:color w:val="auto"/>
          <w:sz w:val="22"/>
          <w:szCs w:val="22"/>
        </w:rPr>
        <w:t>方负责。但</w:t>
      </w:r>
      <w:r>
        <w:rPr>
          <w:rFonts w:hint="eastAsia" w:ascii="宋体" w:hAnsi="宋体"/>
          <w:color w:val="auto"/>
          <w:sz w:val="22"/>
          <w:szCs w:val="22"/>
        </w:rPr>
        <w:t>乙</w:t>
      </w:r>
      <w:r>
        <w:rPr>
          <w:rFonts w:ascii="宋体" w:hAnsi="宋体"/>
          <w:color w:val="auto"/>
          <w:sz w:val="22"/>
          <w:szCs w:val="22"/>
        </w:rPr>
        <w:t>方保证及时给予补齐和修复。</w:t>
      </w:r>
    </w:p>
    <w:p w14:paraId="62CFC42D">
      <w:pPr>
        <w:spacing w:line="440" w:lineRule="atLeast"/>
        <w:ind w:firstLine="440" w:firstLineChars="200"/>
        <w:rPr>
          <w:rFonts w:ascii="宋体" w:hAnsi="宋体"/>
          <w:color w:val="auto"/>
          <w:sz w:val="22"/>
          <w:szCs w:val="22"/>
        </w:rPr>
      </w:pPr>
      <w:r>
        <w:rPr>
          <w:rFonts w:ascii="宋体" w:hAnsi="宋体"/>
          <w:color w:val="auto"/>
          <w:sz w:val="22"/>
          <w:szCs w:val="22"/>
        </w:rPr>
        <w:t>10.2违约赔偿</w:t>
      </w:r>
    </w:p>
    <w:p w14:paraId="1F456287">
      <w:pPr>
        <w:spacing w:line="440" w:lineRule="atLeast"/>
        <w:ind w:firstLine="440" w:firstLineChars="200"/>
        <w:rPr>
          <w:rFonts w:ascii="宋体" w:hAnsi="宋体"/>
          <w:color w:val="auto"/>
          <w:sz w:val="22"/>
          <w:szCs w:val="22"/>
        </w:rPr>
      </w:pPr>
      <w:r>
        <w:rPr>
          <w:rFonts w:ascii="宋体" w:hAnsi="宋体"/>
          <w:color w:val="auto"/>
          <w:sz w:val="22"/>
          <w:szCs w:val="22"/>
        </w:rPr>
        <w:t>除不可抗力外，如</w:t>
      </w:r>
      <w:r>
        <w:rPr>
          <w:rFonts w:hint="eastAsia" w:ascii="宋体" w:hAnsi="宋体"/>
          <w:color w:val="auto"/>
          <w:sz w:val="22"/>
          <w:szCs w:val="22"/>
        </w:rPr>
        <w:t>乙</w:t>
      </w:r>
      <w:r>
        <w:rPr>
          <w:rFonts w:ascii="宋体" w:hAnsi="宋体"/>
          <w:color w:val="auto"/>
          <w:sz w:val="22"/>
          <w:szCs w:val="22"/>
        </w:rPr>
        <w:t>方发生不能按期交货</w:t>
      </w:r>
      <w:r>
        <w:rPr>
          <w:rFonts w:hint="eastAsia" w:ascii="宋体" w:hAnsi="宋体"/>
          <w:color w:val="auto"/>
          <w:sz w:val="22"/>
          <w:szCs w:val="22"/>
        </w:rPr>
        <w:t>验收</w:t>
      </w:r>
      <w:r>
        <w:rPr>
          <w:rFonts w:ascii="宋体" w:hAnsi="宋体"/>
          <w:color w:val="auto"/>
          <w:sz w:val="22"/>
          <w:szCs w:val="22"/>
        </w:rPr>
        <w:t>或提供服务，</w:t>
      </w:r>
      <w:r>
        <w:rPr>
          <w:rFonts w:hint="eastAsia" w:ascii="宋体" w:hAnsi="宋体"/>
          <w:color w:val="auto"/>
          <w:sz w:val="22"/>
          <w:szCs w:val="22"/>
        </w:rPr>
        <w:t>甲</w:t>
      </w:r>
      <w:r>
        <w:rPr>
          <w:rFonts w:ascii="宋体" w:hAnsi="宋体"/>
          <w:color w:val="auto"/>
          <w:sz w:val="22"/>
          <w:szCs w:val="22"/>
        </w:rPr>
        <w:t>方发生中途退货等情况，应及时以书面形式通知对方。双方应本着友好的态度进行协商，妥善解决。</w:t>
      </w:r>
    </w:p>
    <w:p w14:paraId="18014CD2">
      <w:pPr>
        <w:spacing w:line="440" w:lineRule="atLeast"/>
        <w:ind w:firstLine="440" w:firstLineChars="200"/>
        <w:rPr>
          <w:rFonts w:ascii="宋体" w:hAnsi="宋体"/>
          <w:color w:val="auto"/>
          <w:sz w:val="22"/>
          <w:szCs w:val="22"/>
        </w:rPr>
      </w:pPr>
      <w:r>
        <w:rPr>
          <w:rFonts w:ascii="宋体" w:hAnsi="宋体"/>
          <w:color w:val="auto"/>
          <w:sz w:val="22"/>
          <w:szCs w:val="22"/>
        </w:rPr>
        <w:t>如协商无效，按下列规定处以罚金。</w:t>
      </w:r>
    </w:p>
    <w:p w14:paraId="2D9BC4EB">
      <w:pPr>
        <w:spacing w:line="440" w:lineRule="atLeast"/>
        <w:ind w:firstLine="440" w:firstLineChars="200"/>
        <w:rPr>
          <w:rFonts w:ascii="宋体" w:hAnsi="宋体"/>
          <w:color w:val="auto"/>
          <w:sz w:val="22"/>
          <w:szCs w:val="22"/>
        </w:rPr>
      </w:pPr>
      <w:r>
        <w:rPr>
          <w:rFonts w:ascii="宋体" w:hAnsi="宋体"/>
          <w:color w:val="auto"/>
          <w:sz w:val="22"/>
          <w:szCs w:val="22"/>
        </w:rPr>
        <w:t>1）逾期交货</w:t>
      </w:r>
      <w:r>
        <w:rPr>
          <w:rFonts w:hint="eastAsia" w:ascii="宋体" w:hAnsi="宋体"/>
          <w:color w:val="auto"/>
          <w:sz w:val="22"/>
          <w:szCs w:val="22"/>
        </w:rPr>
        <w:t>验收</w:t>
      </w:r>
    </w:p>
    <w:p w14:paraId="3D25D38C">
      <w:pPr>
        <w:spacing w:line="440" w:lineRule="atLeast"/>
        <w:ind w:firstLine="440" w:firstLineChars="200"/>
        <w:rPr>
          <w:rFonts w:ascii="宋体" w:hAnsi="宋体"/>
          <w:color w:val="auto"/>
          <w:sz w:val="22"/>
          <w:szCs w:val="22"/>
        </w:rPr>
      </w:pPr>
      <w:r>
        <w:rPr>
          <w:rFonts w:ascii="宋体" w:hAnsi="宋体"/>
          <w:color w:val="auto"/>
          <w:sz w:val="22"/>
          <w:szCs w:val="22"/>
        </w:rPr>
        <w:t>乙方逾期交货</w:t>
      </w:r>
      <w:r>
        <w:rPr>
          <w:rFonts w:hint="eastAsia" w:ascii="宋体" w:hAnsi="宋体"/>
          <w:color w:val="auto"/>
          <w:sz w:val="22"/>
          <w:szCs w:val="22"/>
        </w:rPr>
        <w:t>验收</w:t>
      </w:r>
      <w:r>
        <w:rPr>
          <w:rFonts w:ascii="宋体" w:hAnsi="宋体"/>
          <w:color w:val="auto"/>
          <w:sz w:val="22"/>
          <w:szCs w:val="22"/>
        </w:rPr>
        <w:t>，应向</w:t>
      </w:r>
      <w:r>
        <w:rPr>
          <w:rFonts w:hint="eastAsia" w:ascii="宋体" w:hAnsi="宋体"/>
          <w:color w:val="auto"/>
          <w:sz w:val="22"/>
          <w:szCs w:val="22"/>
        </w:rPr>
        <w:t>甲</w:t>
      </w:r>
      <w:r>
        <w:rPr>
          <w:rFonts w:ascii="宋体" w:hAnsi="宋体"/>
          <w:color w:val="auto"/>
          <w:sz w:val="22"/>
          <w:szCs w:val="22"/>
        </w:rPr>
        <w:t>方偿付违约金，每逾一周违约罚款按合同总价的0.8%计收，直至交货</w:t>
      </w:r>
      <w:r>
        <w:rPr>
          <w:rFonts w:hint="eastAsia" w:ascii="宋体" w:hAnsi="宋体"/>
          <w:color w:val="auto"/>
          <w:sz w:val="22"/>
          <w:szCs w:val="22"/>
        </w:rPr>
        <w:t>验收</w:t>
      </w:r>
      <w:r>
        <w:rPr>
          <w:rFonts w:ascii="宋体" w:hAnsi="宋体"/>
          <w:color w:val="auto"/>
          <w:sz w:val="22"/>
          <w:szCs w:val="22"/>
        </w:rPr>
        <w:t>为止。（一周按7天计算，不足一周按一周计算）。逾期交货</w:t>
      </w:r>
      <w:r>
        <w:rPr>
          <w:rFonts w:hint="eastAsia" w:ascii="宋体" w:hAnsi="宋体"/>
          <w:color w:val="auto"/>
          <w:sz w:val="22"/>
          <w:szCs w:val="22"/>
        </w:rPr>
        <w:t>验收</w:t>
      </w:r>
      <w:r>
        <w:rPr>
          <w:rFonts w:ascii="宋体" w:hAnsi="宋体"/>
          <w:color w:val="auto"/>
          <w:sz w:val="22"/>
          <w:szCs w:val="22"/>
        </w:rPr>
        <w:t>的违约赔偿最高限额为合同总价的8%，如违约金达到最高限额时乙方仍不能交货</w:t>
      </w:r>
      <w:r>
        <w:rPr>
          <w:rFonts w:hint="eastAsia" w:ascii="宋体" w:hAnsi="宋体"/>
          <w:color w:val="auto"/>
          <w:sz w:val="22"/>
          <w:szCs w:val="22"/>
        </w:rPr>
        <w:t>验收</w:t>
      </w:r>
      <w:r>
        <w:rPr>
          <w:rFonts w:ascii="宋体" w:hAnsi="宋体"/>
          <w:color w:val="auto"/>
          <w:sz w:val="22"/>
          <w:szCs w:val="22"/>
        </w:rPr>
        <w:t>，</w:t>
      </w:r>
      <w:r>
        <w:rPr>
          <w:rFonts w:hint="eastAsia" w:ascii="宋体" w:hAnsi="宋体"/>
          <w:color w:val="auto"/>
          <w:sz w:val="22"/>
          <w:szCs w:val="22"/>
        </w:rPr>
        <w:t>甲</w:t>
      </w:r>
      <w:r>
        <w:rPr>
          <w:rFonts w:ascii="宋体" w:hAnsi="宋体"/>
          <w:color w:val="auto"/>
          <w:sz w:val="22"/>
          <w:szCs w:val="22"/>
        </w:rPr>
        <w:t>方可考虑终止合同。</w:t>
      </w:r>
    </w:p>
    <w:p w14:paraId="5CAA3600">
      <w:pPr>
        <w:spacing w:line="440" w:lineRule="atLeast"/>
        <w:ind w:firstLine="440" w:firstLineChars="200"/>
        <w:rPr>
          <w:rFonts w:ascii="宋体" w:hAnsi="宋体"/>
          <w:color w:val="auto"/>
          <w:sz w:val="22"/>
          <w:szCs w:val="22"/>
        </w:rPr>
      </w:pPr>
      <w:r>
        <w:rPr>
          <w:rFonts w:hint="eastAsia" w:ascii="宋体" w:hAnsi="宋体"/>
          <w:color w:val="auto"/>
          <w:sz w:val="22"/>
          <w:szCs w:val="22"/>
        </w:rPr>
        <w:t>2）乙</w:t>
      </w:r>
      <w:r>
        <w:rPr>
          <w:rFonts w:ascii="宋体" w:hAnsi="宋体"/>
          <w:color w:val="auto"/>
          <w:sz w:val="22"/>
          <w:szCs w:val="22"/>
        </w:rPr>
        <w:t>方不能交货</w:t>
      </w:r>
      <w:r>
        <w:rPr>
          <w:rFonts w:hint="eastAsia" w:ascii="宋体" w:hAnsi="宋体"/>
          <w:color w:val="auto"/>
          <w:sz w:val="22"/>
          <w:szCs w:val="22"/>
        </w:rPr>
        <w:t>验收</w:t>
      </w:r>
      <w:r>
        <w:rPr>
          <w:rFonts w:ascii="宋体" w:hAnsi="宋体"/>
          <w:color w:val="auto"/>
          <w:sz w:val="22"/>
          <w:szCs w:val="22"/>
        </w:rPr>
        <w:t>或甲方中途退货</w:t>
      </w:r>
    </w:p>
    <w:p w14:paraId="3843810C">
      <w:pPr>
        <w:spacing w:line="440" w:lineRule="atLeast"/>
        <w:ind w:left="270" w:firstLine="440" w:firstLineChars="200"/>
        <w:rPr>
          <w:rFonts w:ascii="宋体" w:hAnsi="宋体"/>
          <w:color w:val="auto"/>
          <w:sz w:val="22"/>
          <w:szCs w:val="22"/>
        </w:rPr>
      </w:pPr>
      <w:r>
        <w:rPr>
          <w:rFonts w:hint="eastAsia" w:ascii="宋体" w:hAnsi="宋体"/>
          <w:color w:val="auto"/>
          <w:sz w:val="22"/>
          <w:szCs w:val="22"/>
        </w:rPr>
        <w:t>乙</w:t>
      </w:r>
      <w:r>
        <w:rPr>
          <w:rFonts w:ascii="宋体" w:hAnsi="宋体"/>
          <w:color w:val="auto"/>
          <w:sz w:val="22"/>
          <w:szCs w:val="22"/>
        </w:rPr>
        <w:t>方不能交货</w:t>
      </w:r>
      <w:r>
        <w:rPr>
          <w:rFonts w:hint="eastAsia" w:ascii="宋体" w:hAnsi="宋体"/>
          <w:color w:val="auto"/>
          <w:sz w:val="22"/>
          <w:szCs w:val="22"/>
        </w:rPr>
        <w:t>验收</w:t>
      </w:r>
      <w:r>
        <w:rPr>
          <w:rFonts w:ascii="宋体" w:hAnsi="宋体"/>
          <w:color w:val="auto"/>
          <w:sz w:val="22"/>
          <w:szCs w:val="22"/>
        </w:rPr>
        <w:t>，应向</w:t>
      </w:r>
      <w:r>
        <w:rPr>
          <w:rFonts w:hint="eastAsia" w:ascii="宋体" w:hAnsi="宋体"/>
          <w:color w:val="auto"/>
          <w:sz w:val="22"/>
          <w:szCs w:val="22"/>
        </w:rPr>
        <w:t>甲</w:t>
      </w:r>
      <w:r>
        <w:rPr>
          <w:rFonts w:ascii="宋体" w:hAnsi="宋体"/>
          <w:color w:val="auto"/>
          <w:sz w:val="22"/>
          <w:szCs w:val="22"/>
        </w:rPr>
        <w:t>方偿付违约金。违约金按合同总价的</w:t>
      </w:r>
      <w:r>
        <w:rPr>
          <w:rFonts w:hint="eastAsia" w:ascii="宋体" w:hAnsi="宋体"/>
          <w:color w:val="auto"/>
          <w:sz w:val="22"/>
          <w:szCs w:val="22"/>
          <w:lang w:val="en-US" w:eastAsia="zh-CN"/>
        </w:rPr>
        <w:t>5</w:t>
      </w:r>
      <w:r>
        <w:rPr>
          <w:rFonts w:ascii="宋体" w:hAnsi="宋体"/>
          <w:color w:val="auto"/>
          <w:sz w:val="22"/>
          <w:szCs w:val="22"/>
        </w:rPr>
        <w:t>%计算。</w:t>
      </w:r>
    </w:p>
    <w:p w14:paraId="5031E3FB">
      <w:pPr>
        <w:spacing w:line="440" w:lineRule="atLeast"/>
        <w:ind w:left="270" w:firstLine="440" w:firstLineChars="200"/>
        <w:rPr>
          <w:rFonts w:ascii="宋体" w:hAnsi="宋体"/>
          <w:color w:val="auto"/>
          <w:sz w:val="22"/>
          <w:szCs w:val="22"/>
        </w:rPr>
      </w:pPr>
      <w:r>
        <w:rPr>
          <w:rFonts w:hint="eastAsia" w:ascii="宋体" w:hAnsi="宋体"/>
          <w:color w:val="auto"/>
          <w:sz w:val="22"/>
          <w:szCs w:val="22"/>
        </w:rPr>
        <w:t>甲</w:t>
      </w:r>
      <w:r>
        <w:rPr>
          <w:rFonts w:ascii="宋体" w:hAnsi="宋体"/>
          <w:color w:val="auto"/>
          <w:sz w:val="22"/>
          <w:szCs w:val="22"/>
        </w:rPr>
        <w:t>方中途退货，应向</w:t>
      </w:r>
      <w:r>
        <w:rPr>
          <w:rFonts w:hint="eastAsia" w:ascii="宋体" w:hAnsi="宋体"/>
          <w:color w:val="auto"/>
          <w:sz w:val="22"/>
          <w:szCs w:val="22"/>
        </w:rPr>
        <w:t>乙</w:t>
      </w:r>
      <w:r>
        <w:rPr>
          <w:rFonts w:ascii="宋体" w:hAnsi="宋体"/>
          <w:color w:val="auto"/>
          <w:sz w:val="22"/>
          <w:szCs w:val="22"/>
        </w:rPr>
        <w:t>方偿付违约金。违约金的计算方法与</w:t>
      </w:r>
      <w:r>
        <w:rPr>
          <w:rFonts w:hint="eastAsia" w:ascii="宋体" w:hAnsi="宋体"/>
          <w:color w:val="auto"/>
          <w:sz w:val="22"/>
          <w:szCs w:val="22"/>
        </w:rPr>
        <w:t>乙</w:t>
      </w:r>
      <w:r>
        <w:rPr>
          <w:rFonts w:ascii="宋体" w:hAnsi="宋体"/>
          <w:color w:val="auto"/>
          <w:sz w:val="22"/>
          <w:szCs w:val="22"/>
        </w:rPr>
        <w:t>方违约相同。</w:t>
      </w:r>
    </w:p>
    <w:p w14:paraId="011A1409">
      <w:pPr>
        <w:spacing w:line="440" w:lineRule="atLeast"/>
        <w:ind w:firstLine="440" w:firstLineChars="200"/>
        <w:rPr>
          <w:rFonts w:ascii="宋体" w:hAnsi="宋体"/>
          <w:color w:val="auto"/>
          <w:sz w:val="22"/>
          <w:szCs w:val="22"/>
        </w:rPr>
      </w:pPr>
      <w:r>
        <w:rPr>
          <w:rFonts w:hint="eastAsia" w:ascii="宋体" w:hAnsi="宋体"/>
          <w:color w:val="auto"/>
          <w:sz w:val="22"/>
          <w:szCs w:val="22"/>
        </w:rPr>
        <w:t>3）</w:t>
      </w:r>
      <w:r>
        <w:rPr>
          <w:rFonts w:ascii="宋体" w:hAnsi="宋体"/>
          <w:color w:val="auto"/>
          <w:sz w:val="22"/>
          <w:szCs w:val="22"/>
        </w:rPr>
        <w:t>经双方协商同意延期交货</w:t>
      </w:r>
      <w:r>
        <w:rPr>
          <w:rFonts w:hint="eastAsia" w:ascii="宋体" w:hAnsi="宋体"/>
          <w:color w:val="auto"/>
          <w:sz w:val="22"/>
          <w:szCs w:val="22"/>
        </w:rPr>
        <w:t>验收</w:t>
      </w:r>
      <w:r>
        <w:rPr>
          <w:rFonts w:ascii="宋体" w:hAnsi="宋体"/>
          <w:color w:val="auto"/>
          <w:sz w:val="22"/>
          <w:szCs w:val="22"/>
        </w:rPr>
        <w:t>和经双方友好协商同意退货且无需罚款者不在此例。</w:t>
      </w:r>
    </w:p>
    <w:p w14:paraId="202593D8">
      <w:pPr>
        <w:spacing w:line="440" w:lineRule="atLeast"/>
        <w:ind w:firstLine="440" w:firstLineChars="200"/>
        <w:rPr>
          <w:rFonts w:ascii="宋体" w:hAnsi="宋体"/>
          <w:color w:val="auto"/>
          <w:sz w:val="22"/>
          <w:szCs w:val="22"/>
        </w:rPr>
      </w:pPr>
      <w:r>
        <w:rPr>
          <w:rFonts w:ascii="宋体" w:hAnsi="宋体"/>
          <w:color w:val="auto"/>
          <w:sz w:val="22"/>
          <w:szCs w:val="22"/>
        </w:rPr>
        <w:t>1</w:t>
      </w:r>
      <w:r>
        <w:rPr>
          <w:rFonts w:hint="eastAsia" w:ascii="宋体" w:hAnsi="宋体"/>
          <w:color w:val="auto"/>
          <w:sz w:val="22"/>
          <w:szCs w:val="22"/>
        </w:rPr>
        <w:t>1</w:t>
      </w:r>
      <w:r>
        <w:rPr>
          <w:rFonts w:ascii="宋体" w:hAnsi="宋体"/>
          <w:color w:val="auto"/>
          <w:sz w:val="22"/>
          <w:szCs w:val="22"/>
        </w:rPr>
        <w:t>、转让和分包</w:t>
      </w:r>
    </w:p>
    <w:p w14:paraId="454CBFE9">
      <w:pPr>
        <w:spacing w:line="440" w:lineRule="atLeast"/>
        <w:ind w:firstLine="440" w:firstLineChars="200"/>
        <w:rPr>
          <w:rFonts w:ascii="宋体" w:hAnsi="宋体"/>
          <w:color w:val="auto"/>
          <w:sz w:val="22"/>
          <w:szCs w:val="22"/>
        </w:rPr>
      </w:pPr>
      <w:r>
        <w:rPr>
          <w:rFonts w:ascii="宋体" w:hAnsi="宋体"/>
          <w:color w:val="auto"/>
          <w:sz w:val="22"/>
          <w:szCs w:val="22"/>
        </w:rPr>
        <w:t>1</w:t>
      </w:r>
      <w:r>
        <w:rPr>
          <w:rFonts w:hint="eastAsia" w:ascii="宋体" w:hAnsi="宋体"/>
          <w:color w:val="auto"/>
          <w:sz w:val="22"/>
          <w:szCs w:val="22"/>
        </w:rPr>
        <w:t>1</w:t>
      </w:r>
      <w:r>
        <w:rPr>
          <w:rFonts w:ascii="宋体" w:hAnsi="宋体"/>
          <w:color w:val="auto"/>
          <w:sz w:val="22"/>
          <w:szCs w:val="22"/>
        </w:rPr>
        <w:t>.1未经</w:t>
      </w:r>
      <w:r>
        <w:rPr>
          <w:rFonts w:hint="eastAsia" w:ascii="宋体" w:hAnsi="宋体"/>
          <w:color w:val="auto"/>
          <w:sz w:val="22"/>
          <w:szCs w:val="22"/>
        </w:rPr>
        <w:t>甲</w:t>
      </w:r>
      <w:r>
        <w:rPr>
          <w:rFonts w:ascii="宋体" w:hAnsi="宋体"/>
          <w:color w:val="auto"/>
          <w:sz w:val="22"/>
          <w:szCs w:val="22"/>
        </w:rPr>
        <w:t>方事先书面同意，</w:t>
      </w:r>
      <w:r>
        <w:rPr>
          <w:rFonts w:hint="eastAsia" w:ascii="宋体" w:hAnsi="宋体"/>
          <w:color w:val="auto"/>
          <w:sz w:val="22"/>
          <w:szCs w:val="22"/>
        </w:rPr>
        <w:t>乙</w:t>
      </w:r>
      <w:r>
        <w:rPr>
          <w:rFonts w:ascii="宋体" w:hAnsi="宋体"/>
          <w:color w:val="auto"/>
          <w:sz w:val="22"/>
          <w:szCs w:val="22"/>
        </w:rPr>
        <w:t>方不得部分转让或分包或全部转让其应履行的合同义务。</w:t>
      </w:r>
    </w:p>
    <w:p w14:paraId="476CB434">
      <w:pPr>
        <w:spacing w:line="440" w:lineRule="atLeast"/>
        <w:ind w:firstLine="440" w:firstLineChars="200"/>
        <w:rPr>
          <w:rFonts w:ascii="宋体" w:hAnsi="宋体"/>
          <w:color w:val="auto"/>
          <w:sz w:val="22"/>
          <w:szCs w:val="22"/>
        </w:rPr>
      </w:pPr>
      <w:r>
        <w:rPr>
          <w:rFonts w:ascii="宋体" w:hAnsi="宋体"/>
          <w:color w:val="auto"/>
          <w:sz w:val="22"/>
          <w:szCs w:val="22"/>
        </w:rPr>
        <w:t>1</w:t>
      </w:r>
      <w:r>
        <w:rPr>
          <w:rFonts w:hint="eastAsia" w:ascii="宋体" w:hAnsi="宋体"/>
          <w:color w:val="auto"/>
          <w:sz w:val="22"/>
          <w:szCs w:val="22"/>
        </w:rPr>
        <w:t>2</w:t>
      </w:r>
      <w:r>
        <w:rPr>
          <w:rFonts w:ascii="宋体" w:hAnsi="宋体"/>
          <w:color w:val="auto"/>
          <w:sz w:val="22"/>
          <w:szCs w:val="22"/>
        </w:rPr>
        <w:t>、争端的解决</w:t>
      </w:r>
    </w:p>
    <w:p w14:paraId="3B44A143">
      <w:pPr>
        <w:spacing w:line="440" w:lineRule="atLeast"/>
        <w:ind w:firstLine="440" w:firstLineChars="200"/>
        <w:rPr>
          <w:rFonts w:ascii="宋体" w:hAnsi="宋体"/>
          <w:color w:val="auto"/>
          <w:sz w:val="22"/>
          <w:szCs w:val="22"/>
        </w:rPr>
      </w:pPr>
      <w:r>
        <w:rPr>
          <w:rFonts w:ascii="宋体" w:hAnsi="宋体"/>
          <w:color w:val="auto"/>
          <w:sz w:val="22"/>
          <w:szCs w:val="22"/>
        </w:rPr>
        <w:t>1</w:t>
      </w:r>
      <w:r>
        <w:rPr>
          <w:rFonts w:hint="eastAsia" w:ascii="宋体" w:hAnsi="宋体"/>
          <w:color w:val="auto"/>
          <w:sz w:val="22"/>
          <w:szCs w:val="22"/>
        </w:rPr>
        <w:t>2</w:t>
      </w:r>
      <w:r>
        <w:rPr>
          <w:rFonts w:ascii="宋体" w:hAnsi="宋体"/>
          <w:color w:val="auto"/>
          <w:sz w:val="22"/>
          <w:szCs w:val="22"/>
        </w:rPr>
        <w:t>.1合同实施或与合同有关的一切争端，</w:t>
      </w:r>
      <w:r>
        <w:rPr>
          <w:rFonts w:hint="eastAsia" w:ascii="宋体" w:hAnsi="宋体"/>
          <w:color w:val="auto"/>
          <w:sz w:val="22"/>
          <w:szCs w:val="22"/>
        </w:rPr>
        <w:t>甲乙</w:t>
      </w:r>
      <w:r>
        <w:rPr>
          <w:rFonts w:ascii="宋体" w:hAnsi="宋体"/>
          <w:color w:val="auto"/>
          <w:sz w:val="22"/>
          <w:szCs w:val="22"/>
        </w:rPr>
        <w:t>双方首先应通过友好协商解决，如果协商仍得不到解决，任何一方可向甲方所在地申请仲裁或诉讼。</w:t>
      </w:r>
    </w:p>
    <w:p w14:paraId="7CC2C572">
      <w:pPr>
        <w:spacing w:line="440" w:lineRule="atLeast"/>
        <w:ind w:firstLine="440" w:firstLineChars="200"/>
        <w:rPr>
          <w:rFonts w:ascii="宋体" w:hAnsi="宋体"/>
          <w:color w:val="auto"/>
          <w:sz w:val="22"/>
          <w:szCs w:val="22"/>
        </w:rPr>
      </w:pPr>
      <w:r>
        <w:rPr>
          <w:rFonts w:ascii="宋体" w:hAnsi="宋体"/>
          <w:color w:val="auto"/>
          <w:sz w:val="22"/>
          <w:szCs w:val="22"/>
        </w:rPr>
        <w:t>1</w:t>
      </w:r>
      <w:r>
        <w:rPr>
          <w:rFonts w:hint="eastAsia" w:ascii="宋体" w:hAnsi="宋体"/>
          <w:color w:val="auto"/>
          <w:sz w:val="22"/>
          <w:szCs w:val="22"/>
        </w:rPr>
        <w:t>2</w:t>
      </w:r>
      <w:r>
        <w:rPr>
          <w:rFonts w:ascii="宋体" w:hAnsi="宋体"/>
          <w:color w:val="auto"/>
          <w:sz w:val="22"/>
          <w:szCs w:val="22"/>
        </w:rPr>
        <w:t>.2仲裁裁决应为最终裁决，对双方均有约束力。</w:t>
      </w:r>
    </w:p>
    <w:p w14:paraId="0B58C430">
      <w:pPr>
        <w:spacing w:line="440" w:lineRule="atLeast"/>
        <w:ind w:firstLine="440" w:firstLineChars="200"/>
        <w:rPr>
          <w:rFonts w:ascii="宋体" w:hAnsi="宋体"/>
          <w:color w:val="auto"/>
          <w:sz w:val="22"/>
          <w:szCs w:val="22"/>
        </w:rPr>
      </w:pPr>
      <w:r>
        <w:rPr>
          <w:rFonts w:ascii="宋体" w:hAnsi="宋体"/>
          <w:color w:val="auto"/>
          <w:sz w:val="22"/>
          <w:szCs w:val="22"/>
        </w:rPr>
        <w:t>1</w:t>
      </w:r>
      <w:r>
        <w:rPr>
          <w:rFonts w:hint="eastAsia" w:ascii="宋体" w:hAnsi="宋体"/>
          <w:color w:val="auto"/>
          <w:sz w:val="22"/>
          <w:szCs w:val="22"/>
        </w:rPr>
        <w:t>2</w:t>
      </w:r>
      <w:r>
        <w:rPr>
          <w:rFonts w:ascii="宋体" w:hAnsi="宋体"/>
          <w:color w:val="auto"/>
          <w:sz w:val="22"/>
          <w:szCs w:val="22"/>
        </w:rPr>
        <w:t>.3仲裁费用除仲裁机构另有裁决外应由败诉方承担。</w:t>
      </w:r>
    </w:p>
    <w:p w14:paraId="3F7D53C3">
      <w:pPr>
        <w:spacing w:line="440" w:lineRule="atLeast"/>
        <w:ind w:firstLine="440" w:firstLineChars="200"/>
        <w:rPr>
          <w:rFonts w:ascii="宋体" w:hAnsi="宋体"/>
          <w:color w:val="auto"/>
          <w:sz w:val="22"/>
          <w:szCs w:val="22"/>
        </w:rPr>
      </w:pPr>
      <w:r>
        <w:rPr>
          <w:rFonts w:ascii="宋体" w:hAnsi="宋体"/>
          <w:color w:val="auto"/>
          <w:sz w:val="22"/>
          <w:szCs w:val="22"/>
        </w:rPr>
        <w:t>1</w:t>
      </w:r>
      <w:r>
        <w:rPr>
          <w:rFonts w:hint="eastAsia" w:ascii="宋体" w:hAnsi="宋体"/>
          <w:color w:val="auto"/>
          <w:sz w:val="22"/>
          <w:szCs w:val="22"/>
        </w:rPr>
        <w:t>2</w:t>
      </w:r>
      <w:r>
        <w:rPr>
          <w:rFonts w:ascii="宋体" w:hAnsi="宋体"/>
          <w:color w:val="auto"/>
          <w:sz w:val="22"/>
          <w:szCs w:val="22"/>
        </w:rPr>
        <w:t>.4在仲裁期间，除正在执行仲裁部分外本合同的其他部分应继续执行。</w:t>
      </w:r>
    </w:p>
    <w:p w14:paraId="3C8DEE14">
      <w:pPr>
        <w:spacing w:line="440" w:lineRule="atLeast"/>
        <w:ind w:firstLine="440" w:firstLineChars="200"/>
        <w:rPr>
          <w:rFonts w:ascii="宋体" w:hAnsi="宋体"/>
          <w:color w:val="auto"/>
          <w:sz w:val="22"/>
          <w:szCs w:val="22"/>
        </w:rPr>
      </w:pPr>
      <w:r>
        <w:rPr>
          <w:rFonts w:ascii="宋体" w:hAnsi="宋体"/>
          <w:color w:val="auto"/>
          <w:sz w:val="22"/>
          <w:szCs w:val="22"/>
        </w:rPr>
        <w:t>1</w:t>
      </w:r>
      <w:r>
        <w:rPr>
          <w:rFonts w:hint="eastAsia" w:ascii="宋体" w:hAnsi="宋体"/>
          <w:color w:val="auto"/>
          <w:sz w:val="22"/>
          <w:szCs w:val="22"/>
        </w:rPr>
        <w:t>3</w:t>
      </w:r>
      <w:r>
        <w:rPr>
          <w:rFonts w:ascii="宋体" w:hAnsi="宋体"/>
          <w:color w:val="auto"/>
          <w:sz w:val="22"/>
          <w:szCs w:val="22"/>
        </w:rPr>
        <w:t>、约定事项：</w:t>
      </w:r>
    </w:p>
    <w:p w14:paraId="62A56E55">
      <w:pPr>
        <w:spacing w:line="440" w:lineRule="atLeast"/>
        <w:ind w:firstLine="440" w:firstLineChars="200"/>
        <w:rPr>
          <w:rFonts w:ascii="宋体" w:hAnsi="宋体"/>
          <w:color w:val="auto"/>
          <w:sz w:val="22"/>
          <w:szCs w:val="22"/>
        </w:rPr>
      </w:pPr>
      <w:r>
        <w:rPr>
          <w:rFonts w:ascii="宋体" w:hAnsi="宋体"/>
          <w:color w:val="auto"/>
          <w:sz w:val="22"/>
          <w:szCs w:val="22"/>
        </w:rPr>
        <w:t>1</w:t>
      </w:r>
      <w:r>
        <w:rPr>
          <w:rFonts w:hint="eastAsia" w:ascii="宋体" w:hAnsi="宋体"/>
          <w:color w:val="auto"/>
          <w:sz w:val="22"/>
          <w:szCs w:val="22"/>
        </w:rPr>
        <w:t>3</w:t>
      </w:r>
      <w:r>
        <w:rPr>
          <w:rFonts w:ascii="宋体" w:hAnsi="宋体"/>
          <w:color w:val="auto"/>
          <w:sz w:val="22"/>
          <w:szCs w:val="22"/>
        </w:rPr>
        <w:t>.1本合同一式</w:t>
      </w:r>
      <w:r>
        <w:rPr>
          <w:rFonts w:hint="eastAsia" w:ascii="宋体" w:hAnsi="宋体"/>
          <w:color w:val="auto"/>
          <w:sz w:val="22"/>
          <w:szCs w:val="22"/>
        </w:rPr>
        <w:t>伍</w:t>
      </w:r>
      <w:r>
        <w:rPr>
          <w:rFonts w:ascii="宋体" w:hAnsi="宋体"/>
          <w:color w:val="auto"/>
          <w:sz w:val="22"/>
          <w:szCs w:val="22"/>
        </w:rPr>
        <w:t>份，</w:t>
      </w:r>
      <w:r>
        <w:rPr>
          <w:rFonts w:hint="eastAsia" w:ascii="宋体" w:hAnsi="宋体"/>
          <w:color w:val="auto"/>
          <w:sz w:val="22"/>
          <w:szCs w:val="22"/>
        </w:rPr>
        <w:t>甲</w:t>
      </w:r>
      <w:r>
        <w:rPr>
          <w:rFonts w:ascii="宋体" w:hAnsi="宋体"/>
          <w:color w:val="auto"/>
          <w:sz w:val="22"/>
          <w:szCs w:val="22"/>
        </w:rPr>
        <w:t>方、</w:t>
      </w:r>
      <w:r>
        <w:rPr>
          <w:rFonts w:hint="eastAsia" w:ascii="宋体" w:hAnsi="宋体"/>
          <w:color w:val="auto"/>
          <w:sz w:val="22"/>
          <w:szCs w:val="22"/>
        </w:rPr>
        <w:t>乙</w:t>
      </w:r>
      <w:r>
        <w:rPr>
          <w:rFonts w:ascii="宋体" w:hAnsi="宋体"/>
          <w:color w:val="auto"/>
          <w:sz w:val="22"/>
          <w:szCs w:val="22"/>
        </w:rPr>
        <w:t>方各执</w:t>
      </w:r>
      <w:r>
        <w:rPr>
          <w:rFonts w:hint="eastAsia" w:ascii="宋体" w:hAnsi="宋体"/>
          <w:color w:val="auto"/>
          <w:sz w:val="22"/>
          <w:szCs w:val="22"/>
        </w:rPr>
        <w:t>两</w:t>
      </w:r>
      <w:r>
        <w:rPr>
          <w:rFonts w:ascii="宋体" w:hAnsi="宋体"/>
          <w:color w:val="auto"/>
          <w:sz w:val="22"/>
          <w:szCs w:val="22"/>
        </w:rPr>
        <w:t>份</w:t>
      </w:r>
      <w:r>
        <w:rPr>
          <w:rFonts w:hint="eastAsia" w:ascii="宋体" w:hAnsi="宋体"/>
          <w:color w:val="auto"/>
          <w:sz w:val="22"/>
          <w:szCs w:val="22"/>
        </w:rPr>
        <w:t>，采购代理机构一份</w:t>
      </w:r>
      <w:r>
        <w:rPr>
          <w:rFonts w:ascii="宋体" w:hAnsi="宋体"/>
          <w:color w:val="auto"/>
          <w:sz w:val="22"/>
          <w:szCs w:val="22"/>
        </w:rPr>
        <w:t>。</w:t>
      </w:r>
    </w:p>
    <w:p w14:paraId="0B316D65">
      <w:pPr>
        <w:spacing w:line="440" w:lineRule="atLeast"/>
        <w:ind w:firstLine="440" w:firstLineChars="200"/>
        <w:rPr>
          <w:rFonts w:ascii="宋体" w:hAnsi="宋体"/>
          <w:b/>
          <w:color w:val="auto"/>
          <w:sz w:val="22"/>
          <w:szCs w:val="22"/>
        </w:rPr>
      </w:pPr>
      <w:r>
        <w:rPr>
          <w:rFonts w:ascii="宋体" w:hAnsi="宋体"/>
          <w:color w:val="auto"/>
          <w:sz w:val="22"/>
          <w:szCs w:val="22"/>
        </w:rPr>
        <w:t>1</w:t>
      </w:r>
      <w:r>
        <w:rPr>
          <w:rFonts w:hint="eastAsia" w:ascii="宋体" w:hAnsi="宋体"/>
          <w:color w:val="auto"/>
          <w:sz w:val="22"/>
          <w:szCs w:val="22"/>
        </w:rPr>
        <w:t>3</w:t>
      </w:r>
      <w:r>
        <w:rPr>
          <w:rFonts w:ascii="宋体" w:hAnsi="宋体"/>
          <w:color w:val="auto"/>
          <w:sz w:val="22"/>
          <w:szCs w:val="22"/>
        </w:rPr>
        <w:t>.2合同经</w:t>
      </w:r>
      <w:r>
        <w:rPr>
          <w:rFonts w:hint="eastAsia" w:ascii="宋体" w:hAnsi="宋体"/>
          <w:color w:val="auto"/>
          <w:sz w:val="22"/>
          <w:szCs w:val="22"/>
        </w:rPr>
        <w:t>甲乙</w:t>
      </w:r>
      <w:r>
        <w:rPr>
          <w:rFonts w:ascii="宋体" w:hAnsi="宋体"/>
          <w:color w:val="auto"/>
          <w:sz w:val="22"/>
          <w:szCs w:val="22"/>
        </w:rPr>
        <w:t>双方签字盖章后生效。</w:t>
      </w:r>
    </w:p>
    <w:p w14:paraId="4415E37D">
      <w:pPr>
        <w:spacing w:line="440" w:lineRule="atLeast"/>
        <w:ind w:firstLine="440" w:firstLineChars="200"/>
        <w:rPr>
          <w:rFonts w:ascii="宋体" w:hAnsi="宋体"/>
          <w:color w:val="auto"/>
          <w:sz w:val="22"/>
          <w:szCs w:val="22"/>
        </w:rPr>
      </w:pPr>
      <w:r>
        <w:rPr>
          <w:rFonts w:ascii="宋体" w:hAnsi="宋体"/>
          <w:color w:val="auto"/>
          <w:sz w:val="22"/>
          <w:szCs w:val="22"/>
        </w:rPr>
        <w:t>1</w:t>
      </w:r>
      <w:r>
        <w:rPr>
          <w:rFonts w:hint="eastAsia" w:ascii="宋体" w:hAnsi="宋体"/>
          <w:color w:val="auto"/>
          <w:sz w:val="22"/>
          <w:szCs w:val="22"/>
        </w:rPr>
        <w:t>3</w:t>
      </w:r>
      <w:r>
        <w:rPr>
          <w:rFonts w:ascii="宋体" w:hAnsi="宋体"/>
          <w:color w:val="auto"/>
          <w:sz w:val="22"/>
          <w:szCs w:val="22"/>
        </w:rPr>
        <w:t>.3如需修改或补充合同内容，经协商，双方应签署书面修改或补充协议，该协议将作为本合同的一个组成部分。</w:t>
      </w:r>
    </w:p>
    <w:p w14:paraId="452E8C34">
      <w:pPr>
        <w:spacing w:line="440" w:lineRule="atLeast"/>
        <w:ind w:firstLine="440" w:firstLineChars="200"/>
        <w:rPr>
          <w:rFonts w:ascii="宋体" w:hAnsi="宋体"/>
          <w:color w:val="auto"/>
          <w:sz w:val="22"/>
          <w:szCs w:val="22"/>
        </w:rPr>
      </w:pPr>
      <w:r>
        <w:rPr>
          <w:rFonts w:ascii="宋体" w:hAnsi="宋体"/>
          <w:color w:val="auto"/>
          <w:sz w:val="22"/>
          <w:szCs w:val="22"/>
        </w:rPr>
        <w:t>1</w:t>
      </w:r>
      <w:r>
        <w:rPr>
          <w:rFonts w:hint="eastAsia" w:ascii="宋体" w:hAnsi="宋体"/>
          <w:color w:val="auto"/>
          <w:sz w:val="22"/>
          <w:szCs w:val="22"/>
        </w:rPr>
        <w:t>3</w:t>
      </w:r>
      <w:r>
        <w:rPr>
          <w:rFonts w:ascii="宋体" w:hAnsi="宋体"/>
          <w:color w:val="auto"/>
          <w:sz w:val="22"/>
          <w:szCs w:val="22"/>
        </w:rPr>
        <w:t>.4</w:t>
      </w:r>
      <w:r>
        <w:rPr>
          <w:rFonts w:ascii="宋体" w:hAnsi="宋体"/>
          <w:b/>
          <w:color w:val="auto"/>
          <w:sz w:val="22"/>
          <w:szCs w:val="22"/>
        </w:rPr>
        <w:t>本合同未尽事宜及对合同内容如有异议</w:t>
      </w:r>
      <w:r>
        <w:rPr>
          <w:rFonts w:hint="eastAsia" w:ascii="宋体" w:hAnsi="宋体"/>
          <w:b/>
          <w:color w:val="auto"/>
          <w:sz w:val="22"/>
          <w:szCs w:val="22"/>
        </w:rPr>
        <w:t>，</w:t>
      </w:r>
      <w:r>
        <w:rPr>
          <w:rFonts w:ascii="宋体" w:hAnsi="宋体"/>
          <w:b/>
          <w:color w:val="auto"/>
          <w:sz w:val="22"/>
          <w:szCs w:val="22"/>
        </w:rPr>
        <w:t>以甲方</w:t>
      </w:r>
      <w:r>
        <w:rPr>
          <w:rFonts w:hint="eastAsia" w:ascii="宋体" w:hAnsi="宋体"/>
          <w:b/>
          <w:color w:val="auto"/>
          <w:sz w:val="22"/>
          <w:szCs w:val="22"/>
        </w:rPr>
        <w:t>采购文件，</w:t>
      </w:r>
      <w:r>
        <w:rPr>
          <w:rFonts w:ascii="宋体" w:hAnsi="宋体"/>
          <w:b/>
          <w:color w:val="auto"/>
          <w:sz w:val="22"/>
          <w:szCs w:val="22"/>
        </w:rPr>
        <w:t>乙方</w:t>
      </w:r>
      <w:r>
        <w:rPr>
          <w:rFonts w:hint="eastAsia" w:ascii="宋体" w:hAnsi="宋体"/>
          <w:b/>
          <w:color w:val="auto"/>
          <w:sz w:val="22"/>
          <w:szCs w:val="22"/>
          <w:lang w:eastAsia="zh-CN"/>
        </w:rPr>
        <w:t>响应文件</w:t>
      </w:r>
      <w:r>
        <w:rPr>
          <w:rFonts w:hint="eastAsia" w:ascii="宋体" w:hAnsi="宋体"/>
          <w:b/>
          <w:color w:val="auto"/>
          <w:sz w:val="22"/>
          <w:szCs w:val="22"/>
        </w:rPr>
        <w:t>和</w:t>
      </w:r>
      <w:r>
        <w:rPr>
          <w:rFonts w:ascii="宋体" w:hAnsi="宋体"/>
          <w:b/>
          <w:color w:val="auto"/>
          <w:sz w:val="22"/>
          <w:szCs w:val="22"/>
        </w:rPr>
        <w:t>在</w:t>
      </w:r>
      <w:r>
        <w:rPr>
          <w:rFonts w:hint="eastAsia" w:ascii="宋体" w:hAnsi="宋体"/>
          <w:b/>
          <w:color w:val="auto"/>
          <w:sz w:val="22"/>
          <w:szCs w:val="22"/>
        </w:rPr>
        <w:t>投标</w:t>
      </w:r>
      <w:r>
        <w:rPr>
          <w:rFonts w:ascii="宋体" w:hAnsi="宋体"/>
          <w:b/>
          <w:color w:val="auto"/>
          <w:sz w:val="22"/>
          <w:szCs w:val="22"/>
        </w:rPr>
        <w:t>现场承诺为准</w:t>
      </w:r>
      <w:r>
        <w:rPr>
          <w:rFonts w:hint="eastAsia" w:ascii="宋体" w:hAnsi="宋体"/>
          <w:b/>
          <w:color w:val="auto"/>
          <w:sz w:val="22"/>
          <w:szCs w:val="22"/>
        </w:rPr>
        <w:t>，</w:t>
      </w:r>
      <w:r>
        <w:rPr>
          <w:rFonts w:ascii="宋体" w:hAnsi="宋体"/>
          <w:color w:val="auto"/>
          <w:sz w:val="22"/>
          <w:szCs w:val="22"/>
        </w:rPr>
        <w:t>如遇国家法律、法规及政策另有规定的，从其规定。</w:t>
      </w:r>
    </w:p>
    <w:p w14:paraId="17A37837">
      <w:pPr>
        <w:spacing w:line="440" w:lineRule="atLeast"/>
        <w:ind w:firstLine="440" w:firstLineChars="200"/>
        <w:rPr>
          <w:rFonts w:hint="eastAsia" w:ascii="宋体" w:hAnsi="宋体"/>
          <w:color w:val="auto"/>
          <w:sz w:val="22"/>
          <w:szCs w:val="22"/>
        </w:rPr>
      </w:pPr>
    </w:p>
    <w:p w14:paraId="65835BB3">
      <w:pPr>
        <w:pStyle w:val="37"/>
        <w:rPr>
          <w:rFonts w:hint="eastAsia"/>
          <w:color w:val="auto"/>
        </w:rPr>
      </w:pPr>
    </w:p>
    <w:p w14:paraId="3DED5B99">
      <w:pPr>
        <w:keepNext w:val="0"/>
        <w:keepLines w:val="0"/>
        <w:pageBreakBefore w:val="0"/>
        <w:kinsoku/>
        <w:wordWrap/>
        <w:overflowPunct/>
        <w:topLinePunct w:val="0"/>
        <w:bidi w:val="0"/>
        <w:snapToGrid/>
        <w:spacing w:line="440" w:lineRule="exact"/>
        <w:ind w:left="270" w:firstLine="472"/>
        <w:textAlignment w:val="auto"/>
        <w:rPr>
          <w:rFonts w:hint="eastAsia" w:ascii="宋体" w:hAnsi="宋体" w:eastAsia="宋体" w:cs="宋体"/>
          <w:color w:val="auto"/>
          <w:sz w:val="22"/>
          <w:szCs w:val="22"/>
          <w:u w:val="single"/>
        </w:rPr>
      </w:pPr>
      <w:r>
        <w:rPr>
          <w:rFonts w:hint="eastAsia" w:ascii="宋体" w:hAnsi="宋体" w:eastAsia="宋体" w:cs="宋体"/>
          <w:color w:val="auto"/>
          <w:sz w:val="22"/>
          <w:szCs w:val="22"/>
        </w:rPr>
        <w:t>甲方（盖章）：</w:t>
      </w:r>
      <w:r>
        <w:rPr>
          <w:rFonts w:hint="eastAsia" w:ascii="宋体" w:hAnsi="宋体" w:eastAsia="宋体" w:cs="宋体"/>
          <w:color w:val="auto"/>
          <w:sz w:val="22"/>
          <w:szCs w:val="22"/>
          <w:lang w:val="en-US"/>
        </w:rPr>
        <w:t xml:space="preserve">   </w:t>
      </w:r>
      <w:r>
        <w:rPr>
          <w:rFonts w:hint="eastAsia" w:ascii="宋体" w:hAnsi="宋体" w:eastAsia="宋体" w:cs="宋体"/>
          <w:color w:val="auto"/>
          <w:sz w:val="22"/>
          <w:szCs w:val="22"/>
        </w:rPr>
        <w:t xml:space="preserve">             </w:t>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rPr>
        <w:t xml:space="preserve">乙方（盖章）： </w:t>
      </w:r>
    </w:p>
    <w:p w14:paraId="1C68560F">
      <w:pPr>
        <w:keepNext w:val="0"/>
        <w:keepLines w:val="0"/>
        <w:pageBreakBefore w:val="0"/>
        <w:kinsoku/>
        <w:wordWrap/>
        <w:overflowPunct/>
        <w:topLinePunct w:val="0"/>
        <w:bidi w:val="0"/>
        <w:snapToGrid/>
        <w:spacing w:line="440" w:lineRule="exact"/>
        <w:ind w:left="270" w:firstLine="472"/>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法人代表：                    </w:t>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rPr>
        <w:t xml:space="preserve">法人代表： </w:t>
      </w:r>
    </w:p>
    <w:p w14:paraId="10F67A38">
      <w:pPr>
        <w:keepNext w:val="0"/>
        <w:keepLines w:val="0"/>
        <w:pageBreakBefore w:val="0"/>
        <w:kinsoku/>
        <w:wordWrap/>
        <w:overflowPunct/>
        <w:topLinePunct w:val="0"/>
        <w:bidi w:val="0"/>
        <w:snapToGrid/>
        <w:spacing w:line="440" w:lineRule="exact"/>
        <w:ind w:left="270" w:firstLine="472"/>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委托代理人（签字）：          </w:t>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rPr>
        <w:t xml:space="preserve">委托代理人（签字）： </w:t>
      </w:r>
    </w:p>
    <w:p w14:paraId="73CA699A">
      <w:pPr>
        <w:keepNext w:val="0"/>
        <w:keepLines w:val="0"/>
        <w:pageBreakBefore w:val="0"/>
        <w:kinsoku/>
        <w:wordWrap/>
        <w:overflowPunct/>
        <w:topLinePunct w:val="0"/>
        <w:bidi w:val="0"/>
        <w:snapToGrid/>
        <w:spacing w:line="440" w:lineRule="exact"/>
        <w:ind w:left="270" w:firstLine="472"/>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联系电话：                    </w:t>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rPr>
        <w:t xml:space="preserve">联系电话： </w:t>
      </w:r>
    </w:p>
    <w:p w14:paraId="4A83F2DD">
      <w:pPr>
        <w:keepNext w:val="0"/>
        <w:keepLines w:val="0"/>
        <w:pageBreakBefore w:val="0"/>
        <w:kinsoku/>
        <w:wordWrap/>
        <w:overflowPunct/>
        <w:topLinePunct w:val="0"/>
        <w:bidi w:val="0"/>
        <w:snapToGrid/>
        <w:spacing w:line="440" w:lineRule="exact"/>
        <w:ind w:left="270" w:firstLine="472"/>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地    址：                    </w:t>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rPr>
        <w:t xml:space="preserve">地    址： </w:t>
      </w:r>
    </w:p>
    <w:p w14:paraId="725C69F2">
      <w:pPr>
        <w:keepNext w:val="0"/>
        <w:keepLines w:val="0"/>
        <w:pageBreakBefore w:val="0"/>
        <w:kinsoku/>
        <w:wordWrap/>
        <w:overflowPunct/>
        <w:topLinePunct w:val="0"/>
        <w:bidi w:val="0"/>
        <w:snapToGrid/>
        <w:spacing w:line="440" w:lineRule="exact"/>
        <w:ind w:left="270" w:firstLine="472"/>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纳税人名称：</w:t>
      </w:r>
      <w:r>
        <w:rPr>
          <w:rFonts w:hint="eastAsia" w:ascii="宋体" w:hAnsi="宋体" w:eastAsia="宋体" w:cs="宋体"/>
          <w:color w:val="auto"/>
          <w:sz w:val="22"/>
          <w:szCs w:val="22"/>
          <w:lang w:val="en-US"/>
        </w:rPr>
        <w:t xml:space="preserve">   </w:t>
      </w:r>
      <w:r>
        <w:rPr>
          <w:rFonts w:hint="eastAsia" w:ascii="宋体" w:hAnsi="宋体" w:eastAsia="宋体" w:cs="宋体"/>
          <w:color w:val="auto"/>
          <w:sz w:val="22"/>
          <w:szCs w:val="22"/>
        </w:rPr>
        <w:t xml:space="preserve">               </w:t>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rPr>
        <w:t xml:space="preserve">纳税人名称： </w:t>
      </w:r>
    </w:p>
    <w:p w14:paraId="51E5BC10">
      <w:pPr>
        <w:keepNext w:val="0"/>
        <w:keepLines w:val="0"/>
        <w:pageBreakBefore w:val="0"/>
        <w:kinsoku/>
        <w:wordWrap/>
        <w:overflowPunct/>
        <w:topLinePunct w:val="0"/>
        <w:bidi w:val="0"/>
        <w:snapToGrid/>
        <w:spacing w:line="440" w:lineRule="exact"/>
        <w:ind w:left="270" w:firstLine="472"/>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纳税人识别号：                </w:t>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rPr>
        <w:t xml:space="preserve">纳税人识别号： </w:t>
      </w:r>
    </w:p>
    <w:p w14:paraId="542B9C99">
      <w:pPr>
        <w:keepNext w:val="0"/>
        <w:keepLines w:val="0"/>
        <w:pageBreakBefore w:val="0"/>
        <w:kinsoku/>
        <w:wordWrap/>
        <w:overflowPunct/>
        <w:topLinePunct w:val="0"/>
        <w:bidi w:val="0"/>
        <w:snapToGrid/>
        <w:spacing w:line="440" w:lineRule="exact"/>
        <w:ind w:left="270" w:firstLine="472"/>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开户行：                      </w:t>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rPr>
        <w:t xml:space="preserve">开户行： </w:t>
      </w:r>
    </w:p>
    <w:p w14:paraId="2CA67C27">
      <w:pPr>
        <w:keepNext w:val="0"/>
        <w:keepLines w:val="0"/>
        <w:pageBreakBefore w:val="0"/>
        <w:kinsoku/>
        <w:wordWrap/>
        <w:overflowPunct/>
        <w:topLinePunct w:val="0"/>
        <w:bidi w:val="0"/>
        <w:snapToGrid/>
        <w:spacing w:line="440" w:lineRule="exact"/>
        <w:ind w:left="270" w:firstLine="472"/>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账号：                       </w:t>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rPr>
        <w:t xml:space="preserve"> </w:t>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rPr>
        <w:t xml:space="preserve">账号： </w:t>
      </w:r>
    </w:p>
    <w:p w14:paraId="7DA59F54">
      <w:pPr>
        <w:keepNext w:val="0"/>
        <w:keepLines w:val="0"/>
        <w:pageBreakBefore w:val="0"/>
        <w:kinsoku/>
        <w:wordWrap/>
        <w:overflowPunct/>
        <w:topLinePunct w:val="0"/>
        <w:bidi w:val="0"/>
        <w:snapToGrid/>
        <w:spacing w:line="440" w:lineRule="exact"/>
        <w:ind w:left="270" w:firstLine="472"/>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日期：                       </w:t>
      </w:r>
      <w:r>
        <w:rPr>
          <w:rFonts w:hint="eastAsia" w:ascii="宋体" w:hAnsi="宋体" w:eastAsia="宋体" w:cs="宋体"/>
          <w:color w:val="auto"/>
          <w:sz w:val="22"/>
          <w:szCs w:val="22"/>
          <w:lang w:val="en-US"/>
        </w:rPr>
        <w:t xml:space="preserve"> </w:t>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rPr>
        <w:t xml:space="preserve">日期：  </w:t>
      </w:r>
    </w:p>
    <w:p w14:paraId="59144763">
      <w:pPr>
        <w:rPr>
          <w:rFonts w:hint="eastAsia" w:ascii="黑体" w:hAnsi="黑体" w:eastAsia="黑体"/>
          <w:b/>
          <w:bCs/>
          <w:color w:val="auto"/>
          <w:kern w:val="44"/>
          <w:sz w:val="36"/>
          <w:szCs w:val="36"/>
        </w:rPr>
      </w:pPr>
      <w:r>
        <w:rPr>
          <w:rFonts w:hint="eastAsia" w:ascii="黑体" w:hAnsi="黑体" w:eastAsia="黑体"/>
          <w:b/>
          <w:bCs/>
          <w:color w:val="auto"/>
          <w:kern w:val="44"/>
          <w:sz w:val="36"/>
          <w:szCs w:val="36"/>
        </w:rPr>
        <w:br w:type="page"/>
      </w:r>
    </w:p>
    <w:p w14:paraId="63E4F6C7">
      <w:pPr>
        <w:spacing w:line="440" w:lineRule="exact"/>
        <w:jc w:val="center"/>
        <w:outlineLvl w:val="0"/>
        <w:rPr>
          <w:rFonts w:ascii="黑体" w:hAnsi="黑体" w:eastAsia="黑体"/>
          <w:b/>
          <w:bCs/>
          <w:color w:val="auto"/>
          <w:kern w:val="44"/>
          <w:sz w:val="36"/>
          <w:szCs w:val="36"/>
        </w:rPr>
      </w:pPr>
      <w:bookmarkStart w:id="121" w:name="_Toc8093"/>
      <w:r>
        <w:rPr>
          <w:rFonts w:hint="eastAsia" w:ascii="黑体" w:hAnsi="黑体" w:eastAsia="黑体"/>
          <w:b/>
          <w:bCs/>
          <w:color w:val="auto"/>
          <w:kern w:val="44"/>
          <w:sz w:val="36"/>
          <w:szCs w:val="36"/>
        </w:rPr>
        <w:t>第四部分   附件</w:t>
      </w:r>
      <w:bookmarkEnd w:id="112"/>
      <w:bookmarkEnd w:id="113"/>
      <w:bookmarkEnd w:id="114"/>
      <w:bookmarkEnd w:id="115"/>
      <w:bookmarkEnd w:id="116"/>
      <w:bookmarkEnd w:id="117"/>
      <w:bookmarkEnd w:id="118"/>
      <w:bookmarkEnd w:id="121"/>
    </w:p>
    <w:p w14:paraId="5D78A2F9">
      <w:pPr>
        <w:pStyle w:val="3"/>
        <w:spacing w:line="480" w:lineRule="exact"/>
        <w:rPr>
          <w:rFonts w:ascii="黑体" w:hAnsi="黑体"/>
          <w:color w:val="auto"/>
          <w:sz w:val="24"/>
          <w:szCs w:val="24"/>
        </w:rPr>
      </w:pPr>
      <w:bookmarkStart w:id="122" w:name="_Toc24800"/>
      <w:bookmarkStart w:id="123" w:name="_Toc28371"/>
      <w:bookmarkStart w:id="124" w:name="_Toc15400"/>
      <w:bookmarkStart w:id="125" w:name="_Toc13343"/>
      <w:bookmarkStart w:id="126" w:name="_Toc21236"/>
      <w:r>
        <w:rPr>
          <w:rFonts w:hint="eastAsia" w:ascii="黑体" w:hAnsi="黑体"/>
          <w:color w:val="auto"/>
          <w:sz w:val="24"/>
          <w:szCs w:val="24"/>
        </w:rPr>
        <w:t>附件一  磋商响应函</w:t>
      </w:r>
      <w:bookmarkEnd w:id="122"/>
      <w:bookmarkEnd w:id="123"/>
      <w:bookmarkEnd w:id="124"/>
      <w:bookmarkEnd w:id="125"/>
      <w:bookmarkEnd w:id="126"/>
    </w:p>
    <w:p w14:paraId="64B68429">
      <w:pPr>
        <w:jc w:val="center"/>
        <w:rPr>
          <w:rFonts w:ascii="宋体" w:hAnsi="宋体"/>
          <w:b/>
          <w:color w:val="auto"/>
          <w:sz w:val="28"/>
          <w:szCs w:val="28"/>
        </w:rPr>
      </w:pPr>
      <w:r>
        <w:rPr>
          <w:rFonts w:hint="eastAsia" w:ascii="宋体" w:hAnsi="宋体"/>
          <w:b/>
          <w:color w:val="auto"/>
          <w:sz w:val="28"/>
          <w:szCs w:val="28"/>
        </w:rPr>
        <w:t>磋商响应函</w:t>
      </w:r>
    </w:p>
    <w:p w14:paraId="64ECC805">
      <w:pPr>
        <w:jc w:val="center"/>
        <w:rPr>
          <w:rFonts w:ascii="宋体" w:hAnsi="宋体"/>
          <w:b/>
          <w:color w:val="auto"/>
          <w:sz w:val="28"/>
          <w:szCs w:val="28"/>
        </w:rPr>
      </w:pPr>
    </w:p>
    <w:p w14:paraId="673D8305">
      <w:pPr>
        <w:rPr>
          <w:rFonts w:ascii="黑体" w:hAnsi="黑体"/>
          <w:b/>
          <w:bCs/>
          <w:color w:val="auto"/>
          <w:sz w:val="24"/>
        </w:rPr>
      </w:pPr>
      <w:bookmarkStart w:id="127" w:name="_Toc5453"/>
      <w:bookmarkStart w:id="128" w:name="_Toc1056"/>
      <w:bookmarkStart w:id="129" w:name="_Toc4802"/>
      <w:r>
        <w:rPr>
          <w:rFonts w:hint="eastAsia" w:ascii="黑体" w:hAnsi="黑体"/>
          <w:b/>
          <w:bCs/>
          <w:color w:val="auto"/>
          <w:sz w:val="24"/>
          <w:lang w:eastAsia="zh-CN"/>
        </w:rPr>
        <w:t>温州市特殊教育学校</w:t>
      </w:r>
      <w:r>
        <w:rPr>
          <w:rFonts w:hint="eastAsia" w:ascii="黑体" w:hAnsi="黑体"/>
          <w:b/>
          <w:bCs/>
          <w:color w:val="auto"/>
          <w:sz w:val="24"/>
        </w:rPr>
        <w:t>：</w:t>
      </w:r>
      <w:bookmarkEnd w:id="127"/>
      <w:bookmarkEnd w:id="128"/>
      <w:bookmarkEnd w:id="129"/>
    </w:p>
    <w:p w14:paraId="776F48B0">
      <w:pPr>
        <w:spacing w:line="440" w:lineRule="exact"/>
        <w:ind w:firstLine="508" w:firstLineChars="231"/>
        <w:rPr>
          <w:rFonts w:ascii="宋体" w:hAnsi="宋体"/>
          <w:color w:val="auto"/>
          <w:sz w:val="22"/>
          <w:szCs w:val="22"/>
        </w:rPr>
      </w:pPr>
      <w:r>
        <w:rPr>
          <w:rFonts w:hint="eastAsia" w:ascii="宋体" w:hAnsi="宋体"/>
          <w:color w:val="auto"/>
          <w:sz w:val="22"/>
          <w:szCs w:val="22"/>
        </w:rPr>
        <w:t>根据贵方为</w:t>
      </w:r>
      <w:r>
        <w:rPr>
          <w:rFonts w:hint="eastAsia" w:ascii="宋体" w:hAnsi="宋体"/>
          <w:color w:val="auto"/>
          <w:sz w:val="22"/>
          <w:szCs w:val="22"/>
          <w:u w:val="single"/>
        </w:rPr>
        <w:t xml:space="preserve">                 </w:t>
      </w:r>
      <w:r>
        <w:rPr>
          <w:rFonts w:hint="eastAsia" w:ascii="宋体" w:hAnsi="宋体"/>
          <w:color w:val="auto"/>
          <w:sz w:val="22"/>
          <w:szCs w:val="22"/>
        </w:rPr>
        <w:t>（磋商项目名称、编号）磋商项目的磋商邀请，</w:t>
      </w:r>
      <w:r>
        <w:rPr>
          <w:rFonts w:hint="eastAsia" w:ascii="宋体" w:hAnsi="宋体"/>
          <w:color w:val="auto"/>
          <w:sz w:val="22"/>
          <w:szCs w:val="22"/>
          <w:u w:val="single"/>
        </w:rPr>
        <w:t xml:space="preserve">               </w:t>
      </w:r>
      <w:r>
        <w:rPr>
          <w:rFonts w:hint="eastAsia" w:ascii="宋体" w:hAnsi="宋体"/>
          <w:color w:val="auto"/>
          <w:sz w:val="22"/>
          <w:szCs w:val="22"/>
        </w:rPr>
        <w:t>（磋商供应商全称）正式授权</w:t>
      </w:r>
      <w:r>
        <w:rPr>
          <w:rFonts w:hint="eastAsia" w:ascii="宋体" w:hAnsi="宋体"/>
          <w:color w:val="auto"/>
          <w:sz w:val="22"/>
          <w:szCs w:val="22"/>
          <w:u w:val="single"/>
        </w:rPr>
        <w:t xml:space="preserve">             </w:t>
      </w:r>
      <w:r>
        <w:rPr>
          <w:rFonts w:hint="eastAsia" w:ascii="宋体" w:hAnsi="宋体"/>
          <w:color w:val="auto"/>
          <w:sz w:val="22"/>
          <w:szCs w:val="22"/>
        </w:rPr>
        <w:t>（姓名、职务）为全权代表，代表</w:t>
      </w:r>
      <w:r>
        <w:rPr>
          <w:rFonts w:hint="eastAsia" w:ascii="宋体" w:hAnsi="宋体"/>
          <w:color w:val="auto"/>
          <w:sz w:val="22"/>
          <w:szCs w:val="22"/>
          <w:u w:val="single"/>
        </w:rPr>
        <w:t xml:space="preserve">              </w:t>
      </w:r>
      <w:r>
        <w:rPr>
          <w:rFonts w:hint="eastAsia" w:ascii="宋体" w:hAnsi="宋体"/>
          <w:color w:val="auto"/>
          <w:sz w:val="22"/>
          <w:szCs w:val="22"/>
        </w:rPr>
        <w:t>(磋商供应商名称)参加贵方组织的此次磋商的有关活动，并提交按“磋商供应商须知”要求编制的响应文件</w:t>
      </w:r>
    </w:p>
    <w:p w14:paraId="33A4DFF1">
      <w:pPr>
        <w:spacing w:line="440" w:lineRule="exact"/>
        <w:rPr>
          <w:rFonts w:ascii="宋体" w:hAnsi="宋体"/>
          <w:b/>
          <w:bCs/>
          <w:color w:val="auto"/>
          <w:sz w:val="22"/>
          <w:szCs w:val="22"/>
        </w:rPr>
      </w:pPr>
      <w:r>
        <w:rPr>
          <w:rFonts w:hint="eastAsia" w:ascii="宋体" w:hAnsi="宋体"/>
          <w:b/>
          <w:bCs/>
          <w:color w:val="auto"/>
          <w:sz w:val="22"/>
          <w:szCs w:val="22"/>
        </w:rPr>
        <w:t>据此函全权代表宣布同意如下：</w:t>
      </w:r>
    </w:p>
    <w:p w14:paraId="773A5A9F">
      <w:pPr>
        <w:spacing w:line="440" w:lineRule="exact"/>
        <w:ind w:left="865" w:leftChars="150" w:hanging="550" w:hangingChars="250"/>
        <w:rPr>
          <w:rFonts w:ascii="宋体" w:hAnsi="宋体"/>
          <w:color w:val="auto"/>
          <w:sz w:val="22"/>
          <w:szCs w:val="22"/>
        </w:rPr>
      </w:pPr>
      <w:r>
        <w:rPr>
          <w:rFonts w:hint="eastAsia" w:ascii="宋体" w:hAnsi="宋体"/>
          <w:color w:val="auto"/>
          <w:sz w:val="22"/>
          <w:szCs w:val="22"/>
        </w:rPr>
        <w:t>1．  我方遵守磋商文件的有关规定和收费标准，忠实地履行按磋商文件规定甲乙双方签订的合同责任和义务。</w:t>
      </w:r>
    </w:p>
    <w:p w14:paraId="1FDF296F">
      <w:pPr>
        <w:spacing w:line="440" w:lineRule="exact"/>
        <w:ind w:left="865" w:leftChars="150" w:hanging="550" w:hangingChars="250"/>
        <w:rPr>
          <w:rFonts w:ascii="宋体" w:hAnsi="宋体"/>
          <w:color w:val="auto"/>
          <w:sz w:val="22"/>
          <w:szCs w:val="22"/>
        </w:rPr>
      </w:pPr>
      <w:r>
        <w:rPr>
          <w:rFonts w:hint="eastAsia" w:ascii="宋体" w:hAnsi="宋体"/>
          <w:color w:val="auto"/>
          <w:sz w:val="22"/>
          <w:szCs w:val="22"/>
        </w:rPr>
        <w:t>2．  我方已详细审查全部磋商文件，包括磋商补充文件（如果有的话），我们完全理解并同意放弃对这方面有不明及误解的</w:t>
      </w:r>
      <w:r>
        <w:rPr>
          <w:rFonts w:hint="eastAsia" w:ascii="宋体" w:hAnsi="宋体"/>
          <w:color w:val="auto"/>
          <w:sz w:val="22"/>
          <w:szCs w:val="22"/>
          <w:lang w:eastAsia="zh-CN"/>
        </w:rPr>
        <w:t>权利</w:t>
      </w:r>
      <w:r>
        <w:rPr>
          <w:rFonts w:hint="eastAsia" w:ascii="宋体" w:hAnsi="宋体"/>
          <w:color w:val="auto"/>
          <w:sz w:val="22"/>
          <w:szCs w:val="22"/>
        </w:rPr>
        <w:t>。</w:t>
      </w:r>
    </w:p>
    <w:p w14:paraId="583D56D8">
      <w:pPr>
        <w:spacing w:line="440" w:lineRule="exact"/>
        <w:ind w:left="865" w:leftChars="150" w:hanging="550" w:hangingChars="250"/>
        <w:rPr>
          <w:rFonts w:ascii="宋体" w:hAnsi="宋体"/>
          <w:color w:val="auto"/>
          <w:sz w:val="22"/>
          <w:szCs w:val="22"/>
        </w:rPr>
      </w:pPr>
      <w:r>
        <w:rPr>
          <w:rFonts w:hint="eastAsia" w:ascii="宋体" w:hAnsi="宋体"/>
          <w:color w:val="auto"/>
          <w:sz w:val="22"/>
          <w:szCs w:val="22"/>
        </w:rPr>
        <w:t>3．  我方完全同意向贵方真实的提供本项目磋商有关的一切数据或资料，完全理解贵方不一定接受最低价的报价或收到的任何报价。</w:t>
      </w:r>
    </w:p>
    <w:p w14:paraId="09C73703">
      <w:pPr>
        <w:spacing w:line="440" w:lineRule="exact"/>
        <w:ind w:left="896" w:leftChars="165" w:hanging="550" w:hangingChars="250"/>
        <w:rPr>
          <w:rFonts w:ascii="宋体" w:hAnsi="宋体"/>
          <w:color w:val="auto"/>
          <w:sz w:val="22"/>
          <w:szCs w:val="22"/>
        </w:rPr>
      </w:pPr>
      <w:r>
        <w:rPr>
          <w:rFonts w:hint="eastAsia" w:ascii="宋体" w:hAnsi="宋体"/>
          <w:color w:val="auto"/>
          <w:sz w:val="22"/>
          <w:szCs w:val="22"/>
        </w:rPr>
        <w:t>4．  本响应有效期为自磋商之日起</w:t>
      </w:r>
      <w:r>
        <w:rPr>
          <w:rFonts w:hint="eastAsia" w:ascii="宋体" w:hAnsi="宋体"/>
          <w:color w:val="auto"/>
          <w:sz w:val="22"/>
          <w:szCs w:val="22"/>
          <w:u w:val="single"/>
        </w:rPr>
        <w:t xml:space="preserve"> </w:t>
      </w:r>
      <w:r>
        <w:rPr>
          <w:rFonts w:hint="eastAsia" w:ascii="宋体" w:hAnsi="宋体"/>
          <w:b/>
          <w:color w:val="auto"/>
          <w:sz w:val="22"/>
          <w:szCs w:val="22"/>
          <w:u w:val="single"/>
        </w:rPr>
        <w:t>60</w:t>
      </w:r>
      <w:r>
        <w:rPr>
          <w:rFonts w:hint="eastAsia" w:ascii="宋体" w:hAnsi="宋体"/>
          <w:color w:val="auto"/>
          <w:sz w:val="22"/>
          <w:szCs w:val="22"/>
          <w:u w:val="single"/>
        </w:rPr>
        <w:t xml:space="preserve"> </w:t>
      </w:r>
      <w:r>
        <w:rPr>
          <w:rFonts w:hint="eastAsia" w:ascii="宋体" w:hAnsi="宋体"/>
          <w:color w:val="auto"/>
          <w:sz w:val="22"/>
          <w:szCs w:val="22"/>
        </w:rPr>
        <w:t>个历日，</w:t>
      </w:r>
      <w:r>
        <w:rPr>
          <w:rFonts w:hint="eastAsia" w:ascii="新宋体" w:hAnsi="新宋体" w:eastAsia="新宋体"/>
          <w:color w:val="auto"/>
          <w:sz w:val="22"/>
          <w:szCs w:val="22"/>
        </w:rPr>
        <w:t>如成交，有效期将延至合同终止日为止</w:t>
      </w:r>
      <w:r>
        <w:rPr>
          <w:rFonts w:hint="eastAsia" w:ascii="宋体" w:hAnsi="宋体"/>
          <w:color w:val="auto"/>
          <w:sz w:val="22"/>
          <w:szCs w:val="22"/>
        </w:rPr>
        <w:t>。</w:t>
      </w:r>
    </w:p>
    <w:p w14:paraId="12659DFB">
      <w:pPr>
        <w:spacing w:line="440" w:lineRule="exact"/>
        <w:ind w:firstLine="330" w:firstLineChars="150"/>
        <w:rPr>
          <w:rFonts w:ascii="宋体" w:hAnsi="宋体"/>
          <w:color w:val="auto"/>
          <w:sz w:val="22"/>
          <w:szCs w:val="22"/>
        </w:rPr>
      </w:pPr>
      <w:r>
        <w:rPr>
          <w:rFonts w:hint="eastAsia" w:ascii="宋体" w:hAnsi="宋体"/>
          <w:color w:val="auto"/>
          <w:sz w:val="22"/>
          <w:szCs w:val="22"/>
        </w:rPr>
        <w:t>5．  与本磋商有关的一切正式往来信函请寄：</w:t>
      </w:r>
    </w:p>
    <w:p w14:paraId="7F0A94AF">
      <w:pPr>
        <w:spacing w:line="440" w:lineRule="exact"/>
        <w:ind w:firstLine="435"/>
        <w:rPr>
          <w:rFonts w:ascii="宋体" w:hAnsi="宋体"/>
          <w:color w:val="auto"/>
          <w:sz w:val="22"/>
          <w:szCs w:val="22"/>
        </w:rPr>
      </w:pPr>
      <w:r>
        <w:rPr>
          <w:rFonts w:hint="eastAsia" w:ascii="宋体" w:hAnsi="宋体"/>
          <w:color w:val="auto"/>
          <w:sz w:val="22"/>
          <w:szCs w:val="22"/>
        </w:rPr>
        <w:t xml:space="preserve">    地址</w:t>
      </w:r>
      <w:r>
        <w:rPr>
          <w:rFonts w:hint="eastAsia" w:ascii="宋体" w:hAnsi="宋体"/>
          <w:color w:val="auto"/>
          <w:sz w:val="22"/>
          <w:szCs w:val="22"/>
          <w:u w:val="single"/>
        </w:rPr>
        <w:t xml:space="preserve">                           </w:t>
      </w:r>
    </w:p>
    <w:p w14:paraId="3C2EB684">
      <w:pPr>
        <w:spacing w:line="440" w:lineRule="exact"/>
        <w:ind w:firstLine="435"/>
        <w:rPr>
          <w:rFonts w:ascii="宋体" w:hAnsi="宋体"/>
          <w:color w:val="auto"/>
          <w:sz w:val="22"/>
          <w:szCs w:val="22"/>
        </w:rPr>
      </w:pPr>
      <w:r>
        <w:rPr>
          <w:rFonts w:hint="eastAsia" w:ascii="宋体" w:hAnsi="宋体"/>
          <w:color w:val="auto"/>
          <w:sz w:val="22"/>
          <w:szCs w:val="22"/>
        </w:rPr>
        <w:t xml:space="preserve">    电话</w:t>
      </w:r>
      <w:r>
        <w:rPr>
          <w:rFonts w:hint="eastAsia" w:ascii="宋体" w:hAnsi="宋体"/>
          <w:color w:val="auto"/>
          <w:sz w:val="22"/>
          <w:szCs w:val="22"/>
          <w:u w:val="single"/>
        </w:rPr>
        <w:t xml:space="preserve">                           </w:t>
      </w:r>
    </w:p>
    <w:p w14:paraId="5C452281">
      <w:pPr>
        <w:spacing w:line="440" w:lineRule="exact"/>
        <w:ind w:firstLine="435"/>
        <w:rPr>
          <w:rFonts w:ascii="宋体" w:hAnsi="宋体"/>
          <w:color w:val="auto"/>
          <w:sz w:val="22"/>
          <w:szCs w:val="22"/>
          <w:u w:val="single"/>
        </w:rPr>
      </w:pPr>
      <w:r>
        <w:rPr>
          <w:rFonts w:hint="eastAsia" w:ascii="宋体" w:hAnsi="宋体"/>
          <w:color w:val="auto"/>
          <w:sz w:val="22"/>
          <w:szCs w:val="22"/>
        </w:rPr>
        <w:t xml:space="preserve">    传真</w:t>
      </w:r>
      <w:r>
        <w:rPr>
          <w:rFonts w:hint="eastAsia" w:ascii="宋体" w:hAnsi="宋体"/>
          <w:color w:val="auto"/>
          <w:sz w:val="22"/>
          <w:szCs w:val="22"/>
          <w:u w:val="single"/>
        </w:rPr>
        <w:t xml:space="preserve">                           </w:t>
      </w:r>
    </w:p>
    <w:p w14:paraId="4E5EB452">
      <w:pPr>
        <w:spacing w:line="440" w:lineRule="exact"/>
        <w:ind w:left="105" w:leftChars="50" w:firstLine="785" w:firstLineChars="357"/>
        <w:rPr>
          <w:rFonts w:ascii="宋体" w:hAnsi="宋体"/>
          <w:color w:val="auto"/>
          <w:sz w:val="22"/>
          <w:szCs w:val="22"/>
          <w:u w:val="single"/>
        </w:rPr>
      </w:pPr>
      <w:r>
        <w:rPr>
          <w:rFonts w:hint="eastAsia" w:ascii="宋体" w:hAnsi="宋体"/>
          <w:color w:val="auto"/>
          <w:sz w:val="22"/>
          <w:szCs w:val="22"/>
        </w:rPr>
        <w:t>电子邮件</w:t>
      </w:r>
      <w:r>
        <w:rPr>
          <w:rFonts w:hint="eastAsia" w:ascii="宋体" w:hAnsi="宋体"/>
          <w:color w:val="auto"/>
          <w:sz w:val="22"/>
          <w:szCs w:val="22"/>
          <w:u w:val="single"/>
        </w:rPr>
        <w:t xml:space="preserve">                       </w:t>
      </w:r>
    </w:p>
    <w:p w14:paraId="471A03DA">
      <w:pPr>
        <w:spacing w:line="440" w:lineRule="exact"/>
        <w:ind w:firstLine="435"/>
        <w:rPr>
          <w:rFonts w:ascii="宋体" w:hAnsi="宋体"/>
          <w:color w:val="auto"/>
          <w:sz w:val="22"/>
          <w:szCs w:val="22"/>
        </w:rPr>
      </w:pPr>
    </w:p>
    <w:p w14:paraId="1A1A9248">
      <w:pPr>
        <w:spacing w:line="440" w:lineRule="exact"/>
        <w:ind w:firstLine="435"/>
        <w:rPr>
          <w:rFonts w:ascii="宋体" w:hAnsi="宋体"/>
          <w:color w:val="auto"/>
          <w:sz w:val="22"/>
          <w:szCs w:val="22"/>
        </w:rPr>
      </w:pPr>
    </w:p>
    <w:p w14:paraId="578876B4">
      <w:pPr>
        <w:spacing w:line="440" w:lineRule="exact"/>
        <w:ind w:firstLine="435"/>
        <w:rPr>
          <w:color w:val="auto"/>
          <w:sz w:val="22"/>
          <w:szCs w:val="22"/>
        </w:rPr>
      </w:pPr>
      <w:r>
        <w:rPr>
          <w:rFonts w:hint="eastAsia" w:ascii="宋体" w:hAnsi="宋体"/>
          <w:color w:val="auto"/>
          <w:sz w:val="22"/>
          <w:szCs w:val="22"/>
        </w:rPr>
        <w:t xml:space="preserve">                                   </w:t>
      </w:r>
      <w:r>
        <w:rPr>
          <w:rFonts w:hint="eastAsia"/>
          <w:color w:val="auto"/>
          <w:sz w:val="22"/>
          <w:szCs w:val="22"/>
        </w:rPr>
        <w:t>磋商供应商名称</w:t>
      </w:r>
      <w:r>
        <w:rPr>
          <w:rFonts w:hint="eastAsia"/>
          <w:color w:val="auto"/>
          <w:sz w:val="22"/>
          <w:szCs w:val="22"/>
          <w:u w:val="single"/>
        </w:rPr>
        <w:t xml:space="preserve">                           </w:t>
      </w:r>
    </w:p>
    <w:p w14:paraId="69C680B9">
      <w:pPr>
        <w:spacing w:line="440" w:lineRule="exact"/>
        <w:ind w:firstLine="435"/>
        <w:rPr>
          <w:color w:val="auto"/>
          <w:sz w:val="22"/>
          <w:szCs w:val="22"/>
        </w:rPr>
      </w:pPr>
      <w:r>
        <w:rPr>
          <w:rFonts w:hint="eastAsia"/>
          <w:color w:val="auto"/>
          <w:sz w:val="22"/>
          <w:szCs w:val="22"/>
        </w:rPr>
        <w:t xml:space="preserve">                                   公章（</w:t>
      </w:r>
      <w:r>
        <w:rPr>
          <w:rFonts w:hint="eastAsia" w:ascii="宋体" w:hAnsi="宋体" w:cs="宋体"/>
          <w:color w:val="auto"/>
          <w:sz w:val="22"/>
          <w:szCs w:val="22"/>
          <w:u w:val="single"/>
        </w:rPr>
        <w:t>电子签名/公章</w:t>
      </w:r>
      <w:r>
        <w:rPr>
          <w:rFonts w:hint="eastAsia"/>
          <w:color w:val="auto"/>
          <w:sz w:val="22"/>
          <w:szCs w:val="22"/>
          <w:u w:val="single"/>
        </w:rPr>
        <w:t xml:space="preserve">）                    </w:t>
      </w:r>
    </w:p>
    <w:p w14:paraId="12484F40">
      <w:pPr>
        <w:spacing w:line="440" w:lineRule="exact"/>
        <w:ind w:firstLine="440" w:firstLineChars="200"/>
        <w:rPr>
          <w:color w:val="auto"/>
          <w:sz w:val="22"/>
          <w:szCs w:val="22"/>
          <w:u w:val="single"/>
        </w:rPr>
      </w:pPr>
      <w:r>
        <w:rPr>
          <w:rFonts w:hint="eastAsia"/>
          <w:color w:val="auto"/>
          <w:sz w:val="22"/>
          <w:szCs w:val="22"/>
        </w:rPr>
        <w:t xml:space="preserve">                                   日期</w:t>
      </w:r>
      <w:r>
        <w:rPr>
          <w:rFonts w:hint="eastAsia"/>
          <w:color w:val="auto"/>
          <w:sz w:val="22"/>
          <w:szCs w:val="22"/>
          <w:u w:val="single"/>
        </w:rPr>
        <w:t xml:space="preserve">                                     </w:t>
      </w:r>
    </w:p>
    <w:p w14:paraId="198B72F9">
      <w:pPr>
        <w:spacing w:line="440" w:lineRule="exact"/>
        <w:ind w:firstLine="440" w:firstLineChars="200"/>
        <w:rPr>
          <w:rFonts w:ascii="宋体" w:hAnsi="宋体"/>
          <w:color w:val="auto"/>
          <w:sz w:val="22"/>
          <w:szCs w:val="22"/>
          <w:u w:val="single"/>
        </w:rPr>
      </w:pPr>
    </w:p>
    <w:p w14:paraId="26E356BE">
      <w:pPr>
        <w:rPr>
          <w:rFonts w:ascii="宋体" w:hAnsi="宋体"/>
          <w:color w:val="auto"/>
        </w:rPr>
        <w:sectPr>
          <w:footerReference r:id="rId8" w:type="default"/>
          <w:pgSz w:w="11906" w:h="16838"/>
          <w:pgMar w:top="1134" w:right="1134" w:bottom="1134" w:left="1134" w:header="851" w:footer="992" w:gutter="0"/>
          <w:cols w:space="720" w:num="1"/>
          <w:titlePg/>
          <w:docGrid w:linePitch="312" w:charSpace="0"/>
        </w:sectPr>
      </w:pPr>
    </w:p>
    <w:p w14:paraId="4D15034C">
      <w:pPr>
        <w:pStyle w:val="3"/>
        <w:spacing w:line="480" w:lineRule="exact"/>
        <w:rPr>
          <w:rFonts w:ascii="黑体" w:hAnsi="黑体"/>
          <w:color w:val="auto"/>
          <w:sz w:val="24"/>
          <w:szCs w:val="24"/>
        </w:rPr>
      </w:pPr>
      <w:bookmarkStart w:id="130" w:name="_Toc27173"/>
      <w:bookmarkStart w:id="131" w:name="_Toc11792"/>
      <w:bookmarkStart w:id="132" w:name="_Toc21117"/>
      <w:bookmarkStart w:id="133" w:name="_Toc18435"/>
      <w:bookmarkStart w:id="134" w:name="_Toc20365"/>
      <w:bookmarkStart w:id="135" w:name="_Toc14682753"/>
      <w:bookmarkStart w:id="136" w:name="_Toc5854"/>
      <w:bookmarkStart w:id="137" w:name="_Toc30488978"/>
      <w:r>
        <w:rPr>
          <w:rFonts w:hint="eastAsia" w:ascii="黑体" w:hAnsi="黑体"/>
          <w:color w:val="auto"/>
          <w:sz w:val="24"/>
          <w:szCs w:val="24"/>
        </w:rPr>
        <w:t>附件二  磋商报价一览表</w:t>
      </w:r>
      <w:bookmarkEnd w:id="130"/>
      <w:bookmarkEnd w:id="131"/>
      <w:bookmarkEnd w:id="132"/>
      <w:bookmarkEnd w:id="133"/>
      <w:bookmarkEnd w:id="134"/>
      <w:bookmarkEnd w:id="135"/>
      <w:bookmarkEnd w:id="136"/>
      <w:bookmarkEnd w:id="137"/>
    </w:p>
    <w:p w14:paraId="33B973CE">
      <w:pPr>
        <w:jc w:val="center"/>
        <w:rPr>
          <w:rFonts w:ascii="宋体" w:hAnsi="宋体"/>
          <w:b/>
          <w:color w:val="auto"/>
          <w:sz w:val="28"/>
          <w:szCs w:val="28"/>
        </w:rPr>
      </w:pPr>
      <w:r>
        <w:rPr>
          <w:rFonts w:hint="eastAsia" w:ascii="宋体" w:hAnsi="宋体"/>
          <w:b/>
          <w:color w:val="auto"/>
          <w:sz w:val="28"/>
          <w:szCs w:val="28"/>
        </w:rPr>
        <w:t xml:space="preserve">  磋商报价一览表</w:t>
      </w:r>
    </w:p>
    <w:p w14:paraId="6D8E9827">
      <w:pPr>
        <w:spacing w:line="400" w:lineRule="exact"/>
        <w:jc w:val="center"/>
        <w:rPr>
          <w:rFonts w:ascii="宋体" w:hAnsi="宋体"/>
          <w:b/>
          <w:bCs/>
          <w:color w:val="auto"/>
          <w:sz w:val="28"/>
          <w:szCs w:val="28"/>
        </w:rPr>
      </w:pPr>
    </w:p>
    <w:p w14:paraId="0661B98F">
      <w:pPr>
        <w:spacing w:line="380" w:lineRule="exact"/>
        <w:rPr>
          <w:rFonts w:ascii="宋体" w:hAnsi="宋体"/>
          <w:bCs/>
          <w:color w:val="auto"/>
          <w:sz w:val="22"/>
          <w:szCs w:val="22"/>
        </w:rPr>
      </w:pPr>
      <w:r>
        <w:rPr>
          <w:rFonts w:hint="eastAsia" w:ascii="宋体" w:hAnsi="宋体"/>
          <w:bCs/>
          <w:color w:val="auto"/>
          <w:sz w:val="22"/>
          <w:szCs w:val="22"/>
        </w:rPr>
        <w:t>项目名称：                                                   项目编号：</w:t>
      </w:r>
    </w:p>
    <w:tbl>
      <w:tblPr>
        <w:tblStyle w:val="38"/>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2"/>
        <w:gridCol w:w="2165"/>
        <w:gridCol w:w="5907"/>
        <w:gridCol w:w="1170"/>
      </w:tblGrid>
      <w:tr w14:paraId="7CE7C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306" w:type="pct"/>
            <w:vAlign w:val="center"/>
          </w:tcPr>
          <w:p w14:paraId="1A9FA685">
            <w:pPr>
              <w:spacing w:line="380" w:lineRule="exact"/>
              <w:jc w:val="center"/>
              <w:rPr>
                <w:rFonts w:ascii="宋体" w:hAnsi="宋体"/>
                <w:bCs/>
                <w:color w:val="auto"/>
                <w:sz w:val="22"/>
                <w:szCs w:val="22"/>
              </w:rPr>
            </w:pPr>
            <w:r>
              <w:rPr>
                <w:rFonts w:hint="eastAsia" w:ascii="宋体" w:hAnsi="宋体"/>
                <w:bCs/>
                <w:color w:val="auto"/>
                <w:sz w:val="22"/>
                <w:szCs w:val="22"/>
              </w:rPr>
              <w:t>序号</w:t>
            </w:r>
          </w:p>
        </w:tc>
        <w:tc>
          <w:tcPr>
            <w:tcW w:w="1099" w:type="pct"/>
            <w:vAlign w:val="center"/>
          </w:tcPr>
          <w:p w14:paraId="540623FF">
            <w:pPr>
              <w:spacing w:line="380" w:lineRule="exact"/>
              <w:jc w:val="center"/>
              <w:rPr>
                <w:rFonts w:ascii="宋体" w:hAnsi="宋体"/>
                <w:bCs/>
                <w:color w:val="auto"/>
                <w:sz w:val="22"/>
                <w:szCs w:val="22"/>
              </w:rPr>
            </w:pPr>
            <w:r>
              <w:rPr>
                <w:rFonts w:hint="eastAsia" w:ascii="宋体" w:hAnsi="宋体"/>
                <w:bCs/>
                <w:color w:val="auto"/>
                <w:sz w:val="22"/>
                <w:szCs w:val="22"/>
              </w:rPr>
              <w:t>项目名称</w:t>
            </w:r>
          </w:p>
        </w:tc>
        <w:tc>
          <w:tcPr>
            <w:tcW w:w="2999" w:type="pct"/>
            <w:vAlign w:val="center"/>
          </w:tcPr>
          <w:p w14:paraId="4CEA34E6">
            <w:pPr>
              <w:spacing w:line="380" w:lineRule="exact"/>
              <w:jc w:val="center"/>
              <w:rPr>
                <w:rFonts w:ascii="宋体" w:hAnsi="宋体"/>
                <w:bCs/>
                <w:color w:val="auto"/>
                <w:sz w:val="22"/>
                <w:szCs w:val="22"/>
              </w:rPr>
            </w:pPr>
            <w:r>
              <w:rPr>
                <w:rFonts w:hint="eastAsia" w:ascii="宋体" w:hAnsi="宋体"/>
                <w:bCs/>
                <w:color w:val="auto"/>
                <w:sz w:val="22"/>
                <w:szCs w:val="22"/>
              </w:rPr>
              <w:t>总报价</w:t>
            </w:r>
          </w:p>
        </w:tc>
        <w:tc>
          <w:tcPr>
            <w:tcW w:w="594" w:type="pct"/>
            <w:vAlign w:val="center"/>
          </w:tcPr>
          <w:p w14:paraId="19BBF97F">
            <w:pPr>
              <w:spacing w:line="380" w:lineRule="exact"/>
              <w:jc w:val="center"/>
              <w:rPr>
                <w:rFonts w:hint="eastAsia" w:ascii="宋体" w:hAnsi="宋体" w:eastAsia="宋体"/>
                <w:bCs/>
                <w:color w:val="auto"/>
                <w:sz w:val="22"/>
                <w:szCs w:val="22"/>
                <w:lang w:val="en-US" w:eastAsia="zh-CN"/>
              </w:rPr>
            </w:pPr>
            <w:r>
              <w:rPr>
                <w:rFonts w:hint="eastAsia" w:ascii="宋体" w:hAnsi="宋体"/>
                <w:bCs/>
                <w:color w:val="auto"/>
                <w:sz w:val="22"/>
                <w:szCs w:val="22"/>
                <w:lang w:val="en-US" w:eastAsia="zh-CN"/>
              </w:rPr>
              <w:t>备注</w:t>
            </w:r>
          </w:p>
        </w:tc>
      </w:tr>
      <w:tr w14:paraId="59262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306" w:type="pct"/>
            <w:vMerge w:val="restart"/>
            <w:vAlign w:val="center"/>
          </w:tcPr>
          <w:p w14:paraId="7F811F14">
            <w:pPr>
              <w:spacing w:line="380" w:lineRule="exact"/>
              <w:jc w:val="center"/>
              <w:rPr>
                <w:rFonts w:ascii="宋体" w:hAnsi="宋体"/>
                <w:bCs/>
                <w:color w:val="auto"/>
                <w:sz w:val="22"/>
                <w:szCs w:val="22"/>
              </w:rPr>
            </w:pPr>
            <w:r>
              <w:rPr>
                <w:rFonts w:hint="eastAsia" w:ascii="宋体" w:hAnsi="宋体"/>
                <w:bCs/>
                <w:color w:val="auto"/>
                <w:sz w:val="22"/>
                <w:szCs w:val="22"/>
              </w:rPr>
              <w:t>1</w:t>
            </w:r>
          </w:p>
        </w:tc>
        <w:tc>
          <w:tcPr>
            <w:tcW w:w="1099" w:type="pct"/>
            <w:vMerge w:val="restart"/>
            <w:vAlign w:val="center"/>
          </w:tcPr>
          <w:p w14:paraId="056B6399">
            <w:pPr>
              <w:spacing w:line="380" w:lineRule="exact"/>
              <w:jc w:val="center"/>
              <w:rPr>
                <w:rFonts w:hint="eastAsia" w:ascii="宋体" w:hAnsi="宋体" w:eastAsia="宋体"/>
                <w:bCs/>
                <w:color w:val="auto"/>
                <w:sz w:val="22"/>
                <w:szCs w:val="22"/>
                <w:lang w:eastAsia="zh-CN"/>
              </w:rPr>
            </w:pPr>
            <w:r>
              <w:rPr>
                <w:rFonts w:hint="eastAsia" w:ascii="宋体" w:hAnsi="宋体"/>
                <w:bCs/>
                <w:color w:val="auto"/>
                <w:sz w:val="22"/>
                <w:szCs w:val="22"/>
                <w:lang w:eastAsia="zh-CN"/>
              </w:rPr>
              <w:t>校园厨房设备更新及附属工程</w:t>
            </w:r>
          </w:p>
        </w:tc>
        <w:tc>
          <w:tcPr>
            <w:tcW w:w="2999" w:type="pct"/>
            <w:vAlign w:val="center"/>
          </w:tcPr>
          <w:p w14:paraId="62FC2632">
            <w:pPr>
              <w:spacing w:line="380" w:lineRule="exact"/>
              <w:rPr>
                <w:rFonts w:ascii="宋体" w:hAnsi="宋体"/>
                <w:bCs/>
                <w:color w:val="auto"/>
                <w:sz w:val="22"/>
                <w:szCs w:val="22"/>
              </w:rPr>
            </w:pPr>
            <w:r>
              <w:rPr>
                <w:rFonts w:hint="eastAsia" w:ascii="宋体" w:hAnsi="宋体"/>
                <w:bCs/>
                <w:color w:val="auto"/>
                <w:sz w:val="22"/>
                <w:szCs w:val="22"/>
              </w:rPr>
              <w:t>大写：人民币</w:t>
            </w:r>
          </w:p>
        </w:tc>
        <w:tc>
          <w:tcPr>
            <w:tcW w:w="594" w:type="pct"/>
            <w:vMerge w:val="restart"/>
            <w:vAlign w:val="center"/>
          </w:tcPr>
          <w:p w14:paraId="46F78CED">
            <w:pPr>
              <w:spacing w:line="380" w:lineRule="exact"/>
              <w:jc w:val="center"/>
              <w:rPr>
                <w:rFonts w:hint="default" w:ascii="宋体" w:hAnsi="宋体" w:eastAsia="宋体"/>
                <w:bCs/>
                <w:color w:val="auto"/>
                <w:sz w:val="22"/>
                <w:szCs w:val="22"/>
                <w:lang w:val="en-US" w:eastAsia="zh-CN"/>
              </w:rPr>
            </w:pPr>
          </w:p>
        </w:tc>
      </w:tr>
      <w:tr w14:paraId="2D72C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306" w:type="pct"/>
            <w:vMerge w:val="continue"/>
          </w:tcPr>
          <w:p w14:paraId="42E5E606">
            <w:pPr>
              <w:rPr>
                <w:rFonts w:ascii="宋体" w:hAnsi="宋体"/>
                <w:color w:val="auto"/>
              </w:rPr>
            </w:pPr>
          </w:p>
        </w:tc>
        <w:tc>
          <w:tcPr>
            <w:tcW w:w="1099" w:type="pct"/>
            <w:vMerge w:val="continue"/>
          </w:tcPr>
          <w:p w14:paraId="2149CAD8">
            <w:pPr>
              <w:rPr>
                <w:rFonts w:ascii="宋体" w:hAnsi="宋体"/>
                <w:color w:val="auto"/>
              </w:rPr>
            </w:pPr>
          </w:p>
        </w:tc>
        <w:tc>
          <w:tcPr>
            <w:tcW w:w="2999" w:type="pct"/>
            <w:vAlign w:val="center"/>
          </w:tcPr>
          <w:p w14:paraId="7663E863">
            <w:pPr>
              <w:spacing w:line="380" w:lineRule="exact"/>
              <w:rPr>
                <w:rFonts w:ascii="宋体" w:hAnsi="宋体"/>
                <w:bCs/>
                <w:color w:val="auto"/>
                <w:sz w:val="22"/>
                <w:szCs w:val="22"/>
              </w:rPr>
            </w:pPr>
            <w:r>
              <w:rPr>
                <w:rFonts w:hint="eastAsia" w:ascii="宋体" w:hAnsi="宋体"/>
                <w:bCs/>
                <w:color w:val="auto"/>
                <w:sz w:val="22"/>
                <w:szCs w:val="22"/>
              </w:rPr>
              <w:t>小写：￥</w:t>
            </w:r>
          </w:p>
        </w:tc>
        <w:tc>
          <w:tcPr>
            <w:tcW w:w="594" w:type="pct"/>
            <w:vMerge w:val="continue"/>
            <w:vAlign w:val="center"/>
          </w:tcPr>
          <w:p w14:paraId="47A1A199">
            <w:pPr>
              <w:spacing w:line="380" w:lineRule="exact"/>
              <w:rPr>
                <w:rFonts w:hint="eastAsia" w:ascii="宋体" w:hAnsi="宋体"/>
                <w:bCs/>
                <w:color w:val="auto"/>
                <w:sz w:val="22"/>
                <w:szCs w:val="22"/>
              </w:rPr>
            </w:pPr>
          </w:p>
        </w:tc>
      </w:tr>
    </w:tbl>
    <w:p w14:paraId="0734E6EC">
      <w:pPr>
        <w:spacing w:line="380" w:lineRule="exact"/>
        <w:ind w:left="531" w:leftChars="38" w:hanging="451" w:hangingChars="204"/>
        <w:rPr>
          <w:rFonts w:ascii="宋体" w:hAnsi="宋体"/>
          <w:b/>
          <w:bCs/>
          <w:color w:val="auto"/>
          <w:sz w:val="22"/>
          <w:szCs w:val="22"/>
        </w:rPr>
      </w:pPr>
      <w:r>
        <w:rPr>
          <w:rFonts w:hint="eastAsia" w:ascii="宋体" w:hAnsi="宋体"/>
          <w:b/>
          <w:bCs/>
          <w:color w:val="auto"/>
          <w:sz w:val="22"/>
          <w:szCs w:val="22"/>
        </w:rPr>
        <w:t>说明：1.此栏内总报价应与附件三“磋商分项报价表”总计价相一致。</w:t>
      </w:r>
    </w:p>
    <w:p w14:paraId="414EA35F">
      <w:pPr>
        <w:spacing w:line="380" w:lineRule="exact"/>
        <w:ind w:left="535" w:leftChars="-171" w:hanging="894" w:hangingChars="405"/>
        <w:rPr>
          <w:rFonts w:ascii="宋体" w:hAnsi="宋体"/>
          <w:b/>
          <w:bCs/>
          <w:color w:val="auto"/>
          <w:sz w:val="22"/>
          <w:szCs w:val="22"/>
        </w:rPr>
      </w:pPr>
      <w:r>
        <w:rPr>
          <w:rFonts w:hint="eastAsia" w:ascii="宋体" w:hAnsi="宋体"/>
          <w:b/>
          <w:bCs/>
          <w:color w:val="auto"/>
          <w:sz w:val="22"/>
          <w:szCs w:val="22"/>
        </w:rPr>
        <w:t xml:space="preserve">          2.报价均为含税价。</w:t>
      </w:r>
    </w:p>
    <w:p w14:paraId="08740C5D">
      <w:pPr>
        <w:spacing w:line="380" w:lineRule="exact"/>
        <w:ind w:left="535" w:leftChars="-171" w:hanging="894" w:hangingChars="405"/>
        <w:rPr>
          <w:rFonts w:ascii="宋体" w:hAnsi="宋体"/>
          <w:b/>
          <w:bCs/>
          <w:color w:val="auto"/>
          <w:sz w:val="22"/>
          <w:szCs w:val="22"/>
        </w:rPr>
      </w:pPr>
      <w:r>
        <w:rPr>
          <w:rFonts w:hint="eastAsia" w:ascii="宋体" w:hAnsi="宋体"/>
          <w:b/>
          <w:bCs/>
          <w:color w:val="auto"/>
          <w:sz w:val="22"/>
          <w:szCs w:val="22"/>
        </w:rPr>
        <w:t xml:space="preserve">          3.采购代理服务费应计入报价内。</w:t>
      </w:r>
    </w:p>
    <w:p w14:paraId="2A252FD7">
      <w:pPr>
        <w:spacing w:line="380" w:lineRule="exact"/>
        <w:ind w:left="535" w:leftChars="-171" w:hanging="894" w:hangingChars="405"/>
        <w:rPr>
          <w:rFonts w:ascii="宋体" w:hAnsi="宋体"/>
          <w:b/>
          <w:bCs/>
          <w:color w:val="auto"/>
          <w:sz w:val="22"/>
          <w:szCs w:val="22"/>
        </w:rPr>
      </w:pPr>
    </w:p>
    <w:p w14:paraId="7FB4A6BA">
      <w:pPr>
        <w:spacing w:line="380" w:lineRule="exact"/>
        <w:ind w:left="535" w:leftChars="-171" w:hanging="894" w:hangingChars="405"/>
        <w:rPr>
          <w:rFonts w:ascii="宋体" w:hAnsi="宋体"/>
          <w:b/>
          <w:bCs/>
          <w:color w:val="auto"/>
          <w:sz w:val="22"/>
          <w:szCs w:val="22"/>
        </w:rPr>
      </w:pPr>
    </w:p>
    <w:p w14:paraId="7EBB3977">
      <w:pPr>
        <w:spacing w:line="380" w:lineRule="exact"/>
        <w:ind w:left="535" w:leftChars="-171" w:hanging="894" w:hangingChars="405"/>
        <w:rPr>
          <w:rFonts w:ascii="宋体" w:hAnsi="宋体"/>
          <w:b/>
          <w:bCs/>
          <w:color w:val="auto"/>
          <w:sz w:val="22"/>
          <w:szCs w:val="22"/>
        </w:rPr>
      </w:pPr>
    </w:p>
    <w:p w14:paraId="3F11C16A">
      <w:pPr>
        <w:spacing w:line="440" w:lineRule="exact"/>
        <w:rPr>
          <w:color w:val="auto"/>
          <w:sz w:val="22"/>
        </w:rPr>
      </w:pPr>
      <w:r>
        <w:rPr>
          <w:rFonts w:hint="eastAsia"/>
          <w:color w:val="auto"/>
          <w:sz w:val="22"/>
        </w:rPr>
        <w:t>磋商供应商全称</w:t>
      </w:r>
      <w:r>
        <w:rPr>
          <w:rFonts w:hint="eastAsia" w:ascii="宋体" w:hAnsi="宋体" w:cs="宋体"/>
          <w:color w:val="auto"/>
          <w:sz w:val="22"/>
        </w:rPr>
        <w:t>（电子签名/公章）</w:t>
      </w:r>
      <w:r>
        <w:rPr>
          <w:rFonts w:hint="eastAsia"/>
          <w:color w:val="auto"/>
          <w:sz w:val="22"/>
        </w:rPr>
        <w:t>：</w:t>
      </w:r>
    </w:p>
    <w:p w14:paraId="629B0AC6">
      <w:pPr>
        <w:spacing w:line="440" w:lineRule="exact"/>
        <w:rPr>
          <w:color w:val="auto"/>
          <w:sz w:val="22"/>
        </w:rPr>
      </w:pPr>
      <w:r>
        <w:rPr>
          <w:rFonts w:hint="eastAsia"/>
          <w:color w:val="auto"/>
          <w:sz w:val="22"/>
        </w:rPr>
        <w:t>日 期：       年     月     日</w:t>
      </w:r>
    </w:p>
    <w:p w14:paraId="1984762B">
      <w:pPr>
        <w:spacing w:line="440" w:lineRule="exact"/>
        <w:rPr>
          <w:rFonts w:ascii="宋体" w:hAnsi="宋体"/>
          <w:color w:val="auto"/>
          <w:sz w:val="22"/>
          <w:szCs w:val="22"/>
        </w:rPr>
      </w:pPr>
    </w:p>
    <w:p w14:paraId="3C785E6D">
      <w:pPr>
        <w:pStyle w:val="3"/>
        <w:spacing w:line="480" w:lineRule="exact"/>
        <w:rPr>
          <w:rFonts w:ascii="黑体" w:hAnsi="黑体"/>
          <w:color w:val="auto"/>
          <w:sz w:val="24"/>
          <w:szCs w:val="24"/>
        </w:rPr>
      </w:pPr>
      <w:r>
        <w:rPr>
          <w:rFonts w:ascii="宋体" w:hAnsi="宋体"/>
          <w:color w:val="auto"/>
          <w:sz w:val="22"/>
          <w:szCs w:val="22"/>
        </w:rPr>
        <w:br w:type="page"/>
      </w:r>
      <w:bookmarkStart w:id="138" w:name="_Toc25845921"/>
      <w:bookmarkStart w:id="139" w:name="_Toc9684"/>
      <w:bookmarkStart w:id="140" w:name="_Toc29549"/>
      <w:bookmarkStart w:id="141" w:name="_Toc16751"/>
      <w:bookmarkStart w:id="142" w:name="_Toc16474"/>
      <w:bookmarkStart w:id="143" w:name="_Toc6639"/>
      <w:bookmarkStart w:id="144" w:name="_Toc3163"/>
      <w:r>
        <w:rPr>
          <w:rFonts w:hint="eastAsia" w:ascii="黑体" w:hAnsi="黑体"/>
          <w:color w:val="auto"/>
          <w:sz w:val="24"/>
          <w:szCs w:val="24"/>
        </w:rPr>
        <w:t>附件三  磋商分项报价表</w:t>
      </w:r>
      <w:bookmarkEnd w:id="138"/>
      <w:bookmarkEnd w:id="139"/>
      <w:bookmarkEnd w:id="140"/>
      <w:bookmarkEnd w:id="141"/>
      <w:bookmarkEnd w:id="142"/>
      <w:bookmarkEnd w:id="143"/>
      <w:bookmarkEnd w:id="144"/>
    </w:p>
    <w:p w14:paraId="1DEDD35D">
      <w:pPr>
        <w:jc w:val="center"/>
        <w:rPr>
          <w:rFonts w:hint="eastAsia" w:ascii="宋体" w:hAnsi="宋体"/>
          <w:b/>
          <w:color w:val="auto"/>
          <w:sz w:val="28"/>
          <w:szCs w:val="28"/>
        </w:rPr>
      </w:pPr>
      <w:r>
        <w:rPr>
          <w:rFonts w:hint="eastAsia" w:ascii="宋体" w:hAnsi="宋体"/>
          <w:b/>
          <w:color w:val="auto"/>
          <w:sz w:val="28"/>
          <w:szCs w:val="28"/>
        </w:rPr>
        <w:t xml:space="preserve">  磋商分项报价表</w:t>
      </w:r>
    </w:p>
    <w:p w14:paraId="5B4F0F75">
      <w:pPr>
        <w:spacing w:line="380" w:lineRule="exact"/>
        <w:rPr>
          <w:rFonts w:ascii="宋体" w:hAnsi="宋体"/>
          <w:bCs/>
          <w:color w:val="auto"/>
          <w:sz w:val="22"/>
          <w:szCs w:val="22"/>
        </w:rPr>
      </w:pPr>
    </w:p>
    <w:p w14:paraId="44CFB2D1">
      <w:pPr>
        <w:spacing w:line="380" w:lineRule="exact"/>
        <w:rPr>
          <w:rFonts w:ascii="宋体" w:hAnsi="宋体"/>
          <w:b/>
          <w:bCs/>
          <w:color w:val="auto"/>
          <w:sz w:val="22"/>
          <w:szCs w:val="22"/>
        </w:rPr>
      </w:pPr>
      <w:r>
        <w:rPr>
          <w:rFonts w:hint="eastAsia" w:ascii="宋体" w:hAnsi="宋体"/>
          <w:b/>
          <w:bCs/>
          <w:color w:val="auto"/>
          <w:sz w:val="22"/>
          <w:szCs w:val="22"/>
        </w:rPr>
        <w:t xml:space="preserve">项目名称： </w:t>
      </w:r>
      <w:r>
        <w:rPr>
          <w:rFonts w:hint="eastAsia" w:ascii="宋体" w:hAnsi="宋体"/>
          <w:color w:val="auto"/>
          <w:sz w:val="22"/>
          <w:szCs w:val="22"/>
        </w:rPr>
        <w:t xml:space="preserve">                                               </w:t>
      </w:r>
      <w:r>
        <w:rPr>
          <w:rFonts w:hint="eastAsia" w:ascii="宋体" w:hAnsi="宋体"/>
          <w:b/>
          <w:bCs/>
          <w:color w:val="auto"/>
          <w:sz w:val="22"/>
          <w:szCs w:val="22"/>
        </w:rPr>
        <w:t xml:space="preserve"> 项目编号：</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2287"/>
        <w:gridCol w:w="1096"/>
        <w:gridCol w:w="645"/>
        <w:gridCol w:w="794"/>
        <w:gridCol w:w="1029"/>
        <w:gridCol w:w="814"/>
        <w:gridCol w:w="884"/>
        <w:gridCol w:w="1673"/>
      </w:tblGrid>
      <w:tr w14:paraId="23441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20" w:type="pct"/>
            <w:noWrap w:val="0"/>
            <w:vAlign w:val="center"/>
          </w:tcPr>
          <w:p w14:paraId="0E84549B">
            <w:pPr>
              <w:spacing w:line="380" w:lineRule="exact"/>
              <w:jc w:val="center"/>
              <w:rPr>
                <w:rFonts w:ascii="宋体" w:hAnsi="宋体"/>
                <w:bCs/>
                <w:color w:val="auto"/>
                <w:sz w:val="22"/>
                <w:szCs w:val="22"/>
              </w:rPr>
            </w:pPr>
            <w:r>
              <w:rPr>
                <w:rFonts w:hint="eastAsia" w:ascii="宋体" w:hAnsi="宋体"/>
                <w:bCs/>
                <w:color w:val="auto"/>
                <w:sz w:val="22"/>
                <w:szCs w:val="22"/>
              </w:rPr>
              <w:t>序号</w:t>
            </w:r>
          </w:p>
        </w:tc>
        <w:tc>
          <w:tcPr>
            <w:tcW w:w="1160" w:type="pct"/>
            <w:noWrap w:val="0"/>
            <w:vAlign w:val="center"/>
          </w:tcPr>
          <w:p w14:paraId="29569E39">
            <w:pPr>
              <w:spacing w:line="380" w:lineRule="exact"/>
              <w:jc w:val="center"/>
              <w:rPr>
                <w:rFonts w:ascii="宋体" w:hAnsi="宋体"/>
                <w:bCs/>
                <w:color w:val="auto"/>
                <w:sz w:val="22"/>
                <w:szCs w:val="22"/>
              </w:rPr>
            </w:pPr>
            <w:r>
              <w:rPr>
                <w:rFonts w:hint="eastAsia" w:ascii="宋体" w:hAnsi="宋体"/>
                <w:bCs/>
                <w:color w:val="auto"/>
                <w:sz w:val="22"/>
                <w:szCs w:val="22"/>
              </w:rPr>
              <w:t>项目内容</w:t>
            </w:r>
          </w:p>
        </w:tc>
        <w:tc>
          <w:tcPr>
            <w:tcW w:w="556" w:type="pct"/>
            <w:noWrap w:val="0"/>
            <w:vAlign w:val="center"/>
          </w:tcPr>
          <w:p w14:paraId="31C144E7">
            <w:pPr>
              <w:spacing w:line="380" w:lineRule="exact"/>
              <w:jc w:val="center"/>
              <w:rPr>
                <w:rFonts w:ascii="宋体" w:hAnsi="宋体"/>
                <w:bCs/>
                <w:color w:val="auto"/>
                <w:sz w:val="22"/>
                <w:szCs w:val="22"/>
              </w:rPr>
            </w:pPr>
            <w:r>
              <w:rPr>
                <w:rFonts w:hint="eastAsia" w:ascii="宋体" w:hAnsi="宋体"/>
                <w:bCs/>
                <w:color w:val="auto"/>
                <w:sz w:val="22"/>
                <w:szCs w:val="22"/>
              </w:rPr>
              <w:t>型号和规格</w:t>
            </w:r>
          </w:p>
        </w:tc>
        <w:tc>
          <w:tcPr>
            <w:tcW w:w="327" w:type="pct"/>
            <w:noWrap w:val="0"/>
            <w:vAlign w:val="center"/>
          </w:tcPr>
          <w:p w14:paraId="0C0E0E8B">
            <w:pPr>
              <w:spacing w:line="380" w:lineRule="exact"/>
              <w:jc w:val="center"/>
              <w:rPr>
                <w:rFonts w:ascii="宋体" w:hAnsi="宋体"/>
                <w:bCs/>
                <w:color w:val="auto"/>
                <w:sz w:val="22"/>
                <w:szCs w:val="22"/>
              </w:rPr>
            </w:pPr>
            <w:r>
              <w:rPr>
                <w:rFonts w:hint="eastAsia" w:ascii="宋体" w:hAnsi="宋体"/>
                <w:bCs/>
                <w:color w:val="auto"/>
                <w:sz w:val="22"/>
                <w:szCs w:val="22"/>
              </w:rPr>
              <w:t>数量</w:t>
            </w:r>
          </w:p>
        </w:tc>
        <w:tc>
          <w:tcPr>
            <w:tcW w:w="402" w:type="pct"/>
            <w:noWrap w:val="0"/>
            <w:vAlign w:val="center"/>
          </w:tcPr>
          <w:p w14:paraId="65765386">
            <w:pPr>
              <w:spacing w:line="380" w:lineRule="exact"/>
              <w:jc w:val="center"/>
              <w:rPr>
                <w:rFonts w:ascii="宋体" w:hAnsi="宋体"/>
                <w:bCs/>
                <w:color w:val="auto"/>
                <w:sz w:val="22"/>
                <w:szCs w:val="22"/>
              </w:rPr>
            </w:pPr>
            <w:r>
              <w:rPr>
                <w:rFonts w:hint="eastAsia" w:ascii="宋体" w:hAnsi="宋体"/>
                <w:bCs/>
                <w:color w:val="auto"/>
                <w:sz w:val="22"/>
                <w:szCs w:val="22"/>
              </w:rPr>
              <w:t>产地</w:t>
            </w:r>
          </w:p>
        </w:tc>
        <w:tc>
          <w:tcPr>
            <w:tcW w:w="522" w:type="pct"/>
            <w:noWrap w:val="0"/>
            <w:vAlign w:val="center"/>
          </w:tcPr>
          <w:p w14:paraId="42FBD858">
            <w:pPr>
              <w:spacing w:line="380" w:lineRule="exact"/>
              <w:jc w:val="center"/>
              <w:rPr>
                <w:rFonts w:ascii="宋体" w:hAnsi="宋体"/>
                <w:bCs/>
                <w:color w:val="auto"/>
                <w:sz w:val="22"/>
                <w:szCs w:val="22"/>
              </w:rPr>
            </w:pPr>
            <w:r>
              <w:rPr>
                <w:rFonts w:hint="eastAsia" w:ascii="宋体" w:hAnsi="宋体"/>
                <w:bCs/>
                <w:color w:val="auto"/>
                <w:sz w:val="22"/>
                <w:szCs w:val="22"/>
              </w:rPr>
              <w:t>制造商名称</w:t>
            </w:r>
          </w:p>
        </w:tc>
        <w:tc>
          <w:tcPr>
            <w:tcW w:w="413" w:type="pct"/>
            <w:noWrap w:val="0"/>
            <w:vAlign w:val="center"/>
          </w:tcPr>
          <w:p w14:paraId="1E61502A">
            <w:pPr>
              <w:spacing w:line="380" w:lineRule="exact"/>
              <w:jc w:val="center"/>
              <w:rPr>
                <w:rFonts w:ascii="宋体" w:hAnsi="宋体"/>
                <w:bCs/>
                <w:color w:val="auto"/>
                <w:sz w:val="22"/>
                <w:szCs w:val="22"/>
              </w:rPr>
            </w:pPr>
            <w:r>
              <w:rPr>
                <w:rFonts w:hint="eastAsia" w:ascii="宋体" w:hAnsi="宋体"/>
                <w:bCs/>
                <w:color w:val="auto"/>
                <w:sz w:val="22"/>
                <w:szCs w:val="22"/>
              </w:rPr>
              <w:t>单价（元）</w:t>
            </w:r>
          </w:p>
        </w:tc>
        <w:tc>
          <w:tcPr>
            <w:tcW w:w="448" w:type="pct"/>
            <w:noWrap w:val="0"/>
            <w:vAlign w:val="center"/>
          </w:tcPr>
          <w:p w14:paraId="2057EB58">
            <w:pPr>
              <w:spacing w:line="380" w:lineRule="exact"/>
              <w:jc w:val="center"/>
              <w:rPr>
                <w:rFonts w:ascii="宋体" w:hAnsi="宋体"/>
                <w:bCs/>
                <w:color w:val="auto"/>
                <w:sz w:val="22"/>
                <w:szCs w:val="22"/>
              </w:rPr>
            </w:pPr>
            <w:r>
              <w:rPr>
                <w:rFonts w:hint="eastAsia" w:ascii="宋体" w:hAnsi="宋体"/>
                <w:bCs/>
                <w:color w:val="auto"/>
                <w:sz w:val="22"/>
                <w:szCs w:val="22"/>
              </w:rPr>
              <w:t>合价（元）</w:t>
            </w:r>
          </w:p>
        </w:tc>
        <w:tc>
          <w:tcPr>
            <w:tcW w:w="848" w:type="pct"/>
            <w:noWrap w:val="0"/>
            <w:vAlign w:val="center"/>
          </w:tcPr>
          <w:p w14:paraId="0BC86632">
            <w:pPr>
              <w:spacing w:line="380" w:lineRule="exact"/>
              <w:jc w:val="center"/>
              <w:rPr>
                <w:rFonts w:ascii="宋体" w:hAnsi="宋体"/>
                <w:bCs/>
                <w:color w:val="auto"/>
                <w:sz w:val="22"/>
                <w:szCs w:val="22"/>
              </w:rPr>
            </w:pPr>
            <w:r>
              <w:rPr>
                <w:rFonts w:hint="eastAsia" w:ascii="宋体" w:hAnsi="宋体"/>
                <w:bCs/>
                <w:color w:val="auto"/>
                <w:sz w:val="22"/>
                <w:szCs w:val="22"/>
              </w:rPr>
              <w:t>备注</w:t>
            </w:r>
          </w:p>
        </w:tc>
      </w:tr>
      <w:tr w14:paraId="79D17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20" w:type="pct"/>
            <w:noWrap w:val="0"/>
            <w:vAlign w:val="center"/>
          </w:tcPr>
          <w:p w14:paraId="19C6D254">
            <w:pPr>
              <w:spacing w:line="380" w:lineRule="exact"/>
              <w:jc w:val="center"/>
              <w:rPr>
                <w:rFonts w:ascii="宋体" w:hAnsi="宋体"/>
                <w:bCs/>
                <w:color w:val="auto"/>
                <w:sz w:val="22"/>
                <w:szCs w:val="22"/>
              </w:rPr>
            </w:pPr>
            <w:r>
              <w:rPr>
                <w:rFonts w:hint="eastAsia" w:ascii="宋体" w:hAnsi="宋体"/>
                <w:bCs/>
                <w:color w:val="auto"/>
                <w:sz w:val="22"/>
                <w:szCs w:val="22"/>
              </w:rPr>
              <w:t>1</w:t>
            </w:r>
          </w:p>
        </w:tc>
        <w:tc>
          <w:tcPr>
            <w:tcW w:w="1160" w:type="pct"/>
            <w:noWrap w:val="0"/>
            <w:vAlign w:val="top"/>
          </w:tcPr>
          <w:p w14:paraId="1B13658E">
            <w:pPr>
              <w:spacing w:line="400" w:lineRule="exact"/>
              <w:rPr>
                <w:rFonts w:ascii="宋体" w:hAnsi="宋体"/>
                <w:color w:val="auto"/>
                <w:sz w:val="22"/>
                <w:szCs w:val="22"/>
              </w:rPr>
            </w:pPr>
            <w:r>
              <w:rPr>
                <w:rFonts w:hint="eastAsia" w:ascii="宋体" w:hAnsi="宋体"/>
                <w:color w:val="auto"/>
                <w:sz w:val="22"/>
                <w:szCs w:val="22"/>
              </w:rPr>
              <w:t>主要货物（根据供货清单详细分项列出）(含税)</w:t>
            </w:r>
          </w:p>
        </w:tc>
        <w:tc>
          <w:tcPr>
            <w:tcW w:w="556" w:type="pct"/>
            <w:noWrap w:val="0"/>
            <w:vAlign w:val="center"/>
          </w:tcPr>
          <w:p w14:paraId="0CD38016">
            <w:pPr>
              <w:spacing w:line="380" w:lineRule="exact"/>
              <w:jc w:val="center"/>
              <w:rPr>
                <w:rFonts w:ascii="宋体" w:hAnsi="宋体"/>
                <w:bCs/>
                <w:color w:val="auto"/>
                <w:sz w:val="22"/>
                <w:szCs w:val="22"/>
              </w:rPr>
            </w:pPr>
          </w:p>
        </w:tc>
        <w:tc>
          <w:tcPr>
            <w:tcW w:w="327" w:type="pct"/>
            <w:noWrap w:val="0"/>
            <w:vAlign w:val="center"/>
          </w:tcPr>
          <w:p w14:paraId="636D03FC">
            <w:pPr>
              <w:spacing w:line="380" w:lineRule="exact"/>
              <w:jc w:val="center"/>
              <w:rPr>
                <w:rFonts w:ascii="宋体" w:hAnsi="宋体"/>
                <w:bCs/>
                <w:color w:val="auto"/>
                <w:sz w:val="22"/>
                <w:szCs w:val="22"/>
              </w:rPr>
            </w:pPr>
          </w:p>
        </w:tc>
        <w:tc>
          <w:tcPr>
            <w:tcW w:w="402" w:type="pct"/>
            <w:noWrap w:val="0"/>
            <w:vAlign w:val="center"/>
          </w:tcPr>
          <w:p w14:paraId="613AD493">
            <w:pPr>
              <w:spacing w:line="380" w:lineRule="exact"/>
              <w:jc w:val="center"/>
              <w:rPr>
                <w:rFonts w:ascii="宋体" w:hAnsi="宋体"/>
                <w:bCs/>
                <w:color w:val="auto"/>
                <w:sz w:val="22"/>
                <w:szCs w:val="22"/>
              </w:rPr>
            </w:pPr>
          </w:p>
        </w:tc>
        <w:tc>
          <w:tcPr>
            <w:tcW w:w="522" w:type="pct"/>
            <w:noWrap w:val="0"/>
            <w:vAlign w:val="center"/>
          </w:tcPr>
          <w:p w14:paraId="1018CA98">
            <w:pPr>
              <w:spacing w:line="380" w:lineRule="exact"/>
              <w:jc w:val="center"/>
              <w:rPr>
                <w:rFonts w:ascii="宋体" w:hAnsi="宋体"/>
                <w:bCs/>
                <w:color w:val="auto"/>
                <w:sz w:val="22"/>
                <w:szCs w:val="22"/>
              </w:rPr>
            </w:pPr>
          </w:p>
        </w:tc>
        <w:tc>
          <w:tcPr>
            <w:tcW w:w="413" w:type="pct"/>
            <w:noWrap w:val="0"/>
            <w:vAlign w:val="center"/>
          </w:tcPr>
          <w:p w14:paraId="2859EB69">
            <w:pPr>
              <w:spacing w:line="380" w:lineRule="exact"/>
              <w:jc w:val="center"/>
              <w:rPr>
                <w:rFonts w:ascii="宋体" w:hAnsi="宋体"/>
                <w:bCs/>
                <w:color w:val="auto"/>
                <w:sz w:val="22"/>
                <w:szCs w:val="22"/>
              </w:rPr>
            </w:pPr>
          </w:p>
        </w:tc>
        <w:tc>
          <w:tcPr>
            <w:tcW w:w="448" w:type="pct"/>
            <w:noWrap w:val="0"/>
            <w:vAlign w:val="center"/>
          </w:tcPr>
          <w:p w14:paraId="408D4518">
            <w:pPr>
              <w:spacing w:line="380" w:lineRule="exact"/>
              <w:jc w:val="center"/>
              <w:rPr>
                <w:rFonts w:ascii="宋体" w:hAnsi="宋体"/>
                <w:bCs/>
                <w:color w:val="auto"/>
                <w:sz w:val="22"/>
                <w:szCs w:val="22"/>
              </w:rPr>
            </w:pPr>
          </w:p>
        </w:tc>
        <w:tc>
          <w:tcPr>
            <w:tcW w:w="848" w:type="pct"/>
            <w:noWrap w:val="0"/>
            <w:vAlign w:val="center"/>
          </w:tcPr>
          <w:p w14:paraId="36479C8B">
            <w:pPr>
              <w:spacing w:line="380" w:lineRule="exact"/>
              <w:jc w:val="center"/>
              <w:rPr>
                <w:rFonts w:ascii="宋体" w:hAnsi="宋体"/>
                <w:bCs/>
                <w:color w:val="auto"/>
                <w:sz w:val="22"/>
                <w:szCs w:val="22"/>
              </w:rPr>
            </w:pPr>
          </w:p>
        </w:tc>
      </w:tr>
      <w:tr w14:paraId="65EE3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20" w:type="pct"/>
            <w:noWrap w:val="0"/>
            <w:vAlign w:val="center"/>
          </w:tcPr>
          <w:p w14:paraId="1766AD47">
            <w:pPr>
              <w:spacing w:line="380" w:lineRule="exact"/>
              <w:jc w:val="center"/>
              <w:rPr>
                <w:rFonts w:ascii="宋体" w:hAnsi="宋体"/>
                <w:bCs/>
                <w:color w:val="auto"/>
                <w:sz w:val="22"/>
                <w:szCs w:val="22"/>
              </w:rPr>
            </w:pPr>
            <w:r>
              <w:rPr>
                <w:rFonts w:hint="eastAsia" w:ascii="宋体" w:hAnsi="宋体"/>
                <w:bCs/>
                <w:color w:val="auto"/>
                <w:sz w:val="22"/>
                <w:szCs w:val="22"/>
              </w:rPr>
              <w:t>2</w:t>
            </w:r>
          </w:p>
        </w:tc>
        <w:tc>
          <w:tcPr>
            <w:tcW w:w="1160" w:type="pct"/>
            <w:noWrap w:val="0"/>
            <w:vAlign w:val="top"/>
          </w:tcPr>
          <w:p w14:paraId="756ABCE8">
            <w:pPr>
              <w:spacing w:line="400" w:lineRule="exact"/>
              <w:rPr>
                <w:rFonts w:ascii="宋体" w:hAnsi="宋体"/>
                <w:color w:val="auto"/>
                <w:sz w:val="22"/>
                <w:szCs w:val="22"/>
              </w:rPr>
            </w:pPr>
            <w:r>
              <w:rPr>
                <w:rFonts w:hint="eastAsia" w:ascii="宋体" w:hAnsi="宋体"/>
                <w:color w:val="auto"/>
                <w:sz w:val="22"/>
                <w:szCs w:val="22"/>
              </w:rPr>
              <w:t>配套设备及材料(含税) （逐项列出）</w:t>
            </w:r>
          </w:p>
        </w:tc>
        <w:tc>
          <w:tcPr>
            <w:tcW w:w="556" w:type="pct"/>
            <w:noWrap w:val="0"/>
            <w:vAlign w:val="center"/>
          </w:tcPr>
          <w:p w14:paraId="2F61900E">
            <w:pPr>
              <w:spacing w:line="380" w:lineRule="exact"/>
              <w:jc w:val="center"/>
              <w:rPr>
                <w:rFonts w:ascii="宋体" w:hAnsi="宋体"/>
                <w:bCs/>
                <w:color w:val="auto"/>
                <w:sz w:val="22"/>
                <w:szCs w:val="22"/>
              </w:rPr>
            </w:pPr>
          </w:p>
        </w:tc>
        <w:tc>
          <w:tcPr>
            <w:tcW w:w="327" w:type="pct"/>
            <w:noWrap w:val="0"/>
            <w:vAlign w:val="center"/>
          </w:tcPr>
          <w:p w14:paraId="73BB2EE8">
            <w:pPr>
              <w:spacing w:line="380" w:lineRule="exact"/>
              <w:jc w:val="center"/>
              <w:rPr>
                <w:rFonts w:ascii="宋体" w:hAnsi="宋体"/>
                <w:bCs/>
                <w:color w:val="auto"/>
                <w:sz w:val="22"/>
                <w:szCs w:val="22"/>
              </w:rPr>
            </w:pPr>
          </w:p>
        </w:tc>
        <w:tc>
          <w:tcPr>
            <w:tcW w:w="402" w:type="pct"/>
            <w:noWrap w:val="0"/>
            <w:vAlign w:val="center"/>
          </w:tcPr>
          <w:p w14:paraId="7780411A">
            <w:pPr>
              <w:spacing w:line="380" w:lineRule="exact"/>
              <w:jc w:val="center"/>
              <w:rPr>
                <w:rFonts w:ascii="宋体" w:hAnsi="宋体"/>
                <w:bCs/>
                <w:color w:val="auto"/>
                <w:sz w:val="22"/>
                <w:szCs w:val="22"/>
              </w:rPr>
            </w:pPr>
          </w:p>
        </w:tc>
        <w:tc>
          <w:tcPr>
            <w:tcW w:w="522" w:type="pct"/>
            <w:noWrap w:val="0"/>
            <w:vAlign w:val="center"/>
          </w:tcPr>
          <w:p w14:paraId="24D4EF96">
            <w:pPr>
              <w:spacing w:line="380" w:lineRule="exact"/>
              <w:jc w:val="center"/>
              <w:rPr>
                <w:rFonts w:ascii="宋体" w:hAnsi="宋体"/>
                <w:bCs/>
                <w:color w:val="auto"/>
                <w:sz w:val="22"/>
                <w:szCs w:val="22"/>
              </w:rPr>
            </w:pPr>
          </w:p>
        </w:tc>
        <w:tc>
          <w:tcPr>
            <w:tcW w:w="413" w:type="pct"/>
            <w:noWrap w:val="0"/>
            <w:vAlign w:val="center"/>
          </w:tcPr>
          <w:p w14:paraId="2290C678">
            <w:pPr>
              <w:spacing w:line="380" w:lineRule="exact"/>
              <w:jc w:val="center"/>
              <w:rPr>
                <w:rFonts w:ascii="宋体" w:hAnsi="宋体"/>
                <w:bCs/>
                <w:color w:val="auto"/>
                <w:sz w:val="22"/>
                <w:szCs w:val="22"/>
              </w:rPr>
            </w:pPr>
          </w:p>
        </w:tc>
        <w:tc>
          <w:tcPr>
            <w:tcW w:w="448" w:type="pct"/>
            <w:noWrap w:val="0"/>
            <w:vAlign w:val="center"/>
          </w:tcPr>
          <w:p w14:paraId="617656FB">
            <w:pPr>
              <w:spacing w:line="380" w:lineRule="exact"/>
              <w:jc w:val="center"/>
              <w:rPr>
                <w:rFonts w:ascii="宋体" w:hAnsi="宋体"/>
                <w:bCs/>
                <w:color w:val="auto"/>
                <w:sz w:val="22"/>
                <w:szCs w:val="22"/>
              </w:rPr>
            </w:pPr>
          </w:p>
        </w:tc>
        <w:tc>
          <w:tcPr>
            <w:tcW w:w="848" w:type="pct"/>
            <w:noWrap w:val="0"/>
            <w:vAlign w:val="center"/>
          </w:tcPr>
          <w:p w14:paraId="5D629E51">
            <w:pPr>
              <w:spacing w:line="380" w:lineRule="exact"/>
              <w:jc w:val="center"/>
              <w:rPr>
                <w:rFonts w:ascii="宋体" w:hAnsi="宋体"/>
                <w:bCs/>
                <w:color w:val="auto"/>
                <w:sz w:val="22"/>
                <w:szCs w:val="22"/>
              </w:rPr>
            </w:pPr>
          </w:p>
        </w:tc>
      </w:tr>
      <w:tr w14:paraId="425D7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20" w:type="pct"/>
            <w:noWrap w:val="0"/>
            <w:vAlign w:val="center"/>
          </w:tcPr>
          <w:p w14:paraId="6346A8F1">
            <w:pPr>
              <w:spacing w:line="380" w:lineRule="exact"/>
              <w:jc w:val="center"/>
              <w:rPr>
                <w:rFonts w:ascii="宋体" w:hAnsi="宋体"/>
                <w:bCs/>
                <w:color w:val="auto"/>
                <w:sz w:val="22"/>
                <w:szCs w:val="22"/>
              </w:rPr>
            </w:pPr>
            <w:r>
              <w:rPr>
                <w:rFonts w:hint="eastAsia" w:ascii="宋体" w:hAnsi="宋体"/>
                <w:bCs/>
                <w:color w:val="auto"/>
                <w:sz w:val="22"/>
                <w:szCs w:val="22"/>
              </w:rPr>
              <w:t>3</w:t>
            </w:r>
          </w:p>
        </w:tc>
        <w:tc>
          <w:tcPr>
            <w:tcW w:w="1160" w:type="pct"/>
            <w:noWrap w:val="0"/>
            <w:vAlign w:val="top"/>
          </w:tcPr>
          <w:p w14:paraId="3A02D14C">
            <w:pPr>
              <w:spacing w:line="400" w:lineRule="exact"/>
              <w:rPr>
                <w:rFonts w:ascii="宋体" w:hAnsi="宋体"/>
                <w:color w:val="auto"/>
                <w:sz w:val="22"/>
                <w:szCs w:val="22"/>
              </w:rPr>
            </w:pPr>
            <w:r>
              <w:rPr>
                <w:rFonts w:hint="eastAsia" w:ascii="宋体" w:hAnsi="宋体"/>
                <w:color w:val="auto"/>
                <w:sz w:val="22"/>
                <w:szCs w:val="22"/>
              </w:rPr>
              <w:t>随机易损、易耗备品备件、专用工具（如有）</w:t>
            </w:r>
          </w:p>
        </w:tc>
        <w:tc>
          <w:tcPr>
            <w:tcW w:w="556" w:type="pct"/>
            <w:noWrap w:val="0"/>
            <w:vAlign w:val="center"/>
          </w:tcPr>
          <w:p w14:paraId="2B345D6F">
            <w:pPr>
              <w:spacing w:line="380" w:lineRule="exact"/>
              <w:jc w:val="center"/>
              <w:rPr>
                <w:rFonts w:ascii="宋体" w:hAnsi="宋体"/>
                <w:bCs/>
                <w:color w:val="auto"/>
                <w:sz w:val="22"/>
                <w:szCs w:val="22"/>
              </w:rPr>
            </w:pPr>
          </w:p>
        </w:tc>
        <w:tc>
          <w:tcPr>
            <w:tcW w:w="327" w:type="pct"/>
            <w:noWrap w:val="0"/>
            <w:vAlign w:val="center"/>
          </w:tcPr>
          <w:p w14:paraId="223F4DDF">
            <w:pPr>
              <w:spacing w:line="380" w:lineRule="exact"/>
              <w:jc w:val="center"/>
              <w:rPr>
                <w:rFonts w:ascii="宋体" w:hAnsi="宋体"/>
                <w:bCs/>
                <w:color w:val="auto"/>
                <w:sz w:val="22"/>
                <w:szCs w:val="22"/>
              </w:rPr>
            </w:pPr>
          </w:p>
        </w:tc>
        <w:tc>
          <w:tcPr>
            <w:tcW w:w="402" w:type="pct"/>
            <w:noWrap w:val="0"/>
            <w:vAlign w:val="center"/>
          </w:tcPr>
          <w:p w14:paraId="59BE7A8D">
            <w:pPr>
              <w:spacing w:line="380" w:lineRule="exact"/>
              <w:jc w:val="center"/>
              <w:rPr>
                <w:rFonts w:ascii="宋体" w:hAnsi="宋体"/>
                <w:bCs/>
                <w:color w:val="auto"/>
                <w:sz w:val="22"/>
                <w:szCs w:val="22"/>
              </w:rPr>
            </w:pPr>
          </w:p>
        </w:tc>
        <w:tc>
          <w:tcPr>
            <w:tcW w:w="522" w:type="pct"/>
            <w:noWrap w:val="0"/>
            <w:vAlign w:val="center"/>
          </w:tcPr>
          <w:p w14:paraId="3B164159">
            <w:pPr>
              <w:spacing w:line="380" w:lineRule="exact"/>
              <w:jc w:val="center"/>
              <w:rPr>
                <w:rFonts w:ascii="宋体" w:hAnsi="宋体"/>
                <w:bCs/>
                <w:color w:val="auto"/>
                <w:sz w:val="22"/>
                <w:szCs w:val="22"/>
              </w:rPr>
            </w:pPr>
          </w:p>
        </w:tc>
        <w:tc>
          <w:tcPr>
            <w:tcW w:w="413" w:type="pct"/>
            <w:noWrap w:val="0"/>
            <w:vAlign w:val="center"/>
          </w:tcPr>
          <w:p w14:paraId="7D0339E8">
            <w:pPr>
              <w:spacing w:line="380" w:lineRule="exact"/>
              <w:jc w:val="center"/>
              <w:rPr>
                <w:rFonts w:ascii="宋体" w:hAnsi="宋体"/>
                <w:bCs/>
                <w:color w:val="auto"/>
                <w:sz w:val="22"/>
                <w:szCs w:val="22"/>
              </w:rPr>
            </w:pPr>
          </w:p>
        </w:tc>
        <w:tc>
          <w:tcPr>
            <w:tcW w:w="448" w:type="pct"/>
            <w:noWrap w:val="0"/>
            <w:vAlign w:val="center"/>
          </w:tcPr>
          <w:p w14:paraId="6103A16E">
            <w:pPr>
              <w:spacing w:line="380" w:lineRule="exact"/>
              <w:jc w:val="center"/>
              <w:rPr>
                <w:rFonts w:ascii="宋体" w:hAnsi="宋体"/>
                <w:bCs/>
                <w:color w:val="auto"/>
                <w:sz w:val="22"/>
                <w:szCs w:val="22"/>
              </w:rPr>
            </w:pPr>
          </w:p>
        </w:tc>
        <w:tc>
          <w:tcPr>
            <w:tcW w:w="848" w:type="pct"/>
            <w:noWrap w:val="0"/>
            <w:vAlign w:val="center"/>
          </w:tcPr>
          <w:p w14:paraId="305A20C8">
            <w:pPr>
              <w:spacing w:line="380" w:lineRule="exact"/>
              <w:jc w:val="center"/>
              <w:rPr>
                <w:rFonts w:ascii="宋体" w:hAnsi="宋体"/>
                <w:bCs/>
                <w:color w:val="auto"/>
                <w:sz w:val="22"/>
                <w:szCs w:val="22"/>
              </w:rPr>
            </w:pPr>
          </w:p>
        </w:tc>
      </w:tr>
      <w:tr w14:paraId="3CD37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20" w:type="pct"/>
            <w:noWrap w:val="0"/>
            <w:vAlign w:val="center"/>
          </w:tcPr>
          <w:p w14:paraId="3938EE14">
            <w:pPr>
              <w:spacing w:line="380" w:lineRule="exact"/>
              <w:jc w:val="center"/>
              <w:rPr>
                <w:rFonts w:ascii="宋体" w:hAnsi="宋体"/>
                <w:bCs/>
                <w:color w:val="auto"/>
                <w:sz w:val="22"/>
                <w:szCs w:val="22"/>
              </w:rPr>
            </w:pPr>
            <w:r>
              <w:rPr>
                <w:rFonts w:hint="eastAsia" w:ascii="宋体" w:hAnsi="宋体"/>
                <w:bCs/>
                <w:color w:val="auto"/>
                <w:sz w:val="22"/>
                <w:szCs w:val="22"/>
              </w:rPr>
              <w:t>4</w:t>
            </w:r>
          </w:p>
        </w:tc>
        <w:tc>
          <w:tcPr>
            <w:tcW w:w="1160" w:type="pct"/>
            <w:noWrap w:val="0"/>
            <w:vAlign w:val="top"/>
          </w:tcPr>
          <w:p w14:paraId="49BA0D5C">
            <w:pPr>
              <w:spacing w:line="400" w:lineRule="exact"/>
              <w:rPr>
                <w:rFonts w:ascii="宋体" w:hAnsi="宋体"/>
                <w:color w:val="auto"/>
                <w:sz w:val="22"/>
                <w:szCs w:val="22"/>
              </w:rPr>
            </w:pPr>
            <w:r>
              <w:rPr>
                <w:rFonts w:hint="eastAsia" w:ascii="宋体" w:hAnsi="宋体"/>
                <w:color w:val="auto"/>
                <w:sz w:val="22"/>
                <w:szCs w:val="22"/>
              </w:rPr>
              <w:t>安装、调试、验收费（含第三方验收费）</w:t>
            </w:r>
          </w:p>
        </w:tc>
        <w:tc>
          <w:tcPr>
            <w:tcW w:w="2669" w:type="pct"/>
            <w:gridSpan w:val="6"/>
            <w:noWrap w:val="0"/>
            <w:vAlign w:val="center"/>
          </w:tcPr>
          <w:p w14:paraId="59E7FD47">
            <w:pPr>
              <w:spacing w:line="400" w:lineRule="exact"/>
              <w:jc w:val="center"/>
              <w:rPr>
                <w:rFonts w:ascii="宋体" w:hAnsi="宋体"/>
                <w:color w:val="auto"/>
                <w:sz w:val="22"/>
                <w:szCs w:val="22"/>
              </w:rPr>
            </w:pPr>
          </w:p>
        </w:tc>
        <w:tc>
          <w:tcPr>
            <w:tcW w:w="848" w:type="pct"/>
            <w:noWrap w:val="0"/>
            <w:vAlign w:val="center"/>
          </w:tcPr>
          <w:p w14:paraId="25749EF1">
            <w:pPr>
              <w:spacing w:line="380" w:lineRule="exact"/>
              <w:jc w:val="center"/>
              <w:rPr>
                <w:rFonts w:ascii="宋体" w:hAnsi="宋体"/>
                <w:bCs/>
                <w:color w:val="auto"/>
                <w:sz w:val="22"/>
                <w:szCs w:val="22"/>
                <w:highlight w:val="yellow"/>
              </w:rPr>
            </w:pPr>
          </w:p>
        </w:tc>
      </w:tr>
      <w:tr w14:paraId="2B55E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20" w:type="pct"/>
            <w:noWrap w:val="0"/>
            <w:vAlign w:val="center"/>
          </w:tcPr>
          <w:p w14:paraId="482F1685">
            <w:pPr>
              <w:spacing w:line="380" w:lineRule="exact"/>
              <w:jc w:val="center"/>
              <w:rPr>
                <w:rFonts w:ascii="宋体" w:hAnsi="宋体"/>
                <w:bCs/>
                <w:color w:val="auto"/>
                <w:sz w:val="22"/>
                <w:szCs w:val="22"/>
              </w:rPr>
            </w:pPr>
            <w:r>
              <w:rPr>
                <w:rFonts w:hint="eastAsia" w:ascii="宋体" w:hAnsi="宋体"/>
                <w:bCs/>
                <w:color w:val="auto"/>
                <w:sz w:val="22"/>
                <w:szCs w:val="22"/>
              </w:rPr>
              <w:t>5</w:t>
            </w:r>
          </w:p>
        </w:tc>
        <w:tc>
          <w:tcPr>
            <w:tcW w:w="1160" w:type="pct"/>
            <w:noWrap w:val="0"/>
            <w:vAlign w:val="top"/>
          </w:tcPr>
          <w:p w14:paraId="29AB7F11">
            <w:pPr>
              <w:spacing w:line="400" w:lineRule="exact"/>
              <w:rPr>
                <w:rFonts w:ascii="宋体" w:hAnsi="宋体"/>
                <w:color w:val="auto"/>
                <w:sz w:val="22"/>
                <w:szCs w:val="22"/>
              </w:rPr>
            </w:pPr>
            <w:r>
              <w:rPr>
                <w:rFonts w:hint="eastAsia" w:ascii="宋体" w:hAnsi="宋体"/>
                <w:color w:val="auto"/>
                <w:sz w:val="22"/>
                <w:szCs w:val="22"/>
              </w:rPr>
              <w:t>人员培训费、技术服务费（如有）</w:t>
            </w:r>
          </w:p>
        </w:tc>
        <w:tc>
          <w:tcPr>
            <w:tcW w:w="2669" w:type="pct"/>
            <w:gridSpan w:val="6"/>
            <w:noWrap w:val="0"/>
            <w:vAlign w:val="center"/>
          </w:tcPr>
          <w:p w14:paraId="5263ED56">
            <w:pPr>
              <w:spacing w:line="400" w:lineRule="exact"/>
              <w:jc w:val="center"/>
              <w:rPr>
                <w:rFonts w:ascii="宋体" w:hAnsi="宋体"/>
                <w:color w:val="auto"/>
                <w:sz w:val="22"/>
                <w:szCs w:val="22"/>
              </w:rPr>
            </w:pPr>
          </w:p>
        </w:tc>
        <w:tc>
          <w:tcPr>
            <w:tcW w:w="848" w:type="pct"/>
            <w:noWrap w:val="0"/>
            <w:vAlign w:val="center"/>
          </w:tcPr>
          <w:p w14:paraId="2008BD0F">
            <w:pPr>
              <w:spacing w:line="380" w:lineRule="exact"/>
              <w:jc w:val="center"/>
              <w:rPr>
                <w:rFonts w:ascii="宋体" w:hAnsi="宋体"/>
                <w:bCs/>
                <w:color w:val="auto"/>
                <w:sz w:val="22"/>
                <w:szCs w:val="22"/>
                <w:highlight w:val="yellow"/>
              </w:rPr>
            </w:pPr>
          </w:p>
        </w:tc>
      </w:tr>
      <w:tr w14:paraId="6FC5C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20" w:type="pct"/>
            <w:noWrap w:val="0"/>
            <w:vAlign w:val="center"/>
          </w:tcPr>
          <w:p w14:paraId="503B0C21">
            <w:pPr>
              <w:spacing w:line="380" w:lineRule="exact"/>
              <w:jc w:val="center"/>
              <w:rPr>
                <w:rFonts w:ascii="宋体" w:hAnsi="宋体"/>
                <w:bCs/>
                <w:color w:val="auto"/>
                <w:sz w:val="22"/>
                <w:szCs w:val="22"/>
              </w:rPr>
            </w:pPr>
            <w:r>
              <w:rPr>
                <w:rFonts w:hint="eastAsia" w:ascii="宋体" w:hAnsi="宋体"/>
                <w:bCs/>
                <w:color w:val="auto"/>
                <w:sz w:val="22"/>
                <w:szCs w:val="22"/>
              </w:rPr>
              <w:t>6</w:t>
            </w:r>
          </w:p>
        </w:tc>
        <w:tc>
          <w:tcPr>
            <w:tcW w:w="1160" w:type="pct"/>
            <w:noWrap w:val="0"/>
            <w:vAlign w:val="top"/>
          </w:tcPr>
          <w:p w14:paraId="0904902D">
            <w:pPr>
              <w:spacing w:line="400" w:lineRule="exact"/>
              <w:rPr>
                <w:rFonts w:ascii="宋体" w:hAnsi="宋体"/>
                <w:color w:val="auto"/>
                <w:sz w:val="22"/>
                <w:szCs w:val="22"/>
              </w:rPr>
            </w:pPr>
            <w:r>
              <w:rPr>
                <w:rFonts w:hint="eastAsia" w:ascii="宋体" w:hAnsi="宋体"/>
                <w:color w:val="auto"/>
                <w:sz w:val="22"/>
                <w:szCs w:val="22"/>
              </w:rPr>
              <w:t>至最终目的地的运费、保险费</w:t>
            </w:r>
          </w:p>
        </w:tc>
        <w:tc>
          <w:tcPr>
            <w:tcW w:w="2669" w:type="pct"/>
            <w:gridSpan w:val="6"/>
            <w:noWrap w:val="0"/>
            <w:vAlign w:val="center"/>
          </w:tcPr>
          <w:p w14:paraId="7EC23323">
            <w:pPr>
              <w:spacing w:line="380" w:lineRule="exact"/>
              <w:jc w:val="center"/>
              <w:rPr>
                <w:rFonts w:ascii="宋体" w:hAnsi="宋体"/>
                <w:bCs/>
                <w:color w:val="auto"/>
                <w:sz w:val="22"/>
                <w:szCs w:val="22"/>
                <w:highlight w:val="yellow"/>
              </w:rPr>
            </w:pPr>
          </w:p>
        </w:tc>
        <w:tc>
          <w:tcPr>
            <w:tcW w:w="848" w:type="pct"/>
            <w:noWrap w:val="0"/>
            <w:vAlign w:val="center"/>
          </w:tcPr>
          <w:p w14:paraId="487692D2">
            <w:pPr>
              <w:spacing w:line="380" w:lineRule="exact"/>
              <w:jc w:val="center"/>
              <w:rPr>
                <w:rFonts w:ascii="宋体" w:hAnsi="宋体"/>
                <w:bCs/>
                <w:color w:val="auto"/>
                <w:sz w:val="22"/>
                <w:szCs w:val="22"/>
                <w:highlight w:val="yellow"/>
              </w:rPr>
            </w:pPr>
          </w:p>
        </w:tc>
      </w:tr>
      <w:tr w14:paraId="35952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20" w:type="pct"/>
            <w:noWrap w:val="0"/>
            <w:vAlign w:val="center"/>
          </w:tcPr>
          <w:p w14:paraId="1CEBB824">
            <w:pPr>
              <w:spacing w:line="380" w:lineRule="exact"/>
              <w:jc w:val="center"/>
              <w:rPr>
                <w:rFonts w:ascii="宋体" w:hAnsi="宋体"/>
                <w:bCs/>
                <w:color w:val="auto"/>
                <w:sz w:val="22"/>
                <w:szCs w:val="22"/>
              </w:rPr>
            </w:pPr>
            <w:r>
              <w:rPr>
                <w:rFonts w:ascii="宋体" w:hAnsi="宋体"/>
                <w:bCs/>
                <w:color w:val="auto"/>
                <w:sz w:val="22"/>
                <w:szCs w:val="22"/>
              </w:rPr>
              <w:t>7</w:t>
            </w:r>
          </w:p>
        </w:tc>
        <w:tc>
          <w:tcPr>
            <w:tcW w:w="1160" w:type="pct"/>
            <w:noWrap w:val="0"/>
            <w:vAlign w:val="center"/>
          </w:tcPr>
          <w:p w14:paraId="093DF8B4">
            <w:pPr>
              <w:spacing w:line="400" w:lineRule="exact"/>
              <w:rPr>
                <w:rFonts w:ascii="宋体" w:hAnsi="宋体"/>
                <w:color w:val="auto"/>
                <w:sz w:val="22"/>
                <w:szCs w:val="22"/>
              </w:rPr>
            </w:pPr>
            <w:r>
              <w:rPr>
                <w:rFonts w:hint="eastAsia" w:ascii="宋体" w:hAnsi="宋体"/>
                <w:color w:val="auto"/>
                <w:sz w:val="22"/>
                <w:szCs w:val="22"/>
              </w:rPr>
              <w:t>售后服务</w:t>
            </w:r>
          </w:p>
        </w:tc>
        <w:tc>
          <w:tcPr>
            <w:tcW w:w="2669" w:type="pct"/>
            <w:gridSpan w:val="6"/>
            <w:noWrap w:val="0"/>
            <w:vAlign w:val="center"/>
          </w:tcPr>
          <w:p w14:paraId="3F5DC06D">
            <w:pPr>
              <w:spacing w:line="380" w:lineRule="exact"/>
              <w:jc w:val="center"/>
              <w:rPr>
                <w:rFonts w:ascii="宋体" w:hAnsi="宋体"/>
                <w:bCs/>
                <w:color w:val="auto"/>
                <w:sz w:val="22"/>
                <w:szCs w:val="22"/>
              </w:rPr>
            </w:pPr>
          </w:p>
        </w:tc>
        <w:tc>
          <w:tcPr>
            <w:tcW w:w="848" w:type="pct"/>
            <w:noWrap w:val="0"/>
            <w:vAlign w:val="center"/>
          </w:tcPr>
          <w:p w14:paraId="19D22984">
            <w:pPr>
              <w:spacing w:line="380" w:lineRule="exact"/>
              <w:jc w:val="center"/>
              <w:rPr>
                <w:rFonts w:ascii="宋体" w:hAnsi="宋体"/>
                <w:bCs/>
                <w:color w:val="auto"/>
                <w:sz w:val="22"/>
                <w:szCs w:val="22"/>
              </w:rPr>
            </w:pPr>
          </w:p>
        </w:tc>
      </w:tr>
      <w:tr w14:paraId="0DA59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20" w:type="pct"/>
            <w:noWrap w:val="0"/>
            <w:vAlign w:val="center"/>
          </w:tcPr>
          <w:p w14:paraId="1FFF0F58">
            <w:pPr>
              <w:spacing w:line="380" w:lineRule="exact"/>
              <w:jc w:val="center"/>
              <w:rPr>
                <w:rFonts w:hint="eastAsia" w:ascii="宋体" w:hAnsi="宋体" w:eastAsia="宋体"/>
                <w:bCs/>
                <w:color w:val="auto"/>
                <w:sz w:val="22"/>
                <w:szCs w:val="22"/>
                <w:lang w:val="en-US" w:eastAsia="zh-CN"/>
              </w:rPr>
            </w:pPr>
            <w:r>
              <w:rPr>
                <w:rFonts w:hint="eastAsia" w:ascii="宋体" w:hAnsi="宋体"/>
                <w:bCs/>
                <w:color w:val="auto"/>
                <w:sz w:val="22"/>
                <w:szCs w:val="22"/>
                <w:lang w:val="en-US" w:eastAsia="zh-CN"/>
              </w:rPr>
              <w:t>8</w:t>
            </w:r>
          </w:p>
        </w:tc>
        <w:tc>
          <w:tcPr>
            <w:tcW w:w="1160" w:type="pct"/>
            <w:noWrap w:val="0"/>
            <w:vAlign w:val="center"/>
          </w:tcPr>
          <w:p w14:paraId="71961F27">
            <w:pPr>
              <w:spacing w:line="400" w:lineRule="exact"/>
              <w:jc w:val="both"/>
              <w:rPr>
                <w:rFonts w:hint="eastAsia" w:ascii="宋体" w:hAnsi="宋体"/>
                <w:color w:val="auto"/>
                <w:sz w:val="22"/>
                <w:szCs w:val="22"/>
                <w:highlight w:val="none"/>
              </w:rPr>
            </w:pPr>
            <w:r>
              <w:rPr>
                <w:rFonts w:hint="eastAsia" w:ascii="宋体" w:hAnsi="宋体" w:cs="宋体"/>
                <w:b/>
                <w:bCs/>
                <w:color w:val="auto"/>
                <w:sz w:val="22"/>
                <w:szCs w:val="22"/>
                <w:highlight w:val="none"/>
                <w:u w:val="single"/>
                <w:lang w:val="en-US" w:eastAsia="zh-CN"/>
              </w:rPr>
              <w:t>厨房附属改造工程</w:t>
            </w:r>
          </w:p>
        </w:tc>
        <w:tc>
          <w:tcPr>
            <w:tcW w:w="2669" w:type="pct"/>
            <w:gridSpan w:val="6"/>
            <w:noWrap w:val="0"/>
            <w:vAlign w:val="center"/>
          </w:tcPr>
          <w:p w14:paraId="18E86F9A">
            <w:pPr>
              <w:spacing w:line="380" w:lineRule="exact"/>
              <w:jc w:val="center"/>
              <w:rPr>
                <w:rFonts w:hint="eastAsia" w:ascii="宋体" w:hAnsi="宋体"/>
                <w:bCs/>
                <w:color w:val="auto"/>
                <w:sz w:val="22"/>
                <w:szCs w:val="22"/>
                <w:highlight w:val="none"/>
              </w:rPr>
            </w:pPr>
          </w:p>
        </w:tc>
        <w:tc>
          <w:tcPr>
            <w:tcW w:w="848" w:type="pct"/>
            <w:noWrap w:val="0"/>
            <w:vAlign w:val="center"/>
          </w:tcPr>
          <w:p w14:paraId="4C611C30">
            <w:pPr>
              <w:spacing w:line="380" w:lineRule="exact"/>
              <w:jc w:val="center"/>
              <w:rPr>
                <w:rFonts w:hint="default" w:ascii="宋体" w:hAnsi="宋体" w:eastAsia="宋体"/>
                <w:bCs/>
                <w:color w:val="auto"/>
                <w:sz w:val="22"/>
                <w:szCs w:val="22"/>
                <w:lang w:val="en-US" w:eastAsia="zh-CN"/>
              </w:rPr>
            </w:pPr>
            <w:r>
              <w:rPr>
                <w:rFonts w:hint="eastAsia" w:ascii="宋体" w:hAnsi="宋体"/>
                <w:bCs/>
                <w:color w:val="auto"/>
                <w:sz w:val="22"/>
                <w:szCs w:val="22"/>
                <w:lang w:val="en-US" w:eastAsia="zh-CN"/>
              </w:rPr>
              <w:t>需另行提供工程量清单报价</w:t>
            </w:r>
          </w:p>
        </w:tc>
      </w:tr>
      <w:tr w14:paraId="704FB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20" w:type="pct"/>
            <w:noWrap w:val="0"/>
            <w:vAlign w:val="center"/>
          </w:tcPr>
          <w:p w14:paraId="358989EC">
            <w:pPr>
              <w:spacing w:line="380" w:lineRule="exact"/>
              <w:jc w:val="center"/>
              <w:rPr>
                <w:rFonts w:hint="eastAsia" w:ascii="宋体" w:hAnsi="宋体" w:eastAsia="宋体"/>
                <w:bCs/>
                <w:color w:val="auto"/>
                <w:sz w:val="22"/>
                <w:szCs w:val="22"/>
                <w:lang w:eastAsia="zh-CN"/>
              </w:rPr>
            </w:pPr>
            <w:r>
              <w:rPr>
                <w:rFonts w:hint="eastAsia" w:ascii="宋体" w:hAnsi="宋体"/>
                <w:bCs/>
                <w:color w:val="auto"/>
                <w:sz w:val="22"/>
                <w:szCs w:val="22"/>
                <w:lang w:val="en-US" w:eastAsia="zh-CN"/>
              </w:rPr>
              <w:t>9</w:t>
            </w:r>
          </w:p>
        </w:tc>
        <w:tc>
          <w:tcPr>
            <w:tcW w:w="1160" w:type="pct"/>
            <w:noWrap w:val="0"/>
            <w:vAlign w:val="top"/>
          </w:tcPr>
          <w:p w14:paraId="5C05D1E5">
            <w:pPr>
              <w:spacing w:line="400" w:lineRule="exact"/>
              <w:rPr>
                <w:rFonts w:ascii="宋体" w:hAnsi="宋体"/>
                <w:color w:val="auto"/>
                <w:sz w:val="22"/>
                <w:szCs w:val="22"/>
              </w:rPr>
            </w:pPr>
            <w:r>
              <w:rPr>
                <w:rFonts w:hint="eastAsia" w:ascii="宋体" w:hAnsi="宋体"/>
                <w:color w:val="auto"/>
                <w:sz w:val="22"/>
                <w:szCs w:val="22"/>
              </w:rPr>
              <w:t>采购代理服务费</w:t>
            </w:r>
          </w:p>
        </w:tc>
        <w:tc>
          <w:tcPr>
            <w:tcW w:w="2669" w:type="pct"/>
            <w:gridSpan w:val="6"/>
            <w:noWrap w:val="0"/>
            <w:vAlign w:val="center"/>
          </w:tcPr>
          <w:p w14:paraId="6118C5A8">
            <w:pPr>
              <w:spacing w:line="380" w:lineRule="exact"/>
              <w:jc w:val="center"/>
              <w:rPr>
                <w:rFonts w:ascii="宋体" w:hAnsi="宋体"/>
                <w:bCs/>
                <w:color w:val="auto"/>
                <w:sz w:val="22"/>
                <w:szCs w:val="22"/>
              </w:rPr>
            </w:pPr>
            <w:r>
              <w:rPr>
                <w:rFonts w:hint="eastAsia" w:ascii="宋体" w:hAnsi="宋体"/>
                <w:bCs/>
                <w:color w:val="auto"/>
                <w:sz w:val="22"/>
                <w:szCs w:val="22"/>
              </w:rPr>
              <w:t>含</w:t>
            </w:r>
          </w:p>
        </w:tc>
        <w:tc>
          <w:tcPr>
            <w:tcW w:w="848" w:type="pct"/>
            <w:noWrap w:val="0"/>
            <w:vAlign w:val="center"/>
          </w:tcPr>
          <w:p w14:paraId="2B3E7367">
            <w:pPr>
              <w:spacing w:line="380" w:lineRule="exact"/>
              <w:jc w:val="center"/>
              <w:rPr>
                <w:rFonts w:ascii="宋体" w:hAnsi="宋体"/>
                <w:bCs/>
                <w:color w:val="auto"/>
                <w:sz w:val="22"/>
                <w:szCs w:val="22"/>
              </w:rPr>
            </w:pPr>
          </w:p>
        </w:tc>
      </w:tr>
      <w:tr w14:paraId="0339A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20" w:type="pct"/>
            <w:noWrap w:val="0"/>
            <w:vAlign w:val="center"/>
          </w:tcPr>
          <w:p w14:paraId="30C82FCA">
            <w:pPr>
              <w:spacing w:line="380" w:lineRule="exact"/>
              <w:jc w:val="center"/>
              <w:rPr>
                <w:rFonts w:hint="default" w:ascii="宋体" w:hAnsi="宋体" w:eastAsia="宋体"/>
                <w:bCs/>
                <w:color w:val="auto"/>
                <w:sz w:val="22"/>
                <w:szCs w:val="22"/>
                <w:lang w:val="en-US" w:eastAsia="zh-CN"/>
              </w:rPr>
            </w:pPr>
            <w:r>
              <w:rPr>
                <w:rFonts w:hint="eastAsia" w:ascii="宋体" w:hAnsi="宋体"/>
                <w:bCs/>
                <w:color w:val="auto"/>
                <w:sz w:val="22"/>
                <w:szCs w:val="22"/>
                <w:lang w:val="en-US" w:eastAsia="zh-CN"/>
              </w:rPr>
              <w:t>10</w:t>
            </w:r>
          </w:p>
        </w:tc>
        <w:tc>
          <w:tcPr>
            <w:tcW w:w="1160" w:type="pct"/>
            <w:noWrap w:val="0"/>
            <w:vAlign w:val="top"/>
          </w:tcPr>
          <w:p w14:paraId="679AAF84">
            <w:pPr>
              <w:spacing w:line="400" w:lineRule="exact"/>
              <w:rPr>
                <w:rFonts w:ascii="宋体" w:hAnsi="宋体"/>
                <w:color w:val="auto"/>
                <w:sz w:val="22"/>
                <w:szCs w:val="22"/>
              </w:rPr>
            </w:pPr>
            <w:r>
              <w:rPr>
                <w:rFonts w:hint="eastAsia" w:ascii="宋体" w:hAnsi="宋体"/>
                <w:color w:val="auto"/>
                <w:sz w:val="22"/>
                <w:szCs w:val="22"/>
              </w:rPr>
              <w:t>其他</w:t>
            </w:r>
          </w:p>
        </w:tc>
        <w:tc>
          <w:tcPr>
            <w:tcW w:w="2669" w:type="pct"/>
            <w:gridSpan w:val="6"/>
            <w:noWrap w:val="0"/>
            <w:vAlign w:val="center"/>
          </w:tcPr>
          <w:p w14:paraId="7A2AEEBF">
            <w:pPr>
              <w:spacing w:line="380" w:lineRule="exact"/>
              <w:jc w:val="center"/>
              <w:rPr>
                <w:rFonts w:ascii="宋体" w:hAnsi="宋体"/>
                <w:bCs/>
                <w:color w:val="auto"/>
                <w:sz w:val="22"/>
                <w:szCs w:val="22"/>
              </w:rPr>
            </w:pPr>
          </w:p>
        </w:tc>
        <w:tc>
          <w:tcPr>
            <w:tcW w:w="848" w:type="pct"/>
            <w:noWrap w:val="0"/>
            <w:vAlign w:val="center"/>
          </w:tcPr>
          <w:p w14:paraId="563DEEA9">
            <w:pPr>
              <w:spacing w:line="380" w:lineRule="exact"/>
              <w:jc w:val="center"/>
              <w:rPr>
                <w:rFonts w:ascii="宋体" w:hAnsi="宋体"/>
                <w:bCs/>
                <w:color w:val="auto"/>
                <w:sz w:val="22"/>
                <w:szCs w:val="22"/>
              </w:rPr>
            </w:pPr>
          </w:p>
        </w:tc>
      </w:tr>
      <w:tr w14:paraId="02625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81" w:type="pct"/>
            <w:gridSpan w:val="2"/>
            <w:noWrap w:val="0"/>
            <w:vAlign w:val="center"/>
          </w:tcPr>
          <w:p w14:paraId="56C9EF7A">
            <w:pPr>
              <w:spacing w:line="400" w:lineRule="exact"/>
              <w:jc w:val="center"/>
              <w:rPr>
                <w:rFonts w:ascii="宋体" w:hAnsi="宋体"/>
                <w:color w:val="auto"/>
                <w:sz w:val="22"/>
                <w:szCs w:val="22"/>
              </w:rPr>
            </w:pPr>
            <w:r>
              <w:rPr>
                <w:rFonts w:hint="eastAsia" w:ascii="宋体" w:hAnsi="宋体"/>
                <w:color w:val="auto"/>
                <w:sz w:val="22"/>
                <w:szCs w:val="22"/>
              </w:rPr>
              <w:t>总   计   价</w:t>
            </w:r>
          </w:p>
        </w:tc>
        <w:tc>
          <w:tcPr>
            <w:tcW w:w="3518" w:type="pct"/>
            <w:gridSpan w:val="7"/>
            <w:noWrap w:val="0"/>
            <w:vAlign w:val="center"/>
          </w:tcPr>
          <w:p w14:paraId="4BA295F5">
            <w:pPr>
              <w:spacing w:line="380" w:lineRule="exact"/>
              <w:jc w:val="center"/>
              <w:rPr>
                <w:rFonts w:ascii="宋体" w:hAnsi="宋体"/>
                <w:bCs/>
                <w:color w:val="auto"/>
                <w:sz w:val="22"/>
                <w:szCs w:val="22"/>
              </w:rPr>
            </w:pPr>
          </w:p>
        </w:tc>
      </w:tr>
    </w:tbl>
    <w:p w14:paraId="0F4EC79E">
      <w:pPr>
        <w:spacing w:line="440" w:lineRule="exact"/>
        <w:rPr>
          <w:rFonts w:ascii="宋体" w:hAnsi="宋体"/>
          <w:color w:val="auto"/>
          <w:sz w:val="22"/>
          <w:szCs w:val="22"/>
        </w:rPr>
      </w:pPr>
      <w:r>
        <w:rPr>
          <w:rFonts w:hint="eastAsia" w:ascii="宋体" w:hAnsi="宋体"/>
          <w:b/>
          <w:bCs/>
          <w:color w:val="auto"/>
          <w:sz w:val="22"/>
          <w:szCs w:val="22"/>
        </w:rPr>
        <w:t>说明：</w:t>
      </w:r>
      <w:r>
        <w:rPr>
          <w:rFonts w:hint="eastAsia" w:ascii="宋体" w:hAnsi="宋体"/>
          <w:color w:val="auto"/>
          <w:sz w:val="22"/>
          <w:szCs w:val="22"/>
        </w:rPr>
        <w:t>1.不提供详细分项报价将视为没有实质性响应磋商文件。</w:t>
      </w:r>
    </w:p>
    <w:p w14:paraId="7EBC9A0F">
      <w:pPr>
        <w:spacing w:line="440" w:lineRule="exact"/>
        <w:ind w:firstLine="720"/>
        <w:rPr>
          <w:rFonts w:ascii="宋体" w:hAnsi="宋体"/>
          <w:color w:val="auto"/>
          <w:sz w:val="22"/>
          <w:szCs w:val="22"/>
        </w:rPr>
      </w:pPr>
      <w:r>
        <w:rPr>
          <w:rFonts w:hint="eastAsia" w:ascii="宋体" w:hAnsi="宋体"/>
          <w:color w:val="auto"/>
          <w:sz w:val="22"/>
          <w:szCs w:val="22"/>
        </w:rPr>
        <w:t>2.此表的</w:t>
      </w:r>
      <w:r>
        <w:rPr>
          <w:rFonts w:hint="eastAsia" w:ascii="宋体" w:hAnsi="宋体"/>
          <w:bCs/>
          <w:color w:val="auto"/>
          <w:sz w:val="22"/>
          <w:szCs w:val="22"/>
        </w:rPr>
        <w:t>总计</w:t>
      </w:r>
      <w:r>
        <w:rPr>
          <w:rFonts w:hint="eastAsia" w:ascii="宋体" w:hAnsi="宋体"/>
          <w:color w:val="auto"/>
          <w:sz w:val="22"/>
          <w:szCs w:val="22"/>
        </w:rPr>
        <w:t>价应与附件二“磋商报价一览表”对应</w:t>
      </w:r>
      <w:r>
        <w:rPr>
          <w:rFonts w:hint="eastAsia" w:ascii="宋体" w:hAnsi="宋体"/>
          <w:color w:val="auto"/>
          <w:sz w:val="22"/>
          <w:szCs w:val="22"/>
          <w:lang w:val="en-US" w:eastAsia="zh-CN"/>
        </w:rPr>
        <w:t>总</w:t>
      </w:r>
      <w:r>
        <w:rPr>
          <w:rFonts w:hint="eastAsia" w:ascii="宋体" w:hAnsi="宋体"/>
          <w:color w:val="auto"/>
          <w:sz w:val="22"/>
          <w:szCs w:val="22"/>
        </w:rPr>
        <w:t>报价相一致。</w:t>
      </w:r>
    </w:p>
    <w:p w14:paraId="44857723">
      <w:pPr>
        <w:spacing w:line="440" w:lineRule="exact"/>
        <w:ind w:firstLine="720"/>
        <w:rPr>
          <w:rFonts w:ascii="宋体" w:hAnsi="宋体"/>
          <w:color w:val="auto"/>
          <w:sz w:val="22"/>
          <w:szCs w:val="22"/>
        </w:rPr>
      </w:pPr>
      <w:r>
        <w:rPr>
          <w:rFonts w:hint="eastAsia" w:ascii="宋体" w:hAnsi="宋体"/>
          <w:color w:val="auto"/>
          <w:sz w:val="22"/>
          <w:szCs w:val="22"/>
        </w:rPr>
        <w:t>3.如果免费请在该备注栏内注明“免”，如果含在产品价格中则填“含”，如无此项内容则填“无”，不留空白。</w:t>
      </w:r>
    </w:p>
    <w:p w14:paraId="632829A6">
      <w:pPr>
        <w:spacing w:line="440" w:lineRule="exact"/>
        <w:ind w:firstLine="660" w:firstLineChars="300"/>
        <w:rPr>
          <w:rFonts w:hint="eastAsia" w:ascii="宋体" w:hAnsi="宋体" w:cs="宋体"/>
          <w:color w:val="auto"/>
          <w:kern w:val="0"/>
          <w:sz w:val="22"/>
          <w:szCs w:val="22"/>
        </w:rPr>
      </w:pPr>
      <w:r>
        <w:rPr>
          <w:rFonts w:hint="eastAsia" w:ascii="宋体" w:hAnsi="宋体"/>
          <w:color w:val="auto"/>
          <w:sz w:val="22"/>
          <w:szCs w:val="22"/>
          <w:lang w:val="en-US" w:eastAsia="zh-CN"/>
        </w:rPr>
        <w:t>4</w:t>
      </w:r>
      <w:r>
        <w:rPr>
          <w:rFonts w:hint="eastAsia" w:ascii="宋体" w:hAnsi="宋体"/>
          <w:color w:val="auto"/>
          <w:sz w:val="22"/>
          <w:szCs w:val="22"/>
          <w:highlight w:val="none"/>
        </w:rPr>
        <w:t>.</w:t>
      </w:r>
      <w:r>
        <w:rPr>
          <w:rFonts w:hint="eastAsia" w:ascii="宋体" w:hAnsi="宋体" w:eastAsia="宋体"/>
          <w:bCs/>
          <w:color w:val="auto"/>
          <w:sz w:val="22"/>
          <w:szCs w:val="22"/>
          <w:highlight w:val="none"/>
          <w:lang w:val="en-US" w:eastAsia="zh-CN"/>
        </w:rPr>
        <w:t>▲</w:t>
      </w:r>
      <w:r>
        <w:rPr>
          <w:rFonts w:hint="eastAsia" w:ascii="宋体" w:hAnsi="宋体" w:cs="宋体"/>
          <w:b/>
          <w:bCs/>
          <w:color w:val="auto"/>
          <w:sz w:val="22"/>
          <w:szCs w:val="22"/>
          <w:highlight w:val="none"/>
          <w:u w:val="single"/>
          <w:lang w:val="en-US" w:eastAsia="zh-CN"/>
        </w:rPr>
        <w:t>厨房附属改造工程</w:t>
      </w:r>
      <w:r>
        <w:rPr>
          <w:rFonts w:hint="eastAsia" w:ascii="宋体" w:hAnsi="宋体"/>
          <w:color w:val="auto"/>
          <w:sz w:val="22"/>
          <w:szCs w:val="22"/>
          <w:highlight w:val="none"/>
          <w:u w:val="single"/>
        </w:rPr>
        <w:t>招标控</w:t>
      </w:r>
      <w:r>
        <w:rPr>
          <w:rFonts w:hint="eastAsia" w:ascii="宋体" w:hAnsi="宋体"/>
          <w:color w:val="auto"/>
          <w:sz w:val="22"/>
          <w:szCs w:val="22"/>
          <w:u w:val="single"/>
        </w:rPr>
        <w:t>制价为</w:t>
      </w:r>
      <w:r>
        <w:rPr>
          <w:rFonts w:hint="eastAsia" w:ascii="宋体" w:hAnsi="宋体" w:cs="宋体"/>
          <w:b/>
          <w:color w:val="auto"/>
          <w:kern w:val="0"/>
          <w:sz w:val="22"/>
          <w:szCs w:val="22"/>
          <w:u w:val="single"/>
        </w:rPr>
        <w:t>人民币</w:t>
      </w:r>
      <w:r>
        <w:rPr>
          <w:rFonts w:hint="eastAsia" w:ascii="宋体" w:hAnsi="宋体" w:cs="宋体"/>
          <w:b/>
          <w:color w:val="auto"/>
          <w:kern w:val="0"/>
          <w:sz w:val="22"/>
          <w:szCs w:val="22"/>
          <w:u w:val="single"/>
          <w:lang w:val="en-US" w:eastAsia="zh-CN"/>
        </w:rPr>
        <w:t>叁拾柒万玖仟捌佰</w:t>
      </w:r>
      <w:r>
        <w:rPr>
          <w:rFonts w:hint="eastAsia" w:ascii="宋体" w:hAnsi="宋体" w:cs="宋体"/>
          <w:b/>
          <w:color w:val="auto"/>
          <w:kern w:val="0"/>
          <w:sz w:val="22"/>
          <w:szCs w:val="22"/>
          <w:u w:val="single"/>
        </w:rPr>
        <w:t>元整元整（￥379800</w:t>
      </w:r>
      <w:r>
        <w:rPr>
          <w:rFonts w:ascii="宋体" w:hAnsi="宋体" w:cs="宋体"/>
          <w:b/>
          <w:color w:val="auto"/>
          <w:kern w:val="0"/>
          <w:sz w:val="22"/>
          <w:szCs w:val="22"/>
          <w:u w:val="single"/>
        </w:rPr>
        <w:t>.00</w:t>
      </w:r>
      <w:r>
        <w:rPr>
          <w:rFonts w:hint="eastAsia" w:ascii="宋体" w:hAnsi="宋体" w:cs="宋体"/>
          <w:b/>
          <w:color w:val="auto"/>
          <w:kern w:val="0"/>
          <w:sz w:val="22"/>
          <w:szCs w:val="22"/>
          <w:u w:val="single"/>
        </w:rPr>
        <w:t>元</w:t>
      </w:r>
      <w:r>
        <w:rPr>
          <w:rFonts w:hint="eastAsia" w:ascii="宋体" w:hAnsi="宋体" w:cs="宋体"/>
          <w:color w:val="auto"/>
          <w:kern w:val="0"/>
          <w:sz w:val="22"/>
          <w:szCs w:val="22"/>
          <w:u w:val="single"/>
        </w:rPr>
        <w:t>），磋商供应商的</w:t>
      </w:r>
      <w:r>
        <w:rPr>
          <w:rFonts w:hint="eastAsia" w:ascii="宋体" w:hAnsi="宋体" w:cs="宋体"/>
          <w:color w:val="auto"/>
          <w:kern w:val="0"/>
          <w:sz w:val="22"/>
          <w:szCs w:val="22"/>
          <w:u w:val="single"/>
          <w:lang w:val="en-US" w:eastAsia="zh-CN"/>
        </w:rPr>
        <w:t>分项</w:t>
      </w:r>
      <w:r>
        <w:rPr>
          <w:rFonts w:hint="eastAsia" w:ascii="宋体" w:hAnsi="宋体" w:cs="宋体"/>
          <w:color w:val="auto"/>
          <w:kern w:val="0"/>
          <w:sz w:val="22"/>
          <w:szCs w:val="22"/>
          <w:u w:val="single"/>
        </w:rPr>
        <w:t>报价超过招标控制价的，按无效标处理</w:t>
      </w:r>
      <w:r>
        <w:rPr>
          <w:rFonts w:hint="eastAsia" w:ascii="宋体" w:hAnsi="宋体" w:cs="宋体"/>
          <w:color w:val="auto"/>
          <w:kern w:val="0"/>
          <w:sz w:val="22"/>
          <w:szCs w:val="22"/>
        </w:rPr>
        <w:t>。</w:t>
      </w:r>
    </w:p>
    <w:p w14:paraId="799914D4">
      <w:pPr>
        <w:spacing w:line="440" w:lineRule="exact"/>
        <w:ind w:firstLine="660" w:firstLineChars="300"/>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5. 本报价表后附已标价工程量清单。</w:t>
      </w:r>
    </w:p>
    <w:p w14:paraId="3AAE917D">
      <w:pPr>
        <w:pStyle w:val="14"/>
        <w:rPr>
          <w:color w:val="auto"/>
        </w:rPr>
      </w:pPr>
    </w:p>
    <w:p w14:paraId="4120A7BC">
      <w:pPr>
        <w:spacing w:line="440" w:lineRule="exact"/>
        <w:rPr>
          <w:color w:val="auto"/>
          <w:sz w:val="22"/>
        </w:rPr>
      </w:pPr>
      <w:r>
        <w:rPr>
          <w:rFonts w:hint="eastAsia"/>
          <w:color w:val="auto"/>
          <w:sz w:val="22"/>
        </w:rPr>
        <w:t>磋商供应商全称</w:t>
      </w:r>
      <w:r>
        <w:rPr>
          <w:rFonts w:hint="eastAsia" w:ascii="宋体" w:hAnsi="宋体" w:cs="宋体"/>
          <w:color w:val="auto"/>
          <w:sz w:val="22"/>
        </w:rPr>
        <w:t>（电子签名/公章）</w:t>
      </w:r>
      <w:r>
        <w:rPr>
          <w:rFonts w:hint="eastAsia"/>
          <w:color w:val="auto"/>
          <w:sz w:val="22"/>
        </w:rPr>
        <w:t>：</w:t>
      </w:r>
    </w:p>
    <w:p w14:paraId="5285C112">
      <w:pPr>
        <w:spacing w:line="440" w:lineRule="exact"/>
        <w:rPr>
          <w:color w:val="auto"/>
          <w:sz w:val="22"/>
        </w:rPr>
      </w:pPr>
      <w:r>
        <w:rPr>
          <w:rFonts w:hint="eastAsia"/>
          <w:color w:val="auto"/>
          <w:sz w:val="22"/>
        </w:rPr>
        <w:t>日 期：       年     月     日</w:t>
      </w:r>
    </w:p>
    <w:p w14:paraId="0611ACAB">
      <w:pPr>
        <w:spacing w:line="360" w:lineRule="exact"/>
        <w:rPr>
          <w:rFonts w:ascii="宋体" w:hAnsi="宋体" w:cs="宋体"/>
          <w:color w:val="auto"/>
          <w:sz w:val="22"/>
          <w:szCs w:val="22"/>
        </w:rPr>
      </w:pPr>
    </w:p>
    <w:p w14:paraId="449226B7">
      <w:pPr>
        <w:pStyle w:val="3"/>
        <w:spacing w:line="480" w:lineRule="exact"/>
        <w:rPr>
          <w:rFonts w:ascii="黑体" w:hAnsi="黑体"/>
          <w:color w:val="auto"/>
          <w:sz w:val="24"/>
          <w:szCs w:val="24"/>
        </w:rPr>
      </w:pPr>
      <w:r>
        <w:rPr>
          <w:rFonts w:ascii="宋体" w:hAnsi="宋体"/>
          <w:color w:val="auto"/>
          <w:sz w:val="22"/>
          <w:szCs w:val="22"/>
        </w:rPr>
        <w:br w:type="page"/>
      </w:r>
      <w:bookmarkStart w:id="145" w:name="_Toc26376"/>
      <w:bookmarkStart w:id="146" w:name="_Toc31190"/>
      <w:bookmarkStart w:id="147" w:name="_Toc30418"/>
      <w:bookmarkStart w:id="148" w:name="_Toc2300"/>
      <w:bookmarkStart w:id="149" w:name="_Toc17480"/>
      <w:r>
        <w:rPr>
          <w:rFonts w:hint="eastAsia" w:ascii="黑体" w:hAnsi="黑体"/>
          <w:color w:val="auto"/>
          <w:sz w:val="24"/>
          <w:szCs w:val="24"/>
        </w:rPr>
        <w:t>附件四  资格证明文件</w:t>
      </w:r>
      <w:bookmarkEnd w:id="145"/>
      <w:bookmarkEnd w:id="146"/>
      <w:bookmarkEnd w:id="147"/>
      <w:bookmarkEnd w:id="148"/>
      <w:bookmarkEnd w:id="149"/>
    </w:p>
    <w:p w14:paraId="5A41D028">
      <w:pPr>
        <w:spacing w:line="440" w:lineRule="exact"/>
        <w:jc w:val="center"/>
        <w:rPr>
          <w:rFonts w:ascii="宋体" w:hAnsi="宋体"/>
          <w:b/>
          <w:color w:val="auto"/>
          <w:sz w:val="28"/>
          <w:szCs w:val="28"/>
        </w:rPr>
      </w:pPr>
      <w:r>
        <w:rPr>
          <w:rFonts w:hint="eastAsia" w:ascii="宋体" w:hAnsi="宋体"/>
          <w:b/>
          <w:color w:val="auto"/>
          <w:sz w:val="28"/>
          <w:szCs w:val="28"/>
        </w:rPr>
        <w:t>资格证明文件</w:t>
      </w:r>
    </w:p>
    <w:p w14:paraId="5CB8EB7D">
      <w:pPr>
        <w:spacing w:line="440" w:lineRule="exact"/>
        <w:jc w:val="center"/>
        <w:rPr>
          <w:rFonts w:ascii="宋体" w:hAnsi="宋体" w:cs="宋体"/>
          <w:b/>
          <w:color w:val="auto"/>
          <w:szCs w:val="22"/>
        </w:rPr>
      </w:pPr>
      <w:bookmarkStart w:id="150" w:name="_Toc228784317"/>
      <w:bookmarkStart w:id="151" w:name="_Toc212287212"/>
      <w:bookmarkStart w:id="152" w:name="_Toc202761489"/>
      <w:r>
        <w:rPr>
          <w:rFonts w:hint="eastAsia" w:ascii="宋体" w:hAnsi="宋体" w:cs="宋体"/>
          <w:b/>
          <w:color w:val="auto"/>
          <w:sz w:val="24"/>
        </w:rPr>
        <w:t>（1）法定代表人、单位负责人或自然人本人的身份证明（适用于法定代表人、单位负责人或者自然人本人代表磋商供应商参加磋商）</w:t>
      </w:r>
    </w:p>
    <w:p w14:paraId="6C38E036">
      <w:pPr>
        <w:spacing w:line="380" w:lineRule="exact"/>
        <w:jc w:val="center"/>
        <w:rPr>
          <w:rFonts w:ascii="宋体" w:hAnsi="宋体"/>
          <w:b/>
          <w:color w:val="auto"/>
          <w:sz w:val="24"/>
        </w:rPr>
      </w:pPr>
    </w:p>
    <w:p w14:paraId="5F280D1D">
      <w:pPr>
        <w:autoSpaceDE w:val="0"/>
        <w:autoSpaceDN w:val="0"/>
        <w:adjustRightInd w:val="0"/>
        <w:rPr>
          <w:rFonts w:ascii="宋体" w:hAnsi="宋体" w:cs="黑体"/>
          <w:color w:val="auto"/>
          <w:kern w:val="0"/>
          <w:sz w:val="22"/>
          <w:szCs w:val="22"/>
        </w:rPr>
      </w:pPr>
    </w:p>
    <w:p w14:paraId="67A12733">
      <w:pPr>
        <w:autoSpaceDE w:val="0"/>
        <w:autoSpaceDN w:val="0"/>
        <w:adjustRightInd w:val="0"/>
        <w:spacing w:line="440" w:lineRule="exact"/>
        <w:rPr>
          <w:rFonts w:ascii="宋体" w:hAnsi="宋体" w:cs="黑体"/>
          <w:color w:val="auto"/>
          <w:kern w:val="0"/>
          <w:sz w:val="22"/>
          <w:szCs w:val="22"/>
        </w:rPr>
      </w:pPr>
      <w:r>
        <w:rPr>
          <w:rFonts w:hint="eastAsia" w:ascii="宋体" w:hAnsi="宋体" w:cs="黑体"/>
          <w:color w:val="auto"/>
          <w:kern w:val="0"/>
          <w:sz w:val="22"/>
          <w:szCs w:val="22"/>
        </w:rPr>
        <w:t>磋商供应商名称：</w:t>
      </w:r>
      <w:r>
        <w:rPr>
          <w:rFonts w:hint="eastAsia" w:ascii="宋体" w:hAnsi="宋体" w:cs="黑体"/>
          <w:color w:val="auto"/>
          <w:kern w:val="0"/>
          <w:sz w:val="22"/>
          <w:szCs w:val="22"/>
          <w:u w:val="single"/>
        </w:rPr>
        <w:t xml:space="preserve">                            </w:t>
      </w:r>
    </w:p>
    <w:p w14:paraId="183F3D82">
      <w:pPr>
        <w:autoSpaceDE w:val="0"/>
        <w:autoSpaceDN w:val="0"/>
        <w:adjustRightInd w:val="0"/>
        <w:spacing w:line="440" w:lineRule="exact"/>
        <w:rPr>
          <w:rFonts w:ascii="宋体" w:hAnsi="宋体" w:cs="黑体"/>
          <w:color w:val="auto"/>
          <w:kern w:val="0"/>
          <w:sz w:val="22"/>
          <w:szCs w:val="22"/>
        </w:rPr>
      </w:pPr>
      <w:r>
        <w:rPr>
          <w:rFonts w:hint="eastAsia" w:ascii="宋体" w:hAnsi="宋体" w:cs="黑体"/>
          <w:color w:val="auto"/>
          <w:kern w:val="0"/>
          <w:sz w:val="22"/>
          <w:szCs w:val="22"/>
        </w:rPr>
        <w:t xml:space="preserve">单位性质： </w:t>
      </w:r>
      <w:r>
        <w:rPr>
          <w:rFonts w:hint="eastAsia" w:ascii="宋体" w:hAnsi="宋体" w:cs="黑体"/>
          <w:color w:val="auto"/>
          <w:kern w:val="0"/>
          <w:sz w:val="22"/>
          <w:szCs w:val="22"/>
          <w:u w:val="single"/>
        </w:rPr>
        <w:t xml:space="preserve">                                 </w:t>
      </w:r>
    </w:p>
    <w:p w14:paraId="65291FF9">
      <w:pPr>
        <w:autoSpaceDE w:val="0"/>
        <w:autoSpaceDN w:val="0"/>
        <w:adjustRightInd w:val="0"/>
        <w:spacing w:line="440" w:lineRule="exact"/>
        <w:rPr>
          <w:rFonts w:ascii="宋体" w:hAnsi="宋体" w:cs="黑体"/>
          <w:color w:val="auto"/>
          <w:kern w:val="0"/>
          <w:sz w:val="22"/>
          <w:szCs w:val="22"/>
        </w:rPr>
      </w:pPr>
      <w:r>
        <w:rPr>
          <w:rFonts w:hint="eastAsia" w:ascii="宋体" w:hAnsi="宋体" w:cs="黑体"/>
          <w:color w:val="auto"/>
          <w:kern w:val="0"/>
          <w:sz w:val="22"/>
          <w:szCs w:val="22"/>
        </w:rPr>
        <w:t>地    址：</w:t>
      </w:r>
      <w:r>
        <w:rPr>
          <w:rFonts w:hint="eastAsia" w:ascii="宋体" w:hAnsi="宋体" w:cs="黑体"/>
          <w:color w:val="auto"/>
          <w:kern w:val="0"/>
          <w:sz w:val="22"/>
          <w:szCs w:val="22"/>
          <w:u w:val="single"/>
        </w:rPr>
        <w:t xml:space="preserve">                                  </w:t>
      </w:r>
    </w:p>
    <w:p w14:paraId="336599FC">
      <w:pPr>
        <w:autoSpaceDE w:val="0"/>
        <w:autoSpaceDN w:val="0"/>
        <w:adjustRightInd w:val="0"/>
        <w:spacing w:line="440" w:lineRule="exact"/>
        <w:rPr>
          <w:rFonts w:ascii="宋体" w:hAnsi="宋体" w:cs="黑体"/>
          <w:color w:val="auto"/>
          <w:kern w:val="0"/>
          <w:sz w:val="22"/>
          <w:szCs w:val="22"/>
        </w:rPr>
      </w:pPr>
      <w:r>
        <w:rPr>
          <w:rFonts w:hint="eastAsia" w:ascii="宋体" w:hAnsi="宋体" w:cs="黑体"/>
          <w:color w:val="auto"/>
          <w:kern w:val="0"/>
          <w:sz w:val="22"/>
          <w:szCs w:val="22"/>
        </w:rPr>
        <w:t>成立时间：</w:t>
      </w:r>
      <w:r>
        <w:rPr>
          <w:rFonts w:ascii="宋体" w:hAnsi="宋体" w:cs="黑体"/>
          <w:color w:val="auto"/>
          <w:kern w:val="0"/>
          <w:sz w:val="22"/>
          <w:szCs w:val="22"/>
        </w:rPr>
        <w:t xml:space="preserve"> </w:t>
      </w:r>
      <w:r>
        <w:rPr>
          <w:rFonts w:hint="eastAsia" w:ascii="宋体" w:hAnsi="宋体" w:cs="黑体"/>
          <w:color w:val="auto"/>
          <w:kern w:val="0"/>
          <w:sz w:val="22"/>
          <w:szCs w:val="22"/>
          <w:u w:val="single"/>
        </w:rPr>
        <w:t xml:space="preserve">            </w:t>
      </w:r>
      <w:r>
        <w:rPr>
          <w:rFonts w:hint="eastAsia" w:ascii="宋体" w:hAnsi="宋体" w:cs="黑体"/>
          <w:color w:val="auto"/>
          <w:kern w:val="0"/>
          <w:sz w:val="22"/>
          <w:szCs w:val="22"/>
        </w:rPr>
        <w:t>年</w:t>
      </w:r>
      <w:r>
        <w:rPr>
          <w:rFonts w:hint="eastAsia" w:ascii="宋体" w:hAnsi="宋体" w:cs="黑体"/>
          <w:color w:val="auto"/>
          <w:kern w:val="0"/>
          <w:sz w:val="22"/>
          <w:szCs w:val="22"/>
          <w:u w:val="single"/>
        </w:rPr>
        <w:t xml:space="preserve">       </w:t>
      </w:r>
      <w:r>
        <w:rPr>
          <w:rFonts w:ascii="宋体" w:hAnsi="宋体" w:cs="黑体"/>
          <w:color w:val="auto"/>
          <w:kern w:val="0"/>
          <w:sz w:val="22"/>
          <w:szCs w:val="22"/>
          <w:u w:val="single"/>
        </w:rPr>
        <w:t xml:space="preserve"> </w:t>
      </w:r>
      <w:r>
        <w:rPr>
          <w:rFonts w:hint="eastAsia" w:ascii="宋体" w:hAnsi="宋体" w:cs="黑体"/>
          <w:color w:val="auto"/>
          <w:kern w:val="0"/>
          <w:sz w:val="22"/>
          <w:szCs w:val="22"/>
        </w:rPr>
        <w:t>月</w:t>
      </w:r>
      <w:r>
        <w:rPr>
          <w:rFonts w:hint="eastAsia" w:ascii="宋体" w:hAnsi="宋体" w:cs="黑体"/>
          <w:color w:val="auto"/>
          <w:kern w:val="0"/>
          <w:sz w:val="22"/>
          <w:szCs w:val="22"/>
          <w:u w:val="single"/>
        </w:rPr>
        <w:t xml:space="preserve">       </w:t>
      </w:r>
      <w:r>
        <w:rPr>
          <w:rFonts w:ascii="宋体" w:hAnsi="宋体" w:cs="黑体"/>
          <w:color w:val="auto"/>
          <w:kern w:val="0"/>
          <w:sz w:val="22"/>
          <w:szCs w:val="22"/>
          <w:u w:val="single"/>
        </w:rPr>
        <w:t xml:space="preserve"> </w:t>
      </w:r>
      <w:r>
        <w:rPr>
          <w:rFonts w:hint="eastAsia" w:ascii="宋体" w:hAnsi="宋体" w:cs="黑体"/>
          <w:color w:val="auto"/>
          <w:kern w:val="0"/>
          <w:sz w:val="22"/>
          <w:szCs w:val="22"/>
        </w:rPr>
        <w:t>日</w:t>
      </w:r>
      <w:r>
        <w:rPr>
          <w:rFonts w:hint="eastAsia" w:ascii="宋体" w:hAnsi="宋体" w:cs="黑体"/>
          <w:color w:val="auto"/>
          <w:kern w:val="0"/>
          <w:sz w:val="22"/>
          <w:szCs w:val="22"/>
        </w:rPr>
        <w:tab/>
      </w:r>
    </w:p>
    <w:p w14:paraId="398928B3">
      <w:pPr>
        <w:autoSpaceDE w:val="0"/>
        <w:autoSpaceDN w:val="0"/>
        <w:adjustRightInd w:val="0"/>
        <w:spacing w:line="440" w:lineRule="exact"/>
        <w:rPr>
          <w:rFonts w:ascii="宋体" w:hAnsi="宋体" w:cs="黑体"/>
          <w:color w:val="auto"/>
          <w:kern w:val="0"/>
          <w:sz w:val="22"/>
          <w:szCs w:val="22"/>
        </w:rPr>
      </w:pPr>
      <w:r>
        <w:rPr>
          <w:rFonts w:hint="eastAsia" w:ascii="宋体" w:hAnsi="宋体" w:cs="黑体"/>
          <w:color w:val="auto"/>
          <w:kern w:val="0"/>
          <w:sz w:val="22"/>
          <w:szCs w:val="22"/>
        </w:rPr>
        <w:t>经营期限：</w:t>
      </w:r>
      <w:r>
        <w:rPr>
          <w:rFonts w:hint="eastAsia" w:ascii="宋体" w:hAnsi="宋体" w:cs="黑体"/>
          <w:color w:val="auto"/>
          <w:kern w:val="0"/>
          <w:sz w:val="22"/>
          <w:szCs w:val="22"/>
          <w:u w:val="single"/>
        </w:rPr>
        <w:t xml:space="preserve">                                   </w:t>
      </w:r>
    </w:p>
    <w:p w14:paraId="0C3110F3">
      <w:pPr>
        <w:autoSpaceDE w:val="0"/>
        <w:autoSpaceDN w:val="0"/>
        <w:adjustRightInd w:val="0"/>
        <w:spacing w:line="440" w:lineRule="exact"/>
        <w:rPr>
          <w:rFonts w:ascii="宋体" w:hAnsi="宋体" w:cs="黑体"/>
          <w:color w:val="auto"/>
          <w:kern w:val="0"/>
          <w:sz w:val="22"/>
          <w:szCs w:val="22"/>
        </w:rPr>
      </w:pPr>
      <w:r>
        <w:rPr>
          <w:rFonts w:hint="eastAsia" w:ascii="宋体" w:hAnsi="宋体" w:cs="黑体"/>
          <w:color w:val="auto"/>
          <w:kern w:val="0"/>
          <w:sz w:val="22"/>
          <w:szCs w:val="22"/>
        </w:rPr>
        <w:t>姓    名：</w:t>
      </w:r>
      <w:r>
        <w:rPr>
          <w:rFonts w:ascii="宋体" w:hAnsi="宋体" w:cs="黑体"/>
          <w:color w:val="auto"/>
          <w:kern w:val="0"/>
          <w:sz w:val="22"/>
          <w:szCs w:val="22"/>
          <w:u w:val="single"/>
        </w:rPr>
        <w:t xml:space="preserve"> </w:t>
      </w:r>
      <w:r>
        <w:rPr>
          <w:rFonts w:hint="eastAsia" w:ascii="宋体" w:hAnsi="宋体" w:cs="黑体"/>
          <w:color w:val="auto"/>
          <w:kern w:val="0"/>
          <w:sz w:val="22"/>
          <w:szCs w:val="22"/>
          <w:u w:val="single"/>
        </w:rPr>
        <w:t xml:space="preserve">               </w:t>
      </w:r>
      <w:r>
        <w:rPr>
          <w:rFonts w:hint="eastAsia" w:ascii="宋体" w:hAnsi="宋体" w:cs="黑体"/>
          <w:color w:val="auto"/>
          <w:kern w:val="0"/>
          <w:sz w:val="22"/>
          <w:szCs w:val="22"/>
        </w:rPr>
        <w:t xml:space="preserve"> 性别：</w:t>
      </w:r>
      <w:r>
        <w:rPr>
          <w:rFonts w:hint="eastAsia" w:ascii="宋体" w:hAnsi="宋体" w:cs="黑体"/>
          <w:color w:val="auto"/>
          <w:kern w:val="0"/>
          <w:sz w:val="22"/>
          <w:szCs w:val="22"/>
          <w:u w:val="single"/>
        </w:rPr>
        <w:t xml:space="preserve">       </w:t>
      </w:r>
      <w:r>
        <w:rPr>
          <w:rFonts w:ascii="宋体" w:hAnsi="宋体" w:cs="黑体"/>
          <w:color w:val="auto"/>
          <w:kern w:val="0"/>
          <w:sz w:val="22"/>
          <w:szCs w:val="22"/>
          <w:u w:val="single"/>
        </w:rPr>
        <w:t xml:space="preserve"> </w:t>
      </w:r>
      <w:r>
        <w:rPr>
          <w:rFonts w:hint="eastAsia" w:ascii="宋体" w:hAnsi="宋体" w:cs="黑体"/>
          <w:color w:val="auto"/>
          <w:kern w:val="0"/>
          <w:sz w:val="22"/>
          <w:szCs w:val="22"/>
        </w:rPr>
        <w:t>年龄：</w:t>
      </w:r>
      <w:r>
        <w:rPr>
          <w:rFonts w:hint="eastAsia" w:ascii="宋体" w:hAnsi="宋体" w:cs="黑体"/>
          <w:color w:val="auto"/>
          <w:kern w:val="0"/>
          <w:sz w:val="22"/>
          <w:szCs w:val="22"/>
          <w:u w:val="single"/>
        </w:rPr>
        <w:t xml:space="preserve">      </w:t>
      </w:r>
      <w:r>
        <w:rPr>
          <w:rFonts w:ascii="宋体" w:hAnsi="宋体" w:cs="黑体"/>
          <w:color w:val="auto"/>
          <w:kern w:val="0"/>
          <w:sz w:val="22"/>
          <w:szCs w:val="22"/>
          <w:u w:val="single"/>
        </w:rPr>
        <w:t xml:space="preserve"> </w:t>
      </w:r>
      <w:r>
        <w:rPr>
          <w:rFonts w:hint="eastAsia" w:ascii="宋体" w:hAnsi="宋体" w:cs="黑体"/>
          <w:color w:val="auto"/>
          <w:kern w:val="0"/>
          <w:sz w:val="22"/>
          <w:szCs w:val="22"/>
        </w:rPr>
        <w:t>职务：</w:t>
      </w:r>
      <w:r>
        <w:rPr>
          <w:rFonts w:hint="eastAsia" w:ascii="宋体" w:hAnsi="宋体" w:cs="黑体"/>
          <w:color w:val="auto"/>
          <w:kern w:val="0"/>
          <w:sz w:val="22"/>
          <w:szCs w:val="22"/>
          <w:u w:val="single"/>
        </w:rPr>
        <w:t xml:space="preserve">         </w:t>
      </w:r>
    </w:p>
    <w:p w14:paraId="5482AD46">
      <w:pPr>
        <w:autoSpaceDE w:val="0"/>
        <w:autoSpaceDN w:val="0"/>
        <w:adjustRightInd w:val="0"/>
        <w:spacing w:line="440" w:lineRule="exact"/>
        <w:rPr>
          <w:rFonts w:ascii="宋体" w:hAnsi="宋体" w:cs="黑体"/>
          <w:color w:val="auto"/>
          <w:kern w:val="0"/>
          <w:sz w:val="22"/>
          <w:szCs w:val="22"/>
        </w:rPr>
      </w:pPr>
      <w:r>
        <w:rPr>
          <w:rFonts w:hint="eastAsia" w:ascii="宋体" w:hAnsi="宋体" w:cs="黑体"/>
          <w:color w:val="auto"/>
          <w:kern w:val="0"/>
          <w:sz w:val="22"/>
          <w:szCs w:val="22"/>
        </w:rPr>
        <w:t>系：</w:t>
      </w:r>
      <w:r>
        <w:rPr>
          <w:rFonts w:hint="eastAsia" w:ascii="宋体" w:hAnsi="宋体" w:cs="黑体"/>
          <w:color w:val="auto"/>
          <w:kern w:val="0"/>
          <w:sz w:val="22"/>
          <w:szCs w:val="22"/>
          <w:u w:val="single"/>
        </w:rPr>
        <w:t xml:space="preserve">                           </w:t>
      </w:r>
      <w:r>
        <w:rPr>
          <w:rFonts w:ascii="宋体" w:hAnsi="宋体" w:cs="黑体"/>
          <w:color w:val="auto"/>
          <w:kern w:val="0"/>
          <w:sz w:val="22"/>
          <w:szCs w:val="22"/>
        </w:rPr>
        <w:t xml:space="preserve"> </w:t>
      </w:r>
      <w:r>
        <w:rPr>
          <w:rFonts w:hint="eastAsia" w:ascii="宋体" w:hAnsi="宋体" w:cs="黑体"/>
          <w:color w:val="auto"/>
          <w:kern w:val="0"/>
          <w:sz w:val="22"/>
          <w:szCs w:val="22"/>
        </w:rPr>
        <w:t>（磋商供应商名称）的法定代表人</w:t>
      </w:r>
    </w:p>
    <w:p w14:paraId="39FB56AF">
      <w:pPr>
        <w:autoSpaceDE w:val="0"/>
        <w:autoSpaceDN w:val="0"/>
        <w:adjustRightInd w:val="0"/>
        <w:spacing w:line="440" w:lineRule="exact"/>
        <w:rPr>
          <w:rFonts w:ascii="宋体" w:hAnsi="宋体" w:cs="黑体"/>
          <w:color w:val="auto"/>
          <w:kern w:val="0"/>
          <w:sz w:val="22"/>
          <w:szCs w:val="22"/>
        </w:rPr>
      </w:pPr>
      <w:r>
        <w:rPr>
          <w:rFonts w:hint="eastAsia" w:ascii="宋体" w:hAnsi="宋体" w:cs="黑体"/>
          <w:color w:val="auto"/>
          <w:kern w:val="0"/>
          <w:sz w:val="22"/>
          <w:szCs w:val="22"/>
        </w:rPr>
        <w:t>特此证明</w:t>
      </w:r>
    </w:p>
    <w:p w14:paraId="331021BF">
      <w:pPr>
        <w:autoSpaceDE w:val="0"/>
        <w:autoSpaceDN w:val="0"/>
        <w:adjustRightInd w:val="0"/>
        <w:spacing w:line="440" w:lineRule="exact"/>
        <w:rPr>
          <w:rFonts w:ascii="宋体" w:hAnsi="宋体" w:cs="黑体"/>
          <w:color w:val="auto"/>
          <w:kern w:val="0"/>
          <w:sz w:val="22"/>
          <w:szCs w:val="22"/>
        </w:rPr>
      </w:pPr>
    </w:p>
    <w:p w14:paraId="19DAE738">
      <w:pPr>
        <w:autoSpaceDE w:val="0"/>
        <w:autoSpaceDN w:val="0"/>
        <w:adjustRightInd w:val="0"/>
        <w:spacing w:line="440" w:lineRule="exact"/>
        <w:rPr>
          <w:rFonts w:ascii="宋体" w:hAnsi="宋体" w:cs="黑体"/>
          <w:color w:val="auto"/>
          <w:kern w:val="0"/>
          <w:sz w:val="22"/>
          <w:szCs w:val="22"/>
        </w:rPr>
      </w:pPr>
    </w:p>
    <w:p w14:paraId="7D30B9D3">
      <w:pPr>
        <w:autoSpaceDE w:val="0"/>
        <w:autoSpaceDN w:val="0"/>
        <w:adjustRightInd w:val="0"/>
        <w:spacing w:line="440" w:lineRule="exact"/>
        <w:rPr>
          <w:rFonts w:ascii="宋体" w:hAnsi="宋体" w:cs="黑体"/>
          <w:color w:val="auto"/>
          <w:kern w:val="0"/>
          <w:sz w:val="22"/>
          <w:szCs w:val="22"/>
        </w:rPr>
      </w:pPr>
    </w:p>
    <w:p w14:paraId="19F592D5">
      <w:pPr>
        <w:autoSpaceDE w:val="0"/>
        <w:autoSpaceDN w:val="0"/>
        <w:adjustRightInd w:val="0"/>
        <w:spacing w:line="440" w:lineRule="exact"/>
        <w:jc w:val="right"/>
        <w:rPr>
          <w:rFonts w:ascii="宋体" w:hAnsi="宋体" w:cs="黑体"/>
          <w:color w:val="auto"/>
          <w:kern w:val="0"/>
          <w:sz w:val="22"/>
          <w:szCs w:val="22"/>
        </w:rPr>
      </w:pPr>
      <w:r>
        <w:rPr>
          <w:rFonts w:hint="eastAsia" w:ascii="宋体" w:hAnsi="宋体" w:cs="黑体"/>
          <w:color w:val="auto"/>
          <w:kern w:val="0"/>
          <w:sz w:val="22"/>
          <w:szCs w:val="22"/>
        </w:rPr>
        <w:t>磋商供应商：</w:t>
      </w:r>
      <w:r>
        <w:rPr>
          <w:rFonts w:ascii="宋体" w:hAnsi="宋体" w:cs="黑体"/>
          <w:color w:val="auto"/>
          <w:kern w:val="0"/>
          <w:sz w:val="22"/>
          <w:szCs w:val="22"/>
          <w:u w:val="single"/>
        </w:rPr>
        <w:t xml:space="preserve"> </w:t>
      </w:r>
      <w:r>
        <w:rPr>
          <w:rFonts w:hint="eastAsia" w:ascii="宋体" w:hAnsi="宋体" w:cs="黑体"/>
          <w:color w:val="auto"/>
          <w:kern w:val="0"/>
          <w:sz w:val="22"/>
          <w:szCs w:val="22"/>
          <w:u w:val="single"/>
        </w:rPr>
        <w:t xml:space="preserve">                       </w:t>
      </w:r>
      <w:r>
        <w:rPr>
          <w:rFonts w:hint="eastAsia" w:ascii="宋体" w:hAnsi="宋体" w:cs="黑体"/>
          <w:color w:val="auto"/>
          <w:kern w:val="0"/>
          <w:sz w:val="22"/>
          <w:szCs w:val="22"/>
        </w:rPr>
        <w:t>（盖单位章）</w:t>
      </w:r>
    </w:p>
    <w:p w14:paraId="051109C9">
      <w:pPr>
        <w:wordWrap w:val="0"/>
        <w:autoSpaceDE w:val="0"/>
        <w:autoSpaceDN w:val="0"/>
        <w:adjustRightInd w:val="0"/>
        <w:spacing w:line="440" w:lineRule="exact"/>
        <w:ind w:firstLine="1650" w:firstLineChars="750"/>
        <w:jc w:val="right"/>
        <w:rPr>
          <w:rFonts w:ascii="宋体" w:hAnsi="宋体" w:cs="黑体"/>
          <w:color w:val="auto"/>
          <w:kern w:val="0"/>
          <w:sz w:val="22"/>
          <w:szCs w:val="22"/>
        </w:rPr>
      </w:pPr>
      <w:r>
        <w:rPr>
          <w:rFonts w:hint="eastAsia" w:ascii="宋体" w:hAnsi="宋体" w:cs="黑体"/>
          <w:color w:val="auto"/>
          <w:kern w:val="0"/>
          <w:sz w:val="22"/>
          <w:szCs w:val="22"/>
        </w:rPr>
        <w:t>日期：        年</w:t>
      </w:r>
      <w:r>
        <w:rPr>
          <w:rFonts w:ascii="宋体" w:hAnsi="宋体" w:cs="黑体"/>
          <w:color w:val="auto"/>
          <w:kern w:val="0"/>
          <w:sz w:val="22"/>
          <w:szCs w:val="22"/>
        </w:rPr>
        <w:t xml:space="preserve"> </w:t>
      </w:r>
      <w:r>
        <w:rPr>
          <w:rFonts w:hint="eastAsia" w:ascii="宋体" w:hAnsi="宋体" w:cs="黑体"/>
          <w:color w:val="auto"/>
          <w:kern w:val="0"/>
          <w:sz w:val="22"/>
          <w:szCs w:val="22"/>
        </w:rPr>
        <w:t xml:space="preserve">     月</w:t>
      </w:r>
      <w:r>
        <w:rPr>
          <w:rFonts w:ascii="宋体" w:hAnsi="宋体" w:cs="黑体"/>
          <w:color w:val="auto"/>
          <w:kern w:val="0"/>
          <w:sz w:val="22"/>
          <w:szCs w:val="22"/>
        </w:rPr>
        <w:t xml:space="preserve"> </w:t>
      </w:r>
      <w:r>
        <w:rPr>
          <w:rFonts w:hint="eastAsia" w:ascii="宋体" w:hAnsi="宋体" w:cs="黑体"/>
          <w:color w:val="auto"/>
          <w:kern w:val="0"/>
          <w:sz w:val="22"/>
          <w:szCs w:val="22"/>
        </w:rPr>
        <w:t xml:space="preserve">      日</w:t>
      </w:r>
    </w:p>
    <w:p w14:paraId="5969E869">
      <w:pPr>
        <w:autoSpaceDE w:val="0"/>
        <w:autoSpaceDN w:val="0"/>
        <w:adjustRightInd w:val="0"/>
        <w:jc w:val="left"/>
        <w:rPr>
          <w:rFonts w:ascii="宋体" w:hAnsi="宋体" w:cs="黑体"/>
          <w:color w:val="auto"/>
          <w:kern w:val="0"/>
          <w:sz w:val="22"/>
          <w:szCs w:val="22"/>
        </w:rPr>
      </w:pPr>
    </w:p>
    <w:p w14:paraId="636F35D9">
      <w:pPr>
        <w:spacing w:line="380" w:lineRule="exact"/>
        <w:jc w:val="center"/>
        <w:rPr>
          <w:rFonts w:ascii="宋体" w:hAnsi="宋体"/>
          <w:b/>
          <w:color w:val="auto"/>
          <w:sz w:val="24"/>
        </w:rPr>
      </w:pPr>
    </w:p>
    <w:p w14:paraId="75889367">
      <w:pPr>
        <w:pStyle w:val="36"/>
        <w:rPr>
          <w:rFonts w:ascii="宋体" w:hAnsi="宋体"/>
          <w:b/>
          <w:color w:val="auto"/>
          <w:sz w:val="24"/>
        </w:rPr>
      </w:pPr>
    </w:p>
    <w:p w14:paraId="21CA8146">
      <w:pPr>
        <w:spacing w:line="380" w:lineRule="exact"/>
        <w:rPr>
          <w:rFonts w:ascii="宋体" w:hAnsi="宋体"/>
          <w:b/>
          <w:color w:val="auto"/>
          <w:sz w:val="24"/>
        </w:rPr>
      </w:pPr>
      <w:r>
        <w:rPr>
          <w:rFonts w:hint="eastAsia" w:ascii="宋体" w:hAnsi="宋体"/>
          <w:b/>
          <w:color w:val="auto"/>
          <w:sz w:val="24"/>
        </w:rPr>
        <w:t>附：法定代表人身份证明</w:t>
      </w:r>
    </w:p>
    <w:tbl>
      <w:tblPr>
        <w:tblStyle w:val="38"/>
        <w:tblpPr w:leftFromText="180" w:rightFromText="180" w:vertAnchor="text" w:horzAnchor="page" w:tblpX="1260" w:tblpY="1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1"/>
      </w:tblGrid>
      <w:tr w14:paraId="25E71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9691" w:type="dxa"/>
          </w:tcPr>
          <w:p w14:paraId="7AF85C20">
            <w:pPr>
              <w:spacing w:line="440" w:lineRule="exact"/>
              <w:rPr>
                <w:rFonts w:ascii="宋体" w:hAnsi="宋体"/>
                <w:color w:val="auto"/>
                <w:sz w:val="22"/>
                <w:szCs w:val="22"/>
              </w:rPr>
            </w:pPr>
          </w:p>
          <w:p w14:paraId="755C911B">
            <w:pPr>
              <w:spacing w:line="440" w:lineRule="exact"/>
              <w:rPr>
                <w:rFonts w:ascii="宋体" w:hAnsi="宋体"/>
                <w:color w:val="auto"/>
                <w:sz w:val="22"/>
                <w:szCs w:val="22"/>
              </w:rPr>
            </w:pPr>
          </w:p>
          <w:p w14:paraId="7CE06421">
            <w:pPr>
              <w:spacing w:line="440" w:lineRule="exact"/>
              <w:rPr>
                <w:rFonts w:ascii="宋体" w:hAnsi="宋体"/>
                <w:color w:val="auto"/>
                <w:sz w:val="22"/>
                <w:szCs w:val="22"/>
              </w:rPr>
            </w:pPr>
          </w:p>
          <w:p w14:paraId="623B8709">
            <w:pPr>
              <w:spacing w:line="440" w:lineRule="exact"/>
              <w:jc w:val="center"/>
              <w:rPr>
                <w:rFonts w:ascii="宋体" w:hAnsi="宋体"/>
                <w:color w:val="auto"/>
                <w:sz w:val="22"/>
                <w:szCs w:val="22"/>
              </w:rPr>
            </w:pPr>
            <w:r>
              <w:rPr>
                <w:rFonts w:hint="eastAsia" w:ascii="宋体" w:hAnsi="宋体"/>
                <w:color w:val="auto"/>
                <w:sz w:val="22"/>
                <w:szCs w:val="22"/>
              </w:rPr>
              <w:t>法人代表身份证复印件（扫描件）</w:t>
            </w:r>
          </w:p>
        </w:tc>
      </w:tr>
    </w:tbl>
    <w:p w14:paraId="24FD5809">
      <w:pPr>
        <w:spacing w:line="380" w:lineRule="exact"/>
        <w:jc w:val="center"/>
        <w:rPr>
          <w:rFonts w:ascii="宋体" w:hAnsi="宋体"/>
          <w:b/>
          <w:color w:val="auto"/>
          <w:sz w:val="24"/>
        </w:rPr>
      </w:pPr>
      <w:r>
        <w:rPr>
          <w:rFonts w:ascii="宋体" w:hAnsi="宋体"/>
          <w:b/>
          <w:color w:val="auto"/>
          <w:sz w:val="24"/>
        </w:rPr>
        <w:br w:type="page"/>
      </w:r>
      <w:r>
        <w:rPr>
          <w:rFonts w:hint="eastAsia" w:ascii="宋体" w:hAnsi="宋体"/>
          <w:b/>
          <w:color w:val="auto"/>
          <w:sz w:val="24"/>
        </w:rPr>
        <w:t>（2）法定代表人授权书</w:t>
      </w:r>
    </w:p>
    <w:p w14:paraId="711D6681">
      <w:pPr>
        <w:spacing w:line="460" w:lineRule="exact"/>
        <w:rPr>
          <w:rFonts w:ascii="宋体" w:hAnsi="宋体"/>
          <w:color w:val="auto"/>
          <w:sz w:val="22"/>
          <w:szCs w:val="22"/>
        </w:rPr>
      </w:pPr>
    </w:p>
    <w:p w14:paraId="755CF41E">
      <w:pPr>
        <w:spacing w:line="460" w:lineRule="exact"/>
        <w:rPr>
          <w:rFonts w:ascii="宋体" w:hAnsi="宋体"/>
          <w:b/>
          <w:color w:val="auto"/>
          <w:sz w:val="24"/>
        </w:rPr>
      </w:pPr>
      <w:r>
        <w:rPr>
          <w:rFonts w:hint="eastAsia" w:ascii="宋体" w:hAnsi="宋体"/>
          <w:b/>
          <w:color w:val="auto"/>
          <w:sz w:val="24"/>
          <w:lang w:eastAsia="zh-CN"/>
        </w:rPr>
        <w:t>温州市特殊教育学校</w:t>
      </w:r>
      <w:r>
        <w:rPr>
          <w:rFonts w:hint="eastAsia" w:ascii="宋体" w:hAnsi="宋体"/>
          <w:b/>
          <w:color w:val="auto"/>
          <w:sz w:val="24"/>
        </w:rPr>
        <w:t>：</w:t>
      </w:r>
    </w:p>
    <w:p w14:paraId="55BDB4EF">
      <w:pPr>
        <w:spacing w:line="440" w:lineRule="exact"/>
        <w:rPr>
          <w:rFonts w:ascii="宋体" w:hAnsi="宋体"/>
          <w:color w:val="auto"/>
          <w:sz w:val="22"/>
          <w:szCs w:val="22"/>
          <w:u w:val="single"/>
        </w:rPr>
      </w:pPr>
    </w:p>
    <w:p w14:paraId="0078EC7F">
      <w:pPr>
        <w:spacing w:line="440" w:lineRule="exact"/>
        <w:ind w:firstLine="550" w:firstLineChars="250"/>
        <w:rPr>
          <w:rFonts w:ascii="宋体" w:hAnsi="宋体" w:cs="宋体"/>
          <w:color w:val="auto"/>
          <w:sz w:val="22"/>
        </w:rPr>
      </w:pPr>
      <w:r>
        <w:rPr>
          <w:rFonts w:hint="eastAsia" w:ascii="宋体" w:hAnsi="宋体" w:cs="宋体"/>
          <w:color w:val="auto"/>
          <w:sz w:val="22"/>
          <w:u w:val="single"/>
        </w:rPr>
        <w:t xml:space="preserve">本人       </w:t>
      </w:r>
      <w:r>
        <w:rPr>
          <w:rFonts w:hint="eastAsia" w:ascii="宋体" w:hAnsi="宋体" w:cs="宋体"/>
          <w:color w:val="auto"/>
          <w:sz w:val="22"/>
        </w:rPr>
        <w:t>（姓名）系</w:t>
      </w:r>
      <w:r>
        <w:rPr>
          <w:rFonts w:hint="eastAsia" w:ascii="宋体" w:hAnsi="宋体" w:cs="宋体"/>
          <w:color w:val="auto"/>
          <w:sz w:val="22"/>
          <w:u w:val="single"/>
        </w:rPr>
        <w:t xml:space="preserve">          </w:t>
      </w:r>
      <w:r>
        <w:rPr>
          <w:rFonts w:hint="eastAsia" w:ascii="宋体" w:hAnsi="宋体" w:cs="宋体"/>
          <w:color w:val="auto"/>
          <w:sz w:val="22"/>
        </w:rPr>
        <w:t>（磋商供应商全称）的法定代表人，现委托</w:t>
      </w:r>
      <w:r>
        <w:rPr>
          <w:rFonts w:hint="eastAsia" w:ascii="宋体" w:hAnsi="宋体" w:cs="宋体"/>
          <w:color w:val="auto"/>
          <w:sz w:val="22"/>
          <w:u w:val="single"/>
        </w:rPr>
        <w:t xml:space="preserve">           </w:t>
      </w:r>
      <w:r>
        <w:rPr>
          <w:rFonts w:hint="eastAsia" w:ascii="宋体" w:hAnsi="宋体" w:cs="宋体"/>
          <w:color w:val="auto"/>
          <w:sz w:val="22"/>
        </w:rPr>
        <w:t>（全权代表姓名）为我方授权代表。代理人根据授权，以我方名义签署、澄清、说明、补正、递交、撤回、修改</w:t>
      </w:r>
      <w:r>
        <w:rPr>
          <w:rFonts w:hint="eastAsia" w:ascii="宋体" w:hAnsi="宋体" w:cs="宋体"/>
          <w:color w:val="auto"/>
          <w:sz w:val="22"/>
          <w:u w:val="single"/>
        </w:rPr>
        <w:t xml:space="preserve">               </w:t>
      </w:r>
      <w:r>
        <w:rPr>
          <w:rFonts w:hint="eastAsia" w:ascii="宋体" w:hAnsi="宋体" w:cs="宋体"/>
          <w:color w:val="auto"/>
          <w:sz w:val="22"/>
        </w:rPr>
        <w:t>（项目名称、编号）响应文件、签订合同和处理有关事宜，其法律后果由我方承担。</w:t>
      </w:r>
    </w:p>
    <w:p w14:paraId="6A01B814">
      <w:pPr>
        <w:spacing w:line="440" w:lineRule="exact"/>
        <w:rPr>
          <w:rFonts w:ascii="宋体" w:hAnsi="宋体" w:cs="宋体"/>
          <w:color w:val="auto"/>
          <w:sz w:val="22"/>
          <w:u w:val="single"/>
        </w:rPr>
      </w:pPr>
      <w:r>
        <w:rPr>
          <w:rFonts w:hint="eastAsia" w:ascii="宋体" w:hAnsi="宋体" w:cs="宋体"/>
          <w:color w:val="auto"/>
          <w:sz w:val="22"/>
        </w:rPr>
        <w:t xml:space="preserve">    委托期限：</w:t>
      </w:r>
      <w:r>
        <w:rPr>
          <w:rFonts w:hint="eastAsia" w:ascii="宋体" w:hAnsi="宋体" w:cs="宋体"/>
          <w:color w:val="auto"/>
          <w:sz w:val="22"/>
          <w:u w:val="single"/>
        </w:rPr>
        <w:t xml:space="preserve">                                </w:t>
      </w:r>
    </w:p>
    <w:p w14:paraId="3448F3C7">
      <w:pPr>
        <w:spacing w:line="440" w:lineRule="exact"/>
        <w:rPr>
          <w:rFonts w:ascii="宋体" w:hAnsi="宋体" w:cs="宋体"/>
          <w:color w:val="auto"/>
          <w:sz w:val="22"/>
        </w:rPr>
      </w:pPr>
      <w:r>
        <w:rPr>
          <w:rFonts w:hint="eastAsia" w:ascii="宋体" w:hAnsi="宋体" w:cs="宋体"/>
          <w:color w:val="auto"/>
          <w:sz w:val="22"/>
        </w:rPr>
        <w:t xml:space="preserve">    代理人无转委托权。</w:t>
      </w:r>
    </w:p>
    <w:p w14:paraId="3954DFB6">
      <w:pPr>
        <w:spacing w:line="440" w:lineRule="exact"/>
        <w:ind w:firstLine="2955"/>
        <w:rPr>
          <w:rFonts w:ascii="宋体" w:hAnsi="宋体" w:cs="宋体"/>
          <w:color w:val="auto"/>
          <w:sz w:val="22"/>
        </w:rPr>
      </w:pPr>
      <w:r>
        <w:rPr>
          <w:rFonts w:hint="eastAsia" w:ascii="宋体" w:hAnsi="宋体" w:cs="宋体"/>
          <w:color w:val="auto"/>
          <w:sz w:val="22"/>
        </w:rPr>
        <w:t xml:space="preserve">          </w:t>
      </w:r>
    </w:p>
    <w:p w14:paraId="5E4740CE">
      <w:pPr>
        <w:spacing w:line="440" w:lineRule="exact"/>
        <w:ind w:firstLine="4191" w:firstLineChars="1905"/>
        <w:rPr>
          <w:rFonts w:ascii="宋体" w:hAnsi="宋体" w:cs="宋体"/>
          <w:color w:val="auto"/>
          <w:sz w:val="22"/>
        </w:rPr>
      </w:pPr>
      <w:r>
        <w:rPr>
          <w:rFonts w:hint="eastAsia" w:ascii="宋体" w:hAnsi="宋体" w:cs="宋体"/>
          <w:color w:val="auto"/>
          <w:sz w:val="22"/>
        </w:rPr>
        <w:t>法定代表人（签字/电子签字）：</w:t>
      </w:r>
    </w:p>
    <w:p w14:paraId="1231BE64">
      <w:pPr>
        <w:spacing w:line="440" w:lineRule="exact"/>
        <w:ind w:firstLine="2955"/>
        <w:rPr>
          <w:rFonts w:ascii="宋体" w:hAnsi="宋体" w:cs="宋体"/>
          <w:color w:val="auto"/>
          <w:sz w:val="22"/>
        </w:rPr>
      </w:pPr>
      <w:r>
        <w:rPr>
          <w:rFonts w:hint="eastAsia" w:ascii="宋体" w:hAnsi="宋体" w:cs="宋体"/>
          <w:color w:val="auto"/>
          <w:sz w:val="22"/>
        </w:rPr>
        <w:t xml:space="preserve">           磋商供应商全称（电子签名/公章）：</w:t>
      </w:r>
    </w:p>
    <w:p w14:paraId="563E3148">
      <w:pPr>
        <w:spacing w:line="440" w:lineRule="exact"/>
        <w:ind w:firstLine="2955"/>
        <w:rPr>
          <w:rFonts w:ascii="宋体" w:hAnsi="宋体" w:cs="宋体"/>
          <w:color w:val="auto"/>
          <w:sz w:val="22"/>
        </w:rPr>
      </w:pPr>
      <w:r>
        <w:rPr>
          <w:rFonts w:hint="eastAsia" w:ascii="宋体" w:hAnsi="宋体" w:cs="宋体"/>
          <w:color w:val="auto"/>
          <w:sz w:val="22"/>
        </w:rPr>
        <w:t xml:space="preserve">           日期：      年    月    日</w:t>
      </w:r>
    </w:p>
    <w:p w14:paraId="050AFEAF">
      <w:pPr>
        <w:spacing w:line="440" w:lineRule="exact"/>
        <w:rPr>
          <w:rFonts w:ascii="宋体" w:hAnsi="宋体"/>
          <w:color w:val="auto"/>
          <w:sz w:val="22"/>
          <w:szCs w:val="22"/>
        </w:rPr>
      </w:pPr>
    </w:p>
    <w:p w14:paraId="5A7E50B6">
      <w:pPr>
        <w:spacing w:line="440" w:lineRule="exact"/>
        <w:rPr>
          <w:rFonts w:ascii="宋体" w:hAnsi="宋体"/>
          <w:color w:val="auto"/>
          <w:sz w:val="22"/>
          <w:szCs w:val="22"/>
        </w:rPr>
      </w:pPr>
      <w:r>
        <w:rPr>
          <w:rFonts w:hint="eastAsia" w:ascii="宋体" w:hAnsi="宋体"/>
          <w:color w:val="auto"/>
          <w:sz w:val="22"/>
          <w:szCs w:val="22"/>
        </w:rPr>
        <w:t>附：</w:t>
      </w:r>
    </w:p>
    <w:p w14:paraId="51A74D77">
      <w:pPr>
        <w:spacing w:line="440" w:lineRule="exact"/>
        <w:ind w:firstLine="220" w:firstLineChars="100"/>
        <w:rPr>
          <w:rFonts w:ascii="宋体" w:hAnsi="宋体"/>
          <w:color w:val="auto"/>
          <w:sz w:val="22"/>
          <w:szCs w:val="22"/>
        </w:rPr>
      </w:pPr>
      <w:r>
        <w:rPr>
          <w:rFonts w:hint="eastAsia" w:ascii="宋体" w:hAnsi="宋体"/>
          <w:color w:val="auto"/>
          <w:sz w:val="22"/>
          <w:szCs w:val="22"/>
        </w:rPr>
        <w:t>授权代表姓名：</w:t>
      </w:r>
    </w:p>
    <w:p w14:paraId="1A58D119">
      <w:pPr>
        <w:spacing w:line="440" w:lineRule="exact"/>
        <w:ind w:firstLine="220" w:firstLineChars="100"/>
        <w:rPr>
          <w:rFonts w:ascii="宋体" w:hAnsi="宋体"/>
          <w:color w:val="auto"/>
          <w:sz w:val="22"/>
          <w:szCs w:val="22"/>
        </w:rPr>
      </w:pPr>
      <w:r>
        <w:rPr>
          <w:rFonts w:hint="eastAsia" w:ascii="宋体" w:hAnsi="宋体"/>
          <w:color w:val="auto"/>
          <w:sz w:val="22"/>
          <w:szCs w:val="22"/>
        </w:rPr>
        <w:t>身份证号码：</w:t>
      </w:r>
    </w:p>
    <w:p w14:paraId="7C74CA01">
      <w:pPr>
        <w:spacing w:line="440" w:lineRule="exact"/>
        <w:ind w:firstLine="220" w:firstLineChars="100"/>
        <w:rPr>
          <w:rFonts w:ascii="宋体" w:hAnsi="宋体"/>
          <w:color w:val="auto"/>
          <w:sz w:val="22"/>
          <w:szCs w:val="22"/>
        </w:rPr>
      </w:pPr>
      <w:r>
        <w:rPr>
          <w:rFonts w:hint="eastAsia" w:ascii="宋体" w:hAnsi="宋体"/>
          <w:color w:val="auto"/>
          <w:sz w:val="22"/>
          <w:szCs w:val="22"/>
        </w:rPr>
        <w:t>职务：</w:t>
      </w:r>
    </w:p>
    <w:p w14:paraId="1191B83E">
      <w:pPr>
        <w:spacing w:line="440" w:lineRule="exact"/>
        <w:ind w:firstLine="220" w:firstLineChars="100"/>
        <w:rPr>
          <w:rFonts w:ascii="宋体" w:hAnsi="宋体"/>
          <w:color w:val="auto"/>
          <w:sz w:val="22"/>
          <w:szCs w:val="22"/>
        </w:rPr>
      </w:pPr>
      <w:r>
        <w:rPr>
          <w:rFonts w:hint="eastAsia" w:ascii="宋体" w:hAnsi="宋体"/>
          <w:color w:val="auto"/>
          <w:sz w:val="22"/>
          <w:szCs w:val="22"/>
        </w:rPr>
        <w:t>手机号码：</w:t>
      </w:r>
    </w:p>
    <w:p w14:paraId="2FE2C493">
      <w:pPr>
        <w:spacing w:line="440" w:lineRule="exact"/>
        <w:rPr>
          <w:color w:val="auto"/>
        </w:rPr>
      </w:pPr>
      <w:r>
        <w:rPr>
          <w:rFonts w:hint="eastAsia" w:ascii="宋体" w:hAnsi="宋体"/>
          <w:b/>
          <w:color w:val="auto"/>
          <w:sz w:val="24"/>
        </w:rPr>
        <w:t>附：授权代表身份证明</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7"/>
      </w:tblGrid>
      <w:tr w14:paraId="6501E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9727" w:type="dxa"/>
          </w:tcPr>
          <w:p w14:paraId="26B688C4">
            <w:pPr>
              <w:spacing w:line="440" w:lineRule="exact"/>
              <w:rPr>
                <w:rFonts w:ascii="宋体" w:hAnsi="宋体"/>
                <w:color w:val="auto"/>
                <w:sz w:val="22"/>
                <w:szCs w:val="22"/>
              </w:rPr>
            </w:pPr>
          </w:p>
          <w:p w14:paraId="394AD24C">
            <w:pPr>
              <w:spacing w:line="440" w:lineRule="exact"/>
              <w:rPr>
                <w:rFonts w:ascii="宋体" w:hAnsi="宋体"/>
                <w:color w:val="auto"/>
                <w:sz w:val="22"/>
                <w:szCs w:val="22"/>
              </w:rPr>
            </w:pPr>
          </w:p>
          <w:p w14:paraId="6AEB0F54">
            <w:pPr>
              <w:spacing w:line="440" w:lineRule="exact"/>
              <w:rPr>
                <w:rFonts w:ascii="宋体" w:hAnsi="宋体"/>
                <w:color w:val="auto"/>
                <w:sz w:val="22"/>
                <w:szCs w:val="22"/>
              </w:rPr>
            </w:pPr>
          </w:p>
          <w:p w14:paraId="087A393C">
            <w:pPr>
              <w:spacing w:line="440" w:lineRule="exact"/>
              <w:jc w:val="center"/>
              <w:rPr>
                <w:rFonts w:ascii="宋体" w:hAnsi="宋体"/>
                <w:color w:val="auto"/>
                <w:sz w:val="22"/>
                <w:szCs w:val="22"/>
              </w:rPr>
            </w:pPr>
            <w:r>
              <w:rPr>
                <w:rFonts w:hint="eastAsia" w:ascii="宋体" w:hAnsi="宋体"/>
                <w:color w:val="auto"/>
                <w:sz w:val="22"/>
                <w:szCs w:val="22"/>
              </w:rPr>
              <w:t>授权代表身份证复印件（扫描件）</w:t>
            </w:r>
          </w:p>
        </w:tc>
      </w:tr>
    </w:tbl>
    <w:p w14:paraId="7031E3DA">
      <w:pPr>
        <w:spacing w:line="440" w:lineRule="exact"/>
        <w:rPr>
          <w:rFonts w:ascii="宋体" w:hAnsi="宋体"/>
          <w:b/>
          <w:bCs/>
          <w:color w:val="auto"/>
          <w:sz w:val="22"/>
          <w:szCs w:val="22"/>
        </w:rPr>
      </w:pPr>
    </w:p>
    <w:p w14:paraId="70DEEB60">
      <w:pPr>
        <w:spacing w:line="440" w:lineRule="exact"/>
        <w:rPr>
          <w:rFonts w:ascii="宋体" w:hAnsi="宋体"/>
          <w:b/>
          <w:bCs/>
          <w:color w:val="auto"/>
          <w:sz w:val="22"/>
          <w:szCs w:val="22"/>
        </w:rPr>
      </w:pPr>
    </w:p>
    <w:p w14:paraId="4C770B90">
      <w:pPr>
        <w:spacing w:line="440" w:lineRule="exact"/>
        <w:rPr>
          <w:rFonts w:ascii="宋体" w:hAnsi="宋体"/>
          <w:b/>
          <w:bCs/>
          <w:color w:val="auto"/>
          <w:sz w:val="22"/>
          <w:szCs w:val="22"/>
        </w:rPr>
      </w:pPr>
    </w:p>
    <w:p w14:paraId="2DD041FF">
      <w:pPr>
        <w:spacing w:line="460" w:lineRule="exact"/>
        <w:rPr>
          <w:rFonts w:ascii="新宋体" w:hAnsi="新宋体" w:eastAsia="新宋体"/>
          <w:b/>
          <w:bCs/>
          <w:color w:val="auto"/>
          <w:sz w:val="28"/>
          <w:szCs w:val="28"/>
        </w:rPr>
        <w:sectPr>
          <w:pgSz w:w="11906" w:h="16838"/>
          <w:pgMar w:top="1134" w:right="1134" w:bottom="1134" w:left="1134" w:header="851" w:footer="992" w:gutter="0"/>
          <w:cols w:space="720" w:num="1"/>
          <w:docGrid w:linePitch="312" w:charSpace="0"/>
        </w:sectPr>
      </w:pPr>
    </w:p>
    <w:p w14:paraId="1B09DAEE">
      <w:pPr>
        <w:spacing w:line="380" w:lineRule="exact"/>
        <w:jc w:val="center"/>
        <w:rPr>
          <w:rFonts w:ascii="宋体" w:hAnsi="宋体"/>
          <w:b/>
          <w:color w:val="auto"/>
          <w:sz w:val="24"/>
        </w:rPr>
      </w:pPr>
      <w:r>
        <w:rPr>
          <w:rFonts w:hint="eastAsia" w:ascii="宋体" w:hAnsi="宋体"/>
          <w:b/>
          <w:color w:val="auto"/>
          <w:sz w:val="24"/>
        </w:rPr>
        <w:t>（3）</w:t>
      </w:r>
      <w:r>
        <w:rPr>
          <w:rFonts w:ascii="宋体" w:hAnsi="宋体"/>
          <w:b/>
          <w:color w:val="auto"/>
          <w:sz w:val="24"/>
        </w:rPr>
        <w:t>符合参加政府采购活动应当具备的一般条件的承诺函</w:t>
      </w:r>
    </w:p>
    <w:p w14:paraId="10B256EB">
      <w:pPr>
        <w:snapToGrid w:val="0"/>
        <w:spacing w:line="360" w:lineRule="auto"/>
        <w:rPr>
          <w:rFonts w:ascii="宋体" w:hAnsi="宋体" w:cs="仿宋_GB2312"/>
          <w:b/>
          <w:bCs/>
          <w:color w:val="auto"/>
          <w:sz w:val="22"/>
        </w:rPr>
      </w:pPr>
    </w:p>
    <w:p w14:paraId="01FB6CD3">
      <w:pPr>
        <w:snapToGrid w:val="0"/>
        <w:spacing w:line="360" w:lineRule="auto"/>
        <w:rPr>
          <w:rFonts w:ascii="宋体" w:hAnsi="宋体" w:cs="仿宋_GB2312"/>
          <w:b/>
          <w:bCs/>
          <w:color w:val="auto"/>
          <w:sz w:val="22"/>
        </w:rPr>
      </w:pPr>
      <w:r>
        <w:rPr>
          <w:rFonts w:hint="eastAsia" w:ascii="宋体" w:hAnsi="宋体" w:cs="仿宋_GB2312"/>
          <w:b/>
          <w:bCs/>
          <w:color w:val="auto"/>
          <w:sz w:val="22"/>
          <w:lang w:eastAsia="zh-CN"/>
        </w:rPr>
        <w:t>温州市特殊教育学校</w:t>
      </w:r>
      <w:r>
        <w:rPr>
          <w:rFonts w:hint="eastAsia" w:ascii="宋体" w:hAnsi="宋体" w:cs="仿宋_GB2312"/>
          <w:b/>
          <w:bCs/>
          <w:color w:val="auto"/>
          <w:sz w:val="22"/>
        </w:rPr>
        <w:t>、温州正风招标代理有限公司：</w:t>
      </w:r>
    </w:p>
    <w:p w14:paraId="2AC804E1">
      <w:pPr>
        <w:snapToGrid w:val="0"/>
        <w:spacing w:line="360" w:lineRule="auto"/>
        <w:ind w:firstLine="440" w:firstLineChars="200"/>
        <w:rPr>
          <w:rFonts w:ascii="宋体" w:hAnsi="宋体" w:cs="仿宋_GB2312"/>
          <w:color w:val="auto"/>
          <w:sz w:val="22"/>
        </w:rPr>
      </w:pPr>
      <w:r>
        <w:rPr>
          <w:rFonts w:hint="eastAsia" w:ascii="宋体" w:hAnsi="宋体" w:cs="仿宋_GB2312"/>
          <w:color w:val="auto"/>
          <w:sz w:val="22"/>
        </w:rPr>
        <w:t>我方参与</w:t>
      </w:r>
      <w:r>
        <w:rPr>
          <w:rFonts w:hint="eastAsia" w:ascii="宋体" w:hAnsi="宋体" w:cs="仿宋_GB2312"/>
          <w:color w:val="auto"/>
          <w:sz w:val="22"/>
          <w:u w:val="single"/>
        </w:rPr>
        <w:t xml:space="preserve"> </w:t>
      </w:r>
      <w:r>
        <w:rPr>
          <w:rFonts w:ascii="宋体" w:hAnsi="宋体" w:cs="仿宋_GB2312"/>
          <w:color w:val="auto"/>
          <w:sz w:val="22"/>
          <w:u w:val="single"/>
        </w:rPr>
        <w:t xml:space="preserve">     </w:t>
      </w:r>
      <w:r>
        <w:rPr>
          <w:rFonts w:hint="eastAsia" w:ascii="宋体" w:hAnsi="宋体" w:cs="仿宋_GB2312"/>
          <w:color w:val="auto"/>
          <w:sz w:val="22"/>
          <w:u w:val="single"/>
        </w:rPr>
        <w:t>（项目名称）【项目编号：】</w:t>
      </w:r>
      <w:r>
        <w:rPr>
          <w:rFonts w:hint="eastAsia" w:ascii="宋体" w:hAnsi="宋体" w:cs="仿宋_GB2312"/>
          <w:color w:val="auto"/>
          <w:sz w:val="22"/>
        </w:rPr>
        <w:t>政府采购活动，郑重承诺：</w:t>
      </w:r>
    </w:p>
    <w:p w14:paraId="5F8AC82D">
      <w:pPr>
        <w:snapToGrid w:val="0"/>
        <w:spacing w:line="360" w:lineRule="auto"/>
        <w:ind w:firstLine="330" w:firstLineChars="150"/>
        <w:rPr>
          <w:rFonts w:ascii="宋体" w:hAnsi="宋体" w:cs="仿宋_GB2312"/>
          <w:color w:val="auto"/>
          <w:sz w:val="22"/>
        </w:rPr>
      </w:pPr>
      <w:r>
        <w:rPr>
          <w:rFonts w:hint="eastAsia" w:ascii="宋体" w:hAnsi="宋体" w:cs="仿宋_GB2312"/>
          <w:color w:val="auto"/>
          <w:sz w:val="22"/>
        </w:rPr>
        <w:t>（一）具备《中华人民共和国政府采购法》第二十二条第一款规定的条件：</w:t>
      </w:r>
    </w:p>
    <w:p w14:paraId="46BEA3C2">
      <w:pPr>
        <w:snapToGrid w:val="0"/>
        <w:spacing w:line="360" w:lineRule="auto"/>
        <w:ind w:firstLine="440" w:firstLineChars="200"/>
        <w:rPr>
          <w:rFonts w:ascii="宋体" w:hAnsi="宋体" w:cs="仿宋_GB2312"/>
          <w:color w:val="auto"/>
          <w:sz w:val="22"/>
        </w:rPr>
      </w:pPr>
      <w:r>
        <w:rPr>
          <w:rFonts w:hint="eastAsia" w:ascii="宋体" w:hAnsi="宋体" w:cs="仿宋_GB2312"/>
          <w:color w:val="auto"/>
          <w:sz w:val="22"/>
        </w:rPr>
        <w:t>1、</w:t>
      </w:r>
      <w:r>
        <w:rPr>
          <w:rFonts w:ascii="宋体" w:hAnsi="宋体" w:cs="仿宋_GB2312"/>
          <w:color w:val="auto"/>
          <w:sz w:val="22"/>
        </w:rPr>
        <w:t>具有独立承担民事责任的能力；</w:t>
      </w:r>
    </w:p>
    <w:p w14:paraId="55585B68">
      <w:pPr>
        <w:snapToGrid w:val="0"/>
        <w:spacing w:line="360" w:lineRule="auto"/>
        <w:ind w:firstLine="440" w:firstLineChars="200"/>
        <w:rPr>
          <w:rFonts w:ascii="宋体" w:hAnsi="宋体"/>
          <w:color w:val="auto"/>
          <w:sz w:val="22"/>
        </w:rPr>
      </w:pPr>
      <w:r>
        <w:rPr>
          <w:rFonts w:hint="eastAsia" w:ascii="宋体" w:hAnsi="宋体"/>
          <w:color w:val="auto"/>
          <w:sz w:val="22"/>
        </w:rPr>
        <w:t>2、</w:t>
      </w:r>
      <w:r>
        <w:rPr>
          <w:rFonts w:ascii="宋体" w:hAnsi="宋体"/>
          <w:color w:val="auto"/>
          <w:sz w:val="22"/>
        </w:rPr>
        <w:t xml:space="preserve">具有良好的商业信誉和健全的财务会计制度； </w:t>
      </w:r>
    </w:p>
    <w:p w14:paraId="25E26F93">
      <w:pPr>
        <w:snapToGrid w:val="0"/>
        <w:spacing w:line="360" w:lineRule="auto"/>
        <w:ind w:firstLine="440" w:firstLineChars="200"/>
        <w:rPr>
          <w:rFonts w:ascii="宋体" w:hAnsi="宋体"/>
          <w:color w:val="auto"/>
          <w:sz w:val="22"/>
        </w:rPr>
      </w:pPr>
      <w:r>
        <w:rPr>
          <w:rFonts w:hint="eastAsia" w:ascii="宋体" w:hAnsi="宋体"/>
          <w:color w:val="auto"/>
          <w:sz w:val="22"/>
        </w:rPr>
        <w:t>3、</w:t>
      </w:r>
      <w:r>
        <w:rPr>
          <w:rFonts w:ascii="宋体" w:hAnsi="宋体"/>
          <w:color w:val="auto"/>
          <w:sz w:val="22"/>
        </w:rPr>
        <w:t>具有履行合同所必需的设备和专业技术能力；</w:t>
      </w:r>
    </w:p>
    <w:p w14:paraId="5A6C1965">
      <w:pPr>
        <w:snapToGrid w:val="0"/>
        <w:spacing w:line="360" w:lineRule="auto"/>
        <w:ind w:firstLine="440" w:firstLineChars="200"/>
        <w:rPr>
          <w:rFonts w:ascii="宋体" w:hAnsi="宋体"/>
          <w:color w:val="auto"/>
          <w:sz w:val="22"/>
        </w:rPr>
      </w:pPr>
      <w:r>
        <w:rPr>
          <w:rFonts w:hint="eastAsia" w:ascii="宋体" w:hAnsi="宋体"/>
          <w:color w:val="auto"/>
          <w:sz w:val="22"/>
        </w:rPr>
        <w:t>4、</w:t>
      </w:r>
      <w:r>
        <w:rPr>
          <w:rFonts w:ascii="宋体" w:hAnsi="宋体"/>
          <w:color w:val="auto"/>
          <w:sz w:val="22"/>
        </w:rPr>
        <w:t>有依法缴纳税收和社会保障资金的良好记录；</w:t>
      </w:r>
    </w:p>
    <w:p w14:paraId="010ABED4">
      <w:pPr>
        <w:snapToGrid w:val="0"/>
        <w:spacing w:line="360" w:lineRule="auto"/>
        <w:ind w:firstLine="440" w:firstLineChars="200"/>
        <w:rPr>
          <w:rFonts w:ascii="宋体" w:hAnsi="宋体"/>
          <w:color w:val="auto"/>
          <w:sz w:val="22"/>
        </w:rPr>
      </w:pPr>
      <w:r>
        <w:rPr>
          <w:rFonts w:hint="eastAsia" w:ascii="宋体" w:hAnsi="宋体"/>
          <w:color w:val="auto"/>
          <w:sz w:val="22"/>
        </w:rPr>
        <w:t>5、</w:t>
      </w:r>
      <w:r>
        <w:rPr>
          <w:rFonts w:ascii="宋体" w:hAnsi="宋体"/>
          <w:color w:val="auto"/>
          <w:sz w:val="22"/>
        </w:rPr>
        <w:t>参加政府采购活动前三年内，在经营活动中没有重大违法记录；</w:t>
      </w:r>
    </w:p>
    <w:p w14:paraId="59DD9C84">
      <w:pPr>
        <w:snapToGrid w:val="0"/>
        <w:spacing w:line="360" w:lineRule="auto"/>
        <w:ind w:firstLine="440" w:firstLineChars="200"/>
        <w:rPr>
          <w:rFonts w:ascii="宋体" w:hAnsi="宋体"/>
          <w:color w:val="auto"/>
          <w:sz w:val="22"/>
        </w:rPr>
      </w:pPr>
      <w:r>
        <w:rPr>
          <w:rFonts w:hint="eastAsia" w:ascii="宋体" w:hAnsi="宋体"/>
          <w:color w:val="auto"/>
          <w:sz w:val="22"/>
        </w:rPr>
        <w:t>6、</w:t>
      </w:r>
      <w:r>
        <w:rPr>
          <w:rFonts w:ascii="宋体" w:hAnsi="宋体"/>
          <w:color w:val="auto"/>
          <w:sz w:val="22"/>
        </w:rPr>
        <w:t>具有法律、行政法规规定的其他条件。</w:t>
      </w:r>
    </w:p>
    <w:p w14:paraId="5477AC81">
      <w:pPr>
        <w:snapToGrid w:val="0"/>
        <w:spacing w:line="360" w:lineRule="auto"/>
        <w:ind w:firstLine="440" w:firstLineChars="200"/>
        <w:rPr>
          <w:rFonts w:ascii="宋体" w:hAnsi="宋体"/>
          <w:color w:val="auto"/>
          <w:sz w:val="22"/>
        </w:rPr>
      </w:pPr>
      <w:r>
        <w:rPr>
          <w:rFonts w:hint="eastAsia" w:ascii="宋体" w:hAnsi="宋体"/>
          <w:color w:val="auto"/>
          <w:sz w:val="22"/>
        </w:rPr>
        <w:t>（二）未被信用中国（</w:t>
      </w:r>
      <w:r>
        <w:rPr>
          <w:rFonts w:ascii="宋体" w:hAnsi="宋体"/>
          <w:color w:val="auto"/>
          <w:sz w:val="22"/>
        </w:rPr>
        <w:t>www.creditchina.gov.cn)、中国政府采购网（www.ccgp.gov.cn）列入失信被执行人、重大税收违法案件当事人名单、政府采购严重违法失信行为记录名单。</w:t>
      </w:r>
    </w:p>
    <w:p w14:paraId="4D84D928">
      <w:pPr>
        <w:snapToGrid w:val="0"/>
        <w:spacing w:line="360" w:lineRule="auto"/>
        <w:ind w:firstLine="440" w:firstLineChars="200"/>
        <w:rPr>
          <w:rFonts w:ascii="宋体" w:hAnsi="宋体"/>
          <w:color w:val="auto"/>
          <w:sz w:val="22"/>
        </w:rPr>
      </w:pPr>
      <w:r>
        <w:rPr>
          <w:rFonts w:hint="eastAsia" w:ascii="宋体" w:hAnsi="宋体"/>
          <w:color w:val="auto"/>
          <w:sz w:val="22"/>
        </w:rPr>
        <w:t>（三）不存在以下情况：</w:t>
      </w:r>
    </w:p>
    <w:p w14:paraId="2C7B8A54">
      <w:pPr>
        <w:snapToGrid w:val="0"/>
        <w:spacing w:line="360" w:lineRule="auto"/>
        <w:ind w:firstLine="440" w:firstLineChars="200"/>
        <w:rPr>
          <w:rFonts w:ascii="宋体" w:hAnsi="宋体" w:cs="仿宋_GB2312"/>
          <w:color w:val="auto"/>
          <w:sz w:val="22"/>
        </w:rPr>
      </w:pPr>
      <w:r>
        <w:rPr>
          <w:rFonts w:hint="eastAsia" w:ascii="宋体" w:hAnsi="宋体" w:cs="仿宋_GB2312"/>
          <w:color w:val="auto"/>
          <w:sz w:val="22"/>
        </w:rPr>
        <w:t>1、</w:t>
      </w:r>
      <w:r>
        <w:rPr>
          <w:rFonts w:ascii="宋体" w:hAnsi="宋体" w:cs="仿宋_GB2312"/>
          <w:color w:val="auto"/>
          <w:sz w:val="22"/>
        </w:rPr>
        <w:t>单位负责人为同一人或者存在直接控股、管理关系的不同供应商参加同一合同项下的政府采购活动的；</w:t>
      </w:r>
    </w:p>
    <w:p w14:paraId="14BC9AEE">
      <w:pPr>
        <w:snapToGrid w:val="0"/>
        <w:spacing w:line="360" w:lineRule="auto"/>
        <w:ind w:firstLine="440" w:firstLineChars="200"/>
        <w:rPr>
          <w:rFonts w:ascii="宋体" w:hAnsi="宋体" w:cs="仿宋_GB2312"/>
          <w:color w:val="auto"/>
          <w:sz w:val="22"/>
        </w:rPr>
      </w:pPr>
      <w:r>
        <w:rPr>
          <w:rFonts w:hint="eastAsia" w:ascii="宋体" w:hAnsi="宋体" w:cs="仿宋_GB2312"/>
          <w:color w:val="auto"/>
          <w:sz w:val="22"/>
        </w:rPr>
        <w:t>2、</w:t>
      </w:r>
      <w:r>
        <w:rPr>
          <w:rFonts w:ascii="宋体" w:hAnsi="宋体" w:cs="仿宋_GB2312"/>
          <w:color w:val="auto"/>
          <w:sz w:val="22"/>
        </w:rPr>
        <w:t>为采购项目提供整体设计、规范编制或者项目管理、监理、检测等服务后再参加该采购项目的其他采购活动的。</w:t>
      </w:r>
    </w:p>
    <w:p w14:paraId="35F22438">
      <w:pPr>
        <w:snapToGrid w:val="0"/>
        <w:spacing w:line="360" w:lineRule="auto"/>
        <w:ind w:firstLine="440" w:firstLineChars="200"/>
        <w:rPr>
          <w:rFonts w:ascii="宋体" w:hAnsi="宋体" w:cs="仿宋_GB2312"/>
          <w:color w:val="auto"/>
          <w:sz w:val="22"/>
        </w:rPr>
      </w:pPr>
    </w:p>
    <w:p w14:paraId="0BA32AE5">
      <w:pPr>
        <w:snapToGrid w:val="0"/>
        <w:spacing w:line="360" w:lineRule="auto"/>
        <w:ind w:firstLine="440" w:firstLineChars="200"/>
        <w:rPr>
          <w:rFonts w:ascii="宋体" w:hAnsi="宋体" w:cs="仿宋_GB2312"/>
          <w:color w:val="auto"/>
          <w:sz w:val="22"/>
        </w:rPr>
      </w:pPr>
    </w:p>
    <w:p w14:paraId="4D9E23B4">
      <w:pPr>
        <w:snapToGrid w:val="0"/>
        <w:spacing w:line="360" w:lineRule="auto"/>
        <w:ind w:firstLine="440" w:firstLineChars="200"/>
        <w:rPr>
          <w:rFonts w:ascii="宋体" w:hAnsi="宋体" w:cs="仿宋_GB2312"/>
          <w:color w:val="auto"/>
          <w:sz w:val="22"/>
        </w:rPr>
      </w:pPr>
    </w:p>
    <w:p w14:paraId="0E1CD92A">
      <w:pPr>
        <w:spacing w:line="440" w:lineRule="exact"/>
        <w:ind w:firstLine="4400" w:firstLineChars="2000"/>
        <w:rPr>
          <w:rFonts w:ascii="宋体" w:hAnsi="宋体"/>
          <w:color w:val="auto"/>
          <w:sz w:val="22"/>
        </w:rPr>
      </w:pPr>
      <w:r>
        <w:rPr>
          <w:rFonts w:hint="eastAsia" w:ascii="宋体" w:hAnsi="宋体"/>
          <w:color w:val="auto"/>
          <w:sz w:val="22"/>
        </w:rPr>
        <w:t>供应商名称</w:t>
      </w:r>
      <w:r>
        <w:rPr>
          <w:rFonts w:hint="eastAsia" w:ascii="宋体" w:hAnsi="宋体" w:cs="宋体"/>
          <w:color w:val="auto"/>
          <w:sz w:val="22"/>
        </w:rPr>
        <w:t>（电子签名/公章）</w:t>
      </w:r>
      <w:r>
        <w:rPr>
          <w:rFonts w:ascii="宋体" w:hAnsi="宋体"/>
          <w:color w:val="auto"/>
          <w:sz w:val="22"/>
        </w:rPr>
        <w:t>：</w:t>
      </w:r>
    </w:p>
    <w:p w14:paraId="79C43447">
      <w:pPr>
        <w:spacing w:line="440" w:lineRule="exact"/>
        <w:jc w:val="center"/>
        <w:rPr>
          <w:rFonts w:hint="eastAsia" w:ascii="宋体" w:hAnsi="宋体"/>
          <w:color w:val="auto"/>
          <w:sz w:val="22"/>
        </w:rPr>
      </w:pPr>
      <w:r>
        <w:rPr>
          <w:rFonts w:ascii="宋体" w:hAnsi="宋体"/>
          <w:color w:val="auto"/>
          <w:sz w:val="22"/>
        </w:rPr>
        <w:t xml:space="preserve">                    </w:t>
      </w:r>
      <w:r>
        <w:rPr>
          <w:rFonts w:hint="eastAsia" w:ascii="宋体" w:hAnsi="宋体"/>
          <w:color w:val="auto"/>
          <w:sz w:val="22"/>
        </w:rPr>
        <w:t>日期：</w:t>
      </w:r>
      <w:r>
        <w:rPr>
          <w:rFonts w:ascii="宋体" w:hAnsi="宋体"/>
          <w:color w:val="auto"/>
          <w:sz w:val="22"/>
        </w:rPr>
        <w:t xml:space="preserve">       年</w:t>
      </w:r>
      <w:r>
        <w:rPr>
          <w:rFonts w:hint="eastAsia" w:ascii="宋体" w:hAnsi="宋体"/>
          <w:color w:val="auto"/>
          <w:sz w:val="22"/>
        </w:rPr>
        <w:t xml:space="preserve"> </w:t>
      </w:r>
      <w:r>
        <w:rPr>
          <w:rFonts w:ascii="宋体" w:hAnsi="宋体"/>
          <w:color w:val="auto"/>
          <w:sz w:val="22"/>
        </w:rPr>
        <w:t xml:space="preserve">   </w:t>
      </w:r>
      <w:r>
        <w:rPr>
          <w:rFonts w:hint="eastAsia" w:ascii="宋体" w:hAnsi="宋体"/>
          <w:color w:val="auto"/>
          <w:sz w:val="22"/>
        </w:rPr>
        <w:t>月</w:t>
      </w:r>
      <w:r>
        <w:rPr>
          <w:rFonts w:ascii="宋体" w:hAnsi="宋体"/>
          <w:color w:val="auto"/>
          <w:sz w:val="22"/>
        </w:rPr>
        <w:t xml:space="preserve">     </w:t>
      </w:r>
      <w:r>
        <w:rPr>
          <w:rFonts w:hint="eastAsia" w:ascii="宋体" w:hAnsi="宋体"/>
          <w:color w:val="auto"/>
          <w:sz w:val="22"/>
        </w:rPr>
        <w:t>日</w:t>
      </w:r>
    </w:p>
    <w:p w14:paraId="4CC75272">
      <w:pPr>
        <w:spacing w:line="440" w:lineRule="exact"/>
        <w:jc w:val="center"/>
        <w:rPr>
          <w:rFonts w:hint="eastAsia" w:ascii="宋体" w:hAnsi="宋体"/>
          <w:color w:val="auto"/>
          <w:sz w:val="22"/>
        </w:rPr>
      </w:pPr>
    </w:p>
    <w:p w14:paraId="1472C0E4">
      <w:pPr>
        <w:spacing w:line="440" w:lineRule="exact"/>
        <w:jc w:val="center"/>
        <w:rPr>
          <w:rFonts w:hint="eastAsia" w:ascii="宋体" w:hAnsi="宋体"/>
          <w:color w:val="auto"/>
          <w:sz w:val="22"/>
        </w:rPr>
      </w:pPr>
    </w:p>
    <w:p w14:paraId="0FAB5F57">
      <w:pPr>
        <w:spacing w:line="440" w:lineRule="exact"/>
        <w:rPr>
          <w:rFonts w:hint="eastAsia" w:ascii="宋体" w:hAnsi="宋体"/>
          <w:color w:val="auto"/>
          <w:sz w:val="22"/>
          <w:szCs w:val="22"/>
        </w:rPr>
      </w:pPr>
      <w:r>
        <w:rPr>
          <w:rFonts w:hint="eastAsia" w:ascii="宋体" w:hAnsi="宋体" w:cs="仿宋_GB2312"/>
          <w:color w:val="auto"/>
          <w:sz w:val="22"/>
          <w:szCs w:val="22"/>
        </w:rPr>
        <w:t>注：根据《</w:t>
      </w:r>
      <w:r>
        <w:rPr>
          <w:rFonts w:ascii="宋体" w:hAnsi="宋体" w:cs="仿宋_GB2312"/>
          <w:color w:val="auto"/>
          <w:sz w:val="22"/>
          <w:szCs w:val="22"/>
        </w:rPr>
        <w:t>关于规范政府采购供应商资格设定及资格审查的通知</w:t>
      </w:r>
      <w:r>
        <w:rPr>
          <w:rFonts w:hint="eastAsia" w:ascii="宋体" w:hAnsi="宋体" w:cs="仿宋_GB2312"/>
          <w:color w:val="auto"/>
          <w:sz w:val="22"/>
          <w:szCs w:val="22"/>
        </w:rPr>
        <w:t>》（</w:t>
      </w:r>
      <w:r>
        <w:rPr>
          <w:rFonts w:ascii="宋体" w:hAnsi="宋体" w:cs="仿宋_GB2312"/>
          <w:color w:val="auto"/>
          <w:sz w:val="22"/>
          <w:szCs w:val="22"/>
        </w:rPr>
        <w:t>浙财采监[2013]24号</w:t>
      </w:r>
      <w:r>
        <w:rPr>
          <w:rFonts w:hint="eastAsia" w:ascii="宋体" w:hAnsi="宋体" w:cs="仿宋_GB2312"/>
          <w:color w:val="auto"/>
          <w:sz w:val="22"/>
          <w:szCs w:val="22"/>
        </w:rPr>
        <w:t>）的相关规定，金融、保险、通讯等特定行业的全国性企业所设立的区域性分支机构，以及个体工商户、个人独资企业、合伙企业，参与政府采购活动，如果已经依法办理了工商、税务和社保登记手续，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cs="仿宋_GB2312"/>
          <w:b/>
          <w:color w:val="auto"/>
          <w:sz w:val="22"/>
          <w:szCs w:val="22"/>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6E27543A">
      <w:pPr>
        <w:pStyle w:val="36"/>
        <w:rPr>
          <w:color w:val="auto"/>
        </w:rPr>
      </w:pPr>
    </w:p>
    <w:p w14:paraId="326FBC0B">
      <w:pPr>
        <w:snapToGrid w:val="0"/>
        <w:spacing w:line="360" w:lineRule="auto"/>
        <w:jc w:val="center"/>
        <w:rPr>
          <w:rFonts w:hint="eastAsia" w:ascii="宋体" w:hAnsi="宋体" w:cs="宋体"/>
          <w:b/>
          <w:color w:val="auto"/>
          <w:sz w:val="24"/>
        </w:rPr>
      </w:pPr>
      <w:r>
        <w:rPr>
          <w:rFonts w:ascii="宋体" w:hAnsi="宋体"/>
          <w:b/>
          <w:color w:val="auto"/>
          <w:sz w:val="22"/>
        </w:rPr>
        <w:br w:type="page"/>
      </w:r>
      <w:r>
        <w:rPr>
          <w:rFonts w:hint="eastAsia" w:ascii="宋体" w:hAnsi="宋体" w:cs="宋体"/>
          <w:b/>
          <w:color w:val="auto"/>
          <w:sz w:val="24"/>
        </w:rPr>
        <w:t>（4）联合体协议书（</w:t>
      </w:r>
      <w:bookmarkStart w:id="153" w:name="_Hlk113552869"/>
      <w:r>
        <w:rPr>
          <w:rFonts w:hint="eastAsia" w:ascii="宋体" w:hAnsi="宋体" w:cs="宋体"/>
          <w:b/>
          <w:color w:val="auto"/>
          <w:sz w:val="24"/>
        </w:rPr>
        <w:t>如为联合体投标，请提供</w:t>
      </w:r>
      <w:bookmarkEnd w:id="153"/>
      <w:r>
        <w:rPr>
          <w:rFonts w:hint="eastAsia" w:ascii="宋体" w:hAnsi="宋体" w:cs="宋体"/>
          <w:b/>
          <w:color w:val="auto"/>
          <w:sz w:val="24"/>
        </w:rPr>
        <w:t>）</w:t>
      </w:r>
    </w:p>
    <w:p w14:paraId="3A787605">
      <w:pPr>
        <w:snapToGrid w:val="0"/>
        <w:spacing w:line="360" w:lineRule="auto"/>
        <w:rPr>
          <w:rFonts w:hint="eastAsia" w:ascii="宋体" w:hAnsi="宋体" w:cs="宋体"/>
          <w:color w:val="auto"/>
          <w:sz w:val="22"/>
          <w:szCs w:val="22"/>
          <w:lang w:val="zh-CN"/>
        </w:rPr>
      </w:pPr>
      <w:r>
        <w:rPr>
          <w:rFonts w:hint="eastAsia" w:ascii="宋体" w:hAnsi="宋体" w:cs="宋体"/>
          <w:color w:val="auto"/>
          <w:sz w:val="22"/>
          <w:szCs w:val="22"/>
          <w:u w:val="single"/>
        </w:rPr>
        <w:t>（联合体所有成员名称）</w:t>
      </w:r>
      <w:r>
        <w:rPr>
          <w:rFonts w:hint="eastAsia" w:ascii="宋体" w:hAnsi="宋体" w:cs="宋体"/>
          <w:color w:val="auto"/>
          <w:sz w:val="22"/>
          <w:szCs w:val="22"/>
        </w:rPr>
        <w:t>自愿</w:t>
      </w:r>
      <w:r>
        <w:rPr>
          <w:rFonts w:hint="eastAsia" w:ascii="宋体" w:hAnsi="宋体" w:cs="宋体"/>
          <w:color w:val="auto"/>
          <w:sz w:val="22"/>
          <w:szCs w:val="22"/>
          <w:lang w:val="zh-CN"/>
        </w:rPr>
        <w:t>组成一个联合体，以一个磋商供应商的身份</w:t>
      </w:r>
      <w:r>
        <w:rPr>
          <w:rFonts w:hint="eastAsia" w:ascii="宋体" w:hAnsi="宋体" w:cs="宋体"/>
          <w:color w:val="auto"/>
          <w:sz w:val="22"/>
          <w:szCs w:val="22"/>
        </w:rPr>
        <w:t>参加</w:t>
      </w:r>
      <w:r>
        <w:rPr>
          <w:rFonts w:hint="eastAsia" w:ascii="宋体" w:hAnsi="宋体" w:cs="宋体"/>
          <w:color w:val="auto"/>
          <w:sz w:val="22"/>
          <w:szCs w:val="22"/>
          <w:u w:val="single"/>
          <w:lang w:val="en-US" w:eastAsia="zh-CN"/>
        </w:rPr>
        <w:t xml:space="preserve">      </w:t>
      </w:r>
      <w:r>
        <w:rPr>
          <w:rFonts w:hint="eastAsia" w:ascii="宋体" w:hAnsi="宋体" w:cs="宋体"/>
          <w:color w:val="auto"/>
          <w:sz w:val="22"/>
          <w:szCs w:val="22"/>
          <w:u w:val="single"/>
        </w:rPr>
        <w:t>项目【项目编号：</w:t>
      </w:r>
      <w:r>
        <w:rPr>
          <w:rFonts w:hint="eastAsia" w:ascii="宋体" w:hAnsi="宋体" w:cs="宋体"/>
          <w:color w:val="auto"/>
          <w:sz w:val="22"/>
          <w:szCs w:val="22"/>
          <w:u w:val="single"/>
          <w:lang w:val="en-US" w:eastAsia="zh-CN"/>
        </w:rPr>
        <w:t xml:space="preserve">      </w:t>
      </w:r>
      <w:r>
        <w:rPr>
          <w:rFonts w:hint="eastAsia" w:ascii="宋体" w:hAnsi="宋体" w:cs="宋体"/>
          <w:color w:val="auto"/>
          <w:sz w:val="22"/>
          <w:szCs w:val="22"/>
          <w:u w:val="single"/>
        </w:rPr>
        <w:t>】</w:t>
      </w:r>
      <w:r>
        <w:rPr>
          <w:rFonts w:hint="eastAsia" w:ascii="宋体" w:hAnsi="宋体" w:cs="宋体"/>
          <w:color w:val="auto"/>
          <w:sz w:val="22"/>
          <w:szCs w:val="22"/>
          <w:lang w:val="zh-CN"/>
        </w:rPr>
        <w:t xml:space="preserve">投标。 </w:t>
      </w:r>
    </w:p>
    <w:p w14:paraId="6A979FEB">
      <w:pPr>
        <w:snapToGrid w:val="0"/>
        <w:spacing w:line="360" w:lineRule="auto"/>
        <w:ind w:firstLine="576"/>
        <w:rPr>
          <w:rFonts w:hint="eastAsia" w:ascii="宋体" w:hAnsi="宋体" w:cs="宋体"/>
          <w:color w:val="auto"/>
          <w:sz w:val="22"/>
          <w:szCs w:val="22"/>
          <w:lang w:val="zh-CN"/>
        </w:rPr>
      </w:pPr>
      <w:r>
        <w:rPr>
          <w:rFonts w:hint="eastAsia" w:ascii="宋体" w:hAnsi="宋体" w:cs="宋体"/>
          <w:color w:val="auto"/>
          <w:sz w:val="22"/>
          <w:szCs w:val="22"/>
          <w:lang w:val="zh-CN"/>
        </w:rPr>
        <w:t>一、各方一致决定，</w:t>
      </w:r>
      <w:r>
        <w:rPr>
          <w:rFonts w:hint="eastAsia" w:ascii="宋体" w:hAnsi="宋体" w:cs="宋体"/>
          <w:color w:val="auto"/>
          <w:sz w:val="22"/>
          <w:szCs w:val="22"/>
          <w:u w:val="single"/>
        </w:rPr>
        <w:t>（某联合体成员名称）</w:t>
      </w:r>
      <w:r>
        <w:rPr>
          <w:rFonts w:hint="eastAsia" w:ascii="宋体" w:hAnsi="宋体" w:cs="宋体"/>
          <w:color w:val="auto"/>
          <w:sz w:val="22"/>
          <w:szCs w:val="22"/>
        </w:rPr>
        <w:t>为联合体</w:t>
      </w:r>
      <w:r>
        <w:rPr>
          <w:rFonts w:hint="eastAsia" w:ascii="宋体" w:hAnsi="宋体" w:cs="宋体"/>
          <w:color w:val="auto"/>
          <w:sz w:val="22"/>
          <w:szCs w:val="22"/>
          <w:lang w:val="zh-CN"/>
        </w:rPr>
        <w:t>牵头人</w:t>
      </w:r>
      <w:r>
        <w:rPr>
          <w:rFonts w:hint="eastAsia" w:ascii="宋体" w:hAnsi="宋体" w:cs="宋体"/>
          <w:color w:val="auto"/>
          <w:sz w:val="22"/>
          <w:szCs w:val="22"/>
        </w:rPr>
        <w:t>，代表所有联合体成员负责投标和合同实施阶段的主办、协调工作</w:t>
      </w:r>
      <w:r>
        <w:rPr>
          <w:rFonts w:hint="eastAsia" w:ascii="宋体" w:hAnsi="宋体" w:cs="宋体"/>
          <w:color w:val="auto"/>
          <w:sz w:val="22"/>
          <w:szCs w:val="22"/>
          <w:lang w:val="zh-CN"/>
        </w:rPr>
        <w:t>。</w:t>
      </w:r>
    </w:p>
    <w:p w14:paraId="5F347510">
      <w:pPr>
        <w:snapToGrid w:val="0"/>
        <w:spacing w:line="360" w:lineRule="auto"/>
        <w:ind w:firstLine="576"/>
        <w:rPr>
          <w:rFonts w:hint="eastAsia" w:ascii="宋体" w:hAnsi="宋体" w:cs="宋体"/>
          <w:color w:val="auto"/>
          <w:sz w:val="22"/>
          <w:szCs w:val="22"/>
          <w:lang w:val="zh-CN"/>
        </w:rPr>
      </w:pPr>
      <w:r>
        <w:rPr>
          <w:rFonts w:hint="eastAsia" w:ascii="宋体" w:hAnsi="宋体" w:cs="宋体"/>
          <w:color w:val="auto"/>
          <w:sz w:val="22"/>
          <w:szCs w:val="22"/>
          <w:lang w:val="zh-CN"/>
        </w:rPr>
        <w:t>二、</w:t>
      </w:r>
      <w:r>
        <w:rPr>
          <w:rFonts w:hint="eastAsia" w:ascii="宋体" w:hAnsi="宋体" w:cs="宋体"/>
          <w:color w:val="auto"/>
          <w:sz w:val="22"/>
          <w:szCs w:val="22"/>
        </w:rPr>
        <w:t>所有联合体成员各方签署授权书，授权书载明的</w:t>
      </w:r>
      <w:r>
        <w:rPr>
          <w:rFonts w:hint="eastAsia" w:ascii="宋体" w:hAnsi="宋体" w:cs="宋体"/>
          <w:color w:val="auto"/>
          <w:sz w:val="22"/>
          <w:szCs w:val="22"/>
          <w:lang w:val="zh-CN"/>
        </w:rPr>
        <w:t>授权代表根据磋商文件规定及投标内容而对采购人、采购代理机构所作的任何合法承诺，包括书面澄清及相应等均对联合投标各方产生约束力。</w:t>
      </w:r>
    </w:p>
    <w:p w14:paraId="2DF8F961">
      <w:pPr>
        <w:snapToGrid w:val="0"/>
        <w:spacing w:line="360" w:lineRule="auto"/>
        <w:ind w:firstLine="576"/>
        <w:rPr>
          <w:rFonts w:hint="eastAsia" w:ascii="宋体" w:hAnsi="宋体" w:cs="宋体"/>
          <w:color w:val="auto"/>
          <w:sz w:val="22"/>
          <w:szCs w:val="22"/>
          <w:lang w:val="zh-CN"/>
        </w:rPr>
      </w:pPr>
      <w:r>
        <w:rPr>
          <w:rFonts w:hint="eastAsia" w:ascii="宋体" w:hAnsi="宋体" w:cs="宋体"/>
          <w:color w:val="auto"/>
          <w:sz w:val="22"/>
          <w:szCs w:val="22"/>
          <w:lang w:val="zh-CN"/>
        </w:rPr>
        <w:t>三、本次联合投标中，分工如下：</w:t>
      </w:r>
    </w:p>
    <w:p w14:paraId="5C4E1E68">
      <w:pPr>
        <w:snapToGrid w:val="0"/>
        <w:spacing w:line="360" w:lineRule="auto"/>
        <w:ind w:firstLine="576"/>
        <w:rPr>
          <w:rFonts w:hint="eastAsia" w:ascii="宋体" w:hAnsi="宋体" w:cs="宋体"/>
          <w:color w:val="auto"/>
          <w:sz w:val="22"/>
          <w:szCs w:val="22"/>
          <w:lang w:val="zh-CN"/>
        </w:rPr>
      </w:pPr>
      <w:r>
        <w:rPr>
          <w:rFonts w:hint="eastAsia" w:ascii="宋体" w:hAnsi="宋体" w:cs="宋体"/>
          <w:color w:val="auto"/>
          <w:sz w:val="22"/>
          <w:szCs w:val="22"/>
          <w:u w:val="single"/>
        </w:rPr>
        <w:t>（联合体成员1）</w:t>
      </w:r>
      <w:r>
        <w:rPr>
          <w:rFonts w:hint="eastAsia" w:ascii="宋体" w:hAnsi="宋体" w:cs="宋体"/>
          <w:color w:val="auto"/>
          <w:sz w:val="22"/>
          <w:szCs w:val="22"/>
          <w:lang w:val="zh-CN"/>
        </w:rPr>
        <w:t>承担的工作和义务为：</w:t>
      </w:r>
      <w:r>
        <w:rPr>
          <w:rFonts w:hint="eastAsia" w:ascii="宋体" w:hAnsi="宋体" w:cs="宋体"/>
          <w:color w:val="auto"/>
          <w:sz w:val="22"/>
          <w:szCs w:val="22"/>
          <w:u w:val="single"/>
        </w:rPr>
        <w:t xml:space="preserve">             </w:t>
      </w:r>
      <w:r>
        <w:rPr>
          <w:rFonts w:hint="eastAsia" w:ascii="宋体" w:hAnsi="宋体" w:cs="宋体"/>
          <w:color w:val="auto"/>
          <w:sz w:val="22"/>
          <w:szCs w:val="22"/>
          <w:lang w:val="zh-CN"/>
        </w:rPr>
        <w:t>；</w:t>
      </w:r>
    </w:p>
    <w:p w14:paraId="77C6B69C">
      <w:pPr>
        <w:snapToGrid w:val="0"/>
        <w:spacing w:line="360" w:lineRule="auto"/>
        <w:ind w:firstLine="576"/>
        <w:rPr>
          <w:rFonts w:hint="eastAsia" w:ascii="宋体" w:hAnsi="宋体" w:cs="宋体"/>
          <w:color w:val="auto"/>
          <w:sz w:val="22"/>
          <w:szCs w:val="22"/>
          <w:lang w:val="zh-CN"/>
        </w:rPr>
      </w:pPr>
      <w:r>
        <w:rPr>
          <w:rFonts w:hint="eastAsia" w:ascii="宋体" w:hAnsi="宋体" w:cs="宋体"/>
          <w:color w:val="auto"/>
          <w:sz w:val="22"/>
          <w:szCs w:val="22"/>
          <w:u w:val="single"/>
        </w:rPr>
        <w:t>（联合体成员2）</w:t>
      </w:r>
      <w:r>
        <w:rPr>
          <w:rFonts w:hint="eastAsia" w:ascii="宋体" w:hAnsi="宋体" w:cs="宋体"/>
          <w:color w:val="auto"/>
          <w:sz w:val="22"/>
          <w:szCs w:val="22"/>
          <w:lang w:val="zh-CN"/>
        </w:rPr>
        <w:t>承担的工作和义务为：</w:t>
      </w:r>
      <w:r>
        <w:rPr>
          <w:rFonts w:hint="eastAsia" w:ascii="宋体" w:hAnsi="宋体" w:cs="宋体"/>
          <w:color w:val="auto"/>
          <w:sz w:val="22"/>
          <w:szCs w:val="22"/>
          <w:u w:val="single"/>
        </w:rPr>
        <w:t xml:space="preserve">             </w:t>
      </w:r>
      <w:r>
        <w:rPr>
          <w:rFonts w:hint="eastAsia" w:ascii="宋体" w:hAnsi="宋体" w:cs="宋体"/>
          <w:color w:val="auto"/>
          <w:sz w:val="22"/>
          <w:szCs w:val="22"/>
          <w:lang w:val="zh-CN"/>
        </w:rPr>
        <w:t>；</w:t>
      </w:r>
    </w:p>
    <w:p w14:paraId="06823254">
      <w:pPr>
        <w:snapToGrid w:val="0"/>
        <w:spacing w:line="360" w:lineRule="auto"/>
        <w:ind w:firstLine="576"/>
        <w:rPr>
          <w:rFonts w:hint="eastAsia" w:ascii="宋体" w:hAnsi="宋体" w:cs="宋体"/>
          <w:color w:val="auto"/>
          <w:sz w:val="22"/>
          <w:szCs w:val="22"/>
          <w:lang w:val="zh-CN"/>
        </w:rPr>
      </w:pPr>
      <w:r>
        <w:rPr>
          <w:rFonts w:hint="eastAsia" w:ascii="宋体" w:hAnsi="宋体" w:cs="宋体"/>
          <w:color w:val="auto"/>
          <w:sz w:val="22"/>
          <w:szCs w:val="22"/>
          <w:lang w:val="zh-CN"/>
        </w:rPr>
        <w:t>……</w:t>
      </w:r>
    </w:p>
    <w:p w14:paraId="65AC6F0B">
      <w:pPr>
        <w:snapToGrid w:val="0"/>
        <w:spacing w:line="360" w:lineRule="auto"/>
        <w:ind w:firstLine="576"/>
        <w:rPr>
          <w:rFonts w:hint="eastAsia" w:ascii="宋体" w:hAnsi="宋体" w:cs="宋体"/>
          <w:color w:val="auto"/>
          <w:sz w:val="22"/>
          <w:szCs w:val="22"/>
          <w:lang w:val="zh-CN"/>
        </w:rPr>
      </w:pPr>
      <w:r>
        <w:rPr>
          <w:rFonts w:hint="eastAsia" w:ascii="宋体" w:hAnsi="宋体" w:cs="宋体"/>
          <w:color w:val="auto"/>
          <w:sz w:val="22"/>
          <w:szCs w:val="22"/>
          <w:lang w:val="zh-CN"/>
        </w:rPr>
        <w:t>四、联合体成员中小企业合同份额。</w:t>
      </w:r>
    </w:p>
    <w:p w14:paraId="23F4D393">
      <w:pPr>
        <w:snapToGrid w:val="0"/>
        <w:spacing w:line="360" w:lineRule="auto"/>
        <w:ind w:firstLine="576"/>
        <w:rPr>
          <w:rFonts w:hint="eastAsia" w:ascii="宋体" w:hAnsi="宋体" w:cs="宋体"/>
          <w:b/>
          <w:color w:val="auto"/>
          <w:sz w:val="22"/>
          <w:szCs w:val="22"/>
          <w:lang w:val="zh-CN"/>
        </w:rPr>
      </w:pPr>
      <w:r>
        <w:rPr>
          <w:rFonts w:hint="eastAsia" w:ascii="宋体" w:hAnsi="宋体" w:cs="宋体"/>
          <w:color w:val="auto"/>
          <w:sz w:val="22"/>
          <w:szCs w:val="22"/>
          <w:lang w:val="zh-CN"/>
        </w:rPr>
        <w:t>1、</w:t>
      </w:r>
      <w:r>
        <w:rPr>
          <w:rFonts w:hint="eastAsia" w:ascii="宋体" w:hAnsi="宋体" w:cs="宋体"/>
          <w:color w:val="auto"/>
          <w:sz w:val="22"/>
          <w:szCs w:val="22"/>
          <w:u w:val="single"/>
        </w:rPr>
        <w:t>（</w:t>
      </w:r>
      <w:bookmarkStart w:id="154" w:name="_Hlk101131882"/>
      <w:r>
        <w:rPr>
          <w:rFonts w:hint="eastAsia" w:ascii="宋体" w:hAnsi="宋体" w:cs="宋体"/>
          <w:color w:val="auto"/>
          <w:sz w:val="22"/>
          <w:szCs w:val="22"/>
          <w:u w:val="single"/>
        </w:rPr>
        <w:t>联合体成员X,……</w:t>
      </w:r>
      <w:bookmarkEnd w:id="154"/>
      <w:r>
        <w:rPr>
          <w:rFonts w:hint="eastAsia" w:ascii="宋体" w:hAnsi="宋体" w:cs="宋体"/>
          <w:color w:val="auto"/>
          <w:sz w:val="22"/>
          <w:szCs w:val="22"/>
          <w:u w:val="single"/>
        </w:rPr>
        <w:t>）</w:t>
      </w:r>
      <w:r>
        <w:rPr>
          <w:rFonts w:hint="eastAsia" w:ascii="宋体" w:hAnsi="宋体" w:cs="宋体"/>
          <w:color w:val="auto"/>
          <w:sz w:val="22"/>
          <w:szCs w:val="22"/>
        </w:rPr>
        <w:t>提供的服务由小微企业承接，其合同份额占到合同总金额</w:t>
      </w:r>
      <w:r>
        <w:rPr>
          <w:rFonts w:hint="eastAsia" w:ascii="宋体" w:hAnsi="宋体" w:cs="宋体"/>
          <w:color w:val="auto"/>
          <w:sz w:val="22"/>
          <w:szCs w:val="22"/>
          <w:u w:val="single"/>
        </w:rPr>
        <w:t xml:space="preserve">     </w:t>
      </w:r>
      <w:r>
        <w:rPr>
          <w:rFonts w:hint="eastAsia" w:ascii="宋体" w:hAnsi="宋体" w:cs="宋体"/>
          <w:color w:val="auto"/>
          <w:sz w:val="22"/>
          <w:szCs w:val="22"/>
        </w:rPr>
        <w:t>%以上</w:t>
      </w:r>
      <w:r>
        <w:rPr>
          <w:rFonts w:hint="eastAsia" w:ascii="宋体" w:hAnsi="宋体" w:cs="宋体"/>
          <w:color w:val="auto"/>
          <w:sz w:val="22"/>
          <w:szCs w:val="22"/>
          <w:lang w:val="zh-CN"/>
        </w:rPr>
        <w:t>。</w:t>
      </w:r>
      <w:r>
        <w:rPr>
          <w:rFonts w:hint="eastAsia" w:ascii="宋体" w:hAnsi="宋体" w:cs="宋体"/>
          <w:b/>
          <w:color w:val="auto"/>
          <w:sz w:val="22"/>
          <w:szCs w:val="22"/>
          <w:lang w:val="zh-CN"/>
        </w:rPr>
        <w:t>（</w:t>
      </w:r>
      <w:bookmarkStart w:id="155" w:name="_Hlk101133598"/>
      <w:r>
        <w:rPr>
          <w:rFonts w:hint="eastAsia" w:ascii="宋体" w:hAnsi="宋体" w:cs="宋体"/>
          <w:b/>
          <w:color w:val="auto"/>
          <w:sz w:val="22"/>
          <w:szCs w:val="22"/>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2"/>
          <w:szCs w:val="22"/>
        </w:rPr>
        <w:t>拟享受以上价格扣除政策的，填写有关内容。</w:t>
      </w:r>
      <w:bookmarkEnd w:id="155"/>
      <w:r>
        <w:rPr>
          <w:rFonts w:hint="eastAsia" w:ascii="宋体" w:hAnsi="宋体" w:cs="宋体"/>
          <w:b/>
          <w:color w:val="auto"/>
          <w:sz w:val="22"/>
          <w:szCs w:val="22"/>
          <w:lang w:val="zh-CN"/>
        </w:rPr>
        <w:t>）</w:t>
      </w:r>
    </w:p>
    <w:p w14:paraId="1A1AC880">
      <w:pPr>
        <w:spacing w:line="360" w:lineRule="auto"/>
        <w:ind w:firstLine="440" w:firstLineChars="200"/>
        <w:rPr>
          <w:rFonts w:hint="eastAsia" w:ascii="宋体" w:hAnsi="宋体" w:cs="宋体"/>
          <w:b/>
          <w:bCs/>
          <w:color w:val="auto"/>
          <w:sz w:val="22"/>
          <w:szCs w:val="22"/>
          <w:lang w:val="zh-CN"/>
        </w:rPr>
      </w:pPr>
      <w:r>
        <w:rPr>
          <w:rFonts w:hint="eastAsia" w:ascii="宋体" w:hAnsi="宋体" w:cs="宋体"/>
          <w:color w:val="auto"/>
          <w:sz w:val="22"/>
          <w:szCs w:val="22"/>
        </w:rPr>
        <w:t>2、</w:t>
      </w:r>
      <w:bookmarkStart w:id="156" w:name="_Hlk101133173"/>
      <w:r>
        <w:rPr>
          <w:rFonts w:hint="eastAsia" w:ascii="宋体" w:hAnsi="宋体" w:cs="宋体"/>
          <w:color w:val="auto"/>
          <w:sz w:val="22"/>
          <w:szCs w:val="22"/>
        </w:rPr>
        <w:t>中小企业合同金额达到</w:t>
      </w:r>
      <w:r>
        <w:rPr>
          <w:rFonts w:hint="eastAsia" w:ascii="宋体" w:hAnsi="宋体" w:cs="宋体"/>
          <w:color w:val="auto"/>
          <w:sz w:val="22"/>
          <w:szCs w:val="22"/>
          <w:u w:val="single"/>
        </w:rPr>
        <w:t xml:space="preserve">  </w:t>
      </w:r>
      <w:r>
        <w:rPr>
          <w:rFonts w:hint="eastAsia" w:ascii="宋体" w:hAnsi="宋体" w:cs="宋体"/>
          <w:color w:val="auto"/>
          <w:sz w:val="22"/>
          <w:szCs w:val="22"/>
        </w:rPr>
        <w:t>%，小微企业合同金额达到</w:t>
      </w:r>
      <w:r>
        <w:rPr>
          <w:rFonts w:hint="eastAsia" w:ascii="宋体" w:hAnsi="宋体" w:cs="宋体"/>
          <w:color w:val="auto"/>
          <w:sz w:val="22"/>
          <w:szCs w:val="22"/>
          <w:u w:val="single"/>
        </w:rPr>
        <w:t xml:space="preserve"> </w:t>
      </w:r>
      <w:r>
        <w:rPr>
          <w:rFonts w:hint="eastAsia" w:ascii="宋体" w:hAnsi="宋体" w:cs="宋体"/>
          <w:color w:val="auto"/>
          <w:sz w:val="22"/>
          <w:szCs w:val="22"/>
        </w:rPr>
        <w:t>%</w:t>
      </w:r>
      <w:r>
        <w:rPr>
          <w:rFonts w:hint="eastAsia" w:ascii="宋体" w:hAnsi="宋体" w:cs="宋体"/>
          <w:color w:val="auto"/>
          <w:sz w:val="22"/>
          <w:szCs w:val="22"/>
          <w:lang w:val="zh-CN"/>
        </w:rPr>
        <w:t>。</w:t>
      </w:r>
      <w:r>
        <w:rPr>
          <w:rFonts w:hint="eastAsia" w:ascii="宋体" w:hAnsi="宋体" w:cs="宋体"/>
          <w:b/>
          <w:bCs/>
          <w:color w:val="auto"/>
          <w:sz w:val="22"/>
          <w:szCs w:val="22"/>
          <w:lang w:val="zh-CN"/>
        </w:rPr>
        <w:t>（</w:t>
      </w:r>
      <w:r>
        <w:rPr>
          <w:rFonts w:hint="eastAsia" w:ascii="宋体" w:hAnsi="宋体" w:cs="宋体"/>
          <w:b/>
          <w:bCs/>
          <w:color w:val="auto"/>
          <w:sz w:val="22"/>
          <w:szCs w:val="22"/>
        </w:rPr>
        <w:t>要求以联合体形式参加的项目或采购包，供应商按</w:t>
      </w:r>
      <w:r>
        <w:rPr>
          <w:rFonts w:hint="eastAsia" w:ascii="宋体" w:hAnsi="宋体" w:cs="宋体"/>
          <w:b/>
          <w:bCs/>
          <w:color w:val="auto"/>
          <w:sz w:val="22"/>
          <w:szCs w:val="22"/>
          <w:lang w:eastAsia="zh-CN"/>
        </w:rPr>
        <w:t>磋商文件</w:t>
      </w:r>
      <w:r>
        <w:rPr>
          <w:rFonts w:hint="eastAsia" w:ascii="宋体" w:hAnsi="宋体" w:cs="宋体"/>
          <w:b/>
          <w:bCs/>
          <w:color w:val="auto"/>
          <w:sz w:val="22"/>
          <w:szCs w:val="22"/>
        </w:rPr>
        <w:t>第一部分招标公告申请人的资格要求中规定的联合协议中中小企业、小微企业合同金额应当达到的比例要求填写。</w:t>
      </w:r>
      <w:r>
        <w:rPr>
          <w:rFonts w:hint="eastAsia" w:ascii="宋体" w:hAnsi="宋体" w:cs="宋体"/>
          <w:b/>
          <w:bCs/>
          <w:color w:val="auto"/>
          <w:sz w:val="22"/>
          <w:szCs w:val="22"/>
          <w:lang w:val="zh-CN"/>
        </w:rPr>
        <w:t>）</w:t>
      </w:r>
      <w:bookmarkEnd w:id="156"/>
    </w:p>
    <w:p w14:paraId="0D4E5727">
      <w:pPr>
        <w:snapToGrid w:val="0"/>
        <w:spacing w:line="360" w:lineRule="auto"/>
        <w:ind w:firstLine="576"/>
        <w:rPr>
          <w:rFonts w:hint="eastAsia" w:ascii="宋体" w:hAnsi="宋体" w:cs="宋体"/>
          <w:color w:val="auto"/>
          <w:sz w:val="22"/>
          <w:szCs w:val="22"/>
          <w:lang w:val="zh-CN"/>
        </w:rPr>
      </w:pPr>
      <w:r>
        <w:rPr>
          <w:rFonts w:hint="eastAsia" w:ascii="宋体" w:hAnsi="宋体" w:cs="宋体"/>
          <w:color w:val="auto"/>
          <w:sz w:val="22"/>
          <w:szCs w:val="22"/>
          <w:lang w:val="zh-CN"/>
        </w:rPr>
        <w:t>五、如果中标，</w:t>
      </w:r>
      <w:r>
        <w:rPr>
          <w:rFonts w:hint="eastAsia" w:ascii="宋体" w:hAnsi="宋体" w:cs="宋体"/>
          <w:color w:val="auto"/>
          <w:sz w:val="22"/>
          <w:szCs w:val="22"/>
        </w:rPr>
        <w:t>联合体各成员方共同与采购人签订合同，并就采购合同约定的事项对采购人承担连带责任。</w:t>
      </w:r>
    </w:p>
    <w:p w14:paraId="37C17735">
      <w:pPr>
        <w:snapToGrid w:val="0"/>
        <w:spacing w:line="360" w:lineRule="auto"/>
        <w:ind w:firstLine="576"/>
        <w:rPr>
          <w:rFonts w:hint="eastAsia" w:ascii="宋体" w:hAnsi="宋体" w:cs="宋体"/>
          <w:color w:val="auto"/>
          <w:sz w:val="22"/>
          <w:szCs w:val="22"/>
          <w:lang w:val="zh-CN"/>
        </w:rPr>
      </w:pPr>
      <w:r>
        <w:rPr>
          <w:rFonts w:hint="eastAsia" w:ascii="宋体" w:hAnsi="宋体" w:cs="宋体"/>
          <w:color w:val="auto"/>
          <w:sz w:val="22"/>
          <w:szCs w:val="22"/>
          <w:lang w:val="zh-CN"/>
        </w:rPr>
        <w:t>六、有关本次联合投标的其他事宜：</w:t>
      </w:r>
    </w:p>
    <w:p w14:paraId="3C17AD10">
      <w:pPr>
        <w:snapToGrid w:val="0"/>
        <w:spacing w:line="360" w:lineRule="auto"/>
        <w:ind w:firstLine="576"/>
        <w:rPr>
          <w:rFonts w:hint="eastAsia" w:ascii="宋体" w:hAnsi="宋体" w:cs="宋体"/>
          <w:color w:val="auto"/>
          <w:sz w:val="22"/>
          <w:szCs w:val="22"/>
          <w:lang w:val="zh-CN"/>
        </w:rPr>
      </w:pPr>
      <w:r>
        <w:rPr>
          <w:rFonts w:hint="eastAsia" w:ascii="宋体" w:hAnsi="宋体" w:cs="宋体"/>
          <w:color w:val="auto"/>
          <w:sz w:val="22"/>
          <w:szCs w:val="22"/>
          <w:lang w:val="zh-CN"/>
        </w:rPr>
        <w:t>1、联合体各方不再单独参加或者与其他供应商另外组成联合体参加同一合同项下的政府采购活动。</w:t>
      </w:r>
    </w:p>
    <w:p w14:paraId="47830F3B">
      <w:pPr>
        <w:snapToGrid w:val="0"/>
        <w:spacing w:line="360" w:lineRule="auto"/>
        <w:ind w:firstLine="576"/>
        <w:rPr>
          <w:rFonts w:hint="eastAsia" w:ascii="宋体" w:hAnsi="宋体" w:cs="宋体"/>
          <w:color w:val="auto"/>
          <w:sz w:val="22"/>
          <w:szCs w:val="22"/>
          <w:lang w:val="zh-CN"/>
        </w:rPr>
      </w:pPr>
      <w:r>
        <w:rPr>
          <w:rFonts w:hint="eastAsia" w:ascii="宋体" w:hAnsi="宋体" w:cs="宋体"/>
          <w:color w:val="auto"/>
          <w:sz w:val="22"/>
          <w:szCs w:val="22"/>
          <w:lang w:val="zh-CN"/>
        </w:rPr>
        <w:t>2、联合体中有同类资质的各方按照联合体分工承担相同工作的，按照资质等级较低的供应商确定资质等级。</w:t>
      </w:r>
    </w:p>
    <w:p w14:paraId="415E08B9">
      <w:pPr>
        <w:snapToGrid w:val="0"/>
        <w:spacing w:line="360" w:lineRule="auto"/>
        <w:ind w:firstLine="576"/>
        <w:rPr>
          <w:rFonts w:hint="eastAsia" w:ascii="宋体" w:hAnsi="宋体" w:cs="宋体"/>
          <w:color w:val="auto"/>
          <w:sz w:val="22"/>
          <w:szCs w:val="22"/>
          <w:lang w:val="zh-CN"/>
        </w:rPr>
      </w:pPr>
      <w:r>
        <w:rPr>
          <w:rFonts w:hint="eastAsia" w:ascii="宋体" w:hAnsi="宋体" w:cs="宋体"/>
          <w:color w:val="auto"/>
          <w:sz w:val="22"/>
          <w:szCs w:val="22"/>
          <w:lang w:val="zh-CN"/>
        </w:rPr>
        <w:t>3、本协议提交采购人、采购代理机构后，联合体各方不得以任何形式对上述内容进行修改或撤销。</w:t>
      </w:r>
    </w:p>
    <w:p w14:paraId="33E56EDD">
      <w:pPr>
        <w:snapToGrid w:val="0"/>
        <w:spacing w:line="360" w:lineRule="auto"/>
        <w:ind w:firstLine="4620" w:firstLineChars="2100"/>
        <w:rPr>
          <w:rFonts w:hint="eastAsia" w:ascii="宋体" w:hAnsi="宋体" w:cs="宋体"/>
          <w:color w:val="auto"/>
          <w:sz w:val="22"/>
          <w:szCs w:val="22"/>
          <w:lang w:val="zh-CN"/>
        </w:rPr>
      </w:pPr>
      <w:r>
        <w:rPr>
          <w:rFonts w:hint="eastAsia" w:ascii="宋体" w:hAnsi="宋体" w:cs="宋体"/>
          <w:color w:val="auto"/>
          <w:sz w:val="22"/>
          <w:szCs w:val="22"/>
          <w:lang w:val="zh-CN"/>
        </w:rPr>
        <w:t>联合体成员名称(电子签名/公章)：</w:t>
      </w:r>
    </w:p>
    <w:p w14:paraId="2842F9AD">
      <w:pPr>
        <w:snapToGrid w:val="0"/>
        <w:spacing w:line="360" w:lineRule="auto"/>
        <w:ind w:firstLine="4620" w:firstLineChars="2100"/>
        <w:rPr>
          <w:rFonts w:hint="eastAsia" w:ascii="宋体" w:hAnsi="宋体" w:cs="宋体"/>
          <w:color w:val="auto"/>
          <w:sz w:val="22"/>
          <w:szCs w:val="22"/>
          <w:lang w:val="zh-CN"/>
        </w:rPr>
      </w:pPr>
      <w:r>
        <w:rPr>
          <w:rFonts w:hint="eastAsia" w:ascii="宋体" w:hAnsi="宋体" w:cs="宋体"/>
          <w:color w:val="auto"/>
          <w:sz w:val="22"/>
          <w:szCs w:val="22"/>
          <w:lang w:val="zh-CN"/>
        </w:rPr>
        <w:t>联合体成员名称(电子签名/公章)：</w:t>
      </w:r>
    </w:p>
    <w:p w14:paraId="2323D5FA">
      <w:pPr>
        <w:snapToGrid w:val="0"/>
        <w:spacing w:line="360" w:lineRule="auto"/>
        <w:ind w:right="960"/>
        <w:jc w:val="center"/>
        <w:rPr>
          <w:rFonts w:hint="eastAsia" w:ascii="宋体" w:hAnsi="宋体" w:cs="宋体"/>
          <w:color w:val="auto"/>
          <w:sz w:val="22"/>
          <w:szCs w:val="22"/>
          <w:lang w:val="zh-CN"/>
        </w:rPr>
      </w:pPr>
      <w:r>
        <w:rPr>
          <w:rFonts w:hint="eastAsia" w:ascii="宋体" w:hAnsi="宋体" w:cs="宋体"/>
          <w:color w:val="auto"/>
          <w:sz w:val="22"/>
          <w:szCs w:val="22"/>
          <w:lang w:val="zh-CN"/>
        </w:rPr>
        <w:t xml:space="preserve">                   ……</w:t>
      </w:r>
    </w:p>
    <w:p w14:paraId="567F2F1D">
      <w:pPr>
        <w:snapToGrid w:val="0"/>
        <w:spacing w:line="360" w:lineRule="auto"/>
        <w:jc w:val="right"/>
        <w:rPr>
          <w:rFonts w:hint="eastAsia" w:ascii="宋体" w:hAnsi="宋体" w:cs="宋体"/>
          <w:color w:val="auto"/>
          <w:sz w:val="22"/>
          <w:szCs w:val="22"/>
          <w:lang w:val="zh-CN"/>
        </w:rPr>
      </w:pPr>
      <w:r>
        <w:rPr>
          <w:rFonts w:hint="eastAsia" w:ascii="宋体" w:hAnsi="宋体" w:cs="宋体"/>
          <w:color w:val="auto"/>
          <w:sz w:val="22"/>
          <w:szCs w:val="22"/>
          <w:lang w:val="zh-CN"/>
        </w:rPr>
        <w:t>日期：  年  月   日</w:t>
      </w:r>
    </w:p>
    <w:p w14:paraId="6AF00228">
      <w:pPr>
        <w:widowControl/>
        <w:shd w:val="clear" w:color="auto" w:fill="FFFFFF"/>
        <w:spacing w:line="440" w:lineRule="atLeast"/>
        <w:ind w:firstLine="482"/>
        <w:jc w:val="left"/>
        <w:rPr>
          <w:rFonts w:ascii="宋体" w:hAnsi="宋体" w:cs="宋体"/>
          <w:color w:val="auto"/>
          <w:kern w:val="0"/>
          <w:sz w:val="22"/>
          <w:szCs w:val="22"/>
        </w:rPr>
      </w:pPr>
      <w:r>
        <w:rPr>
          <w:rFonts w:hint="eastAsia" w:ascii="宋体" w:hAnsi="宋体" w:cs="宋体"/>
          <w:color w:val="auto"/>
          <w:sz w:val="22"/>
          <w:szCs w:val="22"/>
        </w:rPr>
        <w:t>注：按本格式和要求提供。</w:t>
      </w:r>
    </w:p>
    <w:p w14:paraId="5965C4A8">
      <w:pPr>
        <w:widowControl/>
        <w:snapToGrid w:val="0"/>
        <w:spacing w:line="360" w:lineRule="auto"/>
        <w:ind w:firstLine="440" w:firstLineChars="200"/>
        <w:jc w:val="left"/>
        <w:rPr>
          <w:rFonts w:ascii="宋体" w:hAnsi="宋体" w:cs="仿宋_GB2312"/>
          <w:color w:val="auto"/>
          <w:sz w:val="22"/>
        </w:rPr>
      </w:pPr>
    </w:p>
    <w:p w14:paraId="66E5B070">
      <w:pPr>
        <w:widowControl/>
        <w:snapToGrid w:val="0"/>
        <w:spacing w:line="360" w:lineRule="auto"/>
        <w:ind w:firstLine="440" w:firstLineChars="200"/>
        <w:jc w:val="left"/>
        <w:rPr>
          <w:rFonts w:ascii="宋体" w:hAnsi="宋体" w:cs="仿宋_GB2312"/>
          <w:color w:val="auto"/>
          <w:sz w:val="22"/>
        </w:rPr>
        <w:sectPr>
          <w:pgSz w:w="11906" w:h="16838"/>
          <w:pgMar w:top="1134" w:right="1134" w:bottom="1134" w:left="1134" w:header="851" w:footer="992" w:gutter="0"/>
          <w:cols w:space="720" w:num="1"/>
          <w:docGrid w:linePitch="312" w:charSpace="0"/>
        </w:sectPr>
      </w:pPr>
    </w:p>
    <w:p w14:paraId="5D81614F">
      <w:pPr>
        <w:snapToGrid w:val="0"/>
        <w:spacing w:line="360" w:lineRule="auto"/>
        <w:jc w:val="center"/>
        <w:rPr>
          <w:rFonts w:hint="eastAsia" w:ascii="宋体" w:hAnsi="宋体" w:cs="宋体"/>
          <w:b/>
          <w:color w:val="auto"/>
          <w:sz w:val="24"/>
        </w:rPr>
      </w:pPr>
      <w:bookmarkStart w:id="157" w:name="_Toc28533"/>
      <w:bookmarkStart w:id="158" w:name="_Toc11553"/>
      <w:bookmarkStart w:id="159" w:name="_Toc2082"/>
      <w:bookmarkStart w:id="160" w:name="_Toc32149"/>
      <w:r>
        <w:rPr>
          <w:rFonts w:hint="eastAsia" w:ascii="宋体" w:hAnsi="宋体" w:cs="宋体"/>
          <w:b/>
          <w:color w:val="auto"/>
          <w:sz w:val="24"/>
        </w:rPr>
        <w:t>（5）分包意向协议（如有分包，请根据格式提供）</w:t>
      </w:r>
    </w:p>
    <w:p w14:paraId="49B88BB5">
      <w:pPr>
        <w:snapToGrid w:val="0"/>
        <w:spacing w:line="360" w:lineRule="auto"/>
        <w:ind w:firstLine="576"/>
        <w:rPr>
          <w:rFonts w:hint="eastAsia" w:ascii="宋体" w:hAnsi="宋体" w:cs="宋体"/>
          <w:color w:val="auto"/>
          <w:sz w:val="22"/>
          <w:szCs w:val="22"/>
          <w:lang w:val="zh-CN"/>
        </w:rPr>
      </w:pPr>
      <w:r>
        <w:rPr>
          <w:rFonts w:hint="eastAsia" w:ascii="宋体" w:hAnsi="宋体" w:cs="宋体"/>
          <w:color w:val="auto"/>
          <w:sz w:val="22"/>
          <w:szCs w:val="22"/>
          <w:u w:val="single"/>
        </w:rPr>
        <w:t>（</w:t>
      </w:r>
      <w:r>
        <w:rPr>
          <w:rFonts w:hint="eastAsia" w:ascii="宋体" w:hAnsi="宋体" w:cs="宋体"/>
          <w:color w:val="auto"/>
          <w:sz w:val="22"/>
          <w:szCs w:val="22"/>
          <w:u w:val="single"/>
          <w:lang w:eastAsia="zh-CN"/>
        </w:rPr>
        <w:t>磋商供应商</w:t>
      </w:r>
      <w:r>
        <w:rPr>
          <w:rFonts w:hint="eastAsia" w:ascii="宋体" w:hAnsi="宋体" w:cs="宋体"/>
          <w:color w:val="auto"/>
          <w:sz w:val="22"/>
          <w:szCs w:val="22"/>
          <w:u w:val="single"/>
        </w:rPr>
        <w:t>名称）</w:t>
      </w:r>
      <w:r>
        <w:rPr>
          <w:rFonts w:hint="eastAsia" w:ascii="宋体" w:hAnsi="宋体" w:cs="宋体"/>
          <w:color w:val="auto"/>
          <w:sz w:val="22"/>
          <w:szCs w:val="22"/>
          <w:lang w:val="zh-CN"/>
        </w:rPr>
        <w:t>若成为</w:t>
      </w:r>
      <w:r>
        <w:rPr>
          <w:rFonts w:hint="eastAsia" w:ascii="宋体" w:hAnsi="宋体" w:cs="宋体"/>
          <w:color w:val="auto"/>
          <w:sz w:val="22"/>
          <w:szCs w:val="22"/>
          <w:u w:val="single"/>
          <w:lang w:val="en-US" w:eastAsia="zh-CN"/>
        </w:rPr>
        <w:t xml:space="preserve">      </w:t>
      </w:r>
      <w:r>
        <w:rPr>
          <w:rFonts w:hint="eastAsia" w:ascii="宋体" w:hAnsi="宋体" w:cs="宋体"/>
          <w:color w:val="auto"/>
          <w:sz w:val="22"/>
          <w:szCs w:val="22"/>
          <w:u w:val="single"/>
        </w:rPr>
        <w:t>项目【项目编号：</w:t>
      </w:r>
      <w:r>
        <w:rPr>
          <w:rFonts w:hint="eastAsia" w:ascii="宋体" w:hAnsi="宋体" w:cs="宋体"/>
          <w:color w:val="auto"/>
          <w:sz w:val="22"/>
          <w:szCs w:val="22"/>
          <w:u w:val="single"/>
          <w:lang w:val="en-US" w:eastAsia="zh-CN"/>
        </w:rPr>
        <w:t xml:space="preserve">      </w:t>
      </w:r>
      <w:r>
        <w:rPr>
          <w:rFonts w:hint="eastAsia" w:ascii="宋体" w:hAnsi="宋体" w:cs="宋体"/>
          <w:color w:val="auto"/>
          <w:sz w:val="22"/>
          <w:szCs w:val="22"/>
          <w:u w:val="single"/>
        </w:rPr>
        <w:t>】</w:t>
      </w:r>
      <w:r>
        <w:rPr>
          <w:rFonts w:hint="eastAsia" w:ascii="宋体" w:hAnsi="宋体" w:cs="宋体"/>
          <w:color w:val="auto"/>
          <w:sz w:val="22"/>
          <w:szCs w:val="22"/>
          <w:lang w:val="zh-CN"/>
        </w:rPr>
        <w:t>的</w:t>
      </w:r>
      <w:r>
        <w:rPr>
          <w:rFonts w:hint="eastAsia" w:ascii="宋体" w:hAnsi="宋体" w:cs="宋体"/>
          <w:color w:val="auto"/>
          <w:sz w:val="22"/>
          <w:szCs w:val="22"/>
          <w:lang w:val="en-US" w:eastAsia="zh-CN"/>
        </w:rPr>
        <w:t>成交供应商</w:t>
      </w:r>
      <w:r>
        <w:rPr>
          <w:rFonts w:hint="eastAsia" w:ascii="宋体" w:hAnsi="宋体" w:cs="宋体"/>
          <w:color w:val="auto"/>
          <w:sz w:val="22"/>
          <w:szCs w:val="22"/>
          <w:lang w:val="zh-CN"/>
        </w:rPr>
        <w:t>，将依法采取分包方式履行合同。</w:t>
      </w:r>
      <w:r>
        <w:rPr>
          <w:rFonts w:hint="eastAsia" w:ascii="宋体" w:hAnsi="宋体" w:cs="宋体"/>
          <w:color w:val="auto"/>
          <w:sz w:val="22"/>
          <w:szCs w:val="22"/>
          <w:u w:val="single"/>
        </w:rPr>
        <w:t>（</w:t>
      </w:r>
      <w:r>
        <w:rPr>
          <w:rFonts w:hint="eastAsia" w:ascii="宋体" w:hAnsi="宋体" w:cs="宋体"/>
          <w:color w:val="auto"/>
          <w:sz w:val="22"/>
          <w:szCs w:val="22"/>
          <w:u w:val="single"/>
          <w:lang w:eastAsia="zh-CN"/>
        </w:rPr>
        <w:t>磋商供应商</w:t>
      </w:r>
      <w:r>
        <w:rPr>
          <w:rFonts w:hint="eastAsia" w:ascii="宋体" w:hAnsi="宋体" w:cs="宋体"/>
          <w:color w:val="auto"/>
          <w:sz w:val="22"/>
          <w:szCs w:val="22"/>
          <w:u w:val="single"/>
        </w:rPr>
        <w:t>名称）</w:t>
      </w:r>
      <w:r>
        <w:rPr>
          <w:rFonts w:hint="eastAsia" w:ascii="宋体" w:hAnsi="宋体" w:cs="宋体"/>
          <w:color w:val="auto"/>
          <w:sz w:val="22"/>
          <w:szCs w:val="22"/>
        </w:rPr>
        <w:t>与</w:t>
      </w:r>
      <w:r>
        <w:rPr>
          <w:rFonts w:hint="eastAsia" w:ascii="宋体" w:hAnsi="宋体" w:cs="宋体"/>
          <w:color w:val="auto"/>
          <w:sz w:val="22"/>
          <w:szCs w:val="22"/>
          <w:u w:val="single"/>
        </w:rPr>
        <w:t>（所有分包供应商名称）</w:t>
      </w:r>
      <w:r>
        <w:rPr>
          <w:rFonts w:hint="eastAsia" w:ascii="宋体" w:hAnsi="宋体" w:cs="宋体"/>
          <w:color w:val="auto"/>
          <w:sz w:val="22"/>
          <w:szCs w:val="22"/>
        </w:rPr>
        <w:t>达成分包意向协议</w:t>
      </w:r>
      <w:r>
        <w:rPr>
          <w:rFonts w:hint="eastAsia" w:ascii="宋体" w:hAnsi="宋体" w:cs="宋体"/>
          <w:color w:val="auto"/>
          <w:sz w:val="22"/>
          <w:szCs w:val="22"/>
          <w:lang w:val="zh-CN"/>
        </w:rPr>
        <w:t xml:space="preserve">。 </w:t>
      </w:r>
    </w:p>
    <w:p w14:paraId="2E999BF9">
      <w:pPr>
        <w:snapToGrid w:val="0"/>
        <w:spacing w:line="360" w:lineRule="auto"/>
        <w:ind w:firstLine="576"/>
        <w:rPr>
          <w:rFonts w:hint="eastAsia" w:ascii="宋体" w:hAnsi="宋体" w:cs="宋体"/>
          <w:color w:val="auto"/>
          <w:sz w:val="22"/>
          <w:szCs w:val="22"/>
          <w:lang w:val="zh-CN"/>
        </w:rPr>
      </w:pPr>
      <w:r>
        <w:rPr>
          <w:rFonts w:hint="eastAsia" w:ascii="宋体" w:hAnsi="宋体" w:cs="宋体"/>
          <w:color w:val="auto"/>
          <w:sz w:val="22"/>
          <w:szCs w:val="22"/>
          <w:lang w:val="zh-CN"/>
        </w:rPr>
        <w:t>一、分包标的及数量</w:t>
      </w:r>
    </w:p>
    <w:p w14:paraId="3F95BF37">
      <w:pPr>
        <w:snapToGrid w:val="0"/>
        <w:spacing w:line="360" w:lineRule="auto"/>
        <w:ind w:firstLine="576"/>
        <w:rPr>
          <w:rFonts w:hint="eastAsia" w:ascii="宋体" w:hAnsi="宋体" w:cs="宋体"/>
          <w:color w:val="auto"/>
          <w:sz w:val="22"/>
          <w:szCs w:val="22"/>
          <w:lang w:val="zh-CN"/>
        </w:rPr>
      </w:pPr>
      <w:r>
        <w:rPr>
          <w:rFonts w:hint="eastAsia" w:ascii="宋体" w:hAnsi="宋体" w:cs="宋体"/>
          <w:color w:val="auto"/>
          <w:sz w:val="22"/>
          <w:szCs w:val="22"/>
          <w:u w:val="single"/>
        </w:rPr>
        <w:t>（</w:t>
      </w:r>
      <w:r>
        <w:rPr>
          <w:rFonts w:hint="eastAsia" w:ascii="宋体" w:hAnsi="宋体" w:cs="宋体"/>
          <w:color w:val="auto"/>
          <w:sz w:val="22"/>
          <w:szCs w:val="22"/>
          <w:u w:val="single"/>
          <w:lang w:eastAsia="zh-CN"/>
        </w:rPr>
        <w:t>磋商供应商</w:t>
      </w:r>
      <w:r>
        <w:rPr>
          <w:rFonts w:hint="eastAsia" w:ascii="宋体" w:hAnsi="宋体" w:cs="宋体"/>
          <w:color w:val="auto"/>
          <w:sz w:val="22"/>
          <w:szCs w:val="22"/>
          <w:u w:val="single"/>
        </w:rPr>
        <w:t>名称）</w:t>
      </w:r>
      <w:r>
        <w:rPr>
          <w:rFonts w:hint="eastAsia" w:ascii="宋体" w:hAnsi="宋体" w:cs="宋体"/>
          <w:color w:val="auto"/>
          <w:sz w:val="22"/>
          <w:szCs w:val="22"/>
          <w:lang w:val="zh-CN"/>
        </w:rPr>
        <w:t>将</w:t>
      </w:r>
      <w:r>
        <w:rPr>
          <w:rFonts w:hint="eastAsia" w:ascii="宋体" w:hAnsi="宋体" w:cs="宋体"/>
          <w:color w:val="auto"/>
          <w:sz w:val="22"/>
          <w:szCs w:val="22"/>
          <w:u w:val="single"/>
        </w:rPr>
        <w:t xml:space="preserve">   XX工作内容   </w:t>
      </w:r>
      <w:r>
        <w:rPr>
          <w:rFonts w:hint="eastAsia" w:ascii="宋体" w:hAnsi="宋体" w:cs="宋体"/>
          <w:color w:val="auto"/>
          <w:sz w:val="22"/>
          <w:szCs w:val="22"/>
        </w:rPr>
        <w:t>分包给</w:t>
      </w:r>
      <w:r>
        <w:rPr>
          <w:rFonts w:hint="eastAsia" w:ascii="宋体" w:hAnsi="宋体" w:cs="宋体"/>
          <w:color w:val="auto"/>
          <w:sz w:val="22"/>
          <w:szCs w:val="22"/>
          <w:u w:val="single"/>
        </w:rPr>
        <w:t>（分包供应商1名称）</w:t>
      </w:r>
      <w:r>
        <w:rPr>
          <w:rFonts w:hint="eastAsia" w:ascii="宋体" w:hAnsi="宋体" w:cs="宋体"/>
          <w:color w:val="auto"/>
          <w:sz w:val="22"/>
          <w:szCs w:val="22"/>
          <w:lang w:val="zh-CN"/>
        </w:rPr>
        <w:t>，</w:t>
      </w:r>
      <w:r>
        <w:rPr>
          <w:rFonts w:hint="eastAsia" w:ascii="宋体" w:hAnsi="宋体" w:cs="宋体"/>
          <w:color w:val="auto"/>
          <w:sz w:val="22"/>
          <w:szCs w:val="22"/>
          <w:u w:val="single"/>
        </w:rPr>
        <w:t>（分包供应商2名称），</w:t>
      </w:r>
      <w:r>
        <w:rPr>
          <w:rFonts w:hint="eastAsia" w:ascii="宋体" w:hAnsi="宋体" w:cs="宋体"/>
          <w:color w:val="auto"/>
          <w:sz w:val="22"/>
          <w:szCs w:val="22"/>
          <w:lang w:val="zh-CN"/>
        </w:rPr>
        <w:t>具备承</w:t>
      </w:r>
      <w:r>
        <w:rPr>
          <w:rFonts w:hint="eastAsia" w:ascii="宋体" w:hAnsi="宋体" w:cs="宋体"/>
          <w:color w:val="auto"/>
          <w:sz w:val="22"/>
          <w:szCs w:val="22"/>
        </w:rPr>
        <w:t>担</w:t>
      </w:r>
      <w:r>
        <w:rPr>
          <w:rFonts w:hint="eastAsia" w:ascii="宋体" w:hAnsi="宋体" w:cs="宋体"/>
          <w:color w:val="auto"/>
          <w:sz w:val="22"/>
          <w:szCs w:val="22"/>
          <w:u w:val="single"/>
          <w:lang w:val="zh-CN"/>
        </w:rPr>
        <w:t>XX工作内容</w:t>
      </w:r>
      <w:r>
        <w:rPr>
          <w:rFonts w:hint="eastAsia" w:ascii="宋体" w:hAnsi="宋体" w:cs="宋体"/>
          <w:color w:val="auto"/>
          <w:sz w:val="22"/>
          <w:szCs w:val="22"/>
          <w:lang w:val="zh-CN"/>
        </w:rPr>
        <w:t>相应资质条件且不得再次分包；</w:t>
      </w:r>
    </w:p>
    <w:p w14:paraId="7AAA933D">
      <w:pPr>
        <w:rPr>
          <w:rFonts w:hint="eastAsia" w:ascii="宋体" w:hAnsi="宋体" w:cs="宋体"/>
          <w:color w:val="auto"/>
          <w:sz w:val="22"/>
          <w:szCs w:val="22"/>
        </w:rPr>
      </w:pPr>
      <w:r>
        <w:rPr>
          <w:rFonts w:hint="eastAsia" w:ascii="宋体" w:hAnsi="宋体" w:cs="宋体"/>
          <w:color w:val="auto"/>
          <w:sz w:val="22"/>
          <w:szCs w:val="22"/>
        </w:rPr>
        <w:t>……</w:t>
      </w:r>
    </w:p>
    <w:p w14:paraId="7692052E">
      <w:pPr>
        <w:rPr>
          <w:rFonts w:hint="eastAsia" w:ascii="宋体" w:hAnsi="宋体" w:cs="宋体"/>
          <w:color w:val="auto"/>
          <w:sz w:val="22"/>
          <w:szCs w:val="22"/>
        </w:rPr>
      </w:pPr>
      <w:r>
        <w:rPr>
          <w:rFonts w:hint="eastAsia" w:ascii="宋体" w:hAnsi="宋体" w:cs="宋体"/>
          <w:color w:val="auto"/>
          <w:sz w:val="22"/>
          <w:szCs w:val="22"/>
          <w:lang w:val="zh-CN"/>
        </w:rPr>
        <w:t xml:space="preserve"> </w:t>
      </w:r>
    </w:p>
    <w:p w14:paraId="7E186FFA">
      <w:pPr>
        <w:snapToGrid w:val="0"/>
        <w:spacing w:line="360" w:lineRule="auto"/>
        <w:ind w:firstLine="576"/>
        <w:rPr>
          <w:rFonts w:hint="eastAsia" w:ascii="宋体" w:hAnsi="宋体" w:cs="宋体"/>
          <w:color w:val="auto"/>
          <w:sz w:val="22"/>
          <w:szCs w:val="22"/>
          <w:lang w:val="zh-CN"/>
        </w:rPr>
      </w:pPr>
      <w:r>
        <w:rPr>
          <w:rFonts w:hint="eastAsia" w:ascii="宋体" w:hAnsi="宋体" w:cs="宋体"/>
          <w:color w:val="auto"/>
          <w:sz w:val="22"/>
          <w:szCs w:val="22"/>
          <w:lang w:val="zh-CN"/>
        </w:rPr>
        <w:t>二、分包供应商中小企业合同份额</w:t>
      </w:r>
    </w:p>
    <w:p w14:paraId="2638A671">
      <w:pPr>
        <w:snapToGrid w:val="0"/>
        <w:spacing w:line="360" w:lineRule="auto"/>
        <w:ind w:firstLine="576"/>
        <w:rPr>
          <w:rFonts w:hint="eastAsia" w:ascii="宋体" w:hAnsi="宋体" w:cs="宋体"/>
          <w:b/>
          <w:color w:val="auto"/>
          <w:sz w:val="22"/>
          <w:szCs w:val="22"/>
          <w:lang w:val="zh-CN"/>
        </w:rPr>
      </w:pPr>
      <w:r>
        <w:rPr>
          <w:rFonts w:hint="eastAsia" w:ascii="宋体" w:hAnsi="宋体" w:cs="宋体"/>
          <w:color w:val="auto"/>
          <w:sz w:val="22"/>
          <w:szCs w:val="22"/>
        </w:rPr>
        <w:t>1、</w:t>
      </w:r>
      <w:r>
        <w:rPr>
          <w:rFonts w:hint="eastAsia" w:ascii="宋体" w:hAnsi="宋体" w:cs="宋体"/>
          <w:color w:val="auto"/>
          <w:sz w:val="22"/>
          <w:szCs w:val="22"/>
          <w:u w:val="single"/>
        </w:rPr>
        <w:t>（分包供应商X,……）提供的服务全部由小微企业承接，</w:t>
      </w:r>
      <w:r>
        <w:rPr>
          <w:rFonts w:hint="eastAsia" w:ascii="宋体" w:hAnsi="宋体" w:cs="宋体"/>
          <w:color w:val="auto"/>
          <w:sz w:val="22"/>
          <w:szCs w:val="22"/>
        </w:rPr>
        <w:t>其合同份额占到合同总金额</w:t>
      </w:r>
      <w:r>
        <w:rPr>
          <w:rFonts w:hint="eastAsia" w:ascii="宋体" w:hAnsi="宋体" w:cs="宋体"/>
          <w:color w:val="auto"/>
          <w:sz w:val="22"/>
          <w:szCs w:val="22"/>
          <w:u w:val="single"/>
        </w:rPr>
        <w:t xml:space="preserve">     </w:t>
      </w:r>
      <w:r>
        <w:rPr>
          <w:rFonts w:hint="eastAsia" w:ascii="宋体" w:hAnsi="宋体" w:cs="宋体"/>
          <w:color w:val="auto"/>
          <w:sz w:val="22"/>
          <w:szCs w:val="22"/>
        </w:rPr>
        <w:t>%以上。</w:t>
      </w:r>
      <w:r>
        <w:rPr>
          <w:rFonts w:hint="eastAsia" w:ascii="宋体" w:hAnsi="宋体" w:cs="宋体"/>
          <w:b/>
          <w:color w:val="auto"/>
          <w:sz w:val="22"/>
          <w:szCs w:val="22"/>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2"/>
          <w:szCs w:val="22"/>
        </w:rPr>
        <w:t>拟享受以上价格扣除政策的，填写有关内容。</w:t>
      </w:r>
      <w:r>
        <w:rPr>
          <w:rFonts w:hint="eastAsia" w:ascii="宋体" w:hAnsi="宋体" w:cs="宋体"/>
          <w:b/>
          <w:color w:val="auto"/>
          <w:sz w:val="22"/>
          <w:szCs w:val="22"/>
          <w:lang w:val="zh-CN"/>
        </w:rPr>
        <w:t>）</w:t>
      </w:r>
    </w:p>
    <w:p w14:paraId="37532CBB">
      <w:pPr>
        <w:spacing w:line="360" w:lineRule="auto"/>
        <w:ind w:firstLine="440" w:firstLineChars="200"/>
        <w:rPr>
          <w:rFonts w:hint="eastAsia" w:ascii="宋体" w:hAnsi="宋体" w:cs="宋体"/>
          <w:b/>
          <w:bCs/>
          <w:color w:val="auto"/>
          <w:sz w:val="22"/>
          <w:szCs w:val="22"/>
          <w:lang w:val="zh-CN"/>
        </w:rPr>
      </w:pPr>
      <w:r>
        <w:rPr>
          <w:rFonts w:hint="eastAsia" w:ascii="宋体" w:hAnsi="宋体" w:cs="宋体"/>
          <w:color w:val="auto"/>
          <w:sz w:val="22"/>
          <w:szCs w:val="22"/>
        </w:rPr>
        <w:t>2、中小企业合同金额达到</w:t>
      </w:r>
      <w:r>
        <w:rPr>
          <w:rFonts w:hint="eastAsia" w:ascii="宋体" w:hAnsi="宋体" w:cs="宋体"/>
          <w:color w:val="auto"/>
          <w:sz w:val="22"/>
          <w:szCs w:val="22"/>
          <w:u w:val="single"/>
        </w:rPr>
        <w:t xml:space="preserve">  </w:t>
      </w:r>
      <w:r>
        <w:rPr>
          <w:rFonts w:hint="eastAsia" w:ascii="宋体" w:hAnsi="宋体" w:cs="宋体"/>
          <w:color w:val="auto"/>
          <w:sz w:val="22"/>
          <w:szCs w:val="22"/>
        </w:rPr>
        <w:t>%，小微企业合同金额达到</w:t>
      </w:r>
      <w:r>
        <w:rPr>
          <w:rFonts w:hint="eastAsia" w:ascii="宋体" w:hAnsi="宋体" w:cs="宋体"/>
          <w:color w:val="auto"/>
          <w:sz w:val="22"/>
          <w:szCs w:val="22"/>
          <w:u w:val="single"/>
        </w:rPr>
        <w:t xml:space="preserve"> </w:t>
      </w:r>
      <w:r>
        <w:rPr>
          <w:rFonts w:hint="eastAsia" w:ascii="宋体" w:hAnsi="宋体" w:cs="宋体"/>
          <w:color w:val="auto"/>
          <w:sz w:val="22"/>
          <w:szCs w:val="22"/>
        </w:rPr>
        <w:t>%</w:t>
      </w:r>
      <w:r>
        <w:rPr>
          <w:rFonts w:hint="eastAsia" w:ascii="宋体" w:hAnsi="宋体" w:cs="宋体"/>
          <w:color w:val="auto"/>
          <w:sz w:val="22"/>
          <w:szCs w:val="22"/>
          <w:lang w:val="zh-CN"/>
        </w:rPr>
        <w:t>。</w:t>
      </w:r>
      <w:r>
        <w:rPr>
          <w:rFonts w:hint="eastAsia" w:ascii="宋体" w:hAnsi="宋体" w:cs="宋体"/>
          <w:b/>
          <w:bCs/>
          <w:color w:val="auto"/>
          <w:sz w:val="22"/>
          <w:szCs w:val="22"/>
          <w:lang w:val="zh-CN"/>
        </w:rPr>
        <w:t>（</w:t>
      </w:r>
      <w:r>
        <w:rPr>
          <w:rFonts w:hint="eastAsia" w:ascii="宋体" w:hAnsi="宋体" w:cs="宋体"/>
          <w:b/>
          <w:bCs/>
          <w:color w:val="auto"/>
          <w:sz w:val="22"/>
          <w:szCs w:val="22"/>
        </w:rPr>
        <w:t>要求合同分包形式参加的项目或采购包，供应商按</w:t>
      </w:r>
      <w:r>
        <w:rPr>
          <w:rFonts w:hint="eastAsia" w:ascii="宋体" w:hAnsi="宋体" w:cs="宋体"/>
          <w:b/>
          <w:bCs/>
          <w:color w:val="auto"/>
          <w:sz w:val="22"/>
          <w:szCs w:val="22"/>
          <w:lang w:eastAsia="zh-CN"/>
        </w:rPr>
        <w:t>磋商文件</w:t>
      </w:r>
      <w:r>
        <w:rPr>
          <w:rFonts w:hint="eastAsia" w:ascii="宋体" w:hAnsi="宋体" w:cs="宋体"/>
          <w:b/>
          <w:bCs/>
          <w:color w:val="auto"/>
          <w:sz w:val="22"/>
          <w:szCs w:val="22"/>
        </w:rPr>
        <w:t>第一部分招标公告申请人的资格要求中规定的</w:t>
      </w:r>
      <w:r>
        <w:rPr>
          <w:rFonts w:hint="eastAsia" w:ascii="宋体" w:hAnsi="宋体" w:cs="宋体"/>
          <w:b/>
          <w:color w:val="auto"/>
          <w:sz w:val="22"/>
          <w:szCs w:val="22"/>
          <w:lang w:val="zh-CN"/>
        </w:rPr>
        <w:t>分包意向协议</w:t>
      </w:r>
      <w:r>
        <w:rPr>
          <w:rFonts w:hint="eastAsia" w:ascii="宋体" w:hAnsi="宋体" w:cs="宋体"/>
          <w:b/>
          <w:bCs/>
          <w:color w:val="auto"/>
          <w:sz w:val="22"/>
          <w:szCs w:val="22"/>
        </w:rPr>
        <w:t>中中小企业、小微企业合同金额应当达到的比例要求填写。</w:t>
      </w:r>
      <w:r>
        <w:rPr>
          <w:rFonts w:hint="eastAsia" w:ascii="宋体" w:hAnsi="宋体" w:cs="宋体"/>
          <w:b/>
          <w:bCs/>
          <w:color w:val="auto"/>
          <w:sz w:val="22"/>
          <w:szCs w:val="22"/>
          <w:lang w:val="zh-CN"/>
        </w:rPr>
        <w:t>）</w:t>
      </w:r>
    </w:p>
    <w:p w14:paraId="6033449A">
      <w:pPr>
        <w:snapToGrid w:val="0"/>
        <w:spacing w:line="360" w:lineRule="auto"/>
        <w:ind w:firstLine="576"/>
        <w:rPr>
          <w:rFonts w:hint="eastAsia" w:ascii="宋体" w:hAnsi="宋体" w:cs="宋体"/>
          <w:color w:val="auto"/>
          <w:sz w:val="22"/>
          <w:szCs w:val="22"/>
          <w:lang w:val="zh-CN"/>
        </w:rPr>
      </w:pPr>
      <w:r>
        <w:rPr>
          <w:rFonts w:hint="eastAsia" w:ascii="宋体" w:hAnsi="宋体" w:cs="宋体"/>
          <w:color w:val="auto"/>
          <w:sz w:val="22"/>
          <w:szCs w:val="22"/>
          <w:lang w:val="zh-CN"/>
        </w:rPr>
        <w:t>三、分包工作履行期限、地点、方式</w:t>
      </w:r>
    </w:p>
    <w:p w14:paraId="4A8C24F2">
      <w:pPr>
        <w:snapToGrid w:val="0"/>
        <w:spacing w:line="360" w:lineRule="auto"/>
        <w:ind w:firstLine="576"/>
        <w:rPr>
          <w:rFonts w:hint="eastAsia" w:ascii="宋体" w:hAnsi="宋体" w:cs="宋体"/>
          <w:color w:val="auto"/>
          <w:sz w:val="22"/>
          <w:szCs w:val="22"/>
          <w:u w:val="single"/>
        </w:rPr>
      </w:pPr>
      <w:r>
        <w:rPr>
          <w:rFonts w:hint="eastAsia" w:ascii="宋体" w:hAnsi="宋体" w:cs="宋体"/>
          <w:color w:val="auto"/>
          <w:sz w:val="22"/>
          <w:szCs w:val="22"/>
          <w:u w:val="single"/>
        </w:rPr>
        <w:t xml:space="preserve">                                                                                  </w:t>
      </w:r>
    </w:p>
    <w:p w14:paraId="2A6151B8">
      <w:pPr>
        <w:snapToGrid w:val="0"/>
        <w:spacing w:line="360" w:lineRule="auto"/>
        <w:ind w:firstLine="576"/>
        <w:rPr>
          <w:rFonts w:hint="eastAsia" w:ascii="宋体" w:hAnsi="宋体" w:cs="宋体"/>
          <w:color w:val="auto"/>
          <w:sz w:val="22"/>
          <w:szCs w:val="22"/>
          <w:lang w:val="zh-CN"/>
        </w:rPr>
      </w:pPr>
      <w:r>
        <w:rPr>
          <w:rFonts w:hint="eastAsia" w:ascii="宋体" w:hAnsi="宋体" w:cs="宋体"/>
          <w:color w:val="auto"/>
          <w:sz w:val="22"/>
          <w:szCs w:val="22"/>
          <w:lang w:val="zh-CN"/>
        </w:rPr>
        <w:t>四、质量</w:t>
      </w:r>
    </w:p>
    <w:p w14:paraId="58FD70BD">
      <w:pPr>
        <w:snapToGrid w:val="0"/>
        <w:spacing w:line="360" w:lineRule="auto"/>
        <w:ind w:firstLine="576"/>
        <w:rPr>
          <w:rFonts w:hint="eastAsia" w:ascii="宋体" w:hAnsi="宋体" w:cs="宋体"/>
          <w:color w:val="auto"/>
          <w:sz w:val="22"/>
          <w:szCs w:val="22"/>
          <w:lang w:val="zh-CN"/>
        </w:rPr>
      </w:pPr>
      <w:r>
        <w:rPr>
          <w:rFonts w:hint="eastAsia" w:ascii="宋体" w:hAnsi="宋体" w:cs="宋体"/>
          <w:color w:val="auto"/>
          <w:sz w:val="22"/>
          <w:szCs w:val="22"/>
          <w:u w:val="single"/>
        </w:rPr>
        <w:t xml:space="preserve">                                                                                       </w:t>
      </w:r>
    </w:p>
    <w:p w14:paraId="62BA84BF">
      <w:pPr>
        <w:snapToGrid w:val="0"/>
        <w:spacing w:line="360" w:lineRule="auto"/>
        <w:ind w:firstLine="576"/>
        <w:rPr>
          <w:rFonts w:hint="eastAsia" w:ascii="宋体" w:hAnsi="宋体" w:cs="宋体"/>
          <w:color w:val="auto"/>
          <w:sz w:val="22"/>
          <w:szCs w:val="22"/>
          <w:lang w:val="zh-CN"/>
        </w:rPr>
      </w:pPr>
      <w:r>
        <w:rPr>
          <w:rFonts w:hint="eastAsia" w:ascii="宋体" w:hAnsi="宋体" w:cs="宋体"/>
          <w:color w:val="auto"/>
          <w:sz w:val="22"/>
          <w:szCs w:val="22"/>
          <w:lang w:val="zh-CN"/>
        </w:rPr>
        <w:t>五、价款或者报酬</w:t>
      </w:r>
    </w:p>
    <w:p w14:paraId="1D2395DE">
      <w:pPr>
        <w:snapToGrid w:val="0"/>
        <w:spacing w:line="360" w:lineRule="auto"/>
        <w:ind w:left="573" w:leftChars="273"/>
        <w:rPr>
          <w:rFonts w:hint="eastAsia" w:ascii="宋体" w:hAnsi="宋体" w:cs="宋体"/>
          <w:color w:val="auto"/>
          <w:sz w:val="22"/>
          <w:szCs w:val="22"/>
          <w:lang w:val="zh-CN"/>
        </w:rPr>
      </w:pPr>
      <w:r>
        <w:rPr>
          <w:rFonts w:hint="eastAsia" w:ascii="宋体" w:hAnsi="宋体" w:cs="宋体"/>
          <w:color w:val="auto"/>
          <w:sz w:val="22"/>
          <w:szCs w:val="22"/>
          <w:u w:val="single"/>
        </w:rPr>
        <w:t xml:space="preserve">                                                                                     </w:t>
      </w:r>
    </w:p>
    <w:p w14:paraId="3B287E7F">
      <w:pPr>
        <w:snapToGrid w:val="0"/>
        <w:spacing w:line="360" w:lineRule="auto"/>
        <w:ind w:left="573" w:leftChars="273"/>
        <w:rPr>
          <w:rFonts w:hint="eastAsia" w:ascii="宋体" w:hAnsi="宋体" w:cs="宋体"/>
          <w:color w:val="auto"/>
          <w:sz w:val="22"/>
          <w:szCs w:val="22"/>
          <w:lang w:val="zh-CN"/>
        </w:rPr>
      </w:pPr>
      <w:r>
        <w:rPr>
          <w:rFonts w:hint="eastAsia" w:ascii="宋体" w:hAnsi="宋体" w:cs="宋体"/>
          <w:color w:val="auto"/>
          <w:sz w:val="22"/>
          <w:szCs w:val="22"/>
          <w:lang w:val="zh-CN"/>
        </w:rPr>
        <w:t>六、违约责任</w:t>
      </w:r>
    </w:p>
    <w:p w14:paraId="02C5ACE5">
      <w:pPr>
        <w:snapToGrid w:val="0"/>
        <w:spacing w:line="360" w:lineRule="auto"/>
        <w:ind w:firstLine="576"/>
        <w:rPr>
          <w:rFonts w:hint="eastAsia" w:ascii="宋体" w:hAnsi="宋体" w:cs="宋体"/>
          <w:color w:val="auto"/>
          <w:sz w:val="22"/>
          <w:szCs w:val="22"/>
          <w:lang w:val="zh-CN"/>
        </w:rPr>
      </w:pPr>
      <w:r>
        <w:rPr>
          <w:rFonts w:hint="eastAsia" w:ascii="宋体" w:hAnsi="宋体" w:cs="宋体"/>
          <w:color w:val="auto"/>
          <w:sz w:val="22"/>
          <w:szCs w:val="22"/>
          <w:u w:val="single"/>
        </w:rPr>
        <w:t xml:space="preserve">                                                                                     </w:t>
      </w:r>
    </w:p>
    <w:p w14:paraId="0D32507F">
      <w:pPr>
        <w:snapToGrid w:val="0"/>
        <w:spacing w:line="360" w:lineRule="auto"/>
        <w:ind w:firstLine="576"/>
        <w:rPr>
          <w:rFonts w:hint="eastAsia" w:ascii="宋体" w:hAnsi="宋体" w:cs="宋体"/>
          <w:color w:val="auto"/>
          <w:sz w:val="22"/>
          <w:szCs w:val="22"/>
          <w:lang w:val="zh-CN"/>
        </w:rPr>
      </w:pPr>
      <w:r>
        <w:rPr>
          <w:rFonts w:hint="eastAsia" w:ascii="宋体" w:hAnsi="宋体" w:cs="宋体"/>
          <w:color w:val="auto"/>
          <w:sz w:val="22"/>
          <w:szCs w:val="22"/>
          <w:lang w:val="zh-CN"/>
        </w:rPr>
        <w:t>七、争议解决的办法</w:t>
      </w:r>
    </w:p>
    <w:p w14:paraId="5971ADFA">
      <w:pPr>
        <w:snapToGrid w:val="0"/>
        <w:spacing w:line="360" w:lineRule="auto"/>
        <w:ind w:firstLine="576"/>
        <w:rPr>
          <w:rFonts w:hint="eastAsia" w:ascii="宋体" w:hAnsi="宋体" w:cs="宋体"/>
          <w:color w:val="auto"/>
          <w:sz w:val="22"/>
          <w:szCs w:val="22"/>
          <w:lang w:val="zh-CN"/>
        </w:rPr>
      </w:pPr>
      <w:r>
        <w:rPr>
          <w:rFonts w:hint="eastAsia" w:ascii="宋体" w:hAnsi="宋体" w:cs="宋体"/>
          <w:color w:val="auto"/>
          <w:sz w:val="22"/>
          <w:szCs w:val="22"/>
          <w:u w:val="single"/>
        </w:rPr>
        <w:t xml:space="preserve">                                                                                  </w:t>
      </w:r>
    </w:p>
    <w:p w14:paraId="32FE134F">
      <w:pPr>
        <w:snapToGrid w:val="0"/>
        <w:spacing w:line="360" w:lineRule="auto"/>
        <w:ind w:firstLine="576"/>
        <w:rPr>
          <w:rFonts w:hint="eastAsia" w:ascii="宋体" w:hAnsi="宋体" w:cs="宋体"/>
          <w:color w:val="auto"/>
          <w:sz w:val="22"/>
          <w:szCs w:val="22"/>
          <w:lang w:val="zh-CN"/>
        </w:rPr>
      </w:pPr>
      <w:r>
        <w:rPr>
          <w:rFonts w:hint="eastAsia" w:ascii="宋体" w:hAnsi="宋体" w:cs="宋体"/>
          <w:color w:val="auto"/>
          <w:sz w:val="22"/>
          <w:szCs w:val="22"/>
          <w:lang w:val="zh-CN"/>
        </w:rPr>
        <w:t>八、其他</w:t>
      </w:r>
    </w:p>
    <w:p w14:paraId="7998AB28">
      <w:pPr>
        <w:snapToGrid w:val="0"/>
        <w:spacing w:line="360" w:lineRule="auto"/>
        <w:ind w:left="5338" w:leftChars="342" w:hanging="4620" w:hangingChars="2100"/>
        <w:rPr>
          <w:rFonts w:hint="eastAsia" w:ascii="宋体" w:hAnsi="宋体" w:cs="宋体"/>
          <w:color w:val="auto"/>
          <w:sz w:val="22"/>
          <w:szCs w:val="22"/>
          <w:lang w:val="zh-CN"/>
        </w:rPr>
      </w:pPr>
      <w:r>
        <w:rPr>
          <w:rFonts w:hint="eastAsia" w:ascii="宋体" w:hAnsi="宋体" w:cs="宋体"/>
          <w:color w:val="auto"/>
          <w:sz w:val="22"/>
          <w:szCs w:val="22"/>
        </w:rPr>
        <w:t>中小企业合同金额达到</w:t>
      </w:r>
      <w:r>
        <w:rPr>
          <w:rFonts w:hint="eastAsia" w:ascii="宋体" w:hAnsi="宋体" w:cs="宋体"/>
          <w:color w:val="auto"/>
          <w:sz w:val="22"/>
          <w:szCs w:val="22"/>
          <w:u w:val="single"/>
        </w:rPr>
        <w:t xml:space="preserve">  </w:t>
      </w:r>
      <w:r>
        <w:rPr>
          <w:rFonts w:hint="eastAsia" w:ascii="宋体" w:hAnsi="宋体" w:cs="宋体"/>
          <w:color w:val="auto"/>
          <w:sz w:val="22"/>
          <w:szCs w:val="22"/>
        </w:rPr>
        <w:t>%，小微企业合同金额达到</w:t>
      </w:r>
      <w:r>
        <w:rPr>
          <w:rFonts w:hint="eastAsia" w:ascii="宋体" w:hAnsi="宋体" w:cs="宋体"/>
          <w:color w:val="auto"/>
          <w:sz w:val="22"/>
          <w:szCs w:val="22"/>
          <w:u w:val="single"/>
        </w:rPr>
        <w:t xml:space="preserve">   </w:t>
      </w:r>
      <w:r>
        <w:rPr>
          <w:rFonts w:hint="eastAsia" w:ascii="宋体" w:hAnsi="宋体" w:cs="宋体"/>
          <w:color w:val="auto"/>
          <w:sz w:val="22"/>
          <w:szCs w:val="22"/>
        </w:rPr>
        <w:t>%</w:t>
      </w:r>
      <w:r>
        <w:rPr>
          <w:rFonts w:hint="eastAsia" w:ascii="宋体" w:hAnsi="宋体" w:cs="宋体"/>
          <w:color w:val="auto"/>
          <w:sz w:val="22"/>
          <w:szCs w:val="22"/>
          <w:lang w:val="zh-CN"/>
        </w:rPr>
        <w:t xml:space="preserve">。 </w:t>
      </w:r>
    </w:p>
    <w:p w14:paraId="6E1D815C">
      <w:pPr>
        <w:snapToGrid w:val="0"/>
        <w:spacing w:line="360" w:lineRule="auto"/>
        <w:ind w:left="5338" w:leftChars="342" w:hanging="4620" w:hangingChars="2100"/>
        <w:rPr>
          <w:rFonts w:hint="eastAsia" w:ascii="宋体" w:hAnsi="宋体" w:cs="宋体"/>
          <w:color w:val="auto"/>
          <w:sz w:val="22"/>
          <w:szCs w:val="22"/>
          <w:lang w:val="zh-CN"/>
        </w:rPr>
      </w:pPr>
      <w:r>
        <w:rPr>
          <w:rFonts w:hint="eastAsia" w:ascii="宋体" w:hAnsi="宋体" w:cs="宋体"/>
          <w:color w:val="auto"/>
          <w:sz w:val="22"/>
          <w:szCs w:val="22"/>
          <w:lang w:val="zh-CN"/>
        </w:rPr>
        <w:t xml:space="preserve">                                          磋商供应商名称(电子签名)：</w:t>
      </w:r>
    </w:p>
    <w:p w14:paraId="55D26DC9">
      <w:pPr>
        <w:snapToGrid w:val="0"/>
        <w:spacing w:line="360" w:lineRule="auto"/>
        <w:jc w:val="center"/>
        <w:rPr>
          <w:rFonts w:hint="eastAsia" w:ascii="宋体" w:hAnsi="宋体" w:cs="宋体"/>
          <w:color w:val="auto"/>
          <w:sz w:val="22"/>
          <w:szCs w:val="22"/>
          <w:lang w:val="zh-CN"/>
        </w:rPr>
      </w:pPr>
      <w:r>
        <w:rPr>
          <w:rFonts w:hint="eastAsia" w:ascii="宋体" w:hAnsi="宋体" w:cs="宋体"/>
          <w:color w:val="auto"/>
          <w:sz w:val="22"/>
          <w:szCs w:val="22"/>
          <w:lang w:val="en-US" w:eastAsia="zh-CN"/>
        </w:rPr>
        <w:t xml:space="preserve">                                        </w:t>
      </w:r>
      <w:r>
        <w:rPr>
          <w:rFonts w:hint="eastAsia" w:ascii="宋体" w:hAnsi="宋体" w:cs="宋体"/>
          <w:color w:val="auto"/>
          <w:sz w:val="22"/>
          <w:szCs w:val="22"/>
          <w:lang w:val="zh-CN"/>
        </w:rPr>
        <w:t>分包供应商名称(电子签名/公章)：</w:t>
      </w:r>
    </w:p>
    <w:p w14:paraId="18F0CEEE">
      <w:pPr>
        <w:snapToGrid w:val="0"/>
        <w:spacing w:line="360" w:lineRule="auto"/>
        <w:ind w:firstLine="5280" w:firstLineChars="2400"/>
        <w:rPr>
          <w:rFonts w:hint="eastAsia" w:ascii="宋体" w:hAnsi="宋体" w:cs="宋体"/>
          <w:color w:val="auto"/>
          <w:sz w:val="22"/>
          <w:szCs w:val="22"/>
        </w:rPr>
      </w:pPr>
      <w:r>
        <w:rPr>
          <w:rFonts w:hint="eastAsia" w:ascii="宋体" w:hAnsi="宋体" w:cs="宋体"/>
          <w:color w:val="auto"/>
          <w:sz w:val="22"/>
          <w:szCs w:val="22"/>
          <w:lang w:val="zh-CN"/>
        </w:rPr>
        <w:t>……</w:t>
      </w:r>
    </w:p>
    <w:p w14:paraId="7A554EA9">
      <w:pPr>
        <w:snapToGrid w:val="0"/>
        <w:spacing w:line="360" w:lineRule="auto"/>
        <w:ind w:left="5338" w:leftChars="342" w:hanging="4620" w:hangingChars="2100"/>
        <w:rPr>
          <w:rFonts w:hint="eastAsia" w:ascii="宋体" w:hAnsi="宋体" w:cs="宋体"/>
          <w:color w:val="auto"/>
          <w:sz w:val="22"/>
          <w:szCs w:val="22"/>
          <w:lang w:val="zh-CN"/>
        </w:rPr>
      </w:pPr>
      <w:r>
        <w:rPr>
          <w:rFonts w:hint="eastAsia" w:ascii="宋体" w:hAnsi="宋体" w:cs="宋体"/>
          <w:color w:val="auto"/>
          <w:sz w:val="22"/>
          <w:szCs w:val="22"/>
          <w:lang w:val="zh-CN"/>
        </w:rPr>
        <w:t xml:space="preserve">                                        日期：  年  月   日</w:t>
      </w:r>
    </w:p>
    <w:p w14:paraId="74C56D48">
      <w:pPr>
        <w:rPr>
          <w:rFonts w:hint="eastAsia"/>
          <w:color w:val="auto"/>
          <w:lang w:val="zh-CN"/>
        </w:rPr>
      </w:pPr>
      <w:r>
        <w:rPr>
          <w:rFonts w:hint="eastAsia" w:ascii="宋体" w:hAnsi="宋体" w:cs="宋体"/>
          <w:color w:val="auto"/>
          <w:sz w:val="22"/>
          <w:szCs w:val="22"/>
        </w:rPr>
        <w:t>注：按本格式和要求提供。</w:t>
      </w:r>
    </w:p>
    <w:p w14:paraId="6785740F">
      <w:pPr>
        <w:pStyle w:val="3"/>
        <w:spacing w:line="480" w:lineRule="exact"/>
        <w:rPr>
          <w:rFonts w:ascii="黑体" w:hAnsi="黑体"/>
          <w:color w:val="auto"/>
          <w:sz w:val="24"/>
          <w:szCs w:val="24"/>
        </w:rPr>
      </w:pPr>
      <w:r>
        <w:rPr>
          <w:rFonts w:hint="eastAsia"/>
          <w:color w:val="auto"/>
          <w:lang w:val="zh-CN" w:eastAsia="zh-CN"/>
        </w:rPr>
        <w:br w:type="page"/>
      </w:r>
      <w:bookmarkStart w:id="161" w:name="_Toc32135"/>
      <w:r>
        <w:rPr>
          <w:rFonts w:hint="eastAsia" w:ascii="黑体" w:hAnsi="黑体"/>
          <w:color w:val="auto"/>
          <w:sz w:val="24"/>
          <w:szCs w:val="24"/>
        </w:rPr>
        <w:t>附件五  商务条款、技术规格偏离表</w:t>
      </w:r>
      <w:bookmarkEnd w:id="150"/>
      <w:bookmarkEnd w:id="157"/>
      <w:bookmarkEnd w:id="158"/>
      <w:bookmarkEnd w:id="159"/>
      <w:bookmarkEnd w:id="160"/>
      <w:bookmarkEnd w:id="161"/>
    </w:p>
    <w:p w14:paraId="4B1E9955">
      <w:pPr>
        <w:pStyle w:val="14"/>
        <w:adjustRightInd w:val="0"/>
        <w:snapToGrid w:val="0"/>
        <w:spacing w:line="440" w:lineRule="exact"/>
        <w:ind w:firstLine="422" w:firstLineChars="150"/>
        <w:jc w:val="center"/>
        <w:rPr>
          <w:rFonts w:ascii="宋体" w:hAnsi="宋体"/>
          <w:b/>
          <w:color w:val="auto"/>
          <w:sz w:val="28"/>
        </w:rPr>
      </w:pPr>
      <w:r>
        <w:rPr>
          <w:rFonts w:hint="eastAsia" w:ascii="宋体" w:hAnsi="宋体"/>
          <w:b/>
          <w:color w:val="auto"/>
          <w:sz w:val="28"/>
        </w:rPr>
        <w:t>商务条款、技术规格偏离表</w:t>
      </w:r>
    </w:p>
    <w:p w14:paraId="272512BC">
      <w:pPr>
        <w:spacing w:line="380" w:lineRule="exact"/>
        <w:rPr>
          <w:rFonts w:ascii="宋体" w:hAnsi="宋体"/>
          <w:b/>
          <w:color w:val="auto"/>
          <w:sz w:val="22"/>
        </w:rPr>
      </w:pPr>
      <w:r>
        <w:rPr>
          <w:rFonts w:hint="eastAsia" w:ascii="宋体" w:hAnsi="宋体"/>
          <w:b/>
          <w:color w:val="auto"/>
          <w:sz w:val="22"/>
        </w:rPr>
        <w:t>项目名称：                                                  项目编号：</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365"/>
        <w:gridCol w:w="2100"/>
        <w:gridCol w:w="1995"/>
        <w:gridCol w:w="1869"/>
        <w:gridCol w:w="1596"/>
      </w:tblGrid>
      <w:tr w14:paraId="183F5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0" w:hRule="atLeast"/>
        </w:trPr>
        <w:tc>
          <w:tcPr>
            <w:tcW w:w="944" w:type="dxa"/>
            <w:tcBorders>
              <w:top w:val="single" w:color="auto" w:sz="4" w:space="0"/>
              <w:left w:val="single" w:color="auto" w:sz="4" w:space="0"/>
              <w:bottom w:val="single" w:color="auto" w:sz="4" w:space="0"/>
              <w:right w:val="single" w:color="auto" w:sz="4" w:space="0"/>
            </w:tcBorders>
            <w:shd w:val="clear" w:color="auto" w:fill="B3B3B3"/>
          </w:tcPr>
          <w:p w14:paraId="584E372F">
            <w:pPr>
              <w:spacing w:line="380" w:lineRule="exact"/>
              <w:jc w:val="center"/>
              <w:rPr>
                <w:rFonts w:ascii="宋体" w:hAnsi="宋体"/>
                <w:color w:val="auto"/>
                <w:sz w:val="22"/>
              </w:rPr>
            </w:pPr>
          </w:p>
        </w:tc>
        <w:tc>
          <w:tcPr>
            <w:tcW w:w="1365" w:type="dxa"/>
            <w:tcBorders>
              <w:top w:val="single" w:color="auto" w:sz="4" w:space="0"/>
              <w:left w:val="single" w:color="auto" w:sz="4" w:space="0"/>
              <w:bottom w:val="single" w:color="auto" w:sz="4" w:space="0"/>
              <w:right w:val="single" w:color="auto" w:sz="4" w:space="0"/>
            </w:tcBorders>
            <w:shd w:val="clear" w:color="auto" w:fill="B3B3B3"/>
            <w:vAlign w:val="center"/>
          </w:tcPr>
          <w:p w14:paraId="15124BA3">
            <w:pPr>
              <w:spacing w:line="380" w:lineRule="exact"/>
              <w:jc w:val="center"/>
              <w:rPr>
                <w:rFonts w:ascii="宋体" w:hAnsi="宋体"/>
                <w:b/>
                <w:color w:val="auto"/>
                <w:sz w:val="22"/>
              </w:rPr>
            </w:pPr>
            <w:r>
              <w:rPr>
                <w:rFonts w:hint="eastAsia" w:ascii="宋体" w:hAnsi="宋体"/>
                <w:b/>
                <w:color w:val="auto"/>
                <w:sz w:val="22"/>
              </w:rPr>
              <w:t>序号</w:t>
            </w:r>
          </w:p>
        </w:tc>
        <w:tc>
          <w:tcPr>
            <w:tcW w:w="2100" w:type="dxa"/>
            <w:tcBorders>
              <w:top w:val="single" w:color="auto" w:sz="4" w:space="0"/>
              <w:left w:val="single" w:color="auto" w:sz="4" w:space="0"/>
              <w:bottom w:val="single" w:color="auto" w:sz="4" w:space="0"/>
              <w:right w:val="single" w:color="auto" w:sz="4" w:space="0"/>
            </w:tcBorders>
            <w:shd w:val="clear" w:color="auto" w:fill="B3B3B3"/>
            <w:vAlign w:val="center"/>
          </w:tcPr>
          <w:p w14:paraId="21CD93E7">
            <w:pPr>
              <w:spacing w:line="380" w:lineRule="exact"/>
              <w:jc w:val="center"/>
              <w:rPr>
                <w:rFonts w:ascii="宋体" w:hAnsi="宋体"/>
                <w:b/>
                <w:color w:val="auto"/>
                <w:sz w:val="22"/>
              </w:rPr>
            </w:pPr>
            <w:r>
              <w:rPr>
                <w:rFonts w:hint="eastAsia" w:ascii="宋体" w:hAnsi="宋体"/>
                <w:b/>
                <w:color w:val="auto"/>
                <w:sz w:val="22"/>
              </w:rPr>
              <w:t>磋商文件</w:t>
            </w:r>
          </w:p>
          <w:p w14:paraId="301A3D46">
            <w:pPr>
              <w:spacing w:line="380" w:lineRule="exact"/>
              <w:jc w:val="center"/>
              <w:rPr>
                <w:rFonts w:ascii="宋体" w:hAnsi="宋体"/>
                <w:b/>
                <w:color w:val="auto"/>
                <w:sz w:val="22"/>
              </w:rPr>
            </w:pPr>
            <w:r>
              <w:rPr>
                <w:rFonts w:hint="eastAsia" w:ascii="宋体" w:hAnsi="宋体"/>
                <w:b/>
                <w:color w:val="auto"/>
                <w:sz w:val="22"/>
              </w:rPr>
              <w:t>条目号</w:t>
            </w:r>
          </w:p>
        </w:tc>
        <w:tc>
          <w:tcPr>
            <w:tcW w:w="1995" w:type="dxa"/>
            <w:tcBorders>
              <w:top w:val="single" w:color="auto" w:sz="4" w:space="0"/>
              <w:left w:val="single" w:color="auto" w:sz="4" w:space="0"/>
              <w:bottom w:val="single" w:color="auto" w:sz="4" w:space="0"/>
              <w:right w:val="single" w:color="auto" w:sz="4" w:space="0"/>
            </w:tcBorders>
            <w:shd w:val="clear" w:color="auto" w:fill="B3B3B3"/>
            <w:vAlign w:val="center"/>
          </w:tcPr>
          <w:p w14:paraId="0DAA28A7">
            <w:pPr>
              <w:spacing w:line="380" w:lineRule="exact"/>
              <w:jc w:val="center"/>
              <w:rPr>
                <w:rFonts w:ascii="宋体" w:hAnsi="宋体"/>
                <w:b/>
                <w:color w:val="auto"/>
                <w:sz w:val="22"/>
              </w:rPr>
            </w:pPr>
            <w:r>
              <w:rPr>
                <w:rFonts w:hint="eastAsia" w:ascii="宋体" w:hAnsi="宋体"/>
                <w:b/>
                <w:color w:val="auto"/>
                <w:sz w:val="22"/>
              </w:rPr>
              <w:t>磋商文件</w:t>
            </w:r>
          </w:p>
          <w:p w14:paraId="3449D30E">
            <w:pPr>
              <w:spacing w:line="380" w:lineRule="exact"/>
              <w:jc w:val="center"/>
              <w:rPr>
                <w:rFonts w:ascii="宋体" w:hAnsi="宋体"/>
                <w:b/>
                <w:color w:val="auto"/>
                <w:sz w:val="22"/>
              </w:rPr>
            </w:pPr>
            <w:r>
              <w:rPr>
                <w:rFonts w:hint="eastAsia" w:ascii="宋体" w:hAnsi="宋体"/>
                <w:b/>
                <w:color w:val="auto"/>
                <w:sz w:val="22"/>
              </w:rPr>
              <w:t>规范要求</w:t>
            </w:r>
          </w:p>
        </w:tc>
        <w:tc>
          <w:tcPr>
            <w:tcW w:w="1869" w:type="dxa"/>
            <w:tcBorders>
              <w:top w:val="single" w:color="auto" w:sz="4" w:space="0"/>
              <w:left w:val="single" w:color="auto" w:sz="4" w:space="0"/>
              <w:bottom w:val="single" w:color="auto" w:sz="4" w:space="0"/>
              <w:right w:val="single" w:color="auto" w:sz="4" w:space="0"/>
            </w:tcBorders>
            <w:shd w:val="clear" w:color="auto" w:fill="B3B3B3"/>
            <w:vAlign w:val="center"/>
          </w:tcPr>
          <w:p w14:paraId="4082995C">
            <w:pPr>
              <w:spacing w:line="380" w:lineRule="exact"/>
              <w:jc w:val="center"/>
              <w:rPr>
                <w:rFonts w:ascii="宋体" w:hAnsi="宋体"/>
                <w:b/>
                <w:color w:val="auto"/>
                <w:sz w:val="22"/>
              </w:rPr>
            </w:pPr>
            <w:r>
              <w:rPr>
                <w:rFonts w:hint="eastAsia" w:ascii="宋体" w:hAnsi="宋体"/>
                <w:b/>
                <w:color w:val="auto"/>
                <w:sz w:val="22"/>
              </w:rPr>
              <w:t>响应文件</w:t>
            </w:r>
          </w:p>
          <w:p w14:paraId="171A9F7C">
            <w:pPr>
              <w:spacing w:line="380" w:lineRule="exact"/>
              <w:jc w:val="center"/>
              <w:rPr>
                <w:rFonts w:ascii="宋体" w:hAnsi="宋体"/>
                <w:b/>
                <w:color w:val="auto"/>
                <w:sz w:val="22"/>
              </w:rPr>
            </w:pPr>
            <w:r>
              <w:rPr>
                <w:rFonts w:hint="eastAsia" w:ascii="宋体" w:hAnsi="宋体"/>
                <w:b/>
                <w:color w:val="auto"/>
                <w:sz w:val="22"/>
              </w:rPr>
              <w:t>对应规范</w:t>
            </w:r>
          </w:p>
        </w:tc>
        <w:tc>
          <w:tcPr>
            <w:tcW w:w="1596" w:type="dxa"/>
            <w:tcBorders>
              <w:top w:val="single" w:color="auto" w:sz="4" w:space="0"/>
              <w:left w:val="single" w:color="auto" w:sz="4" w:space="0"/>
              <w:bottom w:val="single" w:color="auto" w:sz="4" w:space="0"/>
              <w:right w:val="single" w:color="auto" w:sz="4" w:space="0"/>
            </w:tcBorders>
            <w:shd w:val="clear" w:color="auto" w:fill="B3B3B3"/>
            <w:vAlign w:val="center"/>
          </w:tcPr>
          <w:p w14:paraId="349FB734">
            <w:pPr>
              <w:spacing w:line="380" w:lineRule="exact"/>
              <w:jc w:val="center"/>
              <w:rPr>
                <w:rFonts w:ascii="宋体" w:hAnsi="宋体"/>
                <w:b/>
                <w:color w:val="auto"/>
                <w:sz w:val="22"/>
              </w:rPr>
            </w:pPr>
            <w:r>
              <w:rPr>
                <w:rFonts w:hint="eastAsia" w:ascii="宋体" w:hAnsi="宋体"/>
                <w:b/>
                <w:color w:val="auto"/>
                <w:sz w:val="22"/>
              </w:rPr>
              <w:t>说明</w:t>
            </w:r>
          </w:p>
        </w:tc>
      </w:tr>
      <w:tr w14:paraId="42D32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944" w:type="dxa"/>
            <w:vMerge w:val="restart"/>
            <w:tcBorders>
              <w:top w:val="single" w:color="auto" w:sz="4" w:space="0"/>
              <w:left w:val="single" w:color="auto" w:sz="4" w:space="0"/>
              <w:bottom w:val="single" w:color="auto" w:sz="4" w:space="0"/>
              <w:right w:val="single" w:color="auto" w:sz="4" w:space="0"/>
            </w:tcBorders>
            <w:vAlign w:val="center"/>
          </w:tcPr>
          <w:p w14:paraId="55963AFD">
            <w:pPr>
              <w:spacing w:line="380" w:lineRule="exact"/>
              <w:jc w:val="center"/>
              <w:rPr>
                <w:rFonts w:ascii="宋体" w:hAnsi="宋体"/>
                <w:b/>
                <w:color w:val="auto"/>
                <w:sz w:val="22"/>
              </w:rPr>
            </w:pPr>
            <w:r>
              <w:rPr>
                <w:rFonts w:hint="eastAsia" w:ascii="宋体" w:hAnsi="宋体"/>
                <w:b/>
                <w:color w:val="auto"/>
                <w:sz w:val="22"/>
              </w:rPr>
              <w:t>技</w:t>
            </w:r>
          </w:p>
          <w:p w14:paraId="605A3E0A">
            <w:pPr>
              <w:spacing w:line="380" w:lineRule="exact"/>
              <w:jc w:val="center"/>
              <w:rPr>
                <w:rFonts w:ascii="宋体" w:hAnsi="宋体"/>
                <w:b/>
                <w:color w:val="auto"/>
                <w:sz w:val="22"/>
              </w:rPr>
            </w:pPr>
            <w:r>
              <w:rPr>
                <w:rFonts w:hint="eastAsia" w:ascii="宋体" w:hAnsi="宋体"/>
                <w:b/>
                <w:color w:val="auto"/>
                <w:sz w:val="22"/>
              </w:rPr>
              <w:t>术</w:t>
            </w:r>
          </w:p>
          <w:p w14:paraId="1D6E0CBD">
            <w:pPr>
              <w:spacing w:line="380" w:lineRule="exact"/>
              <w:jc w:val="center"/>
              <w:rPr>
                <w:rFonts w:ascii="宋体" w:hAnsi="宋体"/>
                <w:b/>
                <w:color w:val="auto"/>
                <w:sz w:val="22"/>
              </w:rPr>
            </w:pPr>
            <w:r>
              <w:rPr>
                <w:rFonts w:hint="eastAsia" w:ascii="宋体" w:hAnsi="宋体"/>
                <w:b/>
                <w:color w:val="auto"/>
                <w:sz w:val="22"/>
              </w:rPr>
              <w:t>规</w:t>
            </w:r>
          </w:p>
          <w:p w14:paraId="6B5E9B8B">
            <w:pPr>
              <w:spacing w:line="380" w:lineRule="exact"/>
              <w:jc w:val="center"/>
              <w:rPr>
                <w:rFonts w:ascii="宋体" w:hAnsi="宋体"/>
                <w:b/>
                <w:color w:val="auto"/>
                <w:sz w:val="22"/>
              </w:rPr>
            </w:pPr>
            <w:r>
              <w:rPr>
                <w:rFonts w:hint="eastAsia" w:ascii="宋体" w:hAnsi="宋体"/>
                <w:b/>
                <w:color w:val="auto"/>
                <w:sz w:val="22"/>
              </w:rPr>
              <w:t>格</w:t>
            </w:r>
          </w:p>
        </w:tc>
        <w:tc>
          <w:tcPr>
            <w:tcW w:w="1365" w:type="dxa"/>
            <w:tcBorders>
              <w:top w:val="single" w:color="auto" w:sz="4" w:space="0"/>
              <w:left w:val="single" w:color="auto" w:sz="4" w:space="0"/>
              <w:bottom w:val="single" w:color="auto" w:sz="4" w:space="0"/>
              <w:right w:val="single" w:color="auto" w:sz="4" w:space="0"/>
            </w:tcBorders>
            <w:vAlign w:val="center"/>
          </w:tcPr>
          <w:p w14:paraId="2853D22C">
            <w:pPr>
              <w:spacing w:line="380" w:lineRule="exact"/>
              <w:jc w:val="center"/>
              <w:rPr>
                <w:rFonts w:ascii="宋体" w:hAnsi="宋体"/>
                <w:color w:val="auto"/>
                <w:sz w:val="22"/>
              </w:rPr>
            </w:pPr>
          </w:p>
        </w:tc>
        <w:tc>
          <w:tcPr>
            <w:tcW w:w="2100" w:type="dxa"/>
            <w:tcBorders>
              <w:top w:val="single" w:color="auto" w:sz="4" w:space="0"/>
              <w:left w:val="single" w:color="auto" w:sz="4" w:space="0"/>
              <w:bottom w:val="single" w:color="auto" w:sz="4" w:space="0"/>
              <w:right w:val="single" w:color="auto" w:sz="4" w:space="0"/>
            </w:tcBorders>
            <w:vAlign w:val="center"/>
          </w:tcPr>
          <w:p w14:paraId="4635FC97">
            <w:pPr>
              <w:spacing w:line="380" w:lineRule="exact"/>
              <w:jc w:val="center"/>
              <w:rPr>
                <w:rFonts w:ascii="宋体" w:hAnsi="宋体"/>
                <w:color w:val="auto"/>
                <w:sz w:val="22"/>
              </w:rPr>
            </w:pPr>
          </w:p>
        </w:tc>
        <w:tc>
          <w:tcPr>
            <w:tcW w:w="1995" w:type="dxa"/>
            <w:tcBorders>
              <w:top w:val="single" w:color="auto" w:sz="4" w:space="0"/>
              <w:left w:val="single" w:color="auto" w:sz="4" w:space="0"/>
              <w:bottom w:val="single" w:color="auto" w:sz="4" w:space="0"/>
              <w:right w:val="single" w:color="auto" w:sz="4" w:space="0"/>
            </w:tcBorders>
            <w:vAlign w:val="center"/>
          </w:tcPr>
          <w:p w14:paraId="2FB52299">
            <w:pPr>
              <w:spacing w:line="380" w:lineRule="exact"/>
              <w:jc w:val="center"/>
              <w:rPr>
                <w:rFonts w:ascii="宋体" w:hAnsi="宋体"/>
                <w:color w:val="auto"/>
                <w:sz w:val="22"/>
              </w:rPr>
            </w:pPr>
          </w:p>
        </w:tc>
        <w:tc>
          <w:tcPr>
            <w:tcW w:w="1869" w:type="dxa"/>
            <w:tcBorders>
              <w:top w:val="single" w:color="auto" w:sz="4" w:space="0"/>
              <w:left w:val="single" w:color="auto" w:sz="4" w:space="0"/>
              <w:bottom w:val="single" w:color="auto" w:sz="4" w:space="0"/>
              <w:right w:val="single" w:color="auto" w:sz="4" w:space="0"/>
            </w:tcBorders>
            <w:vAlign w:val="center"/>
          </w:tcPr>
          <w:p w14:paraId="02F3DA3F">
            <w:pPr>
              <w:spacing w:line="380" w:lineRule="exact"/>
              <w:jc w:val="center"/>
              <w:rPr>
                <w:rFonts w:ascii="宋体" w:hAnsi="宋体"/>
                <w:color w:val="auto"/>
                <w:sz w:val="22"/>
              </w:rPr>
            </w:pPr>
          </w:p>
        </w:tc>
        <w:tc>
          <w:tcPr>
            <w:tcW w:w="1596" w:type="dxa"/>
            <w:tcBorders>
              <w:top w:val="single" w:color="auto" w:sz="4" w:space="0"/>
              <w:left w:val="single" w:color="auto" w:sz="4" w:space="0"/>
              <w:bottom w:val="single" w:color="auto" w:sz="4" w:space="0"/>
              <w:right w:val="single" w:color="auto" w:sz="4" w:space="0"/>
            </w:tcBorders>
            <w:vAlign w:val="center"/>
          </w:tcPr>
          <w:p w14:paraId="494E2619">
            <w:pPr>
              <w:spacing w:line="380" w:lineRule="exact"/>
              <w:jc w:val="center"/>
              <w:rPr>
                <w:rFonts w:ascii="宋体" w:hAnsi="宋体"/>
                <w:color w:val="auto"/>
                <w:sz w:val="22"/>
              </w:rPr>
            </w:pPr>
          </w:p>
        </w:tc>
      </w:tr>
      <w:tr w14:paraId="58277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14:paraId="3E1FFB0D">
            <w:pPr>
              <w:widowControl/>
              <w:jc w:val="left"/>
              <w:rPr>
                <w:rFonts w:ascii="宋体" w:hAnsi="宋体"/>
                <w:b/>
                <w:color w:val="auto"/>
                <w:sz w:val="22"/>
              </w:rPr>
            </w:pPr>
          </w:p>
        </w:tc>
        <w:tc>
          <w:tcPr>
            <w:tcW w:w="1365" w:type="dxa"/>
            <w:tcBorders>
              <w:top w:val="single" w:color="auto" w:sz="4" w:space="0"/>
              <w:left w:val="single" w:color="auto" w:sz="4" w:space="0"/>
              <w:bottom w:val="single" w:color="auto" w:sz="4" w:space="0"/>
              <w:right w:val="single" w:color="auto" w:sz="4" w:space="0"/>
            </w:tcBorders>
            <w:vAlign w:val="center"/>
          </w:tcPr>
          <w:p w14:paraId="33FC5B4F">
            <w:pPr>
              <w:spacing w:line="380" w:lineRule="exact"/>
              <w:jc w:val="center"/>
              <w:rPr>
                <w:rFonts w:ascii="宋体" w:hAnsi="宋体"/>
                <w:color w:val="auto"/>
                <w:sz w:val="22"/>
              </w:rPr>
            </w:pPr>
          </w:p>
        </w:tc>
        <w:tc>
          <w:tcPr>
            <w:tcW w:w="2100" w:type="dxa"/>
            <w:tcBorders>
              <w:top w:val="single" w:color="auto" w:sz="4" w:space="0"/>
              <w:left w:val="single" w:color="auto" w:sz="4" w:space="0"/>
              <w:bottom w:val="single" w:color="auto" w:sz="4" w:space="0"/>
              <w:right w:val="single" w:color="auto" w:sz="4" w:space="0"/>
            </w:tcBorders>
            <w:vAlign w:val="center"/>
          </w:tcPr>
          <w:p w14:paraId="211C8058">
            <w:pPr>
              <w:spacing w:line="380" w:lineRule="exact"/>
              <w:jc w:val="center"/>
              <w:rPr>
                <w:rFonts w:ascii="宋体" w:hAnsi="宋体"/>
                <w:color w:val="auto"/>
                <w:sz w:val="22"/>
              </w:rPr>
            </w:pPr>
          </w:p>
        </w:tc>
        <w:tc>
          <w:tcPr>
            <w:tcW w:w="1995" w:type="dxa"/>
            <w:tcBorders>
              <w:top w:val="single" w:color="auto" w:sz="4" w:space="0"/>
              <w:left w:val="single" w:color="auto" w:sz="4" w:space="0"/>
              <w:bottom w:val="single" w:color="auto" w:sz="4" w:space="0"/>
              <w:right w:val="single" w:color="auto" w:sz="4" w:space="0"/>
            </w:tcBorders>
            <w:vAlign w:val="center"/>
          </w:tcPr>
          <w:p w14:paraId="0308FA9E">
            <w:pPr>
              <w:spacing w:line="380" w:lineRule="exact"/>
              <w:jc w:val="center"/>
              <w:rPr>
                <w:rFonts w:ascii="宋体" w:hAnsi="宋体"/>
                <w:color w:val="auto"/>
                <w:sz w:val="22"/>
              </w:rPr>
            </w:pPr>
          </w:p>
        </w:tc>
        <w:tc>
          <w:tcPr>
            <w:tcW w:w="1869" w:type="dxa"/>
            <w:tcBorders>
              <w:top w:val="single" w:color="auto" w:sz="4" w:space="0"/>
              <w:left w:val="single" w:color="auto" w:sz="4" w:space="0"/>
              <w:bottom w:val="single" w:color="auto" w:sz="4" w:space="0"/>
              <w:right w:val="single" w:color="auto" w:sz="4" w:space="0"/>
            </w:tcBorders>
            <w:vAlign w:val="center"/>
          </w:tcPr>
          <w:p w14:paraId="6A83138A">
            <w:pPr>
              <w:spacing w:line="380" w:lineRule="exact"/>
              <w:jc w:val="center"/>
              <w:rPr>
                <w:rFonts w:ascii="宋体" w:hAnsi="宋体"/>
                <w:color w:val="auto"/>
                <w:sz w:val="22"/>
              </w:rPr>
            </w:pPr>
          </w:p>
        </w:tc>
        <w:tc>
          <w:tcPr>
            <w:tcW w:w="1596" w:type="dxa"/>
            <w:tcBorders>
              <w:top w:val="single" w:color="auto" w:sz="4" w:space="0"/>
              <w:left w:val="single" w:color="auto" w:sz="4" w:space="0"/>
              <w:bottom w:val="single" w:color="auto" w:sz="4" w:space="0"/>
              <w:right w:val="single" w:color="auto" w:sz="4" w:space="0"/>
            </w:tcBorders>
            <w:vAlign w:val="center"/>
          </w:tcPr>
          <w:p w14:paraId="5BBC1EDF">
            <w:pPr>
              <w:spacing w:line="380" w:lineRule="exact"/>
              <w:jc w:val="center"/>
              <w:rPr>
                <w:rFonts w:ascii="宋体" w:hAnsi="宋体"/>
                <w:color w:val="auto"/>
                <w:sz w:val="22"/>
              </w:rPr>
            </w:pPr>
          </w:p>
        </w:tc>
      </w:tr>
      <w:tr w14:paraId="5F980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14:paraId="115F4CDF">
            <w:pPr>
              <w:widowControl/>
              <w:jc w:val="left"/>
              <w:rPr>
                <w:rFonts w:ascii="宋体" w:hAnsi="宋体"/>
                <w:b/>
                <w:color w:val="auto"/>
                <w:sz w:val="22"/>
              </w:rPr>
            </w:pPr>
          </w:p>
        </w:tc>
        <w:tc>
          <w:tcPr>
            <w:tcW w:w="1365" w:type="dxa"/>
            <w:tcBorders>
              <w:top w:val="single" w:color="auto" w:sz="4" w:space="0"/>
              <w:left w:val="single" w:color="auto" w:sz="4" w:space="0"/>
              <w:bottom w:val="single" w:color="auto" w:sz="4" w:space="0"/>
              <w:right w:val="single" w:color="auto" w:sz="4" w:space="0"/>
            </w:tcBorders>
            <w:vAlign w:val="center"/>
          </w:tcPr>
          <w:p w14:paraId="68C9991A">
            <w:pPr>
              <w:spacing w:line="380" w:lineRule="exact"/>
              <w:jc w:val="center"/>
              <w:rPr>
                <w:rFonts w:ascii="宋体" w:hAnsi="宋体"/>
                <w:color w:val="auto"/>
                <w:sz w:val="22"/>
              </w:rPr>
            </w:pPr>
          </w:p>
        </w:tc>
        <w:tc>
          <w:tcPr>
            <w:tcW w:w="2100" w:type="dxa"/>
            <w:tcBorders>
              <w:top w:val="single" w:color="auto" w:sz="4" w:space="0"/>
              <w:left w:val="single" w:color="auto" w:sz="4" w:space="0"/>
              <w:bottom w:val="single" w:color="auto" w:sz="4" w:space="0"/>
              <w:right w:val="single" w:color="auto" w:sz="4" w:space="0"/>
            </w:tcBorders>
            <w:vAlign w:val="center"/>
          </w:tcPr>
          <w:p w14:paraId="71192D31">
            <w:pPr>
              <w:spacing w:line="380" w:lineRule="exact"/>
              <w:jc w:val="center"/>
              <w:rPr>
                <w:rFonts w:ascii="宋体" w:hAnsi="宋体"/>
                <w:color w:val="auto"/>
                <w:sz w:val="22"/>
              </w:rPr>
            </w:pPr>
          </w:p>
        </w:tc>
        <w:tc>
          <w:tcPr>
            <w:tcW w:w="1995" w:type="dxa"/>
            <w:tcBorders>
              <w:top w:val="single" w:color="auto" w:sz="4" w:space="0"/>
              <w:left w:val="single" w:color="auto" w:sz="4" w:space="0"/>
              <w:bottom w:val="single" w:color="auto" w:sz="4" w:space="0"/>
              <w:right w:val="single" w:color="auto" w:sz="4" w:space="0"/>
            </w:tcBorders>
            <w:vAlign w:val="center"/>
          </w:tcPr>
          <w:p w14:paraId="318E283F">
            <w:pPr>
              <w:spacing w:line="380" w:lineRule="exact"/>
              <w:jc w:val="center"/>
              <w:rPr>
                <w:rFonts w:ascii="宋体" w:hAnsi="宋体"/>
                <w:color w:val="auto"/>
                <w:sz w:val="22"/>
              </w:rPr>
            </w:pPr>
          </w:p>
        </w:tc>
        <w:tc>
          <w:tcPr>
            <w:tcW w:w="1869" w:type="dxa"/>
            <w:tcBorders>
              <w:top w:val="single" w:color="auto" w:sz="4" w:space="0"/>
              <w:left w:val="single" w:color="auto" w:sz="4" w:space="0"/>
              <w:bottom w:val="single" w:color="auto" w:sz="4" w:space="0"/>
              <w:right w:val="single" w:color="auto" w:sz="4" w:space="0"/>
            </w:tcBorders>
            <w:vAlign w:val="center"/>
          </w:tcPr>
          <w:p w14:paraId="123D4FFB">
            <w:pPr>
              <w:spacing w:line="380" w:lineRule="exact"/>
              <w:jc w:val="center"/>
              <w:rPr>
                <w:rFonts w:ascii="宋体" w:hAnsi="宋体"/>
                <w:color w:val="auto"/>
                <w:sz w:val="22"/>
              </w:rPr>
            </w:pPr>
          </w:p>
        </w:tc>
        <w:tc>
          <w:tcPr>
            <w:tcW w:w="1596" w:type="dxa"/>
            <w:tcBorders>
              <w:top w:val="single" w:color="auto" w:sz="4" w:space="0"/>
              <w:left w:val="single" w:color="auto" w:sz="4" w:space="0"/>
              <w:bottom w:val="single" w:color="auto" w:sz="4" w:space="0"/>
              <w:right w:val="single" w:color="auto" w:sz="4" w:space="0"/>
            </w:tcBorders>
            <w:vAlign w:val="center"/>
          </w:tcPr>
          <w:p w14:paraId="2AD98B32">
            <w:pPr>
              <w:spacing w:line="380" w:lineRule="exact"/>
              <w:jc w:val="center"/>
              <w:rPr>
                <w:rFonts w:ascii="宋体" w:hAnsi="宋体"/>
                <w:color w:val="auto"/>
                <w:sz w:val="22"/>
              </w:rPr>
            </w:pPr>
          </w:p>
        </w:tc>
      </w:tr>
      <w:tr w14:paraId="70074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14:paraId="12081108">
            <w:pPr>
              <w:widowControl/>
              <w:jc w:val="left"/>
              <w:rPr>
                <w:rFonts w:ascii="宋体" w:hAnsi="宋体"/>
                <w:b/>
                <w:color w:val="auto"/>
                <w:sz w:val="22"/>
              </w:rPr>
            </w:pPr>
          </w:p>
        </w:tc>
        <w:tc>
          <w:tcPr>
            <w:tcW w:w="1365" w:type="dxa"/>
            <w:tcBorders>
              <w:top w:val="single" w:color="auto" w:sz="4" w:space="0"/>
              <w:left w:val="single" w:color="auto" w:sz="4" w:space="0"/>
              <w:bottom w:val="single" w:color="auto" w:sz="4" w:space="0"/>
              <w:right w:val="single" w:color="auto" w:sz="4" w:space="0"/>
            </w:tcBorders>
            <w:vAlign w:val="center"/>
          </w:tcPr>
          <w:p w14:paraId="73865D2D">
            <w:pPr>
              <w:spacing w:line="380" w:lineRule="exact"/>
              <w:jc w:val="center"/>
              <w:rPr>
                <w:rFonts w:ascii="宋体" w:hAnsi="宋体"/>
                <w:color w:val="auto"/>
                <w:sz w:val="22"/>
              </w:rPr>
            </w:pPr>
          </w:p>
        </w:tc>
        <w:tc>
          <w:tcPr>
            <w:tcW w:w="2100" w:type="dxa"/>
            <w:tcBorders>
              <w:top w:val="single" w:color="auto" w:sz="4" w:space="0"/>
              <w:left w:val="single" w:color="auto" w:sz="4" w:space="0"/>
              <w:bottom w:val="single" w:color="auto" w:sz="4" w:space="0"/>
              <w:right w:val="single" w:color="auto" w:sz="4" w:space="0"/>
            </w:tcBorders>
            <w:vAlign w:val="center"/>
          </w:tcPr>
          <w:p w14:paraId="67DCAC7D">
            <w:pPr>
              <w:spacing w:line="380" w:lineRule="exact"/>
              <w:jc w:val="center"/>
              <w:rPr>
                <w:rFonts w:ascii="宋体" w:hAnsi="宋体"/>
                <w:color w:val="auto"/>
                <w:sz w:val="22"/>
              </w:rPr>
            </w:pPr>
          </w:p>
        </w:tc>
        <w:tc>
          <w:tcPr>
            <w:tcW w:w="1995" w:type="dxa"/>
            <w:tcBorders>
              <w:top w:val="single" w:color="auto" w:sz="4" w:space="0"/>
              <w:left w:val="single" w:color="auto" w:sz="4" w:space="0"/>
              <w:bottom w:val="single" w:color="auto" w:sz="4" w:space="0"/>
              <w:right w:val="single" w:color="auto" w:sz="4" w:space="0"/>
            </w:tcBorders>
            <w:vAlign w:val="center"/>
          </w:tcPr>
          <w:p w14:paraId="6BC6AF3C">
            <w:pPr>
              <w:spacing w:line="380" w:lineRule="exact"/>
              <w:jc w:val="center"/>
              <w:rPr>
                <w:rFonts w:ascii="宋体" w:hAnsi="宋体"/>
                <w:color w:val="auto"/>
                <w:sz w:val="22"/>
              </w:rPr>
            </w:pPr>
          </w:p>
        </w:tc>
        <w:tc>
          <w:tcPr>
            <w:tcW w:w="1869" w:type="dxa"/>
            <w:tcBorders>
              <w:top w:val="single" w:color="auto" w:sz="4" w:space="0"/>
              <w:left w:val="single" w:color="auto" w:sz="4" w:space="0"/>
              <w:bottom w:val="single" w:color="auto" w:sz="4" w:space="0"/>
              <w:right w:val="single" w:color="auto" w:sz="4" w:space="0"/>
            </w:tcBorders>
            <w:vAlign w:val="center"/>
          </w:tcPr>
          <w:p w14:paraId="4A51963F">
            <w:pPr>
              <w:spacing w:line="380" w:lineRule="exact"/>
              <w:jc w:val="center"/>
              <w:rPr>
                <w:rFonts w:ascii="宋体" w:hAnsi="宋体"/>
                <w:color w:val="auto"/>
                <w:sz w:val="22"/>
              </w:rPr>
            </w:pPr>
          </w:p>
        </w:tc>
        <w:tc>
          <w:tcPr>
            <w:tcW w:w="1596" w:type="dxa"/>
            <w:tcBorders>
              <w:top w:val="single" w:color="auto" w:sz="4" w:space="0"/>
              <w:left w:val="single" w:color="auto" w:sz="4" w:space="0"/>
              <w:bottom w:val="single" w:color="auto" w:sz="4" w:space="0"/>
              <w:right w:val="single" w:color="auto" w:sz="4" w:space="0"/>
            </w:tcBorders>
            <w:vAlign w:val="center"/>
          </w:tcPr>
          <w:p w14:paraId="40DB1E9C">
            <w:pPr>
              <w:spacing w:line="380" w:lineRule="exact"/>
              <w:jc w:val="center"/>
              <w:rPr>
                <w:rFonts w:ascii="宋体" w:hAnsi="宋体"/>
                <w:color w:val="auto"/>
                <w:sz w:val="22"/>
              </w:rPr>
            </w:pPr>
          </w:p>
        </w:tc>
      </w:tr>
      <w:tr w14:paraId="3B2FC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14:paraId="03630D5A">
            <w:pPr>
              <w:widowControl/>
              <w:jc w:val="left"/>
              <w:rPr>
                <w:rFonts w:ascii="宋体" w:hAnsi="宋体"/>
                <w:b/>
                <w:color w:val="auto"/>
                <w:sz w:val="22"/>
              </w:rPr>
            </w:pPr>
          </w:p>
        </w:tc>
        <w:tc>
          <w:tcPr>
            <w:tcW w:w="1365" w:type="dxa"/>
            <w:tcBorders>
              <w:top w:val="single" w:color="auto" w:sz="4" w:space="0"/>
              <w:left w:val="single" w:color="auto" w:sz="4" w:space="0"/>
              <w:bottom w:val="single" w:color="auto" w:sz="4" w:space="0"/>
              <w:right w:val="single" w:color="auto" w:sz="4" w:space="0"/>
            </w:tcBorders>
            <w:vAlign w:val="center"/>
          </w:tcPr>
          <w:p w14:paraId="17EDCFBD">
            <w:pPr>
              <w:spacing w:line="380" w:lineRule="exact"/>
              <w:jc w:val="center"/>
              <w:rPr>
                <w:rFonts w:ascii="宋体" w:hAnsi="宋体"/>
                <w:color w:val="auto"/>
                <w:sz w:val="22"/>
              </w:rPr>
            </w:pPr>
          </w:p>
        </w:tc>
        <w:tc>
          <w:tcPr>
            <w:tcW w:w="2100" w:type="dxa"/>
            <w:tcBorders>
              <w:top w:val="single" w:color="auto" w:sz="4" w:space="0"/>
              <w:left w:val="single" w:color="auto" w:sz="4" w:space="0"/>
              <w:bottom w:val="single" w:color="auto" w:sz="4" w:space="0"/>
              <w:right w:val="single" w:color="auto" w:sz="4" w:space="0"/>
            </w:tcBorders>
            <w:vAlign w:val="center"/>
          </w:tcPr>
          <w:p w14:paraId="2674339B">
            <w:pPr>
              <w:spacing w:line="380" w:lineRule="exact"/>
              <w:jc w:val="center"/>
              <w:rPr>
                <w:rFonts w:ascii="宋体" w:hAnsi="宋体"/>
                <w:color w:val="auto"/>
                <w:sz w:val="22"/>
              </w:rPr>
            </w:pPr>
          </w:p>
        </w:tc>
        <w:tc>
          <w:tcPr>
            <w:tcW w:w="1995" w:type="dxa"/>
            <w:tcBorders>
              <w:top w:val="single" w:color="auto" w:sz="4" w:space="0"/>
              <w:left w:val="single" w:color="auto" w:sz="4" w:space="0"/>
              <w:bottom w:val="single" w:color="auto" w:sz="4" w:space="0"/>
              <w:right w:val="single" w:color="auto" w:sz="4" w:space="0"/>
            </w:tcBorders>
            <w:vAlign w:val="center"/>
          </w:tcPr>
          <w:p w14:paraId="115C843F">
            <w:pPr>
              <w:spacing w:line="380" w:lineRule="exact"/>
              <w:jc w:val="center"/>
              <w:rPr>
                <w:rFonts w:ascii="宋体" w:hAnsi="宋体"/>
                <w:color w:val="auto"/>
                <w:sz w:val="22"/>
              </w:rPr>
            </w:pPr>
          </w:p>
        </w:tc>
        <w:tc>
          <w:tcPr>
            <w:tcW w:w="1869" w:type="dxa"/>
            <w:tcBorders>
              <w:top w:val="single" w:color="auto" w:sz="4" w:space="0"/>
              <w:left w:val="single" w:color="auto" w:sz="4" w:space="0"/>
              <w:bottom w:val="single" w:color="auto" w:sz="4" w:space="0"/>
              <w:right w:val="single" w:color="auto" w:sz="4" w:space="0"/>
            </w:tcBorders>
            <w:vAlign w:val="center"/>
          </w:tcPr>
          <w:p w14:paraId="5FD5E6C9">
            <w:pPr>
              <w:spacing w:line="380" w:lineRule="exact"/>
              <w:jc w:val="center"/>
              <w:rPr>
                <w:rFonts w:ascii="宋体" w:hAnsi="宋体"/>
                <w:color w:val="auto"/>
                <w:sz w:val="22"/>
              </w:rPr>
            </w:pPr>
          </w:p>
        </w:tc>
        <w:tc>
          <w:tcPr>
            <w:tcW w:w="1596" w:type="dxa"/>
            <w:tcBorders>
              <w:top w:val="single" w:color="auto" w:sz="4" w:space="0"/>
              <w:left w:val="single" w:color="auto" w:sz="4" w:space="0"/>
              <w:bottom w:val="single" w:color="auto" w:sz="4" w:space="0"/>
              <w:right w:val="single" w:color="auto" w:sz="4" w:space="0"/>
            </w:tcBorders>
            <w:vAlign w:val="center"/>
          </w:tcPr>
          <w:p w14:paraId="30C99BE7">
            <w:pPr>
              <w:spacing w:line="380" w:lineRule="exact"/>
              <w:jc w:val="center"/>
              <w:rPr>
                <w:rFonts w:ascii="宋体" w:hAnsi="宋体"/>
                <w:color w:val="auto"/>
                <w:sz w:val="22"/>
              </w:rPr>
            </w:pPr>
          </w:p>
        </w:tc>
      </w:tr>
      <w:tr w14:paraId="6FD3A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944" w:type="dxa"/>
            <w:vMerge w:val="restart"/>
            <w:tcBorders>
              <w:top w:val="single" w:color="auto" w:sz="4" w:space="0"/>
              <w:left w:val="single" w:color="auto" w:sz="4" w:space="0"/>
              <w:bottom w:val="single" w:color="auto" w:sz="4" w:space="0"/>
              <w:right w:val="single" w:color="auto" w:sz="4" w:space="0"/>
            </w:tcBorders>
            <w:vAlign w:val="center"/>
          </w:tcPr>
          <w:p w14:paraId="10A932A8">
            <w:pPr>
              <w:spacing w:line="380" w:lineRule="exact"/>
              <w:jc w:val="center"/>
              <w:rPr>
                <w:rFonts w:ascii="宋体" w:hAnsi="宋体"/>
                <w:b/>
                <w:color w:val="auto"/>
                <w:sz w:val="22"/>
              </w:rPr>
            </w:pPr>
            <w:r>
              <w:rPr>
                <w:rFonts w:hint="eastAsia" w:ascii="宋体" w:hAnsi="宋体"/>
                <w:b/>
                <w:color w:val="auto"/>
                <w:sz w:val="22"/>
              </w:rPr>
              <w:t>商</w:t>
            </w:r>
          </w:p>
          <w:p w14:paraId="2613A575">
            <w:pPr>
              <w:spacing w:line="380" w:lineRule="exact"/>
              <w:jc w:val="center"/>
              <w:rPr>
                <w:rFonts w:ascii="宋体" w:hAnsi="宋体"/>
                <w:b/>
                <w:color w:val="auto"/>
                <w:sz w:val="22"/>
              </w:rPr>
            </w:pPr>
            <w:r>
              <w:rPr>
                <w:rFonts w:hint="eastAsia" w:ascii="宋体" w:hAnsi="宋体"/>
                <w:b/>
                <w:color w:val="auto"/>
                <w:sz w:val="22"/>
              </w:rPr>
              <w:t>务</w:t>
            </w:r>
          </w:p>
          <w:p w14:paraId="7E4C6558">
            <w:pPr>
              <w:spacing w:line="380" w:lineRule="exact"/>
              <w:jc w:val="center"/>
              <w:rPr>
                <w:rFonts w:ascii="宋体" w:hAnsi="宋体"/>
                <w:b/>
                <w:color w:val="auto"/>
                <w:sz w:val="22"/>
              </w:rPr>
            </w:pPr>
            <w:r>
              <w:rPr>
                <w:rFonts w:hint="eastAsia" w:ascii="宋体" w:hAnsi="宋体"/>
                <w:b/>
                <w:color w:val="auto"/>
                <w:sz w:val="22"/>
              </w:rPr>
              <w:t>条</w:t>
            </w:r>
          </w:p>
          <w:p w14:paraId="46CB20DF">
            <w:pPr>
              <w:spacing w:line="380" w:lineRule="exact"/>
              <w:jc w:val="center"/>
              <w:rPr>
                <w:rFonts w:ascii="宋体" w:hAnsi="宋体"/>
                <w:b/>
                <w:color w:val="auto"/>
                <w:sz w:val="22"/>
              </w:rPr>
            </w:pPr>
            <w:r>
              <w:rPr>
                <w:rFonts w:hint="eastAsia" w:ascii="宋体" w:hAnsi="宋体"/>
                <w:b/>
                <w:color w:val="auto"/>
                <w:sz w:val="22"/>
              </w:rPr>
              <w:t>款</w:t>
            </w:r>
          </w:p>
        </w:tc>
        <w:tc>
          <w:tcPr>
            <w:tcW w:w="1365" w:type="dxa"/>
            <w:tcBorders>
              <w:top w:val="single" w:color="auto" w:sz="4" w:space="0"/>
              <w:left w:val="single" w:color="auto" w:sz="4" w:space="0"/>
              <w:bottom w:val="single" w:color="auto" w:sz="4" w:space="0"/>
              <w:right w:val="single" w:color="auto" w:sz="4" w:space="0"/>
            </w:tcBorders>
            <w:vAlign w:val="center"/>
          </w:tcPr>
          <w:p w14:paraId="3BFDD2CF">
            <w:pPr>
              <w:spacing w:line="380" w:lineRule="exact"/>
              <w:jc w:val="center"/>
              <w:rPr>
                <w:rFonts w:ascii="宋体" w:hAnsi="宋体"/>
                <w:color w:val="auto"/>
                <w:sz w:val="22"/>
              </w:rPr>
            </w:pPr>
          </w:p>
          <w:p w14:paraId="08BBED89">
            <w:pPr>
              <w:spacing w:line="380" w:lineRule="exact"/>
              <w:jc w:val="center"/>
              <w:rPr>
                <w:rFonts w:ascii="宋体" w:hAnsi="宋体"/>
                <w:color w:val="auto"/>
                <w:sz w:val="22"/>
              </w:rPr>
            </w:pPr>
          </w:p>
        </w:tc>
        <w:tc>
          <w:tcPr>
            <w:tcW w:w="2100" w:type="dxa"/>
            <w:tcBorders>
              <w:top w:val="single" w:color="auto" w:sz="4" w:space="0"/>
              <w:left w:val="single" w:color="auto" w:sz="4" w:space="0"/>
              <w:bottom w:val="single" w:color="auto" w:sz="4" w:space="0"/>
              <w:right w:val="single" w:color="auto" w:sz="4" w:space="0"/>
            </w:tcBorders>
            <w:vAlign w:val="center"/>
          </w:tcPr>
          <w:p w14:paraId="6222A47D">
            <w:pPr>
              <w:spacing w:line="380" w:lineRule="exact"/>
              <w:jc w:val="center"/>
              <w:rPr>
                <w:rFonts w:ascii="宋体" w:hAnsi="宋体"/>
                <w:color w:val="auto"/>
                <w:sz w:val="22"/>
              </w:rPr>
            </w:pPr>
          </w:p>
        </w:tc>
        <w:tc>
          <w:tcPr>
            <w:tcW w:w="1995" w:type="dxa"/>
            <w:tcBorders>
              <w:top w:val="single" w:color="auto" w:sz="4" w:space="0"/>
              <w:left w:val="single" w:color="auto" w:sz="4" w:space="0"/>
              <w:bottom w:val="single" w:color="auto" w:sz="4" w:space="0"/>
              <w:right w:val="single" w:color="auto" w:sz="4" w:space="0"/>
            </w:tcBorders>
            <w:vAlign w:val="center"/>
          </w:tcPr>
          <w:p w14:paraId="0D9B9A84">
            <w:pPr>
              <w:spacing w:line="380" w:lineRule="exact"/>
              <w:jc w:val="center"/>
              <w:rPr>
                <w:rFonts w:ascii="宋体" w:hAnsi="宋体"/>
                <w:color w:val="auto"/>
                <w:sz w:val="22"/>
              </w:rPr>
            </w:pPr>
          </w:p>
        </w:tc>
        <w:tc>
          <w:tcPr>
            <w:tcW w:w="1869" w:type="dxa"/>
            <w:tcBorders>
              <w:top w:val="single" w:color="auto" w:sz="4" w:space="0"/>
              <w:left w:val="single" w:color="auto" w:sz="4" w:space="0"/>
              <w:bottom w:val="single" w:color="auto" w:sz="4" w:space="0"/>
              <w:right w:val="single" w:color="auto" w:sz="4" w:space="0"/>
            </w:tcBorders>
            <w:vAlign w:val="center"/>
          </w:tcPr>
          <w:p w14:paraId="6429C481">
            <w:pPr>
              <w:spacing w:line="380" w:lineRule="exact"/>
              <w:jc w:val="center"/>
              <w:rPr>
                <w:rFonts w:ascii="宋体" w:hAnsi="宋体"/>
                <w:color w:val="auto"/>
                <w:sz w:val="22"/>
              </w:rPr>
            </w:pPr>
          </w:p>
        </w:tc>
        <w:tc>
          <w:tcPr>
            <w:tcW w:w="1596" w:type="dxa"/>
            <w:tcBorders>
              <w:top w:val="single" w:color="auto" w:sz="4" w:space="0"/>
              <w:left w:val="single" w:color="auto" w:sz="4" w:space="0"/>
              <w:bottom w:val="single" w:color="auto" w:sz="4" w:space="0"/>
              <w:right w:val="single" w:color="auto" w:sz="4" w:space="0"/>
            </w:tcBorders>
            <w:vAlign w:val="center"/>
          </w:tcPr>
          <w:p w14:paraId="180D60AF">
            <w:pPr>
              <w:spacing w:line="380" w:lineRule="exact"/>
              <w:jc w:val="center"/>
              <w:rPr>
                <w:rFonts w:ascii="宋体" w:hAnsi="宋体"/>
                <w:color w:val="auto"/>
                <w:sz w:val="22"/>
              </w:rPr>
            </w:pPr>
          </w:p>
        </w:tc>
      </w:tr>
      <w:tr w14:paraId="1C177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14:paraId="7523292F">
            <w:pPr>
              <w:widowControl/>
              <w:jc w:val="left"/>
              <w:rPr>
                <w:rFonts w:ascii="宋体" w:hAnsi="宋体"/>
                <w:b/>
                <w:color w:val="auto"/>
                <w:sz w:val="22"/>
              </w:rPr>
            </w:pPr>
          </w:p>
        </w:tc>
        <w:tc>
          <w:tcPr>
            <w:tcW w:w="1365" w:type="dxa"/>
            <w:tcBorders>
              <w:top w:val="single" w:color="auto" w:sz="4" w:space="0"/>
              <w:left w:val="single" w:color="auto" w:sz="4" w:space="0"/>
              <w:bottom w:val="single" w:color="auto" w:sz="4" w:space="0"/>
              <w:right w:val="single" w:color="auto" w:sz="4" w:space="0"/>
            </w:tcBorders>
            <w:vAlign w:val="center"/>
          </w:tcPr>
          <w:p w14:paraId="39939620">
            <w:pPr>
              <w:spacing w:line="380" w:lineRule="exact"/>
              <w:jc w:val="center"/>
              <w:rPr>
                <w:rFonts w:ascii="宋体" w:hAnsi="宋体"/>
                <w:color w:val="auto"/>
                <w:sz w:val="22"/>
              </w:rPr>
            </w:pPr>
          </w:p>
        </w:tc>
        <w:tc>
          <w:tcPr>
            <w:tcW w:w="2100" w:type="dxa"/>
            <w:tcBorders>
              <w:top w:val="single" w:color="auto" w:sz="4" w:space="0"/>
              <w:left w:val="single" w:color="auto" w:sz="4" w:space="0"/>
              <w:bottom w:val="single" w:color="auto" w:sz="4" w:space="0"/>
              <w:right w:val="single" w:color="auto" w:sz="4" w:space="0"/>
            </w:tcBorders>
            <w:vAlign w:val="center"/>
          </w:tcPr>
          <w:p w14:paraId="4C17ABC3">
            <w:pPr>
              <w:spacing w:line="380" w:lineRule="exact"/>
              <w:jc w:val="center"/>
              <w:rPr>
                <w:rFonts w:ascii="宋体" w:hAnsi="宋体"/>
                <w:color w:val="auto"/>
                <w:sz w:val="22"/>
              </w:rPr>
            </w:pPr>
          </w:p>
        </w:tc>
        <w:tc>
          <w:tcPr>
            <w:tcW w:w="1995" w:type="dxa"/>
            <w:tcBorders>
              <w:top w:val="single" w:color="auto" w:sz="4" w:space="0"/>
              <w:left w:val="single" w:color="auto" w:sz="4" w:space="0"/>
              <w:bottom w:val="single" w:color="auto" w:sz="4" w:space="0"/>
              <w:right w:val="single" w:color="auto" w:sz="4" w:space="0"/>
            </w:tcBorders>
            <w:vAlign w:val="center"/>
          </w:tcPr>
          <w:p w14:paraId="6D7034BB">
            <w:pPr>
              <w:spacing w:line="380" w:lineRule="exact"/>
              <w:jc w:val="center"/>
              <w:rPr>
                <w:rFonts w:ascii="宋体" w:hAnsi="宋体"/>
                <w:color w:val="auto"/>
                <w:sz w:val="22"/>
              </w:rPr>
            </w:pPr>
          </w:p>
        </w:tc>
        <w:tc>
          <w:tcPr>
            <w:tcW w:w="1869" w:type="dxa"/>
            <w:tcBorders>
              <w:top w:val="single" w:color="auto" w:sz="4" w:space="0"/>
              <w:left w:val="single" w:color="auto" w:sz="4" w:space="0"/>
              <w:bottom w:val="single" w:color="auto" w:sz="4" w:space="0"/>
              <w:right w:val="single" w:color="auto" w:sz="4" w:space="0"/>
            </w:tcBorders>
            <w:vAlign w:val="center"/>
          </w:tcPr>
          <w:p w14:paraId="6C24DB37">
            <w:pPr>
              <w:spacing w:line="380" w:lineRule="exact"/>
              <w:jc w:val="center"/>
              <w:rPr>
                <w:rFonts w:ascii="宋体" w:hAnsi="宋体"/>
                <w:color w:val="auto"/>
                <w:sz w:val="22"/>
              </w:rPr>
            </w:pPr>
          </w:p>
        </w:tc>
        <w:tc>
          <w:tcPr>
            <w:tcW w:w="1596" w:type="dxa"/>
            <w:tcBorders>
              <w:top w:val="single" w:color="auto" w:sz="4" w:space="0"/>
              <w:left w:val="single" w:color="auto" w:sz="4" w:space="0"/>
              <w:bottom w:val="single" w:color="auto" w:sz="4" w:space="0"/>
              <w:right w:val="single" w:color="auto" w:sz="4" w:space="0"/>
            </w:tcBorders>
            <w:vAlign w:val="center"/>
          </w:tcPr>
          <w:p w14:paraId="2D5AFAB8">
            <w:pPr>
              <w:spacing w:line="380" w:lineRule="exact"/>
              <w:jc w:val="center"/>
              <w:rPr>
                <w:rFonts w:ascii="宋体" w:hAnsi="宋体"/>
                <w:color w:val="auto"/>
                <w:sz w:val="22"/>
              </w:rPr>
            </w:pPr>
          </w:p>
        </w:tc>
      </w:tr>
      <w:tr w14:paraId="2FBF6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14:paraId="72D2D537">
            <w:pPr>
              <w:widowControl/>
              <w:jc w:val="left"/>
              <w:rPr>
                <w:rFonts w:ascii="宋体" w:hAnsi="宋体"/>
                <w:b/>
                <w:color w:val="auto"/>
                <w:sz w:val="22"/>
              </w:rPr>
            </w:pPr>
          </w:p>
        </w:tc>
        <w:tc>
          <w:tcPr>
            <w:tcW w:w="1365" w:type="dxa"/>
            <w:tcBorders>
              <w:top w:val="single" w:color="auto" w:sz="4" w:space="0"/>
              <w:left w:val="single" w:color="auto" w:sz="4" w:space="0"/>
              <w:bottom w:val="single" w:color="auto" w:sz="4" w:space="0"/>
              <w:right w:val="single" w:color="auto" w:sz="4" w:space="0"/>
            </w:tcBorders>
            <w:vAlign w:val="center"/>
          </w:tcPr>
          <w:p w14:paraId="0C31F8F3">
            <w:pPr>
              <w:spacing w:line="380" w:lineRule="exact"/>
              <w:jc w:val="center"/>
              <w:rPr>
                <w:rFonts w:ascii="宋体" w:hAnsi="宋体"/>
                <w:color w:val="auto"/>
                <w:sz w:val="22"/>
              </w:rPr>
            </w:pPr>
          </w:p>
        </w:tc>
        <w:tc>
          <w:tcPr>
            <w:tcW w:w="2100" w:type="dxa"/>
            <w:tcBorders>
              <w:top w:val="single" w:color="auto" w:sz="4" w:space="0"/>
              <w:left w:val="single" w:color="auto" w:sz="4" w:space="0"/>
              <w:bottom w:val="single" w:color="auto" w:sz="4" w:space="0"/>
              <w:right w:val="single" w:color="auto" w:sz="4" w:space="0"/>
            </w:tcBorders>
            <w:vAlign w:val="center"/>
          </w:tcPr>
          <w:p w14:paraId="702B5618">
            <w:pPr>
              <w:spacing w:line="380" w:lineRule="exact"/>
              <w:jc w:val="center"/>
              <w:rPr>
                <w:rFonts w:ascii="宋体" w:hAnsi="宋体"/>
                <w:color w:val="auto"/>
                <w:sz w:val="22"/>
              </w:rPr>
            </w:pPr>
          </w:p>
        </w:tc>
        <w:tc>
          <w:tcPr>
            <w:tcW w:w="1995" w:type="dxa"/>
            <w:tcBorders>
              <w:top w:val="single" w:color="auto" w:sz="4" w:space="0"/>
              <w:left w:val="single" w:color="auto" w:sz="4" w:space="0"/>
              <w:bottom w:val="single" w:color="auto" w:sz="4" w:space="0"/>
              <w:right w:val="single" w:color="auto" w:sz="4" w:space="0"/>
            </w:tcBorders>
            <w:vAlign w:val="center"/>
          </w:tcPr>
          <w:p w14:paraId="5D0204A7">
            <w:pPr>
              <w:spacing w:line="380" w:lineRule="exact"/>
              <w:jc w:val="center"/>
              <w:rPr>
                <w:rFonts w:ascii="宋体" w:hAnsi="宋体"/>
                <w:color w:val="auto"/>
                <w:sz w:val="22"/>
              </w:rPr>
            </w:pPr>
          </w:p>
        </w:tc>
        <w:tc>
          <w:tcPr>
            <w:tcW w:w="1869" w:type="dxa"/>
            <w:tcBorders>
              <w:top w:val="single" w:color="auto" w:sz="4" w:space="0"/>
              <w:left w:val="single" w:color="auto" w:sz="4" w:space="0"/>
              <w:bottom w:val="single" w:color="auto" w:sz="4" w:space="0"/>
              <w:right w:val="single" w:color="auto" w:sz="4" w:space="0"/>
            </w:tcBorders>
            <w:vAlign w:val="center"/>
          </w:tcPr>
          <w:p w14:paraId="107258A7">
            <w:pPr>
              <w:spacing w:line="380" w:lineRule="exact"/>
              <w:jc w:val="center"/>
              <w:rPr>
                <w:rFonts w:ascii="宋体" w:hAnsi="宋体"/>
                <w:color w:val="auto"/>
                <w:sz w:val="22"/>
              </w:rPr>
            </w:pPr>
          </w:p>
        </w:tc>
        <w:tc>
          <w:tcPr>
            <w:tcW w:w="1596" w:type="dxa"/>
            <w:tcBorders>
              <w:top w:val="single" w:color="auto" w:sz="4" w:space="0"/>
              <w:left w:val="single" w:color="auto" w:sz="4" w:space="0"/>
              <w:bottom w:val="single" w:color="auto" w:sz="4" w:space="0"/>
              <w:right w:val="single" w:color="auto" w:sz="4" w:space="0"/>
            </w:tcBorders>
            <w:vAlign w:val="center"/>
          </w:tcPr>
          <w:p w14:paraId="776C1E8E">
            <w:pPr>
              <w:spacing w:line="380" w:lineRule="exact"/>
              <w:jc w:val="center"/>
              <w:rPr>
                <w:rFonts w:ascii="宋体" w:hAnsi="宋体"/>
                <w:color w:val="auto"/>
                <w:sz w:val="22"/>
              </w:rPr>
            </w:pPr>
          </w:p>
        </w:tc>
      </w:tr>
      <w:tr w14:paraId="6D244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14:paraId="616BC0CA">
            <w:pPr>
              <w:widowControl/>
              <w:jc w:val="left"/>
              <w:rPr>
                <w:rFonts w:ascii="宋体" w:hAnsi="宋体"/>
                <w:b/>
                <w:color w:val="auto"/>
                <w:sz w:val="22"/>
              </w:rPr>
            </w:pPr>
          </w:p>
        </w:tc>
        <w:tc>
          <w:tcPr>
            <w:tcW w:w="1365" w:type="dxa"/>
            <w:tcBorders>
              <w:top w:val="single" w:color="auto" w:sz="4" w:space="0"/>
              <w:left w:val="single" w:color="auto" w:sz="4" w:space="0"/>
              <w:bottom w:val="single" w:color="auto" w:sz="4" w:space="0"/>
              <w:right w:val="single" w:color="auto" w:sz="4" w:space="0"/>
            </w:tcBorders>
            <w:vAlign w:val="center"/>
          </w:tcPr>
          <w:p w14:paraId="62AAA92B">
            <w:pPr>
              <w:spacing w:line="380" w:lineRule="exact"/>
              <w:jc w:val="center"/>
              <w:rPr>
                <w:rFonts w:ascii="宋体" w:hAnsi="宋体"/>
                <w:color w:val="auto"/>
                <w:sz w:val="22"/>
              </w:rPr>
            </w:pPr>
          </w:p>
        </w:tc>
        <w:tc>
          <w:tcPr>
            <w:tcW w:w="2100" w:type="dxa"/>
            <w:tcBorders>
              <w:top w:val="single" w:color="auto" w:sz="4" w:space="0"/>
              <w:left w:val="single" w:color="auto" w:sz="4" w:space="0"/>
              <w:bottom w:val="single" w:color="auto" w:sz="4" w:space="0"/>
              <w:right w:val="single" w:color="auto" w:sz="4" w:space="0"/>
            </w:tcBorders>
            <w:vAlign w:val="center"/>
          </w:tcPr>
          <w:p w14:paraId="149030C9">
            <w:pPr>
              <w:spacing w:line="380" w:lineRule="exact"/>
              <w:jc w:val="center"/>
              <w:rPr>
                <w:rFonts w:ascii="宋体" w:hAnsi="宋体"/>
                <w:color w:val="auto"/>
                <w:sz w:val="22"/>
              </w:rPr>
            </w:pPr>
          </w:p>
        </w:tc>
        <w:tc>
          <w:tcPr>
            <w:tcW w:w="1995" w:type="dxa"/>
            <w:tcBorders>
              <w:top w:val="single" w:color="auto" w:sz="4" w:space="0"/>
              <w:left w:val="single" w:color="auto" w:sz="4" w:space="0"/>
              <w:bottom w:val="single" w:color="auto" w:sz="4" w:space="0"/>
              <w:right w:val="single" w:color="auto" w:sz="4" w:space="0"/>
            </w:tcBorders>
            <w:vAlign w:val="center"/>
          </w:tcPr>
          <w:p w14:paraId="40D119FF">
            <w:pPr>
              <w:spacing w:line="380" w:lineRule="exact"/>
              <w:jc w:val="center"/>
              <w:rPr>
                <w:rFonts w:ascii="宋体" w:hAnsi="宋体"/>
                <w:color w:val="auto"/>
                <w:sz w:val="22"/>
              </w:rPr>
            </w:pPr>
          </w:p>
        </w:tc>
        <w:tc>
          <w:tcPr>
            <w:tcW w:w="1869" w:type="dxa"/>
            <w:tcBorders>
              <w:top w:val="single" w:color="auto" w:sz="4" w:space="0"/>
              <w:left w:val="single" w:color="auto" w:sz="4" w:space="0"/>
              <w:bottom w:val="single" w:color="auto" w:sz="4" w:space="0"/>
              <w:right w:val="single" w:color="auto" w:sz="4" w:space="0"/>
            </w:tcBorders>
            <w:vAlign w:val="center"/>
          </w:tcPr>
          <w:p w14:paraId="6107EEC7">
            <w:pPr>
              <w:spacing w:line="380" w:lineRule="exact"/>
              <w:jc w:val="center"/>
              <w:rPr>
                <w:rFonts w:ascii="宋体" w:hAnsi="宋体"/>
                <w:color w:val="auto"/>
                <w:sz w:val="22"/>
              </w:rPr>
            </w:pPr>
          </w:p>
        </w:tc>
        <w:tc>
          <w:tcPr>
            <w:tcW w:w="1596" w:type="dxa"/>
            <w:tcBorders>
              <w:top w:val="single" w:color="auto" w:sz="4" w:space="0"/>
              <w:left w:val="single" w:color="auto" w:sz="4" w:space="0"/>
              <w:bottom w:val="single" w:color="auto" w:sz="4" w:space="0"/>
              <w:right w:val="single" w:color="auto" w:sz="4" w:space="0"/>
            </w:tcBorders>
            <w:vAlign w:val="center"/>
          </w:tcPr>
          <w:p w14:paraId="20191B6A">
            <w:pPr>
              <w:spacing w:line="380" w:lineRule="exact"/>
              <w:jc w:val="center"/>
              <w:rPr>
                <w:rFonts w:ascii="宋体" w:hAnsi="宋体"/>
                <w:color w:val="auto"/>
                <w:sz w:val="22"/>
              </w:rPr>
            </w:pPr>
          </w:p>
        </w:tc>
      </w:tr>
      <w:tr w14:paraId="5DBFB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14:paraId="474F7CEA">
            <w:pPr>
              <w:widowControl/>
              <w:jc w:val="left"/>
              <w:rPr>
                <w:rFonts w:ascii="宋体" w:hAnsi="宋体"/>
                <w:b/>
                <w:color w:val="auto"/>
                <w:sz w:val="22"/>
              </w:rPr>
            </w:pPr>
          </w:p>
        </w:tc>
        <w:tc>
          <w:tcPr>
            <w:tcW w:w="1365" w:type="dxa"/>
            <w:tcBorders>
              <w:top w:val="single" w:color="auto" w:sz="4" w:space="0"/>
              <w:left w:val="single" w:color="auto" w:sz="4" w:space="0"/>
              <w:bottom w:val="single" w:color="auto" w:sz="4" w:space="0"/>
              <w:right w:val="single" w:color="auto" w:sz="4" w:space="0"/>
            </w:tcBorders>
            <w:vAlign w:val="center"/>
          </w:tcPr>
          <w:p w14:paraId="43537E8A">
            <w:pPr>
              <w:spacing w:line="380" w:lineRule="exact"/>
              <w:jc w:val="center"/>
              <w:rPr>
                <w:rFonts w:ascii="宋体" w:hAnsi="宋体"/>
                <w:color w:val="auto"/>
                <w:sz w:val="22"/>
              </w:rPr>
            </w:pPr>
          </w:p>
        </w:tc>
        <w:tc>
          <w:tcPr>
            <w:tcW w:w="2100" w:type="dxa"/>
            <w:tcBorders>
              <w:top w:val="single" w:color="auto" w:sz="4" w:space="0"/>
              <w:left w:val="single" w:color="auto" w:sz="4" w:space="0"/>
              <w:bottom w:val="single" w:color="auto" w:sz="4" w:space="0"/>
              <w:right w:val="single" w:color="auto" w:sz="4" w:space="0"/>
            </w:tcBorders>
            <w:vAlign w:val="center"/>
          </w:tcPr>
          <w:p w14:paraId="1B1BCF99">
            <w:pPr>
              <w:spacing w:line="380" w:lineRule="exact"/>
              <w:jc w:val="center"/>
              <w:rPr>
                <w:rFonts w:ascii="宋体" w:hAnsi="宋体"/>
                <w:color w:val="auto"/>
                <w:sz w:val="22"/>
              </w:rPr>
            </w:pPr>
          </w:p>
        </w:tc>
        <w:tc>
          <w:tcPr>
            <w:tcW w:w="1995" w:type="dxa"/>
            <w:tcBorders>
              <w:top w:val="single" w:color="auto" w:sz="4" w:space="0"/>
              <w:left w:val="single" w:color="auto" w:sz="4" w:space="0"/>
              <w:bottom w:val="single" w:color="auto" w:sz="4" w:space="0"/>
              <w:right w:val="single" w:color="auto" w:sz="4" w:space="0"/>
            </w:tcBorders>
            <w:vAlign w:val="center"/>
          </w:tcPr>
          <w:p w14:paraId="768F63CF">
            <w:pPr>
              <w:spacing w:line="380" w:lineRule="exact"/>
              <w:jc w:val="center"/>
              <w:rPr>
                <w:rFonts w:ascii="宋体" w:hAnsi="宋体"/>
                <w:color w:val="auto"/>
                <w:sz w:val="22"/>
              </w:rPr>
            </w:pPr>
          </w:p>
        </w:tc>
        <w:tc>
          <w:tcPr>
            <w:tcW w:w="1869" w:type="dxa"/>
            <w:tcBorders>
              <w:top w:val="single" w:color="auto" w:sz="4" w:space="0"/>
              <w:left w:val="single" w:color="auto" w:sz="4" w:space="0"/>
              <w:bottom w:val="single" w:color="auto" w:sz="4" w:space="0"/>
              <w:right w:val="single" w:color="auto" w:sz="4" w:space="0"/>
            </w:tcBorders>
            <w:vAlign w:val="center"/>
          </w:tcPr>
          <w:p w14:paraId="6DCC2756">
            <w:pPr>
              <w:spacing w:line="380" w:lineRule="exact"/>
              <w:jc w:val="center"/>
              <w:rPr>
                <w:rFonts w:ascii="宋体" w:hAnsi="宋体"/>
                <w:color w:val="auto"/>
                <w:sz w:val="22"/>
              </w:rPr>
            </w:pPr>
          </w:p>
        </w:tc>
        <w:tc>
          <w:tcPr>
            <w:tcW w:w="1596" w:type="dxa"/>
            <w:tcBorders>
              <w:top w:val="single" w:color="auto" w:sz="4" w:space="0"/>
              <w:left w:val="single" w:color="auto" w:sz="4" w:space="0"/>
              <w:bottom w:val="single" w:color="auto" w:sz="4" w:space="0"/>
              <w:right w:val="single" w:color="auto" w:sz="4" w:space="0"/>
            </w:tcBorders>
            <w:vAlign w:val="center"/>
          </w:tcPr>
          <w:p w14:paraId="0418AC4C">
            <w:pPr>
              <w:spacing w:line="380" w:lineRule="exact"/>
              <w:jc w:val="center"/>
              <w:rPr>
                <w:rFonts w:ascii="宋体" w:hAnsi="宋体"/>
                <w:color w:val="auto"/>
                <w:sz w:val="22"/>
              </w:rPr>
            </w:pPr>
          </w:p>
        </w:tc>
      </w:tr>
    </w:tbl>
    <w:p w14:paraId="66135E84">
      <w:pPr>
        <w:spacing w:line="440" w:lineRule="exact"/>
        <w:rPr>
          <w:rFonts w:ascii="宋体" w:hAnsi="宋体"/>
          <w:color w:val="auto"/>
          <w:sz w:val="22"/>
          <w:szCs w:val="22"/>
        </w:rPr>
      </w:pPr>
      <w:r>
        <w:rPr>
          <w:rFonts w:hint="eastAsia" w:ascii="宋体" w:hAnsi="宋体"/>
          <w:color w:val="auto"/>
          <w:sz w:val="22"/>
          <w:szCs w:val="22"/>
        </w:rPr>
        <w:t>注：没有填写此表视为完全响应磋商文件要求。</w:t>
      </w:r>
    </w:p>
    <w:p w14:paraId="5BA603C8">
      <w:pPr>
        <w:spacing w:line="440" w:lineRule="exact"/>
        <w:ind w:firstLine="4400" w:firstLineChars="2000"/>
        <w:rPr>
          <w:rFonts w:ascii="宋体" w:hAnsi="宋体"/>
          <w:color w:val="auto"/>
          <w:sz w:val="22"/>
          <w:szCs w:val="22"/>
        </w:rPr>
      </w:pPr>
    </w:p>
    <w:p w14:paraId="61DC0B17">
      <w:pPr>
        <w:spacing w:line="440" w:lineRule="exact"/>
        <w:ind w:firstLine="4400" w:firstLineChars="2000"/>
        <w:rPr>
          <w:rFonts w:ascii="宋体" w:hAnsi="宋体"/>
          <w:color w:val="auto"/>
          <w:sz w:val="22"/>
          <w:szCs w:val="22"/>
        </w:rPr>
      </w:pPr>
      <w:r>
        <w:rPr>
          <w:rFonts w:hint="eastAsia" w:ascii="宋体" w:hAnsi="宋体"/>
          <w:color w:val="auto"/>
          <w:sz w:val="22"/>
          <w:szCs w:val="22"/>
        </w:rPr>
        <w:t>磋商供应商全称（电子签名/公章）：</w:t>
      </w:r>
    </w:p>
    <w:p w14:paraId="089F683D">
      <w:pPr>
        <w:spacing w:line="440" w:lineRule="exact"/>
        <w:ind w:firstLine="4400" w:firstLineChars="2000"/>
        <w:rPr>
          <w:rFonts w:ascii="宋体" w:hAnsi="宋体"/>
          <w:color w:val="auto"/>
          <w:sz w:val="22"/>
          <w:szCs w:val="22"/>
        </w:rPr>
      </w:pPr>
      <w:r>
        <w:rPr>
          <w:rFonts w:hint="eastAsia" w:ascii="宋体" w:hAnsi="宋体"/>
          <w:color w:val="auto"/>
          <w:sz w:val="22"/>
          <w:szCs w:val="22"/>
        </w:rPr>
        <w:t xml:space="preserve">日期：     年    月    日 </w:t>
      </w:r>
    </w:p>
    <w:p w14:paraId="54BAC9DA">
      <w:pPr>
        <w:pStyle w:val="3"/>
        <w:spacing w:line="240" w:lineRule="auto"/>
        <w:rPr>
          <w:rFonts w:hint="eastAsia" w:ascii="宋体" w:hAnsi="宋体" w:eastAsia="宋体" w:cs="宋体"/>
          <w:color w:val="auto"/>
          <w:sz w:val="24"/>
          <w:szCs w:val="24"/>
        </w:rPr>
      </w:pPr>
      <w:bookmarkStart w:id="162" w:name="_Toc363487552"/>
      <w:r>
        <w:rPr>
          <w:rFonts w:hint="eastAsia" w:ascii="宋体" w:hAnsi="宋体" w:eastAsia="宋体"/>
          <w:color w:val="auto"/>
          <w:sz w:val="24"/>
          <w:szCs w:val="24"/>
        </w:rPr>
        <w:br w:type="page"/>
      </w:r>
      <w:bookmarkEnd w:id="151"/>
      <w:bookmarkEnd w:id="152"/>
      <w:bookmarkEnd w:id="162"/>
      <w:bookmarkStart w:id="163" w:name="_Toc49280913"/>
      <w:bookmarkStart w:id="164" w:name="_Toc1593"/>
      <w:bookmarkStart w:id="165" w:name="_Toc524600101"/>
      <w:bookmarkStart w:id="166" w:name="_Toc395528094"/>
      <w:bookmarkStart w:id="167" w:name="_Toc7609"/>
      <w:bookmarkStart w:id="168" w:name="_Toc3741475"/>
      <w:bookmarkStart w:id="169" w:name="_Toc15666"/>
      <w:bookmarkStart w:id="170" w:name="_Toc8294591"/>
      <w:bookmarkStart w:id="171" w:name="_Toc30488983"/>
      <w:bookmarkStart w:id="172" w:name="_Toc14682763"/>
      <w:bookmarkStart w:id="173" w:name="_Toc482309056"/>
      <w:bookmarkStart w:id="174" w:name="_Toc20616_WPSOffice_Level2"/>
      <w:bookmarkStart w:id="175" w:name="_Toc3741107"/>
      <w:bookmarkStart w:id="176" w:name="_Toc9343381"/>
      <w:bookmarkStart w:id="177" w:name="_Toc12373403"/>
      <w:bookmarkStart w:id="178" w:name="_Toc24893"/>
      <w:bookmarkStart w:id="179" w:name="_Toc3526"/>
      <w:r>
        <w:rPr>
          <w:rFonts w:hint="eastAsia" w:ascii="黑体" w:hAnsi="黑体" w:cs="黑体"/>
          <w:color w:val="auto"/>
          <w:sz w:val="24"/>
          <w:szCs w:val="24"/>
        </w:rPr>
        <w:t xml:space="preserve">附件六  </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Start w:id="180" w:name="_Toc15454"/>
      <w:bookmarkStart w:id="181" w:name="_Toc20388"/>
      <w:bookmarkStart w:id="182" w:name="_Toc31024"/>
      <w:bookmarkStart w:id="183" w:name="_Toc8623"/>
      <w:bookmarkStart w:id="184" w:name="_Toc16851"/>
      <w:bookmarkStart w:id="185" w:name="_Toc24517"/>
      <w:bookmarkStart w:id="186" w:name="_Toc524449522"/>
      <w:bookmarkStart w:id="187" w:name="_Toc14682764"/>
      <w:bookmarkStart w:id="188" w:name="_Toc3741108"/>
      <w:bookmarkStart w:id="189" w:name="_Toc30488984"/>
      <w:bookmarkStart w:id="190" w:name="_Toc11371_WPSOffice_Level2"/>
      <w:bookmarkStart w:id="191" w:name="_Toc524600104"/>
      <w:bookmarkStart w:id="192" w:name="_Toc3741476"/>
      <w:bookmarkStart w:id="193" w:name="_Toc8294592"/>
      <w:r>
        <w:rPr>
          <w:rFonts w:hint="eastAsia" w:ascii="宋体" w:hAnsi="宋体" w:eastAsia="宋体" w:cs="宋体"/>
          <w:color w:val="auto"/>
          <w:sz w:val="24"/>
          <w:szCs w:val="24"/>
        </w:rPr>
        <w:t xml:space="preserve">附件六 </w:t>
      </w:r>
      <w:r>
        <w:rPr>
          <w:rFonts w:hint="eastAsia" w:ascii="宋体" w:hAnsi="宋体" w:eastAsia="宋体"/>
          <w:color w:val="auto"/>
          <w:sz w:val="24"/>
          <w:szCs w:val="24"/>
        </w:rPr>
        <w:t>货物成套供货清单</w:t>
      </w:r>
      <w:bookmarkEnd w:id="179"/>
      <w:bookmarkEnd w:id="180"/>
    </w:p>
    <w:p w14:paraId="54048109">
      <w:pPr>
        <w:numPr>
          <w:ilvl w:val="0"/>
          <w:numId w:val="2"/>
        </w:numPr>
        <w:spacing w:line="440" w:lineRule="exact"/>
        <w:jc w:val="center"/>
        <w:rPr>
          <w:rFonts w:hint="eastAsia" w:ascii="宋体" w:hAnsi="宋体"/>
          <w:b/>
          <w:bCs/>
          <w:color w:val="auto"/>
          <w:sz w:val="28"/>
          <w:szCs w:val="28"/>
        </w:rPr>
      </w:pPr>
      <w:r>
        <w:rPr>
          <w:rFonts w:hint="eastAsia" w:ascii="宋体" w:hAnsi="宋体"/>
          <w:b/>
          <w:bCs/>
          <w:color w:val="auto"/>
          <w:sz w:val="28"/>
          <w:szCs w:val="28"/>
        </w:rPr>
        <w:t>货物成套供货清单（或详细配置清单）</w:t>
      </w:r>
    </w:p>
    <w:p w14:paraId="3F07F440">
      <w:pPr>
        <w:spacing w:line="440" w:lineRule="exact"/>
        <w:rPr>
          <w:rFonts w:hint="eastAsia" w:ascii="宋体" w:hAnsi="宋体"/>
          <w:b/>
          <w:bCs/>
          <w:color w:val="auto"/>
          <w:sz w:val="22"/>
          <w:szCs w:val="22"/>
        </w:rPr>
      </w:pPr>
      <w:r>
        <w:rPr>
          <w:rFonts w:hint="eastAsia" w:ascii="宋体" w:hAnsi="宋体"/>
          <w:b/>
          <w:bCs/>
          <w:color w:val="auto"/>
          <w:sz w:val="22"/>
          <w:szCs w:val="22"/>
        </w:rPr>
        <w:t>项目名称：                                                     项目编号：</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980"/>
        <w:gridCol w:w="720"/>
        <w:gridCol w:w="900"/>
        <w:gridCol w:w="1440"/>
        <w:gridCol w:w="1440"/>
        <w:gridCol w:w="1080"/>
      </w:tblGrid>
      <w:tr w14:paraId="70A0F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shd w:val="clear" w:color="auto" w:fill="D9D9D9"/>
            <w:noWrap w:val="0"/>
            <w:vAlign w:val="center"/>
          </w:tcPr>
          <w:p w14:paraId="05B1F426">
            <w:pPr>
              <w:spacing w:line="380" w:lineRule="exact"/>
              <w:jc w:val="center"/>
              <w:rPr>
                <w:rFonts w:hint="eastAsia" w:ascii="宋体" w:hAnsi="宋体"/>
                <w:b/>
                <w:bCs/>
                <w:color w:val="auto"/>
                <w:sz w:val="22"/>
                <w:szCs w:val="22"/>
              </w:rPr>
            </w:pPr>
            <w:r>
              <w:rPr>
                <w:rFonts w:hint="eastAsia" w:ascii="宋体" w:hAnsi="宋体"/>
                <w:b/>
                <w:bCs/>
                <w:color w:val="auto"/>
                <w:sz w:val="22"/>
                <w:szCs w:val="22"/>
              </w:rPr>
              <w:t>序号</w:t>
            </w:r>
          </w:p>
        </w:tc>
        <w:tc>
          <w:tcPr>
            <w:tcW w:w="1260" w:type="dxa"/>
            <w:shd w:val="clear" w:color="auto" w:fill="D9D9D9"/>
            <w:noWrap w:val="0"/>
            <w:vAlign w:val="center"/>
          </w:tcPr>
          <w:p w14:paraId="2A71F14D">
            <w:pPr>
              <w:spacing w:line="380" w:lineRule="exact"/>
              <w:jc w:val="center"/>
              <w:rPr>
                <w:rFonts w:hint="eastAsia" w:ascii="宋体" w:hAnsi="宋体"/>
                <w:b/>
                <w:bCs/>
                <w:color w:val="auto"/>
                <w:sz w:val="22"/>
                <w:szCs w:val="22"/>
              </w:rPr>
            </w:pPr>
            <w:r>
              <w:rPr>
                <w:rFonts w:hint="eastAsia" w:ascii="宋体" w:hAnsi="宋体"/>
                <w:b/>
                <w:bCs/>
                <w:color w:val="auto"/>
                <w:sz w:val="22"/>
                <w:szCs w:val="22"/>
              </w:rPr>
              <w:t>名  称</w:t>
            </w:r>
          </w:p>
        </w:tc>
        <w:tc>
          <w:tcPr>
            <w:tcW w:w="1980" w:type="dxa"/>
            <w:shd w:val="clear" w:color="auto" w:fill="D9D9D9"/>
            <w:noWrap w:val="0"/>
            <w:vAlign w:val="center"/>
          </w:tcPr>
          <w:p w14:paraId="17C32362">
            <w:pPr>
              <w:spacing w:line="380" w:lineRule="exact"/>
              <w:jc w:val="center"/>
              <w:rPr>
                <w:rFonts w:hint="eastAsia" w:ascii="宋体" w:hAnsi="宋体"/>
                <w:b/>
                <w:bCs/>
                <w:color w:val="auto"/>
                <w:sz w:val="22"/>
                <w:szCs w:val="22"/>
              </w:rPr>
            </w:pPr>
            <w:r>
              <w:rPr>
                <w:rFonts w:hint="eastAsia" w:ascii="宋体" w:hAnsi="宋体"/>
                <w:b/>
                <w:bCs/>
                <w:color w:val="auto"/>
                <w:sz w:val="22"/>
                <w:szCs w:val="22"/>
              </w:rPr>
              <w:t>品牌、规格型号</w:t>
            </w:r>
          </w:p>
        </w:tc>
        <w:tc>
          <w:tcPr>
            <w:tcW w:w="720" w:type="dxa"/>
            <w:shd w:val="clear" w:color="auto" w:fill="D9D9D9"/>
            <w:noWrap w:val="0"/>
            <w:vAlign w:val="center"/>
          </w:tcPr>
          <w:p w14:paraId="5244114D">
            <w:pPr>
              <w:spacing w:line="380" w:lineRule="exact"/>
              <w:jc w:val="center"/>
              <w:rPr>
                <w:rFonts w:hint="eastAsia" w:ascii="宋体" w:hAnsi="宋体"/>
                <w:b/>
                <w:bCs/>
                <w:color w:val="auto"/>
                <w:sz w:val="22"/>
                <w:szCs w:val="22"/>
              </w:rPr>
            </w:pPr>
            <w:r>
              <w:rPr>
                <w:rFonts w:hint="eastAsia" w:ascii="宋体" w:hAnsi="宋体"/>
                <w:b/>
                <w:bCs/>
                <w:color w:val="auto"/>
                <w:sz w:val="22"/>
                <w:szCs w:val="22"/>
              </w:rPr>
              <w:t>单位</w:t>
            </w:r>
          </w:p>
        </w:tc>
        <w:tc>
          <w:tcPr>
            <w:tcW w:w="900" w:type="dxa"/>
            <w:shd w:val="clear" w:color="auto" w:fill="D9D9D9"/>
            <w:noWrap w:val="0"/>
            <w:vAlign w:val="center"/>
          </w:tcPr>
          <w:p w14:paraId="62E57B2C">
            <w:pPr>
              <w:spacing w:line="380" w:lineRule="exact"/>
              <w:jc w:val="center"/>
              <w:rPr>
                <w:rFonts w:hint="eastAsia" w:ascii="宋体" w:hAnsi="宋体"/>
                <w:b/>
                <w:bCs/>
                <w:color w:val="auto"/>
                <w:sz w:val="22"/>
                <w:szCs w:val="22"/>
              </w:rPr>
            </w:pPr>
            <w:r>
              <w:rPr>
                <w:rFonts w:hint="eastAsia" w:ascii="宋体" w:hAnsi="宋体"/>
                <w:b/>
                <w:bCs/>
                <w:color w:val="auto"/>
                <w:sz w:val="22"/>
                <w:szCs w:val="22"/>
              </w:rPr>
              <w:t>数量</w:t>
            </w:r>
          </w:p>
        </w:tc>
        <w:tc>
          <w:tcPr>
            <w:tcW w:w="1440" w:type="dxa"/>
            <w:shd w:val="clear" w:color="auto" w:fill="D9D9D9"/>
            <w:noWrap w:val="0"/>
            <w:vAlign w:val="center"/>
          </w:tcPr>
          <w:p w14:paraId="5A4A77C9">
            <w:pPr>
              <w:spacing w:line="380" w:lineRule="exact"/>
              <w:jc w:val="center"/>
              <w:rPr>
                <w:rFonts w:hint="eastAsia" w:ascii="宋体" w:hAnsi="宋体"/>
                <w:b/>
                <w:bCs/>
                <w:color w:val="auto"/>
                <w:sz w:val="22"/>
                <w:szCs w:val="22"/>
              </w:rPr>
            </w:pPr>
            <w:r>
              <w:rPr>
                <w:rFonts w:hint="eastAsia" w:ascii="宋体" w:hAnsi="宋体"/>
                <w:b/>
                <w:bCs/>
                <w:color w:val="auto"/>
                <w:sz w:val="22"/>
                <w:szCs w:val="22"/>
              </w:rPr>
              <w:t>原产地</w:t>
            </w:r>
          </w:p>
        </w:tc>
        <w:tc>
          <w:tcPr>
            <w:tcW w:w="1440" w:type="dxa"/>
            <w:shd w:val="clear" w:color="auto" w:fill="D9D9D9"/>
            <w:noWrap w:val="0"/>
            <w:vAlign w:val="center"/>
          </w:tcPr>
          <w:p w14:paraId="04DFDD3F">
            <w:pPr>
              <w:spacing w:line="380" w:lineRule="exact"/>
              <w:jc w:val="center"/>
              <w:rPr>
                <w:rFonts w:hint="eastAsia" w:ascii="宋体" w:hAnsi="宋体"/>
                <w:b/>
                <w:bCs/>
                <w:color w:val="auto"/>
                <w:sz w:val="22"/>
                <w:szCs w:val="22"/>
              </w:rPr>
            </w:pPr>
            <w:r>
              <w:rPr>
                <w:rFonts w:hint="eastAsia" w:ascii="宋体" w:hAnsi="宋体"/>
                <w:b/>
                <w:bCs/>
                <w:color w:val="auto"/>
                <w:sz w:val="22"/>
                <w:szCs w:val="22"/>
              </w:rPr>
              <w:t>制造商</w:t>
            </w:r>
          </w:p>
        </w:tc>
        <w:tc>
          <w:tcPr>
            <w:tcW w:w="1080" w:type="dxa"/>
            <w:shd w:val="clear" w:color="auto" w:fill="D9D9D9"/>
            <w:noWrap w:val="0"/>
            <w:vAlign w:val="center"/>
          </w:tcPr>
          <w:p w14:paraId="75CD73A0">
            <w:pPr>
              <w:spacing w:line="380" w:lineRule="exact"/>
              <w:jc w:val="center"/>
              <w:rPr>
                <w:rFonts w:hint="eastAsia" w:ascii="宋体" w:hAnsi="宋体"/>
                <w:b/>
                <w:bCs/>
                <w:color w:val="auto"/>
                <w:sz w:val="22"/>
                <w:szCs w:val="22"/>
              </w:rPr>
            </w:pPr>
            <w:r>
              <w:rPr>
                <w:rFonts w:hint="eastAsia" w:ascii="宋体" w:hAnsi="宋体"/>
                <w:b/>
                <w:bCs/>
                <w:color w:val="auto"/>
                <w:sz w:val="22"/>
                <w:szCs w:val="22"/>
              </w:rPr>
              <w:t>质保期</w:t>
            </w:r>
          </w:p>
        </w:tc>
      </w:tr>
      <w:tr w14:paraId="523A0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14:paraId="0F1F8BE4">
            <w:pPr>
              <w:spacing w:line="380" w:lineRule="exact"/>
              <w:jc w:val="center"/>
              <w:rPr>
                <w:rFonts w:hint="eastAsia" w:ascii="宋体" w:hAnsi="宋体"/>
                <w:b/>
                <w:bCs/>
                <w:color w:val="auto"/>
                <w:sz w:val="22"/>
                <w:szCs w:val="22"/>
              </w:rPr>
            </w:pPr>
          </w:p>
        </w:tc>
        <w:tc>
          <w:tcPr>
            <w:tcW w:w="1260" w:type="dxa"/>
            <w:noWrap w:val="0"/>
            <w:vAlign w:val="center"/>
          </w:tcPr>
          <w:p w14:paraId="17F92064">
            <w:pPr>
              <w:spacing w:line="380" w:lineRule="exact"/>
              <w:jc w:val="center"/>
              <w:rPr>
                <w:rFonts w:hint="eastAsia" w:ascii="宋体" w:hAnsi="宋体"/>
                <w:b/>
                <w:bCs/>
                <w:color w:val="auto"/>
                <w:sz w:val="22"/>
                <w:szCs w:val="22"/>
              </w:rPr>
            </w:pPr>
          </w:p>
        </w:tc>
        <w:tc>
          <w:tcPr>
            <w:tcW w:w="1980" w:type="dxa"/>
            <w:noWrap w:val="0"/>
            <w:vAlign w:val="center"/>
          </w:tcPr>
          <w:p w14:paraId="4E16EB00">
            <w:pPr>
              <w:spacing w:line="380" w:lineRule="exact"/>
              <w:jc w:val="center"/>
              <w:rPr>
                <w:rFonts w:hint="eastAsia" w:ascii="宋体" w:hAnsi="宋体"/>
                <w:b/>
                <w:bCs/>
                <w:color w:val="auto"/>
                <w:sz w:val="22"/>
                <w:szCs w:val="22"/>
              </w:rPr>
            </w:pPr>
          </w:p>
        </w:tc>
        <w:tc>
          <w:tcPr>
            <w:tcW w:w="720" w:type="dxa"/>
            <w:noWrap w:val="0"/>
            <w:vAlign w:val="center"/>
          </w:tcPr>
          <w:p w14:paraId="4E1BB6FF">
            <w:pPr>
              <w:spacing w:line="380" w:lineRule="exact"/>
              <w:jc w:val="center"/>
              <w:rPr>
                <w:rFonts w:hint="eastAsia" w:ascii="宋体" w:hAnsi="宋体"/>
                <w:b/>
                <w:bCs/>
                <w:color w:val="auto"/>
                <w:sz w:val="22"/>
                <w:szCs w:val="22"/>
              </w:rPr>
            </w:pPr>
          </w:p>
        </w:tc>
        <w:tc>
          <w:tcPr>
            <w:tcW w:w="900" w:type="dxa"/>
            <w:noWrap w:val="0"/>
            <w:vAlign w:val="center"/>
          </w:tcPr>
          <w:p w14:paraId="53A223A5">
            <w:pPr>
              <w:spacing w:line="380" w:lineRule="exact"/>
              <w:jc w:val="center"/>
              <w:rPr>
                <w:rFonts w:hint="eastAsia" w:ascii="宋体" w:hAnsi="宋体"/>
                <w:b/>
                <w:bCs/>
                <w:color w:val="auto"/>
                <w:sz w:val="22"/>
                <w:szCs w:val="22"/>
              </w:rPr>
            </w:pPr>
          </w:p>
        </w:tc>
        <w:tc>
          <w:tcPr>
            <w:tcW w:w="1440" w:type="dxa"/>
            <w:noWrap w:val="0"/>
            <w:vAlign w:val="center"/>
          </w:tcPr>
          <w:p w14:paraId="63F35925">
            <w:pPr>
              <w:spacing w:line="380" w:lineRule="exact"/>
              <w:jc w:val="center"/>
              <w:rPr>
                <w:rFonts w:hint="eastAsia" w:ascii="宋体" w:hAnsi="宋体"/>
                <w:b/>
                <w:bCs/>
                <w:color w:val="auto"/>
                <w:sz w:val="22"/>
                <w:szCs w:val="22"/>
              </w:rPr>
            </w:pPr>
          </w:p>
        </w:tc>
        <w:tc>
          <w:tcPr>
            <w:tcW w:w="1440" w:type="dxa"/>
            <w:noWrap w:val="0"/>
            <w:vAlign w:val="center"/>
          </w:tcPr>
          <w:p w14:paraId="188EDD01">
            <w:pPr>
              <w:spacing w:line="380" w:lineRule="exact"/>
              <w:jc w:val="center"/>
              <w:rPr>
                <w:rFonts w:hint="eastAsia" w:ascii="宋体" w:hAnsi="宋体"/>
                <w:b/>
                <w:bCs/>
                <w:color w:val="auto"/>
                <w:sz w:val="22"/>
                <w:szCs w:val="22"/>
              </w:rPr>
            </w:pPr>
          </w:p>
        </w:tc>
        <w:tc>
          <w:tcPr>
            <w:tcW w:w="1080" w:type="dxa"/>
            <w:noWrap w:val="0"/>
            <w:vAlign w:val="center"/>
          </w:tcPr>
          <w:p w14:paraId="0FA10E6D">
            <w:pPr>
              <w:spacing w:line="380" w:lineRule="exact"/>
              <w:jc w:val="center"/>
              <w:rPr>
                <w:rFonts w:hint="eastAsia" w:ascii="宋体" w:hAnsi="宋体"/>
                <w:b/>
                <w:bCs/>
                <w:color w:val="auto"/>
                <w:sz w:val="22"/>
                <w:szCs w:val="22"/>
              </w:rPr>
            </w:pPr>
          </w:p>
        </w:tc>
      </w:tr>
      <w:tr w14:paraId="0205A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14:paraId="0CD687A3">
            <w:pPr>
              <w:spacing w:line="380" w:lineRule="exact"/>
              <w:jc w:val="center"/>
              <w:rPr>
                <w:rFonts w:hint="eastAsia" w:ascii="宋体" w:hAnsi="宋体"/>
                <w:b/>
                <w:bCs/>
                <w:color w:val="auto"/>
                <w:sz w:val="22"/>
                <w:szCs w:val="22"/>
              </w:rPr>
            </w:pPr>
          </w:p>
        </w:tc>
        <w:tc>
          <w:tcPr>
            <w:tcW w:w="1260" w:type="dxa"/>
            <w:noWrap w:val="0"/>
            <w:vAlign w:val="center"/>
          </w:tcPr>
          <w:p w14:paraId="614D08AE">
            <w:pPr>
              <w:spacing w:line="380" w:lineRule="exact"/>
              <w:jc w:val="center"/>
              <w:rPr>
                <w:rFonts w:hint="eastAsia" w:ascii="宋体" w:hAnsi="宋体"/>
                <w:b/>
                <w:bCs/>
                <w:color w:val="auto"/>
                <w:sz w:val="22"/>
                <w:szCs w:val="22"/>
              </w:rPr>
            </w:pPr>
          </w:p>
        </w:tc>
        <w:tc>
          <w:tcPr>
            <w:tcW w:w="1980" w:type="dxa"/>
            <w:noWrap w:val="0"/>
            <w:vAlign w:val="center"/>
          </w:tcPr>
          <w:p w14:paraId="2BA067D9">
            <w:pPr>
              <w:spacing w:line="380" w:lineRule="exact"/>
              <w:jc w:val="center"/>
              <w:rPr>
                <w:rFonts w:hint="eastAsia" w:ascii="宋体" w:hAnsi="宋体"/>
                <w:b/>
                <w:bCs/>
                <w:color w:val="auto"/>
                <w:sz w:val="22"/>
                <w:szCs w:val="22"/>
              </w:rPr>
            </w:pPr>
          </w:p>
        </w:tc>
        <w:tc>
          <w:tcPr>
            <w:tcW w:w="720" w:type="dxa"/>
            <w:noWrap w:val="0"/>
            <w:vAlign w:val="center"/>
          </w:tcPr>
          <w:p w14:paraId="287637E9">
            <w:pPr>
              <w:spacing w:line="380" w:lineRule="exact"/>
              <w:jc w:val="center"/>
              <w:rPr>
                <w:rFonts w:hint="eastAsia" w:ascii="宋体" w:hAnsi="宋体"/>
                <w:b/>
                <w:bCs/>
                <w:color w:val="auto"/>
                <w:sz w:val="22"/>
                <w:szCs w:val="22"/>
              </w:rPr>
            </w:pPr>
          </w:p>
        </w:tc>
        <w:tc>
          <w:tcPr>
            <w:tcW w:w="900" w:type="dxa"/>
            <w:noWrap w:val="0"/>
            <w:vAlign w:val="center"/>
          </w:tcPr>
          <w:p w14:paraId="499C26F8">
            <w:pPr>
              <w:spacing w:line="380" w:lineRule="exact"/>
              <w:jc w:val="center"/>
              <w:rPr>
                <w:rFonts w:hint="eastAsia" w:ascii="宋体" w:hAnsi="宋体"/>
                <w:b/>
                <w:bCs/>
                <w:color w:val="auto"/>
                <w:sz w:val="22"/>
                <w:szCs w:val="22"/>
              </w:rPr>
            </w:pPr>
          </w:p>
        </w:tc>
        <w:tc>
          <w:tcPr>
            <w:tcW w:w="1440" w:type="dxa"/>
            <w:noWrap w:val="0"/>
            <w:vAlign w:val="center"/>
          </w:tcPr>
          <w:p w14:paraId="2C2B4524">
            <w:pPr>
              <w:spacing w:line="380" w:lineRule="exact"/>
              <w:jc w:val="center"/>
              <w:rPr>
                <w:rFonts w:hint="eastAsia" w:ascii="宋体" w:hAnsi="宋体"/>
                <w:b/>
                <w:bCs/>
                <w:color w:val="auto"/>
                <w:sz w:val="22"/>
                <w:szCs w:val="22"/>
              </w:rPr>
            </w:pPr>
          </w:p>
        </w:tc>
        <w:tc>
          <w:tcPr>
            <w:tcW w:w="1440" w:type="dxa"/>
            <w:noWrap w:val="0"/>
            <w:vAlign w:val="center"/>
          </w:tcPr>
          <w:p w14:paraId="5C552CEF">
            <w:pPr>
              <w:spacing w:line="380" w:lineRule="exact"/>
              <w:jc w:val="center"/>
              <w:rPr>
                <w:rFonts w:hint="eastAsia" w:ascii="宋体" w:hAnsi="宋体"/>
                <w:b/>
                <w:bCs/>
                <w:color w:val="auto"/>
                <w:sz w:val="22"/>
                <w:szCs w:val="22"/>
              </w:rPr>
            </w:pPr>
          </w:p>
        </w:tc>
        <w:tc>
          <w:tcPr>
            <w:tcW w:w="1080" w:type="dxa"/>
            <w:noWrap w:val="0"/>
            <w:vAlign w:val="center"/>
          </w:tcPr>
          <w:p w14:paraId="7ADE1792">
            <w:pPr>
              <w:spacing w:line="380" w:lineRule="exact"/>
              <w:jc w:val="center"/>
              <w:rPr>
                <w:rFonts w:hint="eastAsia" w:ascii="宋体" w:hAnsi="宋体"/>
                <w:b/>
                <w:bCs/>
                <w:color w:val="auto"/>
                <w:sz w:val="22"/>
                <w:szCs w:val="22"/>
              </w:rPr>
            </w:pPr>
          </w:p>
        </w:tc>
      </w:tr>
      <w:tr w14:paraId="40EE2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14:paraId="1B1B6E82">
            <w:pPr>
              <w:spacing w:line="380" w:lineRule="exact"/>
              <w:jc w:val="center"/>
              <w:rPr>
                <w:rFonts w:hint="eastAsia" w:ascii="宋体" w:hAnsi="宋体"/>
                <w:b/>
                <w:bCs/>
                <w:color w:val="auto"/>
                <w:sz w:val="22"/>
                <w:szCs w:val="22"/>
              </w:rPr>
            </w:pPr>
          </w:p>
        </w:tc>
        <w:tc>
          <w:tcPr>
            <w:tcW w:w="1260" w:type="dxa"/>
            <w:noWrap w:val="0"/>
            <w:vAlign w:val="center"/>
          </w:tcPr>
          <w:p w14:paraId="54C20EDC">
            <w:pPr>
              <w:spacing w:line="380" w:lineRule="exact"/>
              <w:jc w:val="center"/>
              <w:rPr>
                <w:rFonts w:hint="eastAsia" w:ascii="宋体" w:hAnsi="宋体"/>
                <w:b/>
                <w:bCs/>
                <w:color w:val="auto"/>
                <w:sz w:val="22"/>
                <w:szCs w:val="22"/>
              </w:rPr>
            </w:pPr>
          </w:p>
        </w:tc>
        <w:tc>
          <w:tcPr>
            <w:tcW w:w="1980" w:type="dxa"/>
            <w:noWrap w:val="0"/>
            <w:vAlign w:val="center"/>
          </w:tcPr>
          <w:p w14:paraId="0FBEE211">
            <w:pPr>
              <w:spacing w:line="380" w:lineRule="exact"/>
              <w:jc w:val="center"/>
              <w:rPr>
                <w:rFonts w:hint="eastAsia" w:ascii="宋体" w:hAnsi="宋体"/>
                <w:b/>
                <w:bCs/>
                <w:color w:val="auto"/>
                <w:sz w:val="22"/>
                <w:szCs w:val="22"/>
              </w:rPr>
            </w:pPr>
          </w:p>
        </w:tc>
        <w:tc>
          <w:tcPr>
            <w:tcW w:w="720" w:type="dxa"/>
            <w:noWrap w:val="0"/>
            <w:vAlign w:val="center"/>
          </w:tcPr>
          <w:p w14:paraId="25C870A8">
            <w:pPr>
              <w:spacing w:line="380" w:lineRule="exact"/>
              <w:jc w:val="center"/>
              <w:rPr>
                <w:rFonts w:hint="eastAsia" w:ascii="宋体" w:hAnsi="宋体"/>
                <w:b/>
                <w:bCs/>
                <w:color w:val="auto"/>
                <w:sz w:val="22"/>
                <w:szCs w:val="22"/>
              </w:rPr>
            </w:pPr>
          </w:p>
        </w:tc>
        <w:tc>
          <w:tcPr>
            <w:tcW w:w="900" w:type="dxa"/>
            <w:noWrap w:val="0"/>
            <w:vAlign w:val="center"/>
          </w:tcPr>
          <w:p w14:paraId="3E399D3B">
            <w:pPr>
              <w:spacing w:line="380" w:lineRule="exact"/>
              <w:jc w:val="center"/>
              <w:rPr>
                <w:rFonts w:hint="eastAsia" w:ascii="宋体" w:hAnsi="宋体"/>
                <w:b/>
                <w:bCs/>
                <w:color w:val="auto"/>
                <w:sz w:val="22"/>
                <w:szCs w:val="22"/>
              </w:rPr>
            </w:pPr>
          </w:p>
        </w:tc>
        <w:tc>
          <w:tcPr>
            <w:tcW w:w="1440" w:type="dxa"/>
            <w:noWrap w:val="0"/>
            <w:vAlign w:val="center"/>
          </w:tcPr>
          <w:p w14:paraId="484CE843">
            <w:pPr>
              <w:spacing w:line="380" w:lineRule="exact"/>
              <w:jc w:val="center"/>
              <w:rPr>
                <w:rFonts w:hint="eastAsia" w:ascii="宋体" w:hAnsi="宋体"/>
                <w:b/>
                <w:bCs/>
                <w:color w:val="auto"/>
                <w:sz w:val="22"/>
                <w:szCs w:val="22"/>
              </w:rPr>
            </w:pPr>
          </w:p>
        </w:tc>
        <w:tc>
          <w:tcPr>
            <w:tcW w:w="1440" w:type="dxa"/>
            <w:noWrap w:val="0"/>
            <w:vAlign w:val="center"/>
          </w:tcPr>
          <w:p w14:paraId="797E95C1">
            <w:pPr>
              <w:spacing w:line="380" w:lineRule="exact"/>
              <w:jc w:val="center"/>
              <w:rPr>
                <w:rFonts w:hint="eastAsia" w:ascii="宋体" w:hAnsi="宋体"/>
                <w:b/>
                <w:bCs/>
                <w:color w:val="auto"/>
                <w:sz w:val="22"/>
                <w:szCs w:val="22"/>
              </w:rPr>
            </w:pPr>
          </w:p>
        </w:tc>
        <w:tc>
          <w:tcPr>
            <w:tcW w:w="1080" w:type="dxa"/>
            <w:noWrap w:val="0"/>
            <w:vAlign w:val="center"/>
          </w:tcPr>
          <w:p w14:paraId="6989E2E3">
            <w:pPr>
              <w:spacing w:line="380" w:lineRule="exact"/>
              <w:jc w:val="center"/>
              <w:rPr>
                <w:rFonts w:hint="eastAsia" w:ascii="宋体" w:hAnsi="宋体"/>
                <w:b/>
                <w:bCs/>
                <w:color w:val="auto"/>
                <w:sz w:val="22"/>
                <w:szCs w:val="22"/>
              </w:rPr>
            </w:pPr>
          </w:p>
        </w:tc>
      </w:tr>
      <w:tr w14:paraId="2C3AE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14:paraId="7CC79519">
            <w:pPr>
              <w:spacing w:line="380" w:lineRule="exact"/>
              <w:jc w:val="center"/>
              <w:rPr>
                <w:rFonts w:hint="eastAsia" w:ascii="宋体" w:hAnsi="宋体"/>
                <w:b/>
                <w:bCs/>
                <w:color w:val="auto"/>
                <w:sz w:val="22"/>
                <w:szCs w:val="22"/>
              </w:rPr>
            </w:pPr>
          </w:p>
        </w:tc>
        <w:tc>
          <w:tcPr>
            <w:tcW w:w="1260" w:type="dxa"/>
            <w:noWrap w:val="0"/>
            <w:vAlign w:val="center"/>
          </w:tcPr>
          <w:p w14:paraId="0427B9CA">
            <w:pPr>
              <w:spacing w:line="380" w:lineRule="exact"/>
              <w:jc w:val="center"/>
              <w:rPr>
                <w:rFonts w:hint="eastAsia" w:ascii="宋体" w:hAnsi="宋体"/>
                <w:b/>
                <w:bCs/>
                <w:color w:val="auto"/>
                <w:sz w:val="22"/>
                <w:szCs w:val="22"/>
              </w:rPr>
            </w:pPr>
          </w:p>
        </w:tc>
        <w:tc>
          <w:tcPr>
            <w:tcW w:w="1980" w:type="dxa"/>
            <w:noWrap w:val="0"/>
            <w:vAlign w:val="center"/>
          </w:tcPr>
          <w:p w14:paraId="0CCE5666">
            <w:pPr>
              <w:spacing w:line="380" w:lineRule="exact"/>
              <w:jc w:val="center"/>
              <w:rPr>
                <w:rFonts w:hint="eastAsia" w:ascii="宋体" w:hAnsi="宋体"/>
                <w:b/>
                <w:bCs/>
                <w:color w:val="auto"/>
                <w:sz w:val="22"/>
                <w:szCs w:val="22"/>
              </w:rPr>
            </w:pPr>
          </w:p>
        </w:tc>
        <w:tc>
          <w:tcPr>
            <w:tcW w:w="720" w:type="dxa"/>
            <w:noWrap w:val="0"/>
            <w:vAlign w:val="center"/>
          </w:tcPr>
          <w:p w14:paraId="70CA94B3">
            <w:pPr>
              <w:spacing w:line="380" w:lineRule="exact"/>
              <w:jc w:val="center"/>
              <w:rPr>
                <w:rFonts w:hint="eastAsia" w:ascii="宋体" w:hAnsi="宋体"/>
                <w:b/>
                <w:bCs/>
                <w:color w:val="auto"/>
                <w:sz w:val="22"/>
                <w:szCs w:val="22"/>
              </w:rPr>
            </w:pPr>
          </w:p>
        </w:tc>
        <w:tc>
          <w:tcPr>
            <w:tcW w:w="900" w:type="dxa"/>
            <w:noWrap w:val="0"/>
            <w:vAlign w:val="center"/>
          </w:tcPr>
          <w:p w14:paraId="2B506D5E">
            <w:pPr>
              <w:spacing w:line="380" w:lineRule="exact"/>
              <w:jc w:val="center"/>
              <w:rPr>
                <w:rFonts w:hint="eastAsia" w:ascii="宋体" w:hAnsi="宋体"/>
                <w:b/>
                <w:bCs/>
                <w:color w:val="auto"/>
                <w:sz w:val="22"/>
                <w:szCs w:val="22"/>
              </w:rPr>
            </w:pPr>
          </w:p>
        </w:tc>
        <w:tc>
          <w:tcPr>
            <w:tcW w:w="1440" w:type="dxa"/>
            <w:noWrap w:val="0"/>
            <w:vAlign w:val="center"/>
          </w:tcPr>
          <w:p w14:paraId="54192B80">
            <w:pPr>
              <w:spacing w:line="380" w:lineRule="exact"/>
              <w:jc w:val="center"/>
              <w:rPr>
                <w:rFonts w:hint="eastAsia" w:ascii="宋体" w:hAnsi="宋体"/>
                <w:b/>
                <w:bCs/>
                <w:color w:val="auto"/>
                <w:sz w:val="22"/>
                <w:szCs w:val="22"/>
              </w:rPr>
            </w:pPr>
          </w:p>
        </w:tc>
        <w:tc>
          <w:tcPr>
            <w:tcW w:w="1440" w:type="dxa"/>
            <w:noWrap w:val="0"/>
            <w:vAlign w:val="center"/>
          </w:tcPr>
          <w:p w14:paraId="3544ADCE">
            <w:pPr>
              <w:spacing w:line="380" w:lineRule="exact"/>
              <w:jc w:val="center"/>
              <w:rPr>
                <w:rFonts w:hint="eastAsia" w:ascii="宋体" w:hAnsi="宋体"/>
                <w:b/>
                <w:bCs/>
                <w:color w:val="auto"/>
                <w:sz w:val="22"/>
                <w:szCs w:val="22"/>
              </w:rPr>
            </w:pPr>
          </w:p>
        </w:tc>
        <w:tc>
          <w:tcPr>
            <w:tcW w:w="1080" w:type="dxa"/>
            <w:noWrap w:val="0"/>
            <w:vAlign w:val="center"/>
          </w:tcPr>
          <w:p w14:paraId="08BD3988">
            <w:pPr>
              <w:spacing w:line="380" w:lineRule="exact"/>
              <w:jc w:val="center"/>
              <w:rPr>
                <w:rFonts w:hint="eastAsia" w:ascii="宋体" w:hAnsi="宋体"/>
                <w:b/>
                <w:bCs/>
                <w:color w:val="auto"/>
                <w:sz w:val="22"/>
                <w:szCs w:val="22"/>
              </w:rPr>
            </w:pPr>
          </w:p>
        </w:tc>
      </w:tr>
      <w:tr w14:paraId="16765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14:paraId="048A206D">
            <w:pPr>
              <w:spacing w:line="380" w:lineRule="exact"/>
              <w:jc w:val="center"/>
              <w:rPr>
                <w:rFonts w:hint="eastAsia" w:ascii="宋体" w:hAnsi="宋体"/>
                <w:b/>
                <w:bCs/>
                <w:color w:val="auto"/>
                <w:sz w:val="22"/>
                <w:szCs w:val="22"/>
              </w:rPr>
            </w:pPr>
          </w:p>
        </w:tc>
        <w:tc>
          <w:tcPr>
            <w:tcW w:w="1260" w:type="dxa"/>
            <w:noWrap w:val="0"/>
            <w:vAlign w:val="center"/>
          </w:tcPr>
          <w:p w14:paraId="15D21A03">
            <w:pPr>
              <w:spacing w:line="380" w:lineRule="exact"/>
              <w:jc w:val="center"/>
              <w:rPr>
                <w:rFonts w:hint="eastAsia" w:ascii="宋体" w:hAnsi="宋体"/>
                <w:b/>
                <w:bCs/>
                <w:color w:val="auto"/>
                <w:sz w:val="22"/>
                <w:szCs w:val="22"/>
              </w:rPr>
            </w:pPr>
          </w:p>
        </w:tc>
        <w:tc>
          <w:tcPr>
            <w:tcW w:w="1980" w:type="dxa"/>
            <w:noWrap w:val="0"/>
            <w:vAlign w:val="center"/>
          </w:tcPr>
          <w:p w14:paraId="689F44ED">
            <w:pPr>
              <w:spacing w:line="380" w:lineRule="exact"/>
              <w:jc w:val="center"/>
              <w:rPr>
                <w:rFonts w:hint="eastAsia" w:ascii="宋体" w:hAnsi="宋体"/>
                <w:b/>
                <w:bCs/>
                <w:color w:val="auto"/>
                <w:sz w:val="22"/>
                <w:szCs w:val="22"/>
              </w:rPr>
            </w:pPr>
          </w:p>
        </w:tc>
        <w:tc>
          <w:tcPr>
            <w:tcW w:w="720" w:type="dxa"/>
            <w:noWrap w:val="0"/>
            <w:vAlign w:val="center"/>
          </w:tcPr>
          <w:p w14:paraId="7708834B">
            <w:pPr>
              <w:spacing w:line="380" w:lineRule="exact"/>
              <w:jc w:val="center"/>
              <w:rPr>
                <w:rFonts w:hint="eastAsia" w:ascii="宋体" w:hAnsi="宋体"/>
                <w:b/>
                <w:bCs/>
                <w:color w:val="auto"/>
                <w:sz w:val="22"/>
                <w:szCs w:val="22"/>
              </w:rPr>
            </w:pPr>
          </w:p>
        </w:tc>
        <w:tc>
          <w:tcPr>
            <w:tcW w:w="900" w:type="dxa"/>
            <w:noWrap w:val="0"/>
            <w:vAlign w:val="center"/>
          </w:tcPr>
          <w:p w14:paraId="4BA1F33D">
            <w:pPr>
              <w:spacing w:line="380" w:lineRule="exact"/>
              <w:jc w:val="center"/>
              <w:rPr>
                <w:rFonts w:hint="eastAsia" w:ascii="宋体" w:hAnsi="宋体"/>
                <w:b/>
                <w:bCs/>
                <w:color w:val="auto"/>
                <w:sz w:val="22"/>
                <w:szCs w:val="22"/>
              </w:rPr>
            </w:pPr>
          </w:p>
        </w:tc>
        <w:tc>
          <w:tcPr>
            <w:tcW w:w="1440" w:type="dxa"/>
            <w:noWrap w:val="0"/>
            <w:vAlign w:val="center"/>
          </w:tcPr>
          <w:p w14:paraId="18C19299">
            <w:pPr>
              <w:spacing w:line="380" w:lineRule="exact"/>
              <w:jc w:val="center"/>
              <w:rPr>
                <w:rFonts w:hint="eastAsia" w:ascii="宋体" w:hAnsi="宋体"/>
                <w:b/>
                <w:bCs/>
                <w:color w:val="auto"/>
                <w:sz w:val="22"/>
                <w:szCs w:val="22"/>
              </w:rPr>
            </w:pPr>
          </w:p>
        </w:tc>
        <w:tc>
          <w:tcPr>
            <w:tcW w:w="1440" w:type="dxa"/>
            <w:noWrap w:val="0"/>
            <w:vAlign w:val="center"/>
          </w:tcPr>
          <w:p w14:paraId="48AAB9D5">
            <w:pPr>
              <w:spacing w:line="380" w:lineRule="exact"/>
              <w:jc w:val="center"/>
              <w:rPr>
                <w:rFonts w:hint="eastAsia" w:ascii="宋体" w:hAnsi="宋体"/>
                <w:b/>
                <w:bCs/>
                <w:color w:val="auto"/>
                <w:sz w:val="22"/>
                <w:szCs w:val="22"/>
              </w:rPr>
            </w:pPr>
          </w:p>
        </w:tc>
        <w:tc>
          <w:tcPr>
            <w:tcW w:w="1080" w:type="dxa"/>
            <w:noWrap w:val="0"/>
            <w:vAlign w:val="center"/>
          </w:tcPr>
          <w:p w14:paraId="67ABEA64">
            <w:pPr>
              <w:spacing w:line="380" w:lineRule="exact"/>
              <w:jc w:val="center"/>
              <w:rPr>
                <w:rFonts w:hint="eastAsia" w:ascii="宋体" w:hAnsi="宋体"/>
                <w:b/>
                <w:bCs/>
                <w:color w:val="auto"/>
                <w:sz w:val="22"/>
                <w:szCs w:val="22"/>
              </w:rPr>
            </w:pPr>
          </w:p>
        </w:tc>
      </w:tr>
      <w:tr w14:paraId="619AD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14:paraId="09FB2EC5">
            <w:pPr>
              <w:spacing w:line="380" w:lineRule="exact"/>
              <w:jc w:val="center"/>
              <w:rPr>
                <w:rFonts w:hint="eastAsia" w:ascii="宋体" w:hAnsi="宋体"/>
                <w:b/>
                <w:bCs/>
                <w:color w:val="auto"/>
                <w:sz w:val="22"/>
                <w:szCs w:val="22"/>
              </w:rPr>
            </w:pPr>
          </w:p>
        </w:tc>
        <w:tc>
          <w:tcPr>
            <w:tcW w:w="1260" w:type="dxa"/>
            <w:noWrap w:val="0"/>
            <w:vAlign w:val="center"/>
          </w:tcPr>
          <w:p w14:paraId="15D9D9F4">
            <w:pPr>
              <w:spacing w:line="380" w:lineRule="exact"/>
              <w:jc w:val="center"/>
              <w:rPr>
                <w:rFonts w:hint="eastAsia" w:ascii="宋体" w:hAnsi="宋体"/>
                <w:b/>
                <w:bCs/>
                <w:color w:val="auto"/>
                <w:sz w:val="22"/>
                <w:szCs w:val="22"/>
              </w:rPr>
            </w:pPr>
          </w:p>
        </w:tc>
        <w:tc>
          <w:tcPr>
            <w:tcW w:w="1980" w:type="dxa"/>
            <w:noWrap w:val="0"/>
            <w:vAlign w:val="center"/>
          </w:tcPr>
          <w:p w14:paraId="3477EC2B">
            <w:pPr>
              <w:spacing w:line="380" w:lineRule="exact"/>
              <w:jc w:val="center"/>
              <w:rPr>
                <w:rFonts w:hint="eastAsia" w:ascii="宋体" w:hAnsi="宋体"/>
                <w:b/>
                <w:bCs/>
                <w:color w:val="auto"/>
                <w:sz w:val="22"/>
                <w:szCs w:val="22"/>
              </w:rPr>
            </w:pPr>
          </w:p>
        </w:tc>
        <w:tc>
          <w:tcPr>
            <w:tcW w:w="720" w:type="dxa"/>
            <w:noWrap w:val="0"/>
            <w:vAlign w:val="center"/>
          </w:tcPr>
          <w:p w14:paraId="6D3EB78C">
            <w:pPr>
              <w:spacing w:line="380" w:lineRule="exact"/>
              <w:jc w:val="center"/>
              <w:rPr>
                <w:rFonts w:hint="eastAsia" w:ascii="宋体" w:hAnsi="宋体"/>
                <w:b/>
                <w:bCs/>
                <w:color w:val="auto"/>
                <w:sz w:val="22"/>
                <w:szCs w:val="22"/>
              </w:rPr>
            </w:pPr>
          </w:p>
        </w:tc>
        <w:tc>
          <w:tcPr>
            <w:tcW w:w="900" w:type="dxa"/>
            <w:noWrap w:val="0"/>
            <w:vAlign w:val="center"/>
          </w:tcPr>
          <w:p w14:paraId="63E71BDD">
            <w:pPr>
              <w:spacing w:line="380" w:lineRule="exact"/>
              <w:jc w:val="center"/>
              <w:rPr>
                <w:rFonts w:hint="eastAsia" w:ascii="宋体" w:hAnsi="宋体"/>
                <w:b/>
                <w:bCs/>
                <w:color w:val="auto"/>
                <w:sz w:val="22"/>
                <w:szCs w:val="22"/>
              </w:rPr>
            </w:pPr>
          </w:p>
        </w:tc>
        <w:tc>
          <w:tcPr>
            <w:tcW w:w="1440" w:type="dxa"/>
            <w:noWrap w:val="0"/>
            <w:vAlign w:val="center"/>
          </w:tcPr>
          <w:p w14:paraId="3A99062A">
            <w:pPr>
              <w:spacing w:line="380" w:lineRule="exact"/>
              <w:jc w:val="center"/>
              <w:rPr>
                <w:rFonts w:hint="eastAsia" w:ascii="宋体" w:hAnsi="宋体"/>
                <w:b/>
                <w:bCs/>
                <w:color w:val="auto"/>
                <w:sz w:val="22"/>
                <w:szCs w:val="22"/>
              </w:rPr>
            </w:pPr>
          </w:p>
        </w:tc>
        <w:tc>
          <w:tcPr>
            <w:tcW w:w="1440" w:type="dxa"/>
            <w:noWrap w:val="0"/>
            <w:vAlign w:val="center"/>
          </w:tcPr>
          <w:p w14:paraId="68EB7B85">
            <w:pPr>
              <w:spacing w:line="380" w:lineRule="exact"/>
              <w:jc w:val="center"/>
              <w:rPr>
                <w:rFonts w:hint="eastAsia" w:ascii="宋体" w:hAnsi="宋体"/>
                <w:b/>
                <w:bCs/>
                <w:color w:val="auto"/>
                <w:sz w:val="22"/>
                <w:szCs w:val="22"/>
              </w:rPr>
            </w:pPr>
          </w:p>
        </w:tc>
        <w:tc>
          <w:tcPr>
            <w:tcW w:w="1080" w:type="dxa"/>
            <w:noWrap w:val="0"/>
            <w:vAlign w:val="center"/>
          </w:tcPr>
          <w:p w14:paraId="1D370559">
            <w:pPr>
              <w:spacing w:line="380" w:lineRule="exact"/>
              <w:jc w:val="center"/>
              <w:rPr>
                <w:rFonts w:hint="eastAsia" w:ascii="宋体" w:hAnsi="宋体"/>
                <w:b/>
                <w:bCs/>
                <w:color w:val="auto"/>
                <w:sz w:val="22"/>
                <w:szCs w:val="22"/>
              </w:rPr>
            </w:pPr>
          </w:p>
        </w:tc>
      </w:tr>
      <w:tr w14:paraId="3BDCA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14:paraId="56BCC428">
            <w:pPr>
              <w:spacing w:line="380" w:lineRule="exact"/>
              <w:jc w:val="center"/>
              <w:rPr>
                <w:rFonts w:hint="eastAsia" w:ascii="宋体" w:hAnsi="宋体"/>
                <w:b/>
                <w:bCs/>
                <w:color w:val="auto"/>
                <w:sz w:val="22"/>
                <w:szCs w:val="22"/>
              </w:rPr>
            </w:pPr>
          </w:p>
        </w:tc>
        <w:tc>
          <w:tcPr>
            <w:tcW w:w="1260" w:type="dxa"/>
            <w:noWrap w:val="0"/>
            <w:vAlign w:val="center"/>
          </w:tcPr>
          <w:p w14:paraId="0748160D">
            <w:pPr>
              <w:spacing w:line="380" w:lineRule="exact"/>
              <w:jc w:val="center"/>
              <w:rPr>
                <w:rFonts w:hint="eastAsia" w:ascii="宋体" w:hAnsi="宋体"/>
                <w:b/>
                <w:bCs/>
                <w:color w:val="auto"/>
                <w:sz w:val="22"/>
                <w:szCs w:val="22"/>
              </w:rPr>
            </w:pPr>
          </w:p>
        </w:tc>
        <w:tc>
          <w:tcPr>
            <w:tcW w:w="1980" w:type="dxa"/>
            <w:noWrap w:val="0"/>
            <w:vAlign w:val="center"/>
          </w:tcPr>
          <w:p w14:paraId="562FA8C0">
            <w:pPr>
              <w:spacing w:line="380" w:lineRule="exact"/>
              <w:jc w:val="center"/>
              <w:rPr>
                <w:rFonts w:hint="eastAsia" w:ascii="宋体" w:hAnsi="宋体"/>
                <w:b/>
                <w:bCs/>
                <w:color w:val="auto"/>
                <w:sz w:val="22"/>
                <w:szCs w:val="22"/>
              </w:rPr>
            </w:pPr>
          </w:p>
        </w:tc>
        <w:tc>
          <w:tcPr>
            <w:tcW w:w="720" w:type="dxa"/>
            <w:noWrap w:val="0"/>
            <w:vAlign w:val="center"/>
          </w:tcPr>
          <w:p w14:paraId="2FEA70AB">
            <w:pPr>
              <w:spacing w:line="380" w:lineRule="exact"/>
              <w:jc w:val="center"/>
              <w:rPr>
                <w:rFonts w:hint="eastAsia" w:ascii="宋体" w:hAnsi="宋体"/>
                <w:b/>
                <w:bCs/>
                <w:color w:val="auto"/>
                <w:sz w:val="22"/>
                <w:szCs w:val="22"/>
              </w:rPr>
            </w:pPr>
          </w:p>
        </w:tc>
        <w:tc>
          <w:tcPr>
            <w:tcW w:w="900" w:type="dxa"/>
            <w:noWrap w:val="0"/>
            <w:vAlign w:val="center"/>
          </w:tcPr>
          <w:p w14:paraId="043A62B6">
            <w:pPr>
              <w:spacing w:line="380" w:lineRule="exact"/>
              <w:jc w:val="center"/>
              <w:rPr>
                <w:rFonts w:hint="eastAsia" w:ascii="宋体" w:hAnsi="宋体"/>
                <w:b/>
                <w:bCs/>
                <w:color w:val="auto"/>
                <w:sz w:val="22"/>
                <w:szCs w:val="22"/>
              </w:rPr>
            </w:pPr>
          </w:p>
        </w:tc>
        <w:tc>
          <w:tcPr>
            <w:tcW w:w="1440" w:type="dxa"/>
            <w:noWrap w:val="0"/>
            <w:vAlign w:val="center"/>
          </w:tcPr>
          <w:p w14:paraId="438EA157">
            <w:pPr>
              <w:spacing w:line="380" w:lineRule="exact"/>
              <w:jc w:val="center"/>
              <w:rPr>
                <w:rFonts w:hint="eastAsia" w:ascii="宋体" w:hAnsi="宋体"/>
                <w:b/>
                <w:bCs/>
                <w:color w:val="auto"/>
                <w:sz w:val="22"/>
                <w:szCs w:val="22"/>
              </w:rPr>
            </w:pPr>
          </w:p>
        </w:tc>
        <w:tc>
          <w:tcPr>
            <w:tcW w:w="1440" w:type="dxa"/>
            <w:noWrap w:val="0"/>
            <w:vAlign w:val="center"/>
          </w:tcPr>
          <w:p w14:paraId="77D220C8">
            <w:pPr>
              <w:spacing w:line="380" w:lineRule="exact"/>
              <w:jc w:val="center"/>
              <w:rPr>
                <w:rFonts w:hint="eastAsia" w:ascii="宋体" w:hAnsi="宋体"/>
                <w:b/>
                <w:bCs/>
                <w:color w:val="auto"/>
                <w:sz w:val="22"/>
                <w:szCs w:val="22"/>
              </w:rPr>
            </w:pPr>
          </w:p>
        </w:tc>
        <w:tc>
          <w:tcPr>
            <w:tcW w:w="1080" w:type="dxa"/>
            <w:noWrap w:val="0"/>
            <w:vAlign w:val="center"/>
          </w:tcPr>
          <w:p w14:paraId="034FFC60">
            <w:pPr>
              <w:spacing w:line="380" w:lineRule="exact"/>
              <w:jc w:val="center"/>
              <w:rPr>
                <w:rFonts w:hint="eastAsia" w:ascii="宋体" w:hAnsi="宋体"/>
                <w:b/>
                <w:bCs/>
                <w:color w:val="auto"/>
                <w:sz w:val="22"/>
                <w:szCs w:val="22"/>
              </w:rPr>
            </w:pPr>
          </w:p>
        </w:tc>
      </w:tr>
    </w:tbl>
    <w:p w14:paraId="6E2DC926">
      <w:pPr>
        <w:spacing w:line="380" w:lineRule="exact"/>
        <w:ind w:firstLine="5963" w:firstLineChars="2700"/>
        <w:rPr>
          <w:rFonts w:hint="eastAsia" w:ascii="宋体" w:hAnsi="宋体"/>
          <w:b/>
          <w:bCs/>
          <w:color w:val="auto"/>
          <w:sz w:val="22"/>
          <w:szCs w:val="22"/>
        </w:rPr>
      </w:pPr>
    </w:p>
    <w:p w14:paraId="22B3C95A">
      <w:pPr>
        <w:spacing w:line="440" w:lineRule="exact"/>
        <w:jc w:val="center"/>
        <w:rPr>
          <w:rFonts w:hint="eastAsia" w:ascii="宋体" w:hAnsi="宋体"/>
          <w:b/>
          <w:bCs/>
          <w:color w:val="auto"/>
          <w:sz w:val="28"/>
          <w:szCs w:val="28"/>
        </w:rPr>
      </w:pPr>
      <w:r>
        <w:rPr>
          <w:rFonts w:hint="eastAsia" w:ascii="宋体" w:hAnsi="宋体"/>
          <w:b/>
          <w:bCs/>
          <w:color w:val="auto"/>
          <w:sz w:val="28"/>
          <w:szCs w:val="28"/>
        </w:rPr>
        <w:t>（2）随机备品备件、易损易耗件和专用工具清单（如有）</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328"/>
        <w:gridCol w:w="1470"/>
        <w:gridCol w:w="931"/>
        <w:gridCol w:w="2340"/>
        <w:gridCol w:w="1570"/>
      </w:tblGrid>
      <w:tr w14:paraId="5B669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14:paraId="135108E9">
            <w:pPr>
              <w:spacing w:line="380" w:lineRule="exact"/>
              <w:jc w:val="center"/>
              <w:rPr>
                <w:rFonts w:hint="eastAsia" w:ascii="宋体" w:hAnsi="宋体"/>
                <w:b/>
                <w:bCs/>
                <w:color w:val="auto"/>
                <w:sz w:val="22"/>
                <w:szCs w:val="22"/>
              </w:rPr>
            </w:pPr>
            <w:r>
              <w:rPr>
                <w:rFonts w:hint="eastAsia" w:ascii="宋体" w:hAnsi="宋体"/>
                <w:b/>
                <w:bCs/>
                <w:color w:val="auto"/>
                <w:sz w:val="22"/>
                <w:szCs w:val="22"/>
              </w:rPr>
              <w:t>序号</w:t>
            </w:r>
          </w:p>
        </w:tc>
        <w:tc>
          <w:tcPr>
            <w:tcW w:w="2328" w:type="dxa"/>
            <w:noWrap w:val="0"/>
            <w:vAlign w:val="center"/>
          </w:tcPr>
          <w:p w14:paraId="5014E6A0">
            <w:pPr>
              <w:spacing w:line="380" w:lineRule="exact"/>
              <w:jc w:val="center"/>
              <w:rPr>
                <w:rFonts w:hint="eastAsia" w:ascii="宋体" w:hAnsi="宋体"/>
                <w:b/>
                <w:bCs/>
                <w:color w:val="auto"/>
                <w:sz w:val="22"/>
                <w:szCs w:val="22"/>
              </w:rPr>
            </w:pPr>
            <w:r>
              <w:rPr>
                <w:rFonts w:hint="eastAsia" w:ascii="宋体" w:hAnsi="宋体"/>
                <w:b/>
                <w:bCs/>
                <w:color w:val="auto"/>
                <w:sz w:val="22"/>
                <w:szCs w:val="22"/>
              </w:rPr>
              <w:t>名  称</w:t>
            </w:r>
          </w:p>
        </w:tc>
        <w:tc>
          <w:tcPr>
            <w:tcW w:w="1470" w:type="dxa"/>
            <w:noWrap w:val="0"/>
            <w:vAlign w:val="center"/>
          </w:tcPr>
          <w:p w14:paraId="3F401EEC">
            <w:pPr>
              <w:spacing w:line="380" w:lineRule="exact"/>
              <w:jc w:val="center"/>
              <w:rPr>
                <w:rFonts w:hint="eastAsia" w:ascii="宋体" w:hAnsi="宋体"/>
                <w:b/>
                <w:bCs/>
                <w:color w:val="auto"/>
                <w:sz w:val="22"/>
                <w:szCs w:val="22"/>
              </w:rPr>
            </w:pPr>
            <w:r>
              <w:rPr>
                <w:rFonts w:hint="eastAsia" w:ascii="宋体" w:hAnsi="宋体"/>
                <w:b/>
                <w:bCs/>
                <w:color w:val="auto"/>
                <w:sz w:val="22"/>
                <w:szCs w:val="22"/>
              </w:rPr>
              <w:t>型号规格</w:t>
            </w:r>
          </w:p>
        </w:tc>
        <w:tc>
          <w:tcPr>
            <w:tcW w:w="931" w:type="dxa"/>
            <w:noWrap w:val="0"/>
            <w:vAlign w:val="center"/>
          </w:tcPr>
          <w:p w14:paraId="68211358">
            <w:pPr>
              <w:spacing w:line="380" w:lineRule="exact"/>
              <w:jc w:val="center"/>
              <w:rPr>
                <w:rFonts w:hint="eastAsia" w:ascii="宋体" w:hAnsi="宋体"/>
                <w:b/>
                <w:bCs/>
                <w:color w:val="auto"/>
                <w:sz w:val="22"/>
                <w:szCs w:val="22"/>
              </w:rPr>
            </w:pPr>
            <w:r>
              <w:rPr>
                <w:rFonts w:hint="eastAsia" w:ascii="宋体" w:hAnsi="宋体"/>
                <w:b/>
                <w:bCs/>
                <w:color w:val="auto"/>
                <w:sz w:val="22"/>
                <w:szCs w:val="22"/>
              </w:rPr>
              <w:t>数量</w:t>
            </w:r>
          </w:p>
        </w:tc>
        <w:tc>
          <w:tcPr>
            <w:tcW w:w="2340" w:type="dxa"/>
            <w:noWrap w:val="0"/>
            <w:vAlign w:val="center"/>
          </w:tcPr>
          <w:p w14:paraId="4E7057A7">
            <w:pPr>
              <w:spacing w:line="380" w:lineRule="exact"/>
              <w:jc w:val="center"/>
              <w:rPr>
                <w:rFonts w:hint="eastAsia" w:ascii="宋体" w:hAnsi="宋体"/>
                <w:b/>
                <w:bCs/>
                <w:color w:val="auto"/>
                <w:sz w:val="22"/>
                <w:szCs w:val="22"/>
              </w:rPr>
            </w:pPr>
            <w:r>
              <w:rPr>
                <w:rFonts w:hint="eastAsia" w:ascii="宋体" w:hAnsi="宋体"/>
                <w:b/>
                <w:bCs/>
                <w:color w:val="auto"/>
                <w:sz w:val="22"/>
                <w:szCs w:val="22"/>
              </w:rPr>
              <w:t>原产地/制造商</w:t>
            </w:r>
          </w:p>
        </w:tc>
        <w:tc>
          <w:tcPr>
            <w:tcW w:w="1570" w:type="dxa"/>
            <w:noWrap w:val="0"/>
            <w:vAlign w:val="center"/>
          </w:tcPr>
          <w:p w14:paraId="7E5098BE">
            <w:pPr>
              <w:spacing w:line="380" w:lineRule="exact"/>
              <w:jc w:val="center"/>
              <w:rPr>
                <w:rFonts w:hint="eastAsia" w:ascii="宋体" w:hAnsi="宋体"/>
                <w:b/>
                <w:bCs/>
                <w:color w:val="auto"/>
                <w:sz w:val="22"/>
                <w:szCs w:val="22"/>
              </w:rPr>
            </w:pPr>
            <w:r>
              <w:rPr>
                <w:rFonts w:hint="eastAsia" w:ascii="宋体" w:hAnsi="宋体"/>
                <w:b/>
                <w:bCs/>
                <w:color w:val="auto"/>
                <w:sz w:val="22"/>
                <w:szCs w:val="22"/>
              </w:rPr>
              <w:t>备注</w:t>
            </w:r>
          </w:p>
        </w:tc>
      </w:tr>
      <w:tr w14:paraId="4ECB4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14:paraId="6F84A7D0">
            <w:pPr>
              <w:spacing w:line="380" w:lineRule="exact"/>
              <w:jc w:val="center"/>
              <w:rPr>
                <w:rFonts w:hint="eastAsia" w:ascii="宋体" w:hAnsi="宋体"/>
                <w:b/>
                <w:bCs/>
                <w:color w:val="auto"/>
                <w:sz w:val="22"/>
                <w:szCs w:val="22"/>
              </w:rPr>
            </w:pPr>
          </w:p>
        </w:tc>
        <w:tc>
          <w:tcPr>
            <w:tcW w:w="2328" w:type="dxa"/>
            <w:noWrap w:val="0"/>
            <w:vAlign w:val="center"/>
          </w:tcPr>
          <w:p w14:paraId="4B6C81B9">
            <w:pPr>
              <w:spacing w:line="380" w:lineRule="exact"/>
              <w:jc w:val="center"/>
              <w:rPr>
                <w:rFonts w:hint="eastAsia" w:ascii="宋体" w:hAnsi="宋体"/>
                <w:b/>
                <w:bCs/>
                <w:color w:val="auto"/>
                <w:sz w:val="22"/>
                <w:szCs w:val="22"/>
              </w:rPr>
            </w:pPr>
          </w:p>
        </w:tc>
        <w:tc>
          <w:tcPr>
            <w:tcW w:w="1470" w:type="dxa"/>
            <w:noWrap w:val="0"/>
            <w:vAlign w:val="center"/>
          </w:tcPr>
          <w:p w14:paraId="5A3614C7">
            <w:pPr>
              <w:spacing w:line="380" w:lineRule="exact"/>
              <w:jc w:val="center"/>
              <w:rPr>
                <w:rFonts w:hint="eastAsia" w:ascii="宋体" w:hAnsi="宋体"/>
                <w:b/>
                <w:bCs/>
                <w:color w:val="auto"/>
                <w:sz w:val="22"/>
                <w:szCs w:val="22"/>
              </w:rPr>
            </w:pPr>
          </w:p>
        </w:tc>
        <w:tc>
          <w:tcPr>
            <w:tcW w:w="931" w:type="dxa"/>
            <w:noWrap w:val="0"/>
            <w:vAlign w:val="center"/>
          </w:tcPr>
          <w:p w14:paraId="71C4A6E5">
            <w:pPr>
              <w:spacing w:line="380" w:lineRule="exact"/>
              <w:jc w:val="center"/>
              <w:rPr>
                <w:rFonts w:hint="eastAsia" w:ascii="宋体" w:hAnsi="宋体"/>
                <w:b/>
                <w:bCs/>
                <w:color w:val="auto"/>
                <w:sz w:val="22"/>
                <w:szCs w:val="22"/>
              </w:rPr>
            </w:pPr>
          </w:p>
        </w:tc>
        <w:tc>
          <w:tcPr>
            <w:tcW w:w="2340" w:type="dxa"/>
            <w:noWrap w:val="0"/>
            <w:vAlign w:val="center"/>
          </w:tcPr>
          <w:p w14:paraId="55389884">
            <w:pPr>
              <w:spacing w:line="380" w:lineRule="exact"/>
              <w:jc w:val="center"/>
              <w:rPr>
                <w:rFonts w:hint="eastAsia" w:ascii="宋体" w:hAnsi="宋体"/>
                <w:b/>
                <w:bCs/>
                <w:color w:val="auto"/>
                <w:sz w:val="22"/>
                <w:szCs w:val="22"/>
              </w:rPr>
            </w:pPr>
          </w:p>
        </w:tc>
        <w:tc>
          <w:tcPr>
            <w:tcW w:w="1570" w:type="dxa"/>
            <w:noWrap w:val="0"/>
            <w:vAlign w:val="center"/>
          </w:tcPr>
          <w:p w14:paraId="202D8559">
            <w:pPr>
              <w:spacing w:line="380" w:lineRule="exact"/>
              <w:jc w:val="center"/>
              <w:rPr>
                <w:rFonts w:hint="eastAsia" w:ascii="宋体" w:hAnsi="宋体"/>
                <w:b/>
                <w:bCs/>
                <w:color w:val="auto"/>
                <w:sz w:val="22"/>
                <w:szCs w:val="22"/>
              </w:rPr>
            </w:pPr>
          </w:p>
        </w:tc>
      </w:tr>
      <w:tr w14:paraId="66F8A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14:paraId="61324741">
            <w:pPr>
              <w:spacing w:line="380" w:lineRule="exact"/>
              <w:jc w:val="center"/>
              <w:rPr>
                <w:rFonts w:hint="eastAsia" w:ascii="宋体" w:hAnsi="宋体"/>
                <w:b/>
                <w:bCs/>
                <w:color w:val="auto"/>
                <w:sz w:val="22"/>
                <w:szCs w:val="22"/>
              </w:rPr>
            </w:pPr>
          </w:p>
        </w:tc>
        <w:tc>
          <w:tcPr>
            <w:tcW w:w="2328" w:type="dxa"/>
            <w:noWrap w:val="0"/>
            <w:vAlign w:val="center"/>
          </w:tcPr>
          <w:p w14:paraId="40AF186F">
            <w:pPr>
              <w:spacing w:line="380" w:lineRule="exact"/>
              <w:jc w:val="center"/>
              <w:rPr>
                <w:rFonts w:hint="eastAsia" w:ascii="宋体" w:hAnsi="宋体"/>
                <w:b/>
                <w:bCs/>
                <w:color w:val="auto"/>
                <w:sz w:val="22"/>
                <w:szCs w:val="22"/>
              </w:rPr>
            </w:pPr>
          </w:p>
        </w:tc>
        <w:tc>
          <w:tcPr>
            <w:tcW w:w="1470" w:type="dxa"/>
            <w:noWrap w:val="0"/>
            <w:vAlign w:val="center"/>
          </w:tcPr>
          <w:p w14:paraId="7F0D1AF8">
            <w:pPr>
              <w:spacing w:line="380" w:lineRule="exact"/>
              <w:jc w:val="center"/>
              <w:rPr>
                <w:rFonts w:hint="eastAsia" w:ascii="宋体" w:hAnsi="宋体"/>
                <w:b/>
                <w:bCs/>
                <w:color w:val="auto"/>
                <w:sz w:val="22"/>
                <w:szCs w:val="22"/>
              </w:rPr>
            </w:pPr>
          </w:p>
        </w:tc>
        <w:tc>
          <w:tcPr>
            <w:tcW w:w="931" w:type="dxa"/>
            <w:noWrap w:val="0"/>
            <w:vAlign w:val="center"/>
          </w:tcPr>
          <w:p w14:paraId="56708A83">
            <w:pPr>
              <w:spacing w:line="380" w:lineRule="exact"/>
              <w:jc w:val="center"/>
              <w:rPr>
                <w:rFonts w:hint="eastAsia" w:ascii="宋体" w:hAnsi="宋体"/>
                <w:b/>
                <w:bCs/>
                <w:color w:val="auto"/>
                <w:sz w:val="22"/>
                <w:szCs w:val="22"/>
              </w:rPr>
            </w:pPr>
          </w:p>
        </w:tc>
        <w:tc>
          <w:tcPr>
            <w:tcW w:w="2340" w:type="dxa"/>
            <w:noWrap w:val="0"/>
            <w:vAlign w:val="center"/>
          </w:tcPr>
          <w:p w14:paraId="6CDF1844">
            <w:pPr>
              <w:spacing w:line="380" w:lineRule="exact"/>
              <w:jc w:val="center"/>
              <w:rPr>
                <w:rFonts w:hint="eastAsia" w:ascii="宋体" w:hAnsi="宋体"/>
                <w:b/>
                <w:bCs/>
                <w:color w:val="auto"/>
                <w:sz w:val="22"/>
                <w:szCs w:val="22"/>
              </w:rPr>
            </w:pPr>
          </w:p>
        </w:tc>
        <w:tc>
          <w:tcPr>
            <w:tcW w:w="1570" w:type="dxa"/>
            <w:noWrap w:val="0"/>
            <w:vAlign w:val="center"/>
          </w:tcPr>
          <w:p w14:paraId="65FDA216">
            <w:pPr>
              <w:spacing w:line="380" w:lineRule="exact"/>
              <w:jc w:val="center"/>
              <w:rPr>
                <w:rFonts w:hint="eastAsia" w:ascii="宋体" w:hAnsi="宋体"/>
                <w:b/>
                <w:bCs/>
                <w:color w:val="auto"/>
                <w:sz w:val="22"/>
                <w:szCs w:val="22"/>
              </w:rPr>
            </w:pPr>
          </w:p>
        </w:tc>
      </w:tr>
      <w:tr w14:paraId="4F077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14:paraId="47E97EBC">
            <w:pPr>
              <w:spacing w:line="380" w:lineRule="exact"/>
              <w:jc w:val="center"/>
              <w:rPr>
                <w:rFonts w:hint="eastAsia" w:ascii="宋体" w:hAnsi="宋体"/>
                <w:b/>
                <w:bCs/>
                <w:color w:val="auto"/>
                <w:sz w:val="22"/>
                <w:szCs w:val="22"/>
              </w:rPr>
            </w:pPr>
          </w:p>
        </w:tc>
        <w:tc>
          <w:tcPr>
            <w:tcW w:w="2328" w:type="dxa"/>
            <w:noWrap w:val="0"/>
            <w:vAlign w:val="center"/>
          </w:tcPr>
          <w:p w14:paraId="132A3F32">
            <w:pPr>
              <w:spacing w:line="380" w:lineRule="exact"/>
              <w:jc w:val="center"/>
              <w:rPr>
                <w:rFonts w:hint="eastAsia" w:ascii="宋体" w:hAnsi="宋体"/>
                <w:b/>
                <w:bCs/>
                <w:color w:val="auto"/>
                <w:sz w:val="22"/>
                <w:szCs w:val="22"/>
              </w:rPr>
            </w:pPr>
          </w:p>
        </w:tc>
        <w:tc>
          <w:tcPr>
            <w:tcW w:w="1470" w:type="dxa"/>
            <w:noWrap w:val="0"/>
            <w:vAlign w:val="center"/>
          </w:tcPr>
          <w:p w14:paraId="1844F5A8">
            <w:pPr>
              <w:spacing w:line="380" w:lineRule="exact"/>
              <w:jc w:val="center"/>
              <w:rPr>
                <w:rFonts w:hint="eastAsia" w:ascii="宋体" w:hAnsi="宋体"/>
                <w:b/>
                <w:bCs/>
                <w:color w:val="auto"/>
                <w:sz w:val="22"/>
                <w:szCs w:val="22"/>
              </w:rPr>
            </w:pPr>
          </w:p>
        </w:tc>
        <w:tc>
          <w:tcPr>
            <w:tcW w:w="931" w:type="dxa"/>
            <w:noWrap w:val="0"/>
            <w:vAlign w:val="center"/>
          </w:tcPr>
          <w:p w14:paraId="5C8C05C4">
            <w:pPr>
              <w:spacing w:line="380" w:lineRule="exact"/>
              <w:jc w:val="center"/>
              <w:rPr>
                <w:rFonts w:hint="eastAsia" w:ascii="宋体" w:hAnsi="宋体"/>
                <w:b/>
                <w:bCs/>
                <w:color w:val="auto"/>
                <w:sz w:val="22"/>
                <w:szCs w:val="22"/>
              </w:rPr>
            </w:pPr>
          </w:p>
        </w:tc>
        <w:tc>
          <w:tcPr>
            <w:tcW w:w="2340" w:type="dxa"/>
            <w:noWrap w:val="0"/>
            <w:vAlign w:val="center"/>
          </w:tcPr>
          <w:p w14:paraId="4DD434CE">
            <w:pPr>
              <w:spacing w:line="380" w:lineRule="exact"/>
              <w:jc w:val="center"/>
              <w:rPr>
                <w:rFonts w:hint="eastAsia" w:ascii="宋体" w:hAnsi="宋体"/>
                <w:b/>
                <w:bCs/>
                <w:color w:val="auto"/>
                <w:sz w:val="22"/>
                <w:szCs w:val="22"/>
              </w:rPr>
            </w:pPr>
          </w:p>
        </w:tc>
        <w:tc>
          <w:tcPr>
            <w:tcW w:w="1570" w:type="dxa"/>
            <w:noWrap w:val="0"/>
            <w:vAlign w:val="center"/>
          </w:tcPr>
          <w:p w14:paraId="77B683C2">
            <w:pPr>
              <w:spacing w:line="380" w:lineRule="exact"/>
              <w:jc w:val="center"/>
              <w:rPr>
                <w:rFonts w:hint="eastAsia" w:ascii="宋体" w:hAnsi="宋体"/>
                <w:b/>
                <w:bCs/>
                <w:color w:val="auto"/>
                <w:sz w:val="22"/>
                <w:szCs w:val="22"/>
              </w:rPr>
            </w:pPr>
          </w:p>
        </w:tc>
      </w:tr>
      <w:tr w14:paraId="5D2C3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14:paraId="6B4BCD7E">
            <w:pPr>
              <w:spacing w:line="380" w:lineRule="exact"/>
              <w:jc w:val="center"/>
              <w:rPr>
                <w:rFonts w:hint="eastAsia" w:ascii="宋体" w:hAnsi="宋体"/>
                <w:b/>
                <w:bCs/>
                <w:color w:val="auto"/>
                <w:sz w:val="22"/>
                <w:szCs w:val="22"/>
              </w:rPr>
            </w:pPr>
          </w:p>
        </w:tc>
        <w:tc>
          <w:tcPr>
            <w:tcW w:w="2328" w:type="dxa"/>
            <w:noWrap w:val="0"/>
            <w:vAlign w:val="center"/>
          </w:tcPr>
          <w:p w14:paraId="3EDA0318">
            <w:pPr>
              <w:spacing w:line="380" w:lineRule="exact"/>
              <w:jc w:val="center"/>
              <w:rPr>
                <w:rFonts w:hint="eastAsia" w:ascii="宋体" w:hAnsi="宋体"/>
                <w:b/>
                <w:bCs/>
                <w:color w:val="auto"/>
                <w:sz w:val="22"/>
                <w:szCs w:val="22"/>
              </w:rPr>
            </w:pPr>
          </w:p>
        </w:tc>
        <w:tc>
          <w:tcPr>
            <w:tcW w:w="1470" w:type="dxa"/>
            <w:noWrap w:val="0"/>
            <w:vAlign w:val="center"/>
          </w:tcPr>
          <w:p w14:paraId="0F3298BD">
            <w:pPr>
              <w:spacing w:line="380" w:lineRule="exact"/>
              <w:jc w:val="center"/>
              <w:rPr>
                <w:rFonts w:hint="eastAsia" w:ascii="宋体" w:hAnsi="宋体"/>
                <w:b/>
                <w:bCs/>
                <w:color w:val="auto"/>
                <w:sz w:val="22"/>
                <w:szCs w:val="22"/>
              </w:rPr>
            </w:pPr>
          </w:p>
        </w:tc>
        <w:tc>
          <w:tcPr>
            <w:tcW w:w="931" w:type="dxa"/>
            <w:noWrap w:val="0"/>
            <w:vAlign w:val="center"/>
          </w:tcPr>
          <w:p w14:paraId="7ECFD6D2">
            <w:pPr>
              <w:spacing w:line="380" w:lineRule="exact"/>
              <w:jc w:val="center"/>
              <w:rPr>
                <w:rFonts w:hint="eastAsia" w:ascii="宋体" w:hAnsi="宋体"/>
                <w:b/>
                <w:bCs/>
                <w:color w:val="auto"/>
                <w:sz w:val="22"/>
                <w:szCs w:val="22"/>
              </w:rPr>
            </w:pPr>
          </w:p>
        </w:tc>
        <w:tc>
          <w:tcPr>
            <w:tcW w:w="2340" w:type="dxa"/>
            <w:noWrap w:val="0"/>
            <w:vAlign w:val="center"/>
          </w:tcPr>
          <w:p w14:paraId="302446EB">
            <w:pPr>
              <w:spacing w:line="380" w:lineRule="exact"/>
              <w:jc w:val="center"/>
              <w:rPr>
                <w:rFonts w:hint="eastAsia" w:ascii="宋体" w:hAnsi="宋体"/>
                <w:b/>
                <w:bCs/>
                <w:color w:val="auto"/>
                <w:sz w:val="22"/>
                <w:szCs w:val="22"/>
              </w:rPr>
            </w:pPr>
          </w:p>
        </w:tc>
        <w:tc>
          <w:tcPr>
            <w:tcW w:w="1570" w:type="dxa"/>
            <w:noWrap w:val="0"/>
            <w:vAlign w:val="center"/>
          </w:tcPr>
          <w:p w14:paraId="6ABBA731">
            <w:pPr>
              <w:spacing w:line="380" w:lineRule="exact"/>
              <w:jc w:val="center"/>
              <w:rPr>
                <w:rFonts w:hint="eastAsia" w:ascii="宋体" w:hAnsi="宋体"/>
                <w:b/>
                <w:bCs/>
                <w:color w:val="auto"/>
                <w:sz w:val="22"/>
                <w:szCs w:val="22"/>
              </w:rPr>
            </w:pPr>
          </w:p>
        </w:tc>
      </w:tr>
      <w:tr w14:paraId="6F1B3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14:paraId="40BCC7E0">
            <w:pPr>
              <w:spacing w:line="380" w:lineRule="exact"/>
              <w:jc w:val="center"/>
              <w:rPr>
                <w:rFonts w:hint="eastAsia" w:ascii="宋体" w:hAnsi="宋体"/>
                <w:b/>
                <w:bCs/>
                <w:color w:val="auto"/>
                <w:sz w:val="22"/>
                <w:szCs w:val="22"/>
              </w:rPr>
            </w:pPr>
          </w:p>
        </w:tc>
        <w:tc>
          <w:tcPr>
            <w:tcW w:w="2328" w:type="dxa"/>
            <w:noWrap w:val="0"/>
            <w:vAlign w:val="center"/>
          </w:tcPr>
          <w:p w14:paraId="6060E152">
            <w:pPr>
              <w:spacing w:line="380" w:lineRule="exact"/>
              <w:jc w:val="center"/>
              <w:rPr>
                <w:rFonts w:hint="eastAsia" w:ascii="宋体" w:hAnsi="宋体"/>
                <w:b/>
                <w:bCs/>
                <w:color w:val="auto"/>
                <w:sz w:val="22"/>
                <w:szCs w:val="22"/>
              </w:rPr>
            </w:pPr>
          </w:p>
        </w:tc>
        <w:tc>
          <w:tcPr>
            <w:tcW w:w="1470" w:type="dxa"/>
            <w:noWrap w:val="0"/>
            <w:vAlign w:val="center"/>
          </w:tcPr>
          <w:p w14:paraId="6AFFF10E">
            <w:pPr>
              <w:spacing w:line="380" w:lineRule="exact"/>
              <w:jc w:val="center"/>
              <w:rPr>
                <w:rFonts w:hint="eastAsia" w:ascii="宋体" w:hAnsi="宋体"/>
                <w:b/>
                <w:bCs/>
                <w:color w:val="auto"/>
                <w:sz w:val="22"/>
                <w:szCs w:val="22"/>
              </w:rPr>
            </w:pPr>
          </w:p>
        </w:tc>
        <w:tc>
          <w:tcPr>
            <w:tcW w:w="931" w:type="dxa"/>
            <w:noWrap w:val="0"/>
            <w:vAlign w:val="center"/>
          </w:tcPr>
          <w:p w14:paraId="7EEF821C">
            <w:pPr>
              <w:spacing w:line="380" w:lineRule="exact"/>
              <w:jc w:val="center"/>
              <w:rPr>
                <w:rFonts w:hint="eastAsia" w:ascii="宋体" w:hAnsi="宋体"/>
                <w:b/>
                <w:bCs/>
                <w:color w:val="auto"/>
                <w:sz w:val="22"/>
                <w:szCs w:val="22"/>
              </w:rPr>
            </w:pPr>
          </w:p>
        </w:tc>
        <w:tc>
          <w:tcPr>
            <w:tcW w:w="2340" w:type="dxa"/>
            <w:noWrap w:val="0"/>
            <w:vAlign w:val="center"/>
          </w:tcPr>
          <w:p w14:paraId="490D4BEF">
            <w:pPr>
              <w:spacing w:line="380" w:lineRule="exact"/>
              <w:jc w:val="center"/>
              <w:rPr>
                <w:rFonts w:hint="eastAsia" w:ascii="宋体" w:hAnsi="宋体"/>
                <w:b/>
                <w:bCs/>
                <w:color w:val="auto"/>
                <w:sz w:val="22"/>
                <w:szCs w:val="22"/>
              </w:rPr>
            </w:pPr>
          </w:p>
        </w:tc>
        <w:tc>
          <w:tcPr>
            <w:tcW w:w="1570" w:type="dxa"/>
            <w:noWrap w:val="0"/>
            <w:vAlign w:val="center"/>
          </w:tcPr>
          <w:p w14:paraId="23C960CF">
            <w:pPr>
              <w:spacing w:line="380" w:lineRule="exact"/>
              <w:jc w:val="center"/>
              <w:rPr>
                <w:rFonts w:hint="eastAsia" w:ascii="宋体" w:hAnsi="宋体"/>
                <w:b/>
                <w:bCs/>
                <w:color w:val="auto"/>
                <w:sz w:val="22"/>
                <w:szCs w:val="22"/>
              </w:rPr>
            </w:pPr>
          </w:p>
        </w:tc>
      </w:tr>
      <w:tr w14:paraId="0E345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14:paraId="3A8E7C50">
            <w:pPr>
              <w:spacing w:line="380" w:lineRule="exact"/>
              <w:jc w:val="center"/>
              <w:rPr>
                <w:rFonts w:hint="eastAsia" w:ascii="宋体" w:hAnsi="宋体"/>
                <w:b/>
                <w:bCs/>
                <w:color w:val="auto"/>
                <w:sz w:val="22"/>
                <w:szCs w:val="22"/>
              </w:rPr>
            </w:pPr>
          </w:p>
        </w:tc>
        <w:tc>
          <w:tcPr>
            <w:tcW w:w="2328" w:type="dxa"/>
            <w:noWrap w:val="0"/>
            <w:vAlign w:val="center"/>
          </w:tcPr>
          <w:p w14:paraId="53871F20">
            <w:pPr>
              <w:spacing w:line="380" w:lineRule="exact"/>
              <w:jc w:val="center"/>
              <w:rPr>
                <w:rFonts w:hint="eastAsia" w:ascii="宋体" w:hAnsi="宋体"/>
                <w:b/>
                <w:bCs/>
                <w:color w:val="auto"/>
                <w:sz w:val="22"/>
                <w:szCs w:val="22"/>
              </w:rPr>
            </w:pPr>
          </w:p>
        </w:tc>
        <w:tc>
          <w:tcPr>
            <w:tcW w:w="1470" w:type="dxa"/>
            <w:noWrap w:val="0"/>
            <w:vAlign w:val="center"/>
          </w:tcPr>
          <w:p w14:paraId="2F84A9A0">
            <w:pPr>
              <w:spacing w:line="380" w:lineRule="exact"/>
              <w:jc w:val="center"/>
              <w:rPr>
                <w:rFonts w:hint="eastAsia" w:ascii="宋体" w:hAnsi="宋体"/>
                <w:b/>
                <w:bCs/>
                <w:color w:val="auto"/>
                <w:sz w:val="22"/>
                <w:szCs w:val="22"/>
              </w:rPr>
            </w:pPr>
          </w:p>
        </w:tc>
        <w:tc>
          <w:tcPr>
            <w:tcW w:w="931" w:type="dxa"/>
            <w:noWrap w:val="0"/>
            <w:vAlign w:val="center"/>
          </w:tcPr>
          <w:p w14:paraId="576853F7">
            <w:pPr>
              <w:spacing w:line="380" w:lineRule="exact"/>
              <w:jc w:val="center"/>
              <w:rPr>
                <w:rFonts w:hint="eastAsia" w:ascii="宋体" w:hAnsi="宋体"/>
                <w:b/>
                <w:bCs/>
                <w:color w:val="auto"/>
                <w:sz w:val="22"/>
                <w:szCs w:val="22"/>
              </w:rPr>
            </w:pPr>
          </w:p>
        </w:tc>
        <w:tc>
          <w:tcPr>
            <w:tcW w:w="2340" w:type="dxa"/>
            <w:noWrap w:val="0"/>
            <w:vAlign w:val="center"/>
          </w:tcPr>
          <w:p w14:paraId="37D7EE97">
            <w:pPr>
              <w:spacing w:line="380" w:lineRule="exact"/>
              <w:jc w:val="center"/>
              <w:rPr>
                <w:rFonts w:hint="eastAsia" w:ascii="宋体" w:hAnsi="宋体"/>
                <w:b/>
                <w:bCs/>
                <w:color w:val="auto"/>
                <w:sz w:val="22"/>
                <w:szCs w:val="22"/>
              </w:rPr>
            </w:pPr>
          </w:p>
        </w:tc>
        <w:tc>
          <w:tcPr>
            <w:tcW w:w="1570" w:type="dxa"/>
            <w:noWrap w:val="0"/>
            <w:vAlign w:val="center"/>
          </w:tcPr>
          <w:p w14:paraId="03A0AC7F">
            <w:pPr>
              <w:spacing w:line="380" w:lineRule="exact"/>
              <w:jc w:val="center"/>
              <w:rPr>
                <w:rFonts w:hint="eastAsia" w:ascii="宋体" w:hAnsi="宋体"/>
                <w:b/>
                <w:bCs/>
                <w:color w:val="auto"/>
                <w:sz w:val="22"/>
                <w:szCs w:val="22"/>
              </w:rPr>
            </w:pPr>
          </w:p>
        </w:tc>
      </w:tr>
      <w:tr w14:paraId="787C0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14:paraId="6056963F">
            <w:pPr>
              <w:spacing w:line="380" w:lineRule="exact"/>
              <w:jc w:val="center"/>
              <w:rPr>
                <w:rFonts w:hint="eastAsia" w:ascii="宋体" w:hAnsi="宋体"/>
                <w:b/>
                <w:bCs/>
                <w:color w:val="auto"/>
                <w:sz w:val="22"/>
                <w:szCs w:val="22"/>
              </w:rPr>
            </w:pPr>
          </w:p>
        </w:tc>
        <w:tc>
          <w:tcPr>
            <w:tcW w:w="2328" w:type="dxa"/>
            <w:noWrap w:val="0"/>
            <w:vAlign w:val="center"/>
          </w:tcPr>
          <w:p w14:paraId="21D2CE8B">
            <w:pPr>
              <w:spacing w:line="380" w:lineRule="exact"/>
              <w:jc w:val="center"/>
              <w:rPr>
                <w:rFonts w:hint="eastAsia" w:ascii="宋体" w:hAnsi="宋体"/>
                <w:b/>
                <w:bCs/>
                <w:color w:val="auto"/>
                <w:sz w:val="22"/>
                <w:szCs w:val="22"/>
              </w:rPr>
            </w:pPr>
          </w:p>
        </w:tc>
        <w:tc>
          <w:tcPr>
            <w:tcW w:w="1470" w:type="dxa"/>
            <w:noWrap w:val="0"/>
            <w:vAlign w:val="center"/>
          </w:tcPr>
          <w:p w14:paraId="3B9F7043">
            <w:pPr>
              <w:spacing w:line="380" w:lineRule="exact"/>
              <w:jc w:val="center"/>
              <w:rPr>
                <w:rFonts w:hint="eastAsia" w:ascii="宋体" w:hAnsi="宋体"/>
                <w:b/>
                <w:bCs/>
                <w:color w:val="auto"/>
                <w:sz w:val="22"/>
                <w:szCs w:val="22"/>
              </w:rPr>
            </w:pPr>
          </w:p>
        </w:tc>
        <w:tc>
          <w:tcPr>
            <w:tcW w:w="931" w:type="dxa"/>
            <w:noWrap w:val="0"/>
            <w:vAlign w:val="center"/>
          </w:tcPr>
          <w:p w14:paraId="780B6C79">
            <w:pPr>
              <w:spacing w:line="380" w:lineRule="exact"/>
              <w:jc w:val="center"/>
              <w:rPr>
                <w:rFonts w:hint="eastAsia" w:ascii="宋体" w:hAnsi="宋体"/>
                <w:b/>
                <w:bCs/>
                <w:color w:val="auto"/>
                <w:sz w:val="22"/>
                <w:szCs w:val="22"/>
              </w:rPr>
            </w:pPr>
          </w:p>
        </w:tc>
        <w:tc>
          <w:tcPr>
            <w:tcW w:w="2340" w:type="dxa"/>
            <w:noWrap w:val="0"/>
            <w:vAlign w:val="center"/>
          </w:tcPr>
          <w:p w14:paraId="3E879CC8">
            <w:pPr>
              <w:spacing w:line="380" w:lineRule="exact"/>
              <w:jc w:val="center"/>
              <w:rPr>
                <w:rFonts w:hint="eastAsia" w:ascii="宋体" w:hAnsi="宋体"/>
                <w:b/>
                <w:bCs/>
                <w:color w:val="auto"/>
                <w:sz w:val="22"/>
                <w:szCs w:val="22"/>
              </w:rPr>
            </w:pPr>
          </w:p>
        </w:tc>
        <w:tc>
          <w:tcPr>
            <w:tcW w:w="1570" w:type="dxa"/>
            <w:noWrap w:val="0"/>
            <w:vAlign w:val="center"/>
          </w:tcPr>
          <w:p w14:paraId="1111B250">
            <w:pPr>
              <w:spacing w:line="380" w:lineRule="exact"/>
              <w:jc w:val="center"/>
              <w:rPr>
                <w:rFonts w:hint="eastAsia" w:ascii="宋体" w:hAnsi="宋体"/>
                <w:b/>
                <w:bCs/>
                <w:color w:val="auto"/>
                <w:sz w:val="22"/>
                <w:szCs w:val="22"/>
              </w:rPr>
            </w:pPr>
          </w:p>
        </w:tc>
      </w:tr>
    </w:tbl>
    <w:p w14:paraId="7FCA4635">
      <w:pPr>
        <w:spacing w:line="440" w:lineRule="exact"/>
        <w:jc w:val="left"/>
        <w:rPr>
          <w:rFonts w:hint="eastAsia" w:ascii="宋体" w:hAnsi="宋体"/>
          <w:b/>
          <w:bCs/>
          <w:color w:val="auto"/>
          <w:sz w:val="22"/>
          <w:szCs w:val="22"/>
        </w:rPr>
      </w:pPr>
      <w:r>
        <w:rPr>
          <w:rFonts w:hint="eastAsia" w:ascii="宋体" w:hAnsi="宋体"/>
          <w:b/>
          <w:bCs/>
          <w:color w:val="auto"/>
          <w:sz w:val="22"/>
          <w:szCs w:val="22"/>
        </w:rPr>
        <w:t>注：</w:t>
      </w:r>
      <w:r>
        <w:rPr>
          <w:rFonts w:hint="eastAsia" w:ascii="宋体" w:hAnsi="宋体"/>
          <w:b/>
          <w:bCs/>
          <w:color w:val="auto"/>
          <w:sz w:val="22"/>
          <w:szCs w:val="22"/>
          <w:lang w:eastAsia="zh-CN"/>
        </w:rPr>
        <w:t>磋商供应商</w:t>
      </w:r>
      <w:r>
        <w:rPr>
          <w:rFonts w:hint="eastAsia" w:ascii="宋体" w:hAnsi="宋体"/>
          <w:b/>
          <w:bCs/>
          <w:color w:val="auto"/>
          <w:sz w:val="22"/>
          <w:szCs w:val="22"/>
        </w:rPr>
        <w:t>可按以上表格形式进行复制、附在技术标内。</w:t>
      </w:r>
    </w:p>
    <w:p w14:paraId="7F7B4E97">
      <w:pPr>
        <w:rPr>
          <w:rFonts w:hint="eastAsia" w:ascii="黑体" w:hAnsi="黑体" w:cs="黑体"/>
          <w:color w:val="auto"/>
          <w:sz w:val="24"/>
          <w:szCs w:val="24"/>
        </w:rPr>
      </w:pPr>
      <w:r>
        <w:rPr>
          <w:rFonts w:hint="eastAsia" w:ascii="黑体" w:hAnsi="黑体" w:cs="黑体"/>
          <w:color w:val="auto"/>
          <w:sz w:val="24"/>
          <w:szCs w:val="24"/>
        </w:rPr>
        <w:br w:type="page"/>
      </w:r>
    </w:p>
    <w:p w14:paraId="38E9E131">
      <w:pPr>
        <w:pStyle w:val="3"/>
        <w:spacing w:line="240" w:lineRule="auto"/>
        <w:rPr>
          <w:rFonts w:ascii="黑体" w:hAnsi="黑体" w:cs="黑体"/>
          <w:color w:val="auto"/>
          <w:sz w:val="24"/>
          <w:szCs w:val="24"/>
        </w:rPr>
      </w:pPr>
      <w:bookmarkStart w:id="194" w:name="_Toc15000"/>
      <w:r>
        <w:rPr>
          <w:rFonts w:hint="eastAsia" w:ascii="黑体" w:hAnsi="黑体" w:cs="黑体"/>
          <w:color w:val="auto"/>
          <w:sz w:val="24"/>
          <w:szCs w:val="24"/>
        </w:rPr>
        <w:t>附件</w:t>
      </w:r>
      <w:r>
        <w:rPr>
          <w:rFonts w:hint="eastAsia" w:ascii="黑体" w:hAnsi="黑体" w:cs="黑体"/>
          <w:color w:val="auto"/>
          <w:sz w:val="24"/>
          <w:szCs w:val="24"/>
          <w:lang w:val="en-US" w:eastAsia="zh-CN"/>
        </w:rPr>
        <w:t>七</w:t>
      </w:r>
      <w:r>
        <w:rPr>
          <w:rFonts w:hint="eastAsia" w:ascii="黑体" w:hAnsi="黑体" w:cs="黑体"/>
          <w:color w:val="auto"/>
          <w:sz w:val="24"/>
          <w:szCs w:val="24"/>
        </w:rPr>
        <w:t xml:space="preserve">  同类项目业绩</w:t>
      </w:r>
      <w:bookmarkEnd w:id="181"/>
      <w:bookmarkEnd w:id="182"/>
      <w:bookmarkEnd w:id="183"/>
      <w:bookmarkEnd w:id="184"/>
      <w:bookmarkEnd w:id="185"/>
      <w:bookmarkEnd w:id="194"/>
    </w:p>
    <w:p w14:paraId="34352939">
      <w:pPr>
        <w:jc w:val="center"/>
        <w:rPr>
          <w:rFonts w:ascii="宋体" w:hAnsi="宋体"/>
          <w:b/>
          <w:color w:val="auto"/>
          <w:sz w:val="28"/>
          <w:szCs w:val="28"/>
        </w:rPr>
      </w:pPr>
      <w:r>
        <w:rPr>
          <w:rFonts w:hint="eastAsia" w:ascii="宋体" w:hAnsi="宋体"/>
          <w:b/>
          <w:color w:val="auto"/>
          <w:sz w:val="28"/>
          <w:szCs w:val="28"/>
        </w:rPr>
        <w:t>同类项目业绩</w:t>
      </w:r>
    </w:p>
    <w:p w14:paraId="158C5F95">
      <w:pPr>
        <w:spacing w:line="380" w:lineRule="exact"/>
        <w:ind w:left="-357" w:leftChars="-170" w:firstLine="216" w:firstLineChars="98"/>
        <w:rPr>
          <w:rFonts w:ascii="宋体" w:hAnsi="宋体" w:cs="宋体"/>
          <w:b/>
          <w:bCs/>
          <w:color w:val="auto"/>
          <w:sz w:val="22"/>
          <w:szCs w:val="22"/>
        </w:rPr>
      </w:pPr>
    </w:p>
    <w:p w14:paraId="35417AE6">
      <w:pPr>
        <w:spacing w:line="380" w:lineRule="exact"/>
        <w:ind w:left="-357" w:leftChars="-170" w:firstLine="216" w:firstLineChars="98"/>
        <w:rPr>
          <w:rFonts w:ascii="宋体" w:hAnsi="宋体" w:cs="宋体"/>
          <w:b/>
          <w:bCs/>
          <w:color w:val="auto"/>
          <w:sz w:val="22"/>
          <w:szCs w:val="22"/>
        </w:rPr>
      </w:pPr>
      <w:r>
        <w:rPr>
          <w:rFonts w:hint="eastAsia" w:ascii="宋体" w:hAnsi="宋体" w:cs="宋体"/>
          <w:b/>
          <w:bCs/>
          <w:color w:val="auto"/>
          <w:sz w:val="22"/>
          <w:szCs w:val="22"/>
        </w:rPr>
        <w:t>项目名称：                                              项目编号：</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192"/>
        <w:gridCol w:w="1636"/>
        <w:gridCol w:w="1260"/>
        <w:gridCol w:w="1345"/>
        <w:gridCol w:w="2615"/>
      </w:tblGrid>
      <w:tr w14:paraId="2CDDB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shd w:val="clear" w:color="auto" w:fill="D9D9D9"/>
            <w:vAlign w:val="center"/>
          </w:tcPr>
          <w:p w14:paraId="3B182467">
            <w:pPr>
              <w:spacing w:line="380" w:lineRule="exact"/>
              <w:jc w:val="center"/>
              <w:rPr>
                <w:rFonts w:ascii="宋体" w:hAnsi="宋体" w:cs="宋体"/>
                <w:b/>
                <w:bCs/>
                <w:color w:val="auto"/>
                <w:sz w:val="22"/>
                <w:szCs w:val="22"/>
              </w:rPr>
            </w:pPr>
            <w:r>
              <w:rPr>
                <w:rFonts w:hint="eastAsia" w:ascii="宋体" w:hAnsi="宋体" w:cs="宋体"/>
                <w:b/>
                <w:bCs/>
                <w:color w:val="auto"/>
                <w:sz w:val="22"/>
                <w:szCs w:val="22"/>
              </w:rPr>
              <w:t>序号</w:t>
            </w:r>
          </w:p>
        </w:tc>
        <w:tc>
          <w:tcPr>
            <w:tcW w:w="2192" w:type="dxa"/>
            <w:shd w:val="clear" w:color="auto" w:fill="D9D9D9"/>
            <w:vAlign w:val="center"/>
          </w:tcPr>
          <w:p w14:paraId="06C040E9">
            <w:pPr>
              <w:spacing w:line="380" w:lineRule="exact"/>
              <w:jc w:val="center"/>
              <w:rPr>
                <w:rFonts w:ascii="宋体" w:hAnsi="宋体" w:cs="宋体"/>
                <w:b/>
                <w:bCs/>
                <w:color w:val="auto"/>
                <w:sz w:val="22"/>
                <w:szCs w:val="22"/>
              </w:rPr>
            </w:pPr>
            <w:r>
              <w:rPr>
                <w:rFonts w:hint="eastAsia" w:ascii="宋体" w:hAnsi="宋体" w:cs="宋体"/>
                <w:b/>
                <w:bCs/>
                <w:color w:val="auto"/>
                <w:sz w:val="22"/>
                <w:szCs w:val="22"/>
              </w:rPr>
              <w:t>用户名称</w:t>
            </w:r>
          </w:p>
        </w:tc>
        <w:tc>
          <w:tcPr>
            <w:tcW w:w="1636" w:type="dxa"/>
            <w:shd w:val="clear" w:color="auto" w:fill="D9D9D9"/>
            <w:vAlign w:val="center"/>
          </w:tcPr>
          <w:p w14:paraId="771F5DDA">
            <w:pPr>
              <w:spacing w:line="380" w:lineRule="exact"/>
              <w:jc w:val="center"/>
              <w:rPr>
                <w:rFonts w:ascii="宋体" w:hAnsi="宋体" w:cs="宋体"/>
                <w:b/>
                <w:bCs/>
                <w:color w:val="auto"/>
                <w:sz w:val="22"/>
                <w:szCs w:val="22"/>
              </w:rPr>
            </w:pPr>
            <w:r>
              <w:rPr>
                <w:rFonts w:hint="eastAsia" w:ascii="宋体" w:hAnsi="宋体" w:cs="宋体"/>
                <w:b/>
                <w:bCs/>
                <w:color w:val="auto"/>
                <w:sz w:val="22"/>
                <w:szCs w:val="22"/>
              </w:rPr>
              <w:t>项目名称</w:t>
            </w:r>
          </w:p>
        </w:tc>
        <w:tc>
          <w:tcPr>
            <w:tcW w:w="1260" w:type="dxa"/>
            <w:shd w:val="clear" w:color="auto" w:fill="D9D9D9"/>
            <w:vAlign w:val="center"/>
          </w:tcPr>
          <w:p w14:paraId="70F5F6FA">
            <w:pPr>
              <w:spacing w:line="380" w:lineRule="exact"/>
              <w:jc w:val="center"/>
              <w:rPr>
                <w:rFonts w:ascii="宋体" w:hAnsi="宋体" w:cs="宋体"/>
                <w:b/>
                <w:bCs/>
                <w:color w:val="auto"/>
                <w:sz w:val="22"/>
                <w:szCs w:val="22"/>
              </w:rPr>
            </w:pPr>
            <w:r>
              <w:rPr>
                <w:rFonts w:hint="eastAsia" w:ascii="宋体" w:hAnsi="宋体" w:cs="宋体"/>
                <w:b/>
                <w:bCs/>
                <w:color w:val="auto"/>
                <w:sz w:val="22"/>
                <w:szCs w:val="22"/>
              </w:rPr>
              <w:t>合同金额</w:t>
            </w:r>
          </w:p>
        </w:tc>
        <w:tc>
          <w:tcPr>
            <w:tcW w:w="1345" w:type="dxa"/>
            <w:shd w:val="clear" w:color="auto" w:fill="D9D9D9"/>
            <w:vAlign w:val="center"/>
          </w:tcPr>
          <w:p w14:paraId="012B0DA9">
            <w:pPr>
              <w:spacing w:line="380" w:lineRule="exact"/>
              <w:jc w:val="center"/>
              <w:rPr>
                <w:rFonts w:ascii="宋体" w:hAnsi="宋体" w:cs="宋体"/>
                <w:b/>
                <w:bCs/>
                <w:color w:val="auto"/>
                <w:sz w:val="22"/>
                <w:szCs w:val="22"/>
              </w:rPr>
            </w:pPr>
            <w:r>
              <w:rPr>
                <w:rFonts w:hint="eastAsia" w:ascii="宋体" w:hAnsi="宋体" w:cs="宋体"/>
                <w:b/>
                <w:bCs/>
                <w:color w:val="auto"/>
                <w:sz w:val="22"/>
                <w:szCs w:val="22"/>
              </w:rPr>
              <w:t>签订时间</w:t>
            </w:r>
          </w:p>
        </w:tc>
        <w:tc>
          <w:tcPr>
            <w:tcW w:w="2615" w:type="dxa"/>
            <w:shd w:val="clear" w:color="auto" w:fill="D9D9D9"/>
            <w:vAlign w:val="center"/>
          </w:tcPr>
          <w:p w14:paraId="23563658">
            <w:pPr>
              <w:spacing w:line="380" w:lineRule="exact"/>
              <w:jc w:val="center"/>
              <w:rPr>
                <w:rFonts w:ascii="宋体" w:hAnsi="宋体" w:cs="宋体"/>
                <w:b/>
                <w:bCs/>
                <w:color w:val="auto"/>
                <w:sz w:val="22"/>
                <w:szCs w:val="22"/>
              </w:rPr>
            </w:pPr>
            <w:r>
              <w:rPr>
                <w:rFonts w:hint="eastAsia" w:ascii="宋体" w:hAnsi="宋体" w:cs="宋体"/>
                <w:b/>
                <w:bCs/>
                <w:color w:val="auto"/>
                <w:sz w:val="22"/>
                <w:szCs w:val="22"/>
              </w:rPr>
              <w:t>用户联系人/联系方式</w:t>
            </w:r>
          </w:p>
        </w:tc>
      </w:tr>
      <w:tr w14:paraId="67F24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5ADBF779">
            <w:pPr>
              <w:spacing w:line="380" w:lineRule="exact"/>
              <w:jc w:val="center"/>
              <w:rPr>
                <w:rFonts w:ascii="宋体" w:hAnsi="宋体" w:cs="宋体"/>
                <w:b/>
                <w:bCs/>
                <w:color w:val="auto"/>
                <w:sz w:val="22"/>
                <w:szCs w:val="22"/>
              </w:rPr>
            </w:pPr>
          </w:p>
        </w:tc>
        <w:tc>
          <w:tcPr>
            <w:tcW w:w="2192" w:type="dxa"/>
            <w:vAlign w:val="center"/>
          </w:tcPr>
          <w:p w14:paraId="1FC7CF94">
            <w:pPr>
              <w:spacing w:line="380" w:lineRule="exact"/>
              <w:jc w:val="center"/>
              <w:rPr>
                <w:rFonts w:ascii="宋体" w:hAnsi="宋体" w:cs="宋体"/>
                <w:b/>
                <w:bCs/>
                <w:color w:val="auto"/>
                <w:sz w:val="22"/>
                <w:szCs w:val="22"/>
              </w:rPr>
            </w:pPr>
          </w:p>
        </w:tc>
        <w:tc>
          <w:tcPr>
            <w:tcW w:w="1636" w:type="dxa"/>
            <w:vAlign w:val="center"/>
          </w:tcPr>
          <w:p w14:paraId="3E0C096C">
            <w:pPr>
              <w:spacing w:line="380" w:lineRule="exact"/>
              <w:jc w:val="center"/>
              <w:rPr>
                <w:rFonts w:ascii="宋体" w:hAnsi="宋体" w:cs="宋体"/>
                <w:b/>
                <w:bCs/>
                <w:color w:val="auto"/>
                <w:sz w:val="22"/>
                <w:szCs w:val="22"/>
              </w:rPr>
            </w:pPr>
          </w:p>
        </w:tc>
        <w:tc>
          <w:tcPr>
            <w:tcW w:w="1260" w:type="dxa"/>
            <w:vAlign w:val="center"/>
          </w:tcPr>
          <w:p w14:paraId="3770910C">
            <w:pPr>
              <w:spacing w:line="380" w:lineRule="exact"/>
              <w:jc w:val="center"/>
              <w:rPr>
                <w:rFonts w:ascii="宋体" w:hAnsi="宋体" w:cs="宋体"/>
                <w:b/>
                <w:bCs/>
                <w:color w:val="auto"/>
                <w:sz w:val="22"/>
                <w:szCs w:val="22"/>
              </w:rPr>
            </w:pPr>
          </w:p>
        </w:tc>
        <w:tc>
          <w:tcPr>
            <w:tcW w:w="1345" w:type="dxa"/>
            <w:vAlign w:val="center"/>
          </w:tcPr>
          <w:p w14:paraId="118570F0">
            <w:pPr>
              <w:spacing w:line="380" w:lineRule="exact"/>
              <w:jc w:val="center"/>
              <w:rPr>
                <w:rFonts w:ascii="宋体" w:hAnsi="宋体" w:cs="宋体"/>
                <w:b/>
                <w:bCs/>
                <w:color w:val="auto"/>
                <w:sz w:val="22"/>
                <w:szCs w:val="22"/>
              </w:rPr>
            </w:pPr>
          </w:p>
        </w:tc>
        <w:tc>
          <w:tcPr>
            <w:tcW w:w="2615" w:type="dxa"/>
            <w:vAlign w:val="center"/>
          </w:tcPr>
          <w:p w14:paraId="074D624A">
            <w:pPr>
              <w:spacing w:line="380" w:lineRule="exact"/>
              <w:jc w:val="center"/>
              <w:rPr>
                <w:rFonts w:ascii="宋体" w:hAnsi="宋体" w:cs="宋体"/>
                <w:b/>
                <w:bCs/>
                <w:color w:val="auto"/>
                <w:sz w:val="22"/>
                <w:szCs w:val="22"/>
              </w:rPr>
            </w:pPr>
          </w:p>
        </w:tc>
      </w:tr>
      <w:tr w14:paraId="557BE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32EE3065">
            <w:pPr>
              <w:spacing w:line="380" w:lineRule="exact"/>
              <w:jc w:val="center"/>
              <w:rPr>
                <w:rFonts w:ascii="宋体" w:hAnsi="宋体" w:cs="宋体"/>
                <w:b/>
                <w:bCs/>
                <w:color w:val="auto"/>
                <w:sz w:val="22"/>
                <w:szCs w:val="22"/>
              </w:rPr>
            </w:pPr>
          </w:p>
        </w:tc>
        <w:tc>
          <w:tcPr>
            <w:tcW w:w="2192" w:type="dxa"/>
            <w:vAlign w:val="center"/>
          </w:tcPr>
          <w:p w14:paraId="6C95E1C5">
            <w:pPr>
              <w:spacing w:line="380" w:lineRule="exact"/>
              <w:jc w:val="center"/>
              <w:rPr>
                <w:rFonts w:ascii="宋体" w:hAnsi="宋体" w:cs="宋体"/>
                <w:b/>
                <w:bCs/>
                <w:color w:val="auto"/>
                <w:sz w:val="22"/>
                <w:szCs w:val="22"/>
              </w:rPr>
            </w:pPr>
          </w:p>
        </w:tc>
        <w:tc>
          <w:tcPr>
            <w:tcW w:w="1636" w:type="dxa"/>
            <w:vAlign w:val="center"/>
          </w:tcPr>
          <w:p w14:paraId="6DBBE83E">
            <w:pPr>
              <w:spacing w:line="380" w:lineRule="exact"/>
              <w:jc w:val="center"/>
              <w:rPr>
                <w:rFonts w:ascii="宋体" w:hAnsi="宋体" w:cs="宋体"/>
                <w:b/>
                <w:bCs/>
                <w:color w:val="auto"/>
                <w:sz w:val="22"/>
                <w:szCs w:val="22"/>
              </w:rPr>
            </w:pPr>
          </w:p>
        </w:tc>
        <w:tc>
          <w:tcPr>
            <w:tcW w:w="1260" w:type="dxa"/>
            <w:vAlign w:val="center"/>
          </w:tcPr>
          <w:p w14:paraId="145E9C20">
            <w:pPr>
              <w:spacing w:line="380" w:lineRule="exact"/>
              <w:jc w:val="center"/>
              <w:rPr>
                <w:rFonts w:ascii="宋体" w:hAnsi="宋体" w:cs="宋体"/>
                <w:b/>
                <w:bCs/>
                <w:color w:val="auto"/>
                <w:sz w:val="22"/>
                <w:szCs w:val="22"/>
              </w:rPr>
            </w:pPr>
          </w:p>
        </w:tc>
        <w:tc>
          <w:tcPr>
            <w:tcW w:w="1345" w:type="dxa"/>
            <w:vAlign w:val="center"/>
          </w:tcPr>
          <w:p w14:paraId="50EE69FB">
            <w:pPr>
              <w:spacing w:line="380" w:lineRule="exact"/>
              <w:jc w:val="center"/>
              <w:rPr>
                <w:rFonts w:ascii="宋体" w:hAnsi="宋体" w:cs="宋体"/>
                <w:b/>
                <w:bCs/>
                <w:color w:val="auto"/>
                <w:sz w:val="22"/>
                <w:szCs w:val="22"/>
              </w:rPr>
            </w:pPr>
          </w:p>
        </w:tc>
        <w:tc>
          <w:tcPr>
            <w:tcW w:w="2615" w:type="dxa"/>
            <w:vAlign w:val="center"/>
          </w:tcPr>
          <w:p w14:paraId="38464A58">
            <w:pPr>
              <w:spacing w:line="380" w:lineRule="exact"/>
              <w:jc w:val="center"/>
              <w:rPr>
                <w:rFonts w:ascii="宋体" w:hAnsi="宋体" w:cs="宋体"/>
                <w:b/>
                <w:bCs/>
                <w:color w:val="auto"/>
                <w:sz w:val="22"/>
                <w:szCs w:val="22"/>
              </w:rPr>
            </w:pPr>
          </w:p>
        </w:tc>
      </w:tr>
      <w:tr w14:paraId="12722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4B1EF8EE">
            <w:pPr>
              <w:spacing w:line="380" w:lineRule="exact"/>
              <w:jc w:val="center"/>
              <w:rPr>
                <w:rFonts w:ascii="宋体" w:hAnsi="宋体" w:cs="宋体"/>
                <w:b/>
                <w:bCs/>
                <w:color w:val="auto"/>
                <w:sz w:val="22"/>
                <w:szCs w:val="22"/>
              </w:rPr>
            </w:pPr>
          </w:p>
        </w:tc>
        <w:tc>
          <w:tcPr>
            <w:tcW w:w="2192" w:type="dxa"/>
            <w:vAlign w:val="center"/>
          </w:tcPr>
          <w:p w14:paraId="43C8E119">
            <w:pPr>
              <w:spacing w:line="380" w:lineRule="exact"/>
              <w:jc w:val="center"/>
              <w:rPr>
                <w:rFonts w:ascii="宋体" w:hAnsi="宋体" w:cs="宋体"/>
                <w:b/>
                <w:bCs/>
                <w:color w:val="auto"/>
                <w:sz w:val="22"/>
                <w:szCs w:val="22"/>
              </w:rPr>
            </w:pPr>
          </w:p>
        </w:tc>
        <w:tc>
          <w:tcPr>
            <w:tcW w:w="1636" w:type="dxa"/>
            <w:vAlign w:val="center"/>
          </w:tcPr>
          <w:p w14:paraId="6489A7A0">
            <w:pPr>
              <w:spacing w:line="380" w:lineRule="exact"/>
              <w:jc w:val="center"/>
              <w:rPr>
                <w:rFonts w:ascii="宋体" w:hAnsi="宋体" w:cs="宋体"/>
                <w:b/>
                <w:bCs/>
                <w:color w:val="auto"/>
                <w:sz w:val="22"/>
                <w:szCs w:val="22"/>
              </w:rPr>
            </w:pPr>
          </w:p>
        </w:tc>
        <w:tc>
          <w:tcPr>
            <w:tcW w:w="1260" w:type="dxa"/>
            <w:vAlign w:val="center"/>
          </w:tcPr>
          <w:p w14:paraId="3C7E7744">
            <w:pPr>
              <w:spacing w:line="380" w:lineRule="exact"/>
              <w:jc w:val="center"/>
              <w:rPr>
                <w:rFonts w:ascii="宋体" w:hAnsi="宋体" w:cs="宋体"/>
                <w:b/>
                <w:bCs/>
                <w:color w:val="auto"/>
                <w:sz w:val="22"/>
                <w:szCs w:val="22"/>
              </w:rPr>
            </w:pPr>
          </w:p>
        </w:tc>
        <w:tc>
          <w:tcPr>
            <w:tcW w:w="1345" w:type="dxa"/>
            <w:vAlign w:val="center"/>
          </w:tcPr>
          <w:p w14:paraId="444270F3">
            <w:pPr>
              <w:spacing w:line="380" w:lineRule="exact"/>
              <w:jc w:val="center"/>
              <w:rPr>
                <w:rFonts w:ascii="宋体" w:hAnsi="宋体" w:cs="宋体"/>
                <w:b/>
                <w:bCs/>
                <w:color w:val="auto"/>
                <w:sz w:val="22"/>
                <w:szCs w:val="22"/>
              </w:rPr>
            </w:pPr>
          </w:p>
        </w:tc>
        <w:tc>
          <w:tcPr>
            <w:tcW w:w="2615" w:type="dxa"/>
            <w:vAlign w:val="center"/>
          </w:tcPr>
          <w:p w14:paraId="6E763C74">
            <w:pPr>
              <w:spacing w:line="380" w:lineRule="exact"/>
              <w:jc w:val="center"/>
              <w:rPr>
                <w:rFonts w:ascii="宋体" w:hAnsi="宋体" w:cs="宋体"/>
                <w:b/>
                <w:bCs/>
                <w:color w:val="auto"/>
                <w:sz w:val="22"/>
                <w:szCs w:val="22"/>
              </w:rPr>
            </w:pPr>
          </w:p>
        </w:tc>
      </w:tr>
      <w:tr w14:paraId="3314A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7591FFDB">
            <w:pPr>
              <w:spacing w:line="380" w:lineRule="exact"/>
              <w:jc w:val="center"/>
              <w:rPr>
                <w:rFonts w:ascii="宋体" w:hAnsi="宋体" w:cs="宋体"/>
                <w:b/>
                <w:bCs/>
                <w:color w:val="auto"/>
                <w:sz w:val="22"/>
                <w:szCs w:val="22"/>
              </w:rPr>
            </w:pPr>
          </w:p>
        </w:tc>
        <w:tc>
          <w:tcPr>
            <w:tcW w:w="2192" w:type="dxa"/>
            <w:vAlign w:val="center"/>
          </w:tcPr>
          <w:p w14:paraId="1BDB731B">
            <w:pPr>
              <w:spacing w:line="380" w:lineRule="exact"/>
              <w:jc w:val="center"/>
              <w:rPr>
                <w:rFonts w:ascii="宋体" w:hAnsi="宋体" w:cs="宋体"/>
                <w:b/>
                <w:bCs/>
                <w:color w:val="auto"/>
                <w:sz w:val="22"/>
                <w:szCs w:val="22"/>
              </w:rPr>
            </w:pPr>
          </w:p>
        </w:tc>
        <w:tc>
          <w:tcPr>
            <w:tcW w:w="1636" w:type="dxa"/>
            <w:vAlign w:val="center"/>
          </w:tcPr>
          <w:p w14:paraId="202CD568">
            <w:pPr>
              <w:spacing w:line="380" w:lineRule="exact"/>
              <w:jc w:val="center"/>
              <w:rPr>
                <w:rFonts w:ascii="宋体" w:hAnsi="宋体" w:cs="宋体"/>
                <w:b/>
                <w:bCs/>
                <w:color w:val="auto"/>
                <w:sz w:val="22"/>
                <w:szCs w:val="22"/>
              </w:rPr>
            </w:pPr>
          </w:p>
        </w:tc>
        <w:tc>
          <w:tcPr>
            <w:tcW w:w="1260" w:type="dxa"/>
            <w:vAlign w:val="center"/>
          </w:tcPr>
          <w:p w14:paraId="28F706A7">
            <w:pPr>
              <w:spacing w:line="380" w:lineRule="exact"/>
              <w:jc w:val="center"/>
              <w:rPr>
                <w:rFonts w:ascii="宋体" w:hAnsi="宋体" w:cs="宋体"/>
                <w:b/>
                <w:bCs/>
                <w:color w:val="auto"/>
                <w:sz w:val="22"/>
                <w:szCs w:val="22"/>
              </w:rPr>
            </w:pPr>
          </w:p>
        </w:tc>
        <w:tc>
          <w:tcPr>
            <w:tcW w:w="1345" w:type="dxa"/>
            <w:vAlign w:val="center"/>
          </w:tcPr>
          <w:p w14:paraId="12B0DC56">
            <w:pPr>
              <w:spacing w:line="380" w:lineRule="exact"/>
              <w:jc w:val="center"/>
              <w:rPr>
                <w:rFonts w:ascii="宋体" w:hAnsi="宋体" w:cs="宋体"/>
                <w:b/>
                <w:bCs/>
                <w:color w:val="auto"/>
                <w:sz w:val="22"/>
                <w:szCs w:val="22"/>
              </w:rPr>
            </w:pPr>
          </w:p>
        </w:tc>
        <w:tc>
          <w:tcPr>
            <w:tcW w:w="2615" w:type="dxa"/>
            <w:vAlign w:val="center"/>
          </w:tcPr>
          <w:p w14:paraId="1A67A31D">
            <w:pPr>
              <w:spacing w:line="380" w:lineRule="exact"/>
              <w:jc w:val="center"/>
              <w:rPr>
                <w:rFonts w:ascii="宋体" w:hAnsi="宋体" w:cs="宋体"/>
                <w:b/>
                <w:bCs/>
                <w:color w:val="auto"/>
                <w:sz w:val="22"/>
                <w:szCs w:val="22"/>
              </w:rPr>
            </w:pPr>
          </w:p>
        </w:tc>
      </w:tr>
      <w:tr w14:paraId="218A3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5182AD90">
            <w:pPr>
              <w:spacing w:line="380" w:lineRule="exact"/>
              <w:jc w:val="center"/>
              <w:rPr>
                <w:rFonts w:ascii="宋体" w:hAnsi="宋体" w:cs="宋体"/>
                <w:b/>
                <w:bCs/>
                <w:color w:val="auto"/>
                <w:sz w:val="22"/>
                <w:szCs w:val="22"/>
              </w:rPr>
            </w:pPr>
          </w:p>
        </w:tc>
        <w:tc>
          <w:tcPr>
            <w:tcW w:w="2192" w:type="dxa"/>
            <w:vAlign w:val="center"/>
          </w:tcPr>
          <w:p w14:paraId="56EBED31">
            <w:pPr>
              <w:spacing w:line="380" w:lineRule="exact"/>
              <w:jc w:val="center"/>
              <w:rPr>
                <w:rFonts w:ascii="宋体" w:hAnsi="宋体" w:cs="宋体"/>
                <w:b/>
                <w:bCs/>
                <w:color w:val="auto"/>
                <w:sz w:val="22"/>
                <w:szCs w:val="22"/>
              </w:rPr>
            </w:pPr>
          </w:p>
        </w:tc>
        <w:tc>
          <w:tcPr>
            <w:tcW w:w="1636" w:type="dxa"/>
            <w:vAlign w:val="center"/>
          </w:tcPr>
          <w:p w14:paraId="4CA3E1F0">
            <w:pPr>
              <w:spacing w:line="380" w:lineRule="exact"/>
              <w:jc w:val="center"/>
              <w:rPr>
                <w:rFonts w:ascii="宋体" w:hAnsi="宋体" w:cs="宋体"/>
                <w:b/>
                <w:bCs/>
                <w:color w:val="auto"/>
                <w:sz w:val="22"/>
                <w:szCs w:val="22"/>
              </w:rPr>
            </w:pPr>
          </w:p>
        </w:tc>
        <w:tc>
          <w:tcPr>
            <w:tcW w:w="1260" w:type="dxa"/>
            <w:vAlign w:val="center"/>
          </w:tcPr>
          <w:p w14:paraId="652E6AE3">
            <w:pPr>
              <w:spacing w:line="380" w:lineRule="exact"/>
              <w:jc w:val="center"/>
              <w:rPr>
                <w:rFonts w:ascii="宋体" w:hAnsi="宋体" w:cs="宋体"/>
                <w:b/>
                <w:bCs/>
                <w:color w:val="auto"/>
                <w:sz w:val="22"/>
                <w:szCs w:val="22"/>
              </w:rPr>
            </w:pPr>
          </w:p>
        </w:tc>
        <w:tc>
          <w:tcPr>
            <w:tcW w:w="1345" w:type="dxa"/>
            <w:vAlign w:val="center"/>
          </w:tcPr>
          <w:p w14:paraId="7F99B479">
            <w:pPr>
              <w:spacing w:line="380" w:lineRule="exact"/>
              <w:jc w:val="center"/>
              <w:rPr>
                <w:rFonts w:ascii="宋体" w:hAnsi="宋体" w:cs="宋体"/>
                <w:b/>
                <w:bCs/>
                <w:color w:val="auto"/>
                <w:sz w:val="22"/>
                <w:szCs w:val="22"/>
              </w:rPr>
            </w:pPr>
          </w:p>
        </w:tc>
        <w:tc>
          <w:tcPr>
            <w:tcW w:w="2615" w:type="dxa"/>
            <w:vAlign w:val="center"/>
          </w:tcPr>
          <w:p w14:paraId="5BDC0285">
            <w:pPr>
              <w:spacing w:line="380" w:lineRule="exact"/>
              <w:jc w:val="center"/>
              <w:rPr>
                <w:rFonts w:ascii="宋体" w:hAnsi="宋体" w:cs="宋体"/>
                <w:b/>
                <w:bCs/>
                <w:color w:val="auto"/>
                <w:sz w:val="22"/>
                <w:szCs w:val="22"/>
              </w:rPr>
            </w:pPr>
          </w:p>
        </w:tc>
      </w:tr>
      <w:tr w14:paraId="55518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0CFC36A9">
            <w:pPr>
              <w:spacing w:line="380" w:lineRule="exact"/>
              <w:jc w:val="center"/>
              <w:rPr>
                <w:rFonts w:ascii="宋体" w:hAnsi="宋体" w:cs="宋体"/>
                <w:b/>
                <w:bCs/>
                <w:color w:val="auto"/>
                <w:sz w:val="22"/>
                <w:szCs w:val="22"/>
              </w:rPr>
            </w:pPr>
          </w:p>
        </w:tc>
        <w:tc>
          <w:tcPr>
            <w:tcW w:w="2192" w:type="dxa"/>
            <w:vAlign w:val="center"/>
          </w:tcPr>
          <w:p w14:paraId="58FBFB23">
            <w:pPr>
              <w:spacing w:line="380" w:lineRule="exact"/>
              <w:jc w:val="center"/>
              <w:rPr>
                <w:rFonts w:ascii="宋体" w:hAnsi="宋体" w:cs="宋体"/>
                <w:b/>
                <w:bCs/>
                <w:color w:val="auto"/>
                <w:sz w:val="22"/>
                <w:szCs w:val="22"/>
              </w:rPr>
            </w:pPr>
          </w:p>
        </w:tc>
        <w:tc>
          <w:tcPr>
            <w:tcW w:w="1636" w:type="dxa"/>
            <w:vAlign w:val="center"/>
          </w:tcPr>
          <w:p w14:paraId="36EFC69D">
            <w:pPr>
              <w:spacing w:line="380" w:lineRule="exact"/>
              <w:jc w:val="center"/>
              <w:rPr>
                <w:rFonts w:ascii="宋体" w:hAnsi="宋体" w:cs="宋体"/>
                <w:b/>
                <w:bCs/>
                <w:color w:val="auto"/>
                <w:sz w:val="22"/>
                <w:szCs w:val="22"/>
              </w:rPr>
            </w:pPr>
          </w:p>
        </w:tc>
        <w:tc>
          <w:tcPr>
            <w:tcW w:w="1260" w:type="dxa"/>
            <w:vAlign w:val="center"/>
          </w:tcPr>
          <w:p w14:paraId="1D39BCC7">
            <w:pPr>
              <w:spacing w:line="380" w:lineRule="exact"/>
              <w:jc w:val="center"/>
              <w:rPr>
                <w:rFonts w:ascii="宋体" w:hAnsi="宋体" w:cs="宋体"/>
                <w:b/>
                <w:bCs/>
                <w:color w:val="auto"/>
                <w:sz w:val="22"/>
                <w:szCs w:val="22"/>
              </w:rPr>
            </w:pPr>
          </w:p>
        </w:tc>
        <w:tc>
          <w:tcPr>
            <w:tcW w:w="1345" w:type="dxa"/>
            <w:vAlign w:val="center"/>
          </w:tcPr>
          <w:p w14:paraId="78140C29">
            <w:pPr>
              <w:spacing w:line="380" w:lineRule="exact"/>
              <w:jc w:val="center"/>
              <w:rPr>
                <w:rFonts w:ascii="宋体" w:hAnsi="宋体" w:cs="宋体"/>
                <w:b/>
                <w:bCs/>
                <w:color w:val="auto"/>
                <w:sz w:val="22"/>
                <w:szCs w:val="22"/>
              </w:rPr>
            </w:pPr>
          </w:p>
        </w:tc>
        <w:tc>
          <w:tcPr>
            <w:tcW w:w="2615" w:type="dxa"/>
            <w:vAlign w:val="center"/>
          </w:tcPr>
          <w:p w14:paraId="409C2F38">
            <w:pPr>
              <w:spacing w:line="380" w:lineRule="exact"/>
              <w:jc w:val="center"/>
              <w:rPr>
                <w:rFonts w:ascii="宋体" w:hAnsi="宋体" w:cs="宋体"/>
                <w:b/>
                <w:bCs/>
                <w:color w:val="auto"/>
                <w:sz w:val="22"/>
                <w:szCs w:val="22"/>
              </w:rPr>
            </w:pPr>
          </w:p>
        </w:tc>
      </w:tr>
      <w:tr w14:paraId="6F3ED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21632074">
            <w:pPr>
              <w:spacing w:line="380" w:lineRule="exact"/>
              <w:jc w:val="center"/>
              <w:rPr>
                <w:rFonts w:ascii="宋体" w:hAnsi="宋体" w:cs="宋体"/>
                <w:b/>
                <w:bCs/>
                <w:color w:val="auto"/>
                <w:sz w:val="22"/>
                <w:szCs w:val="22"/>
              </w:rPr>
            </w:pPr>
          </w:p>
        </w:tc>
        <w:tc>
          <w:tcPr>
            <w:tcW w:w="2192" w:type="dxa"/>
            <w:vAlign w:val="center"/>
          </w:tcPr>
          <w:p w14:paraId="596EEBFC">
            <w:pPr>
              <w:spacing w:line="380" w:lineRule="exact"/>
              <w:jc w:val="center"/>
              <w:rPr>
                <w:rFonts w:ascii="宋体" w:hAnsi="宋体" w:cs="宋体"/>
                <w:b/>
                <w:bCs/>
                <w:color w:val="auto"/>
                <w:sz w:val="22"/>
                <w:szCs w:val="22"/>
              </w:rPr>
            </w:pPr>
          </w:p>
        </w:tc>
        <w:tc>
          <w:tcPr>
            <w:tcW w:w="1636" w:type="dxa"/>
            <w:vAlign w:val="center"/>
          </w:tcPr>
          <w:p w14:paraId="7F27B164">
            <w:pPr>
              <w:spacing w:line="380" w:lineRule="exact"/>
              <w:jc w:val="center"/>
              <w:rPr>
                <w:rFonts w:ascii="宋体" w:hAnsi="宋体" w:cs="宋体"/>
                <w:b/>
                <w:bCs/>
                <w:color w:val="auto"/>
                <w:sz w:val="22"/>
                <w:szCs w:val="22"/>
              </w:rPr>
            </w:pPr>
          </w:p>
        </w:tc>
        <w:tc>
          <w:tcPr>
            <w:tcW w:w="1260" w:type="dxa"/>
            <w:vAlign w:val="center"/>
          </w:tcPr>
          <w:p w14:paraId="1902ACB4">
            <w:pPr>
              <w:spacing w:line="380" w:lineRule="exact"/>
              <w:jc w:val="center"/>
              <w:rPr>
                <w:rFonts w:ascii="宋体" w:hAnsi="宋体" w:cs="宋体"/>
                <w:b/>
                <w:bCs/>
                <w:color w:val="auto"/>
                <w:sz w:val="22"/>
                <w:szCs w:val="22"/>
              </w:rPr>
            </w:pPr>
          </w:p>
        </w:tc>
        <w:tc>
          <w:tcPr>
            <w:tcW w:w="1345" w:type="dxa"/>
            <w:vAlign w:val="center"/>
          </w:tcPr>
          <w:p w14:paraId="70D7FA95">
            <w:pPr>
              <w:spacing w:line="380" w:lineRule="exact"/>
              <w:jc w:val="center"/>
              <w:rPr>
                <w:rFonts w:ascii="宋体" w:hAnsi="宋体" w:cs="宋体"/>
                <w:b/>
                <w:bCs/>
                <w:color w:val="auto"/>
                <w:sz w:val="22"/>
                <w:szCs w:val="22"/>
              </w:rPr>
            </w:pPr>
          </w:p>
        </w:tc>
        <w:tc>
          <w:tcPr>
            <w:tcW w:w="2615" w:type="dxa"/>
            <w:vAlign w:val="center"/>
          </w:tcPr>
          <w:p w14:paraId="23A38A75">
            <w:pPr>
              <w:spacing w:line="380" w:lineRule="exact"/>
              <w:jc w:val="center"/>
              <w:rPr>
                <w:rFonts w:ascii="宋体" w:hAnsi="宋体" w:cs="宋体"/>
                <w:b/>
                <w:bCs/>
                <w:color w:val="auto"/>
                <w:sz w:val="22"/>
                <w:szCs w:val="22"/>
              </w:rPr>
            </w:pPr>
          </w:p>
        </w:tc>
      </w:tr>
      <w:tr w14:paraId="709C9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5D8DE26B">
            <w:pPr>
              <w:spacing w:line="380" w:lineRule="exact"/>
              <w:jc w:val="center"/>
              <w:rPr>
                <w:rFonts w:ascii="宋体" w:hAnsi="宋体" w:cs="宋体"/>
                <w:b/>
                <w:bCs/>
                <w:color w:val="auto"/>
                <w:sz w:val="22"/>
                <w:szCs w:val="22"/>
              </w:rPr>
            </w:pPr>
          </w:p>
        </w:tc>
        <w:tc>
          <w:tcPr>
            <w:tcW w:w="2192" w:type="dxa"/>
            <w:vAlign w:val="center"/>
          </w:tcPr>
          <w:p w14:paraId="5AC4A4DD">
            <w:pPr>
              <w:spacing w:line="380" w:lineRule="exact"/>
              <w:jc w:val="center"/>
              <w:rPr>
                <w:rFonts w:ascii="宋体" w:hAnsi="宋体" w:cs="宋体"/>
                <w:b/>
                <w:bCs/>
                <w:color w:val="auto"/>
                <w:sz w:val="22"/>
                <w:szCs w:val="22"/>
              </w:rPr>
            </w:pPr>
          </w:p>
        </w:tc>
        <w:tc>
          <w:tcPr>
            <w:tcW w:w="1636" w:type="dxa"/>
            <w:vAlign w:val="center"/>
          </w:tcPr>
          <w:p w14:paraId="11A0E9BD">
            <w:pPr>
              <w:spacing w:line="380" w:lineRule="exact"/>
              <w:jc w:val="center"/>
              <w:rPr>
                <w:rFonts w:ascii="宋体" w:hAnsi="宋体" w:cs="宋体"/>
                <w:b/>
                <w:bCs/>
                <w:color w:val="auto"/>
                <w:sz w:val="22"/>
                <w:szCs w:val="22"/>
              </w:rPr>
            </w:pPr>
          </w:p>
        </w:tc>
        <w:tc>
          <w:tcPr>
            <w:tcW w:w="1260" w:type="dxa"/>
            <w:vAlign w:val="center"/>
          </w:tcPr>
          <w:p w14:paraId="2CFFECE5">
            <w:pPr>
              <w:spacing w:line="380" w:lineRule="exact"/>
              <w:jc w:val="center"/>
              <w:rPr>
                <w:rFonts w:ascii="宋体" w:hAnsi="宋体" w:cs="宋体"/>
                <w:b/>
                <w:bCs/>
                <w:color w:val="auto"/>
                <w:sz w:val="22"/>
                <w:szCs w:val="22"/>
              </w:rPr>
            </w:pPr>
          </w:p>
        </w:tc>
        <w:tc>
          <w:tcPr>
            <w:tcW w:w="1345" w:type="dxa"/>
            <w:vAlign w:val="center"/>
          </w:tcPr>
          <w:p w14:paraId="745A7D73">
            <w:pPr>
              <w:spacing w:line="380" w:lineRule="exact"/>
              <w:jc w:val="center"/>
              <w:rPr>
                <w:rFonts w:ascii="宋体" w:hAnsi="宋体" w:cs="宋体"/>
                <w:b/>
                <w:bCs/>
                <w:color w:val="auto"/>
                <w:sz w:val="22"/>
                <w:szCs w:val="22"/>
              </w:rPr>
            </w:pPr>
          </w:p>
        </w:tc>
        <w:tc>
          <w:tcPr>
            <w:tcW w:w="2615" w:type="dxa"/>
            <w:vAlign w:val="center"/>
          </w:tcPr>
          <w:p w14:paraId="46F07A69">
            <w:pPr>
              <w:spacing w:line="380" w:lineRule="exact"/>
              <w:jc w:val="center"/>
              <w:rPr>
                <w:rFonts w:ascii="宋体" w:hAnsi="宋体" w:cs="宋体"/>
                <w:b/>
                <w:bCs/>
                <w:color w:val="auto"/>
                <w:sz w:val="22"/>
                <w:szCs w:val="22"/>
              </w:rPr>
            </w:pPr>
          </w:p>
        </w:tc>
      </w:tr>
      <w:tr w14:paraId="31881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5C1CFCD3">
            <w:pPr>
              <w:spacing w:line="380" w:lineRule="exact"/>
              <w:jc w:val="center"/>
              <w:rPr>
                <w:rFonts w:ascii="宋体" w:hAnsi="宋体" w:cs="宋体"/>
                <w:b/>
                <w:bCs/>
                <w:color w:val="auto"/>
                <w:sz w:val="22"/>
                <w:szCs w:val="22"/>
              </w:rPr>
            </w:pPr>
          </w:p>
        </w:tc>
        <w:tc>
          <w:tcPr>
            <w:tcW w:w="2192" w:type="dxa"/>
            <w:vAlign w:val="center"/>
          </w:tcPr>
          <w:p w14:paraId="1E6BD5C1">
            <w:pPr>
              <w:spacing w:line="380" w:lineRule="exact"/>
              <w:jc w:val="center"/>
              <w:rPr>
                <w:rFonts w:ascii="宋体" w:hAnsi="宋体" w:cs="宋体"/>
                <w:b/>
                <w:bCs/>
                <w:color w:val="auto"/>
                <w:sz w:val="22"/>
                <w:szCs w:val="22"/>
              </w:rPr>
            </w:pPr>
          </w:p>
        </w:tc>
        <w:tc>
          <w:tcPr>
            <w:tcW w:w="1636" w:type="dxa"/>
            <w:vAlign w:val="center"/>
          </w:tcPr>
          <w:p w14:paraId="2A96ADB6">
            <w:pPr>
              <w:spacing w:line="380" w:lineRule="exact"/>
              <w:jc w:val="center"/>
              <w:rPr>
                <w:rFonts w:ascii="宋体" w:hAnsi="宋体" w:cs="宋体"/>
                <w:b/>
                <w:bCs/>
                <w:color w:val="auto"/>
                <w:sz w:val="22"/>
                <w:szCs w:val="22"/>
              </w:rPr>
            </w:pPr>
          </w:p>
        </w:tc>
        <w:tc>
          <w:tcPr>
            <w:tcW w:w="1260" w:type="dxa"/>
            <w:vAlign w:val="center"/>
          </w:tcPr>
          <w:p w14:paraId="76865FCD">
            <w:pPr>
              <w:spacing w:line="380" w:lineRule="exact"/>
              <w:jc w:val="center"/>
              <w:rPr>
                <w:rFonts w:ascii="宋体" w:hAnsi="宋体" w:cs="宋体"/>
                <w:b/>
                <w:bCs/>
                <w:color w:val="auto"/>
                <w:sz w:val="22"/>
                <w:szCs w:val="22"/>
              </w:rPr>
            </w:pPr>
          </w:p>
        </w:tc>
        <w:tc>
          <w:tcPr>
            <w:tcW w:w="1345" w:type="dxa"/>
            <w:vAlign w:val="center"/>
          </w:tcPr>
          <w:p w14:paraId="4B461ABB">
            <w:pPr>
              <w:spacing w:line="380" w:lineRule="exact"/>
              <w:jc w:val="center"/>
              <w:rPr>
                <w:rFonts w:ascii="宋体" w:hAnsi="宋体" w:cs="宋体"/>
                <w:b/>
                <w:bCs/>
                <w:color w:val="auto"/>
                <w:sz w:val="22"/>
                <w:szCs w:val="22"/>
              </w:rPr>
            </w:pPr>
          </w:p>
        </w:tc>
        <w:tc>
          <w:tcPr>
            <w:tcW w:w="2615" w:type="dxa"/>
            <w:vAlign w:val="center"/>
          </w:tcPr>
          <w:p w14:paraId="6A78210B">
            <w:pPr>
              <w:spacing w:line="380" w:lineRule="exact"/>
              <w:jc w:val="center"/>
              <w:rPr>
                <w:rFonts w:ascii="宋体" w:hAnsi="宋体" w:cs="宋体"/>
                <w:b/>
                <w:bCs/>
                <w:color w:val="auto"/>
                <w:sz w:val="22"/>
                <w:szCs w:val="22"/>
              </w:rPr>
            </w:pPr>
          </w:p>
        </w:tc>
      </w:tr>
      <w:tr w14:paraId="5BF24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08C37093">
            <w:pPr>
              <w:spacing w:line="380" w:lineRule="exact"/>
              <w:jc w:val="center"/>
              <w:rPr>
                <w:rFonts w:ascii="宋体" w:hAnsi="宋体" w:cs="宋体"/>
                <w:b/>
                <w:bCs/>
                <w:color w:val="auto"/>
                <w:sz w:val="22"/>
                <w:szCs w:val="22"/>
              </w:rPr>
            </w:pPr>
          </w:p>
        </w:tc>
        <w:tc>
          <w:tcPr>
            <w:tcW w:w="2192" w:type="dxa"/>
            <w:vAlign w:val="center"/>
          </w:tcPr>
          <w:p w14:paraId="25A93316">
            <w:pPr>
              <w:spacing w:line="380" w:lineRule="exact"/>
              <w:jc w:val="center"/>
              <w:rPr>
                <w:rFonts w:ascii="宋体" w:hAnsi="宋体" w:cs="宋体"/>
                <w:b/>
                <w:bCs/>
                <w:color w:val="auto"/>
                <w:sz w:val="22"/>
                <w:szCs w:val="22"/>
              </w:rPr>
            </w:pPr>
          </w:p>
        </w:tc>
        <w:tc>
          <w:tcPr>
            <w:tcW w:w="1636" w:type="dxa"/>
            <w:vAlign w:val="center"/>
          </w:tcPr>
          <w:p w14:paraId="7528220B">
            <w:pPr>
              <w:spacing w:line="380" w:lineRule="exact"/>
              <w:jc w:val="center"/>
              <w:rPr>
                <w:rFonts w:ascii="宋体" w:hAnsi="宋体" w:cs="宋体"/>
                <w:b/>
                <w:bCs/>
                <w:color w:val="auto"/>
                <w:sz w:val="22"/>
                <w:szCs w:val="22"/>
              </w:rPr>
            </w:pPr>
          </w:p>
        </w:tc>
        <w:tc>
          <w:tcPr>
            <w:tcW w:w="1260" w:type="dxa"/>
            <w:vAlign w:val="center"/>
          </w:tcPr>
          <w:p w14:paraId="0C02F313">
            <w:pPr>
              <w:spacing w:line="380" w:lineRule="exact"/>
              <w:jc w:val="center"/>
              <w:rPr>
                <w:rFonts w:ascii="宋体" w:hAnsi="宋体" w:cs="宋体"/>
                <w:b/>
                <w:bCs/>
                <w:color w:val="auto"/>
                <w:sz w:val="22"/>
                <w:szCs w:val="22"/>
              </w:rPr>
            </w:pPr>
          </w:p>
        </w:tc>
        <w:tc>
          <w:tcPr>
            <w:tcW w:w="1345" w:type="dxa"/>
            <w:vAlign w:val="center"/>
          </w:tcPr>
          <w:p w14:paraId="00932CAB">
            <w:pPr>
              <w:spacing w:line="380" w:lineRule="exact"/>
              <w:jc w:val="center"/>
              <w:rPr>
                <w:rFonts w:ascii="宋体" w:hAnsi="宋体" w:cs="宋体"/>
                <w:b/>
                <w:bCs/>
                <w:color w:val="auto"/>
                <w:sz w:val="22"/>
                <w:szCs w:val="22"/>
              </w:rPr>
            </w:pPr>
          </w:p>
        </w:tc>
        <w:tc>
          <w:tcPr>
            <w:tcW w:w="2615" w:type="dxa"/>
            <w:vAlign w:val="center"/>
          </w:tcPr>
          <w:p w14:paraId="70F7C6EC">
            <w:pPr>
              <w:spacing w:line="380" w:lineRule="exact"/>
              <w:jc w:val="center"/>
              <w:rPr>
                <w:rFonts w:ascii="宋体" w:hAnsi="宋体" w:cs="宋体"/>
                <w:b/>
                <w:bCs/>
                <w:color w:val="auto"/>
                <w:sz w:val="22"/>
                <w:szCs w:val="22"/>
              </w:rPr>
            </w:pPr>
          </w:p>
        </w:tc>
      </w:tr>
      <w:tr w14:paraId="16D15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46696E27">
            <w:pPr>
              <w:spacing w:line="380" w:lineRule="exact"/>
              <w:jc w:val="center"/>
              <w:rPr>
                <w:rFonts w:ascii="宋体" w:hAnsi="宋体" w:cs="宋体"/>
                <w:b/>
                <w:bCs/>
                <w:color w:val="auto"/>
                <w:sz w:val="22"/>
                <w:szCs w:val="22"/>
              </w:rPr>
            </w:pPr>
          </w:p>
        </w:tc>
        <w:tc>
          <w:tcPr>
            <w:tcW w:w="2192" w:type="dxa"/>
            <w:vAlign w:val="center"/>
          </w:tcPr>
          <w:p w14:paraId="7B577C5A">
            <w:pPr>
              <w:spacing w:line="380" w:lineRule="exact"/>
              <w:jc w:val="center"/>
              <w:rPr>
                <w:rFonts w:ascii="宋体" w:hAnsi="宋体" w:cs="宋体"/>
                <w:b/>
                <w:bCs/>
                <w:color w:val="auto"/>
                <w:sz w:val="22"/>
                <w:szCs w:val="22"/>
              </w:rPr>
            </w:pPr>
          </w:p>
        </w:tc>
        <w:tc>
          <w:tcPr>
            <w:tcW w:w="1636" w:type="dxa"/>
            <w:vAlign w:val="center"/>
          </w:tcPr>
          <w:p w14:paraId="26A44F38">
            <w:pPr>
              <w:spacing w:line="380" w:lineRule="exact"/>
              <w:jc w:val="center"/>
              <w:rPr>
                <w:rFonts w:ascii="宋体" w:hAnsi="宋体" w:cs="宋体"/>
                <w:b/>
                <w:bCs/>
                <w:color w:val="auto"/>
                <w:sz w:val="22"/>
                <w:szCs w:val="22"/>
              </w:rPr>
            </w:pPr>
          </w:p>
        </w:tc>
        <w:tc>
          <w:tcPr>
            <w:tcW w:w="1260" w:type="dxa"/>
            <w:vAlign w:val="center"/>
          </w:tcPr>
          <w:p w14:paraId="4C7D4357">
            <w:pPr>
              <w:spacing w:line="380" w:lineRule="exact"/>
              <w:jc w:val="center"/>
              <w:rPr>
                <w:rFonts w:ascii="宋体" w:hAnsi="宋体" w:cs="宋体"/>
                <w:b/>
                <w:bCs/>
                <w:color w:val="auto"/>
                <w:sz w:val="22"/>
                <w:szCs w:val="22"/>
              </w:rPr>
            </w:pPr>
          </w:p>
        </w:tc>
        <w:tc>
          <w:tcPr>
            <w:tcW w:w="1345" w:type="dxa"/>
            <w:vAlign w:val="center"/>
          </w:tcPr>
          <w:p w14:paraId="5BA08511">
            <w:pPr>
              <w:spacing w:line="380" w:lineRule="exact"/>
              <w:jc w:val="center"/>
              <w:rPr>
                <w:rFonts w:ascii="宋体" w:hAnsi="宋体" w:cs="宋体"/>
                <w:b/>
                <w:bCs/>
                <w:color w:val="auto"/>
                <w:sz w:val="22"/>
                <w:szCs w:val="22"/>
              </w:rPr>
            </w:pPr>
          </w:p>
        </w:tc>
        <w:tc>
          <w:tcPr>
            <w:tcW w:w="2615" w:type="dxa"/>
            <w:vAlign w:val="center"/>
          </w:tcPr>
          <w:p w14:paraId="77F0D6DC">
            <w:pPr>
              <w:spacing w:line="380" w:lineRule="exact"/>
              <w:jc w:val="center"/>
              <w:rPr>
                <w:rFonts w:ascii="宋体" w:hAnsi="宋体" w:cs="宋体"/>
                <w:b/>
                <w:bCs/>
                <w:color w:val="auto"/>
                <w:sz w:val="22"/>
                <w:szCs w:val="22"/>
              </w:rPr>
            </w:pPr>
          </w:p>
        </w:tc>
      </w:tr>
    </w:tbl>
    <w:p w14:paraId="18F7F247">
      <w:pPr>
        <w:spacing w:line="440" w:lineRule="exact"/>
        <w:rPr>
          <w:rFonts w:ascii="宋体" w:hAnsi="宋体" w:cs="宋体"/>
          <w:b/>
          <w:color w:val="auto"/>
          <w:sz w:val="22"/>
          <w:szCs w:val="22"/>
        </w:rPr>
      </w:pPr>
      <w:r>
        <w:rPr>
          <w:rFonts w:hint="eastAsia" w:ascii="宋体" w:hAnsi="宋体" w:cs="宋体"/>
          <w:b/>
          <w:color w:val="auto"/>
          <w:sz w:val="22"/>
          <w:szCs w:val="22"/>
        </w:rPr>
        <w:t>注：根据评分细则的要求提供相关业绩及证明材料。</w:t>
      </w:r>
    </w:p>
    <w:p w14:paraId="62CDFBCF">
      <w:pPr>
        <w:spacing w:line="440" w:lineRule="exact"/>
        <w:ind w:firstLine="4400" w:firstLineChars="2000"/>
        <w:rPr>
          <w:rFonts w:ascii="宋体" w:hAnsi="宋体" w:cs="宋体"/>
          <w:color w:val="auto"/>
          <w:sz w:val="22"/>
          <w:szCs w:val="22"/>
        </w:rPr>
      </w:pPr>
    </w:p>
    <w:p w14:paraId="00085F82">
      <w:pPr>
        <w:pStyle w:val="36"/>
        <w:rPr>
          <w:color w:val="auto"/>
        </w:rPr>
      </w:pPr>
      <w:r>
        <w:rPr>
          <w:rFonts w:hint="eastAsia"/>
          <w:color w:val="auto"/>
        </w:rPr>
        <w:t xml:space="preserve">  </w:t>
      </w:r>
    </w:p>
    <w:bookmarkEnd w:id="186"/>
    <w:bookmarkEnd w:id="187"/>
    <w:bookmarkEnd w:id="188"/>
    <w:bookmarkEnd w:id="189"/>
    <w:bookmarkEnd w:id="190"/>
    <w:bookmarkEnd w:id="191"/>
    <w:bookmarkEnd w:id="192"/>
    <w:bookmarkEnd w:id="193"/>
    <w:p w14:paraId="4C75EA29">
      <w:pPr>
        <w:pStyle w:val="37"/>
        <w:ind w:firstLine="440"/>
        <w:jc w:val="center"/>
        <w:rPr>
          <w:rFonts w:ascii="宋体" w:hAnsi="宋体" w:cs="宋体"/>
          <w:color w:val="auto"/>
          <w:sz w:val="22"/>
          <w:szCs w:val="28"/>
        </w:rPr>
      </w:pPr>
      <w:bookmarkStart w:id="195" w:name="_Toc524273184"/>
      <w:bookmarkStart w:id="196" w:name="_Toc10560"/>
      <w:bookmarkStart w:id="197" w:name="_Toc195502497"/>
      <w:bookmarkStart w:id="198" w:name="_Toc202085297"/>
      <w:bookmarkStart w:id="199" w:name="_Toc195502587"/>
      <w:bookmarkStart w:id="200" w:name="_Toc2338623"/>
      <w:r>
        <w:rPr>
          <w:rFonts w:hint="eastAsia" w:ascii="宋体" w:hAnsi="宋体" w:cs="宋体"/>
          <w:color w:val="auto"/>
          <w:sz w:val="22"/>
          <w:szCs w:val="28"/>
        </w:rPr>
        <w:t xml:space="preserve">        磋商供应商全称（电子签名/公章）：</w:t>
      </w:r>
    </w:p>
    <w:p w14:paraId="16559B95">
      <w:pPr>
        <w:pStyle w:val="37"/>
        <w:ind w:firstLine="440"/>
        <w:jc w:val="center"/>
        <w:rPr>
          <w:rFonts w:ascii="宋体" w:hAnsi="宋体" w:cs="宋体"/>
          <w:color w:val="auto"/>
          <w:sz w:val="22"/>
          <w:szCs w:val="28"/>
        </w:rPr>
      </w:pPr>
      <w:r>
        <w:rPr>
          <w:rFonts w:hint="eastAsia" w:ascii="宋体" w:hAnsi="宋体" w:cs="宋体"/>
          <w:color w:val="auto"/>
          <w:sz w:val="22"/>
          <w:szCs w:val="28"/>
        </w:rPr>
        <w:t xml:space="preserve">日期：     年    月    日 </w:t>
      </w:r>
    </w:p>
    <w:p w14:paraId="75B1BC3E">
      <w:pPr>
        <w:pStyle w:val="37"/>
        <w:ind w:firstLine="440"/>
        <w:jc w:val="center"/>
        <w:rPr>
          <w:rFonts w:ascii="宋体" w:hAnsi="宋体" w:cs="宋体"/>
          <w:color w:val="auto"/>
          <w:sz w:val="22"/>
          <w:szCs w:val="28"/>
        </w:rPr>
      </w:pPr>
    </w:p>
    <w:p w14:paraId="73017C8D">
      <w:pPr>
        <w:pStyle w:val="37"/>
        <w:ind w:firstLine="440"/>
        <w:jc w:val="center"/>
        <w:rPr>
          <w:rFonts w:ascii="宋体" w:hAnsi="宋体" w:cs="宋体"/>
          <w:color w:val="auto"/>
          <w:sz w:val="22"/>
          <w:szCs w:val="28"/>
        </w:rPr>
      </w:pPr>
    </w:p>
    <w:p w14:paraId="1938E8D3">
      <w:pPr>
        <w:pStyle w:val="37"/>
        <w:ind w:firstLine="440"/>
        <w:jc w:val="center"/>
        <w:rPr>
          <w:rFonts w:ascii="宋体" w:hAnsi="宋体" w:cs="宋体"/>
          <w:color w:val="auto"/>
          <w:sz w:val="22"/>
          <w:szCs w:val="28"/>
        </w:rPr>
      </w:pPr>
    </w:p>
    <w:p w14:paraId="4ED4A995">
      <w:pPr>
        <w:pStyle w:val="37"/>
        <w:ind w:firstLine="440"/>
        <w:jc w:val="center"/>
        <w:rPr>
          <w:rFonts w:ascii="宋体" w:hAnsi="宋体" w:cs="宋体"/>
          <w:color w:val="auto"/>
          <w:sz w:val="22"/>
          <w:szCs w:val="28"/>
        </w:rPr>
      </w:pPr>
    </w:p>
    <w:p w14:paraId="53897638">
      <w:pPr>
        <w:pStyle w:val="37"/>
        <w:ind w:firstLine="440"/>
        <w:jc w:val="center"/>
        <w:rPr>
          <w:rFonts w:ascii="宋体" w:hAnsi="宋体" w:cs="宋体"/>
          <w:color w:val="auto"/>
          <w:sz w:val="22"/>
          <w:szCs w:val="28"/>
        </w:rPr>
      </w:pPr>
    </w:p>
    <w:p w14:paraId="35D8CB1D">
      <w:pPr>
        <w:pStyle w:val="3"/>
        <w:spacing w:line="240" w:lineRule="auto"/>
        <w:rPr>
          <w:rFonts w:ascii="黑体" w:hAnsi="黑体" w:cs="黑体"/>
          <w:color w:val="auto"/>
          <w:sz w:val="24"/>
          <w:szCs w:val="24"/>
        </w:rPr>
      </w:pPr>
      <w:bookmarkStart w:id="201" w:name="_Toc9818"/>
      <w:bookmarkStart w:id="202" w:name="_Toc27994"/>
      <w:bookmarkStart w:id="203" w:name="_Toc26081"/>
      <w:bookmarkStart w:id="204" w:name="_Toc6605"/>
      <w:bookmarkStart w:id="205" w:name="_Toc24584"/>
      <w:r>
        <w:rPr>
          <w:rFonts w:hint="eastAsia" w:ascii="黑体" w:hAnsi="黑体" w:cs="黑体"/>
          <w:color w:val="auto"/>
          <w:sz w:val="24"/>
          <w:szCs w:val="24"/>
        </w:rPr>
        <w:t>附件</w:t>
      </w:r>
      <w:r>
        <w:rPr>
          <w:rFonts w:hint="eastAsia" w:ascii="黑体" w:hAnsi="黑体" w:cs="黑体"/>
          <w:color w:val="auto"/>
          <w:sz w:val="24"/>
          <w:szCs w:val="24"/>
          <w:lang w:val="en-US" w:eastAsia="zh-CN"/>
        </w:rPr>
        <w:t>八</w:t>
      </w:r>
      <w:r>
        <w:rPr>
          <w:rFonts w:hint="eastAsia" w:ascii="黑体" w:hAnsi="黑体" w:cs="黑体"/>
          <w:color w:val="auto"/>
          <w:sz w:val="24"/>
          <w:szCs w:val="24"/>
        </w:rPr>
        <w:t xml:space="preserve">  政府采购政策功能相关说明</w:t>
      </w:r>
      <w:bookmarkEnd w:id="195"/>
      <w:bookmarkEnd w:id="196"/>
      <w:bookmarkEnd w:id="201"/>
      <w:bookmarkEnd w:id="202"/>
      <w:bookmarkEnd w:id="203"/>
      <w:bookmarkEnd w:id="204"/>
      <w:bookmarkEnd w:id="205"/>
    </w:p>
    <w:p w14:paraId="438EEFC4">
      <w:pPr>
        <w:spacing w:line="440" w:lineRule="exact"/>
        <w:ind w:left="649" w:hanging="649" w:hangingChars="294"/>
        <w:jc w:val="center"/>
        <w:rPr>
          <w:rFonts w:ascii="宋体" w:hAnsi="宋体" w:cs="宋体"/>
          <w:b/>
          <w:color w:val="auto"/>
          <w:sz w:val="22"/>
          <w:szCs w:val="22"/>
        </w:rPr>
      </w:pPr>
      <w:r>
        <w:rPr>
          <w:rFonts w:hint="eastAsia" w:ascii="宋体" w:hAnsi="宋体" w:cs="宋体"/>
          <w:b/>
          <w:color w:val="auto"/>
          <w:sz w:val="22"/>
          <w:szCs w:val="22"/>
        </w:rPr>
        <w:t>（1）小、微企业（含监狱企业、残疾人福利性单位）扶持政策说明</w:t>
      </w:r>
    </w:p>
    <w:p w14:paraId="5F565768">
      <w:pPr>
        <w:spacing w:line="440" w:lineRule="atLeast"/>
        <w:rPr>
          <w:rFonts w:ascii="宋体" w:hAnsi="宋体" w:cs="宋体"/>
          <w:color w:val="auto"/>
          <w:sz w:val="22"/>
          <w:szCs w:val="22"/>
        </w:rPr>
      </w:pPr>
      <w:r>
        <w:rPr>
          <w:rFonts w:hint="eastAsia" w:ascii="宋体" w:hAnsi="宋体" w:cs="宋体"/>
          <w:color w:val="auto"/>
          <w:sz w:val="22"/>
          <w:szCs w:val="22"/>
        </w:rPr>
        <w:t>1.   文件依据</w:t>
      </w:r>
    </w:p>
    <w:p w14:paraId="69CB228B">
      <w:pPr>
        <w:spacing w:line="440" w:lineRule="atLeast"/>
        <w:rPr>
          <w:rFonts w:ascii="宋体" w:hAnsi="宋体" w:cs="宋体"/>
          <w:color w:val="auto"/>
          <w:sz w:val="22"/>
          <w:szCs w:val="22"/>
        </w:rPr>
      </w:pPr>
      <w:r>
        <w:rPr>
          <w:rFonts w:hint="eastAsia" w:ascii="宋体" w:hAnsi="宋体" w:cs="宋体"/>
          <w:color w:val="auto"/>
          <w:sz w:val="22"/>
          <w:szCs w:val="22"/>
        </w:rPr>
        <w:t>（1）关于印发《政府采购促进中小企业发展暂行办法》的通知（财库〔2020〕46号）</w:t>
      </w:r>
    </w:p>
    <w:p w14:paraId="737EAAC3">
      <w:pPr>
        <w:spacing w:line="440" w:lineRule="atLeast"/>
        <w:rPr>
          <w:rFonts w:ascii="宋体" w:hAnsi="宋体" w:cs="宋体"/>
          <w:color w:val="auto"/>
          <w:sz w:val="22"/>
          <w:szCs w:val="22"/>
        </w:rPr>
      </w:pPr>
      <w:r>
        <w:rPr>
          <w:rFonts w:hint="eastAsia" w:ascii="宋体" w:hAnsi="宋体" w:cs="宋体"/>
          <w:color w:val="auto"/>
          <w:sz w:val="22"/>
          <w:szCs w:val="22"/>
        </w:rPr>
        <w:t>（4）《工业和信息化部、国家统计局、国家发展和改革委员会、财政部关于印发中小企业划型标准规定的通知》（工信部联企业[2011]300号）</w:t>
      </w:r>
    </w:p>
    <w:p w14:paraId="73B62D01">
      <w:pPr>
        <w:spacing w:line="440" w:lineRule="atLeast"/>
        <w:rPr>
          <w:rFonts w:ascii="宋体" w:hAnsi="宋体" w:cs="宋体"/>
          <w:color w:val="auto"/>
          <w:sz w:val="22"/>
          <w:szCs w:val="22"/>
        </w:rPr>
      </w:pPr>
      <w:r>
        <w:rPr>
          <w:rFonts w:hint="eastAsia" w:ascii="宋体" w:hAnsi="宋体" w:cs="宋体"/>
          <w:color w:val="auto"/>
          <w:sz w:val="22"/>
          <w:szCs w:val="22"/>
        </w:rPr>
        <w:t>（3）财政部、司法部《关于政府采购支持监狱企业发展有关问题的通知》（财库〔2014〕68号）</w:t>
      </w:r>
    </w:p>
    <w:p w14:paraId="1D2654BE">
      <w:pPr>
        <w:spacing w:line="440" w:lineRule="atLeast"/>
        <w:rPr>
          <w:rFonts w:ascii="宋体" w:hAnsi="宋体" w:cs="宋体"/>
          <w:color w:val="auto"/>
          <w:sz w:val="22"/>
          <w:szCs w:val="22"/>
        </w:rPr>
      </w:pPr>
      <w:r>
        <w:rPr>
          <w:rFonts w:hint="eastAsia" w:ascii="宋体" w:hAnsi="宋体" w:cs="宋体"/>
          <w:color w:val="auto"/>
          <w:sz w:val="22"/>
          <w:szCs w:val="22"/>
        </w:rPr>
        <w:t>（4）《财政部 民政部 中国残疾人联合会关于促进残疾人就业政府采购政策的通知》（财库〔2017〕 141号）</w:t>
      </w:r>
    </w:p>
    <w:p w14:paraId="13770D56">
      <w:pPr>
        <w:spacing w:line="440" w:lineRule="atLeast"/>
        <w:rPr>
          <w:rFonts w:ascii="宋体" w:hAnsi="宋体" w:cs="宋体"/>
          <w:color w:val="auto"/>
          <w:sz w:val="22"/>
          <w:szCs w:val="22"/>
        </w:rPr>
      </w:pPr>
      <w:r>
        <w:rPr>
          <w:rFonts w:hint="eastAsia" w:ascii="宋体" w:hAnsi="宋体" w:cs="宋体"/>
          <w:color w:val="auto"/>
          <w:sz w:val="22"/>
          <w:szCs w:val="22"/>
        </w:rPr>
        <w:t>2.   中小企业应具备的条件：</w:t>
      </w:r>
    </w:p>
    <w:p w14:paraId="29802FC0">
      <w:pPr>
        <w:spacing w:line="440" w:lineRule="atLeast"/>
        <w:rPr>
          <w:rFonts w:ascii="宋体" w:hAnsi="宋体" w:cs="宋体"/>
          <w:b/>
          <w:color w:val="auto"/>
          <w:sz w:val="22"/>
          <w:szCs w:val="22"/>
        </w:rPr>
      </w:pPr>
      <w:r>
        <w:rPr>
          <w:rFonts w:hint="eastAsia" w:ascii="宋体" w:hAnsi="宋体" w:cs="宋体"/>
          <w:b/>
          <w:color w:val="auto"/>
          <w:sz w:val="22"/>
          <w:szCs w:val="22"/>
        </w:rPr>
        <w:t>（1）符合中小企业划分标准；</w:t>
      </w:r>
    </w:p>
    <w:p w14:paraId="49538945">
      <w:pPr>
        <w:spacing w:line="440" w:lineRule="atLeast"/>
        <w:rPr>
          <w:rFonts w:ascii="宋体" w:hAnsi="宋体" w:cs="宋体"/>
          <w:b/>
          <w:color w:val="auto"/>
          <w:sz w:val="22"/>
          <w:szCs w:val="22"/>
        </w:rPr>
      </w:pPr>
      <w:r>
        <w:rPr>
          <w:rFonts w:hint="eastAsia" w:ascii="宋体" w:hAnsi="宋体" w:cs="宋体"/>
          <w:b/>
          <w:color w:val="auto"/>
          <w:sz w:val="22"/>
          <w:szCs w:val="22"/>
        </w:rPr>
        <w:t>（2）在货物采购项目中，货物由中小企业制造，即货物由中小企业生产且使用该中小企业商号或者注册商标；</w:t>
      </w:r>
    </w:p>
    <w:p w14:paraId="2F5F1975">
      <w:pPr>
        <w:spacing w:line="440" w:lineRule="atLeast"/>
        <w:rPr>
          <w:rFonts w:ascii="宋体" w:hAnsi="宋体" w:cs="宋体"/>
          <w:b/>
          <w:color w:val="auto"/>
          <w:sz w:val="22"/>
          <w:szCs w:val="22"/>
        </w:rPr>
      </w:pPr>
      <w:r>
        <w:rPr>
          <w:rFonts w:hint="eastAsia" w:ascii="宋体" w:hAnsi="宋体" w:cs="宋体"/>
          <w:b/>
          <w:color w:val="auto"/>
          <w:sz w:val="22"/>
          <w:szCs w:val="22"/>
        </w:rPr>
        <w:t>（3）在工程采购项目中，工程由中小企业承建，即工程施工单位为中小企业；</w:t>
      </w:r>
    </w:p>
    <w:p w14:paraId="69D62CD2">
      <w:pPr>
        <w:spacing w:line="440" w:lineRule="atLeast"/>
        <w:rPr>
          <w:rFonts w:ascii="宋体" w:hAnsi="宋体" w:cs="宋体"/>
          <w:b/>
          <w:color w:val="auto"/>
          <w:sz w:val="22"/>
          <w:szCs w:val="22"/>
        </w:rPr>
      </w:pPr>
      <w:r>
        <w:rPr>
          <w:rFonts w:hint="eastAsia" w:ascii="宋体" w:hAnsi="宋体" w:cs="宋体"/>
          <w:b/>
          <w:color w:val="auto"/>
          <w:sz w:val="22"/>
          <w:szCs w:val="22"/>
        </w:rPr>
        <w:t>（4）在服务采购项目中，服务由中小企业承接，即提供服务的人员为中小企业依照《中华人民共和国劳动合同法》订立劳动合同的从业人员。</w:t>
      </w:r>
    </w:p>
    <w:p w14:paraId="087EA25C">
      <w:pPr>
        <w:spacing w:line="440" w:lineRule="atLeast"/>
        <w:rPr>
          <w:rFonts w:ascii="宋体" w:hAnsi="宋体" w:cs="宋体"/>
          <w:b/>
          <w:color w:val="auto"/>
          <w:sz w:val="22"/>
          <w:szCs w:val="22"/>
        </w:rPr>
      </w:pPr>
      <w:r>
        <w:rPr>
          <w:rFonts w:hint="eastAsia" w:ascii="宋体" w:hAnsi="宋体" w:cs="宋体"/>
          <w:b/>
          <w:color w:val="auto"/>
          <w:sz w:val="22"/>
          <w:szCs w:val="22"/>
        </w:rPr>
        <w:t>（5）在货物采购项目中，供应商提供的货物既有中小企业制造货物，也有大型企业制造货物的，不享受本办法规定的中小企业扶持政策。</w:t>
      </w:r>
    </w:p>
    <w:p w14:paraId="403A37CA">
      <w:pPr>
        <w:spacing w:line="440" w:lineRule="atLeast"/>
        <w:rPr>
          <w:rFonts w:ascii="宋体" w:hAnsi="宋体" w:cs="宋体"/>
          <w:b/>
          <w:color w:val="auto"/>
          <w:sz w:val="22"/>
          <w:szCs w:val="22"/>
        </w:rPr>
      </w:pPr>
      <w:r>
        <w:rPr>
          <w:rFonts w:hint="eastAsia" w:ascii="宋体" w:hAnsi="宋体" w:cs="宋体"/>
          <w:b/>
          <w:color w:val="auto"/>
          <w:sz w:val="22"/>
          <w:szCs w:val="22"/>
        </w:rPr>
        <w:t>（6）以联合体形式参加政府采购活动，联合体各方均为中小企业的，联合体视同中小企业。其中，联合体各方均为小微企业的，联合体视同小微企业。</w:t>
      </w:r>
    </w:p>
    <w:p w14:paraId="16DE966E">
      <w:pPr>
        <w:spacing w:line="440" w:lineRule="atLeast"/>
        <w:rPr>
          <w:rFonts w:ascii="宋体" w:hAnsi="宋体" w:cs="宋体"/>
          <w:color w:val="auto"/>
          <w:sz w:val="22"/>
          <w:szCs w:val="22"/>
        </w:rPr>
      </w:pPr>
      <w:r>
        <w:rPr>
          <w:rFonts w:hint="eastAsia" w:ascii="宋体" w:hAnsi="宋体" w:cs="宋体"/>
          <w:color w:val="auto"/>
          <w:sz w:val="22"/>
          <w:szCs w:val="22"/>
        </w:rPr>
        <w:t xml:space="preserve">3.   </w:t>
      </w:r>
      <w:r>
        <w:rPr>
          <w:rFonts w:hint="eastAsia" w:ascii="宋体" w:hAnsi="宋体" w:cs="宋体"/>
          <w:color w:val="auto"/>
          <w:sz w:val="22"/>
          <w:szCs w:val="22"/>
          <w:u w:val="single"/>
        </w:rPr>
        <w:t>中小企业应提供以下证明材料（</w:t>
      </w:r>
      <w:r>
        <w:rPr>
          <w:rFonts w:hint="eastAsia" w:ascii="宋体" w:hAnsi="宋体" w:cs="宋体"/>
          <w:color w:val="auto"/>
          <w:sz w:val="22"/>
          <w:szCs w:val="22"/>
          <w:u w:val="single"/>
          <w:lang w:val="en-US" w:eastAsia="zh-CN"/>
        </w:rPr>
        <w:t>资格</w:t>
      </w:r>
      <w:r>
        <w:rPr>
          <w:rFonts w:hint="eastAsia" w:ascii="宋体" w:hAnsi="宋体" w:cs="宋体"/>
          <w:color w:val="auto"/>
          <w:sz w:val="22"/>
          <w:szCs w:val="22"/>
          <w:u w:val="single"/>
        </w:rPr>
        <w:t>文件中）</w:t>
      </w:r>
      <w:r>
        <w:rPr>
          <w:rFonts w:hint="eastAsia" w:ascii="宋体" w:hAnsi="宋体" w:cs="宋体"/>
          <w:color w:val="auto"/>
          <w:sz w:val="22"/>
          <w:szCs w:val="22"/>
        </w:rPr>
        <w:t>：</w:t>
      </w:r>
    </w:p>
    <w:p w14:paraId="2E21C315">
      <w:pPr>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《中小企业声明函》（加盖供应商公章，格式见附件1）</w:t>
      </w:r>
    </w:p>
    <w:p w14:paraId="4F5A2DEE">
      <w:pPr>
        <w:spacing w:line="440" w:lineRule="atLeast"/>
        <w:ind w:left="550" w:hanging="550" w:hangingChars="250"/>
        <w:rPr>
          <w:rFonts w:ascii="宋体" w:hAnsi="宋体" w:cs="宋体"/>
          <w:color w:val="auto"/>
          <w:sz w:val="22"/>
          <w:szCs w:val="22"/>
        </w:rPr>
      </w:pPr>
      <w:r>
        <w:rPr>
          <w:rFonts w:hint="eastAsia" w:ascii="宋体" w:hAnsi="宋体" w:cs="宋体"/>
          <w:color w:val="auto"/>
          <w:sz w:val="22"/>
          <w:szCs w:val="22"/>
        </w:rPr>
        <w:t>4.   监狱企业应提供以下证明材料（</w:t>
      </w:r>
      <w:r>
        <w:rPr>
          <w:rFonts w:hint="eastAsia" w:ascii="宋体" w:hAnsi="宋体" w:cs="宋体"/>
          <w:color w:val="auto"/>
          <w:sz w:val="22"/>
          <w:szCs w:val="22"/>
          <w:u w:val="single"/>
          <w:lang w:val="en-US" w:eastAsia="zh-CN"/>
        </w:rPr>
        <w:t>资格</w:t>
      </w:r>
      <w:r>
        <w:rPr>
          <w:rFonts w:hint="eastAsia" w:ascii="宋体" w:hAnsi="宋体" w:cs="宋体"/>
          <w:color w:val="auto"/>
          <w:sz w:val="22"/>
          <w:szCs w:val="22"/>
          <w:u w:val="single"/>
        </w:rPr>
        <w:t>文件中</w:t>
      </w:r>
      <w:r>
        <w:rPr>
          <w:rFonts w:hint="eastAsia" w:ascii="宋体" w:hAnsi="宋体" w:cs="宋体"/>
          <w:color w:val="auto"/>
          <w:sz w:val="22"/>
          <w:szCs w:val="22"/>
        </w:rPr>
        <w:t>）：</w:t>
      </w:r>
    </w:p>
    <w:p w14:paraId="0925783A">
      <w:pPr>
        <w:spacing w:line="440" w:lineRule="atLeast"/>
        <w:ind w:left="550" w:hanging="550" w:hangingChars="250"/>
        <w:rPr>
          <w:rFonts w:ascii="宋体" w:hAnsi="宋体" w:cs="宋体"/>
          <w:color w:val="auto"/>
          <w:sz w:val="22"/>
          <w:szCs w:val="22"/>
        </w:rPr>
      </w:pPr>
      <w:r>
        <w:rPr>
          <w:rFonts w:hint="eastAsia" w:ascii="宋体" w:hAnsi="宋体" w:cs="宋体"/>
          <w:color w:val="auto"/>
          <w:sz w:val="22"/>
          <w:szCs w:val="22"/>
        </w:rPr>
        <w:t>（1）监狱企业参加政府采购活动时，应当提供由省级以上监狱管理局、戒毒管理局(含新疆生产建设兵团)出具的属于监狱企业的证明文件（加盖供应商公章）。在政府采购活动中，监狱企业视同小型、微型企业。</w:t>
      </w:r>
    </w:p>
    <w:p w14:paraId="75BDBC96">
      <w:pPr>
        <w:spacing w:line="440" w:lineRule="atLeast"/>
        <w:ind w:left="550" w:hanging="550" w:hangingChars="250"/>
        <w:rPr>
          <w:rFonts w:ascii="宋体" w:hAnsi="宋体" w:cs="宋体"/>
          <w:color w:val="auto"/>
          <w:sz w:val="22"/>
          <w:szCs w:val="22"/>
        </w:rPr>
      </w:pPr>
      <w:r>
        <w:rPr>
          <w:rFonts w:hint="eastAsia" w:ascii="宋体" w:hAnsi="宋体" w:cs="宋体"/>
          <w:color w:val="auto"/>
          <w:sz w:val="22"/>
          <w:szCs w:val="22"/>
        </w:rPr>
        <w:t xml:space="preserve">5.  </w:t>
      </w:r>
      <w:r>
        <w:rPr>
          <w:rFonts w:hint="eastAsia" w:ascii="宋体" w:hAnsi="宋体" w:cs="宋体"/>
          <w:color w:val="auto"/>
          <w:sz w:val="22"/>
          <w:szCs w:val="22"/>
          <w:u w:val="single"/>
        </w:rPr>
        <w:t>残疾人福利性单位应提供以下证明材料（</w:t>
      </w:r>
      <w:r>
        <w:rPr>
          <w:rFonts w:hint="eastAsia" w:ascii="宋体" w:hAnsi="宋体" w:cs="宋体"/>
          <w:color w:val="auto"/>
          <w:sz w:val="22"/>
          <w:szCs w:val="22"/>
          <w:u w:val="single"/>
          <w:lang w:val="en-US" w:eastAsia="zh-CN"/>
        </w:rPr>
        <w:t>资格</w:t>
      </w:r>
      <w:r>
        <w:rPr>
          <w:rFonts w:hint="eastAsia" w:ascii="宋体" w:hAnsi="宋体" w:cs="宋体"/>
          <w:color w:val="auto"/>
          <w:sz w:val="22"/>
          <w:szCs w:val="22"/>
          <w:u w:val="single"/>
        </w:rPr>
        <w:t>文件中）</w:t>
      </w:r>
      <w:r>
        <w:rPr>
          <w:rFonts w:hint="eastAsia" w:ascii="宋体" w:hAnsi="宋体" w:cs="宋体"/>
          <w:color w:val="auto"/>
          <w:sz w:val="22"/>
          <w:szCs w:val="22"/>
        </w:rPr>
        <w:t>：</w:t>
      </w:r>
    </w:p>
    <w:p w14:paraId="136ABF70">
      <w:pPr>
        <w:spacing w:line="440" w:lineRule="atLeast"/>
        <w:rPr>
          <w:rFonts w:ascii="宋体" w:hAnsi="宋体" w:cs="宋体"/>
          <w:color w:val="auto"/>
          <w:sz w:val="22"/>
          <w:szCs w:val="22"/>
        </w:rPr>
      </w:pPr>
      <w:r>
        <w:rPr>
          <w:rFonts w:hint="eastAsia" w:ascii="宋体" w:hAnsi="宋体" w:cs="宋体"/>
          <w:color w:val="auto"/>
          <w:sz w:val="22"/>
          <w:szCs w:val="22"/>
        </w:rPr>
        <w:t>（1）残疾人福利性单位声明函（加盖供应商公章，格式见附件2）。</w:t>
      </w:r>
    </w:p>
    <w:p w14:paraId="7C4DBE2A">
      <w:pPr>
        <w:spacing w:line="440" w:lineRule="atLeast"/>
        <w:rPr>
          <w:rFonts w:ascii="宋体" w:hAnsi="宋体" w:cs="宋体"/>
          <w:color w:val="auto"/>
          <w:sz w:val="22"/>
          <w:szCs w:val="22"/>
        </w:rPr>
      </w:pPr>
      <w:r>
        <w:rPr>
          <w:rFonts w:hint="eastAsia" w:ascii="宋体" w:hAnsi="宋体" w:cs="宋体"/>
          <w:color w:val="auto"/>
          <w:sz w:val="22"/>
          <w:szCs w:val="22"/>
        </w:rPr>
        <w:br w:type="page"/>
      </w:r>
      <w:r>
        <w:rPr>
          <w:rFonts w:hint="eastAsia" w:ascii="宋体" w:hAnsi="宋体" w:cs="宋体"/>
          <w:color w:val="auto"/>
          <w:sz w:val="22"/>
          <w:szCs w:val="22"/>
        </w:rPr>
        <w:t>附件1：</w:t>
      </w:r>
    </w:p>
    <w:p w14:paraId="0AFDAEBE">
      <w:pPr>
        <w:pStyle w:val="14"/>
        <w:spacing w:line="440" w:lineRule="exact"/>
        <w:ind w:left="860"/>
        <w:jc w:val="center"/>
        <w:rPr>
          <w:rFonts w:ascii="宋体" w:hAnsi="宋体"/>
          <w:b/>
          <w:bCs/>
          <w:color w:val="auto"/>
          <w:sz w:val="24"/>
        </w:rPr>
      </w:pPr>
      <w:r>
        <w:rPr>
          <w:rFonts w:ascii="宋体" w:hAnsi="宋体"/>
          <w:b/>
          <w:bCs/>
          <w:color w:val="auto"/>
          <w:sz w:val="24"/>
        </w:rPr>
        <w:t>中小企业声明函（货物）</w:t>
      </w:r>
    </w:p>
    <w:p w14:paraId="544FCE3E">
      <w:pPr>
        <w:pStyle w:val="14"/>
        <w:spacing w:line="440" w:lineRule="exact"/>
        <w:rPr>
          <w:rFonts w:ascii="宋体" w:hAnsi="宋体"/>
          <w:b/>
          <w:color w:val="auto"/>
          <w:sz w:val="22"/>
          <w:szCs w:val="22"/>
        </w:rPr>
      </w:pPr>
    </w:p>
    <w:p w14:paraId="1ACC891A">
      <w:pPr>
        <w:pStyle w:val="14"/>
        <w:spacing w:before="55" w:line="480" w:lineRule="exact"/>
        <w:ind w:right="-1" w:firstLine="660" w:firstLineChars="300"/>
        <w:rPr>
          <w:rFonts w:ascii="宋体" w:hAnsi="宋体"/>
          <w:color w:val="auto"/>
          <w:sz w:val="22"/>
          <w:szCs w:val="22"/>
        </w:rPr>
      </w:pPr>
      <w:r>
        <w:rPr>
          <w:rFonts w:ascii="宋体" w:hAnsi="宋体"/>
          <w:color w:val="auto"/>
          <w:sz w:val="22"/>
          <w:szCs w:val="22"/>
        </w:rPr>
        <w:t>本公司（联合体）郑重声明，根据《政府采购促进中小企业发展管理办法》（财库</w:t>
      </w:r>
      <w:r>
        <w:rPr>
          <w:rFonts w:hint="eastAsia" w:ascii="宋体" w:hAnsi="宋体"/>
          <w:color w:val="auto"/>
          <w:sz w:val="22"/>
          <w:szCs w:val="22"/>
        </w:rPr>
        <w:t>﹝</w:t>
      </w:r>
      <w:r>
        <w:rPr>
          <w:rFonts w:ascii="宋体" w:hAnsi="宋体"/>
          <w:color w:val="auto"/>
          <w:sz w:val="22"/>
          <w:szCs w:val="22"/>
        </w:rPr>
        <w:t>2020</w:t>
      </w:r>
      <w:r>
        <w:rPr>
          <w:rFonts w:hint="eastAsia" w:ascii="宋体" w:hAnsi="宋体"/>
          <w:color w:val="auto"/>
          <w:sz w:val="22"/>
          <w:szCs w:val="22"/>
        </w:rPr>
        <w:t>﹞</w:t>
      </w:r>
      <w:r>
        <w:rPr>
          <w:rFonts w:ascii="宋体" w:hAnsi="宋体"/>
          <w:color w:val="auto"/>
          <w:sz w:val="22"/>
          <w:szCs w:val="22"/>
        </w:rPr>
        <w:t>46号）的规定，本公司（联合体）参加</w:t>
      </w:r>
      <w:r>
        <w:rPr>
          <w:rFonts w:ascii="宋体" w:hAnsi="宋体"/>
          <w:color w:val="auto"/>
          <w:sz w:val="22"/>
          <w:szCs w:val="22"/>
          <w:u w:val="single"/>
        </w:rPr>
        <w:t>（单位名称）</w:t>
      </w:r>
      <w:r>
        <w:rPr>
          <w:rFonts w:ascii="宋体" w:hAnsi="宋体"/>
          <w:color w:val="auto"/>
          <w:sz w:val="22"/>
          <w:szCs w:val="22"/>
        </w:rPr>
        <w:t>的</w:t>
      </w:r>
      <w:r>
        <w:rPr>
          <w:rFonts w:ascii="宋体" w:hAnsi="宋体"/>
          <w:color w:val="auto"/>
          <w:sz w:val="22"/>
          <w:szCs w:val="22"/>
          <w:u w:val="single"/>
        </w:rPr>
        <w:t>（项目名称）</w:t>
      </w:r>
      <w:r>
        <w:rPr>
          <w:rFonts w:ascii="宋体" w:hAnsi="宋体"/>
          <w:color w:val="auto"/>
          <w:sz w:val="22"/>
          <w:szCs w:val="22"/>
        </w:rPr>
        <w:t>采购活动，提供的货物全部由符合政策要求的中小企业制造。相关企业（含联合体中的中小企业、签订分包意向协议的中小企业）的具体情况如下：</w:t>
      </w:r>
    </w:p>
    <w:p w14:paraId="5C6519FF">
      <w:pPr>
        <w:tabs>
          <w:tab w:val="left" w:pos="1183"/>
          <w:tab w:val="left" w:pos="1484"/>
          <w:tab w:val="left" w:pos="3825"/>
        </w:tabs>
        <w:spacing w:line="480" w:lineRule="exact"/>
        <w:ind w:firstLine="440" w:firstLineChars="200"/>
        <w:rPr>
          <w:rFonts w:ascii="宋体" w:hAnsi="宋体"/>
          <w:color w:val="auto"/>
          <w:sz w:val="22"/>
          <w:szCs w:val="22"/>
        </w:rPr>
      </w:pPr>
      <w:r>
        <w:rPr>
          <w:rFonts w:ascii="宋体" w:hAnsi="宋体"/>
          <w:color w:val="auto"/>
          <w:sz w:val="22"/>
          <w:szCs w:val="22"/>
        </w:rPr>
        <w:t>1.</w:t>
      </w:r>
      <w:r>
        <w:rPr>
          <w:rFonts w:ascii="宋体" w:hAnsi="宋体"/>
          <w:color w:val="auto"/>
          <w:sz w:val="22"/>
          <w:szCs w:val="22"/>
          <w:u w:val="single"/>
        </w:rPr>
        <w:t>（标的名称）</w:t>
      </w:r>
      <w:r>
        <w:rPr>
          <w:rFonts w:ascii="宋体" w:hAnsi="宋体"/>
          <w:color w:val="auto"/>
          <w:sz w:val="22"/>
          <w:szCs w:val="22"/>
        </w:rPr>
        <w:t>，属于</w:t>
      </w:r>
      <w:r>
        <w:rPr>
          <w:rFonts w:ascii="宋体" w:hAnsi="宋体"/>
          <w:color w:val="auto"/>
          <w:sz w:val="22"/>
          <w:szCs w:val="22"/>
          <w:u w:val="single"/>
        </w:rPr>
        <w:t>（</w:t>
      </w:r>
      <w:r>
        <w:rPr>
          <w:rFonts w:hint="eastAsia" w:ascii="宋体" w:hAnsi="宋体"/>
          <w:color w:val="auto"/>
          <w:sz w:val="22"/>
          <w:szCs w:val="22"/>
          <w:u w:val="single"/>
          <w:lang w:val="en-US" w:eastAsia="zh-CN"/>
        </w:rPr>
        <w:t>工业</w:t>
      </w:r>
      <w:r>
        <w:rPr>
          <w:rFonts w:ascii="宋体" w:hAnsi="宋体"/>
          <w:color w:val="auto"/>
          <w:sz w:val="22"/>
          <w:szCs w:val="22"/>
          <w:u w:val="single"/>
        </w:rPr>
        <w:t>）行业</w:t>
      </w:r>
      <w:r>
        <w:rPr>
          <w:rFonts w:ascii="宋体" w:hAnsi="宋体"/>
          <w:color w:val="auto"/>
          <w:sz w:val="22"/>
          <w:szCs w:val="22"/>
        </w:rPr>
        <w:t>；制造商为</w:t>
      </w:r>
      <w:r>
        <w:rPr>
          <w:rFonts w:ascii="宋体" w:hAnsi="宋体"/>
          <w:color w:val="auto"/>
          <w:sz w:val="22"/>
          <w:szCs w:val="22"/>
          <w:u w:val="single"/>
        </w:rPr>
        <w:t>（企业名称）</w:t>
      </w:r>
      <w:r>
        <w:rPr>
          <w:rFonts w:ascii="宋体" w:hAnsi="宋体"/>
          <w:color w:val="auto"/>
          <w:sz w:val="22"/>
          <w:szCs w:val="22"/>
        </w:rPr>
        <w:t>，从业人员</w:t>
      </w:r>
      <w:r>
        <w:rPr>
          <w:rFonts w:ascii="宋体" w:hAnsi="宋体"/>
          <w:color w:val="auto"/>
          <w:sz w:val="22"/>
          <w:szCs w:val="22"/>
          <w:u w:val="single"/>
        </w:rPr>
        <w:t xml:space="preserve">   </w:t>
      </w:r>
      <w:r>
        <w:rPr>
          <w:rFonts w:ascii="宋体" w:hAnsi="宋体"/>
          <w:color w:val="auto"/>
          <w:sz w:val="22"/>
          <w:szCs w:val="22"/>
        </w:rPr>
        <w:t>人，营业收入为</w:t>
      </w:r>
      <w:r>
        <w:rPr>
          <w:rFonts w:hint="eastAsia" w:ascii="宋体" w:hAnsi="宋体"/>
          <w:color w:val="auto"/>
          <w:sz w:val="22"/>
          <w:szCs w:val="22"/>
          <w:u w:val="single"/>
        </w:rPr>
        <w:t xml:space="preserve"> </w:t>
      </w:r>
      <w:r>
        <w:rPr>
          <w:rFonts w:ascii="宋体" w:hAnsi="宋体"/>
          <w:color w:val="auto"/>
          <w:sz w:val="22"/>
          <w:szCs w:val="22"/>
          <w:u w:val="single"/>
        </w:rPr>
        <w:t xml:space="preserve">  </w:t>
      </w:r>
      <w:r>
        <w:rPr>
          <w:rFonts w:ascii="宋体" w:hAnsi="宋体"/>
          <w:color w:val="auto"/>
          <w:sz w:val="22"/>
          <w:szCs w:val="22"/>
        </w:rPr>
        <w:t>万元，资产总额为</w:t>
      </w:r>
      <w:r>
        <w:rPr>
          <w:rFonts w:ascii="宋体" w:hAnsi="宋体"/>
          <w:color w:val="auto"/>
          <w:sz w:val="22"/>
          <w:szCs w:val="22"/>
          <w:u w:val="single"/>
        </w:rPr>
        <w:t xml:space="preserve">    </w:t>
      </w:r>
      <w:r>
        <w:rPr>
          <w:rFonts w:ascii="宋体" w:hAnsi="宋体"/>
          <w:color w:val="auto"/>
          <w:sz w:val="22"/>
          <w:szCs w:val="22"/>
        </w:rPr>
        <w:t>万元，属于</w:t>
      </w:r>
      <w:r>
        <w:rPr>
          <w:rFonts w:ascii="宋体" w:hAnsi="宋体"/>
          <w:color w:val="auto"/>
          <w:sz w:val="22"/>
          <w:szCs w:val="22"/>
          <w:u w:val="single"/>
        </w:rPr>
        <w:t>（中型企业、小型企业、微型企业）</w:t>
      </w:r>
      <w:r>
        <w:rPr>
          <w:rFonts w:hint="eastAsia" w:ascii="宋体" w:hAnsi="宋体"/>
          <w:color w:val="auto"/>
          <w:sz w:val="22"/>
          <w:szCs w:val="22"/>
        </w:rPr>
        <w:t>；</w:t>
      </w:r>
    </w:p>
    <w:p w14:paraId="7D87ACAA">
      <w:pPr>
        <w:pStyle w:val="14"/>
        <w:spacing w:before="55" w:line="480" w:lineRule="exact"/>
        <w:ind w:right="415" w:firstLine="440" w:firstLineChars="200"/>
        <w:rPr>
          <w:rFonts w:ascii="宋体" w:hAnsi="宋体"/>
          <w:color w:val="auto"/>
          <w:sz w:val="22"/>
          <w:szCs w:val="22"/>
        </w:rPr>
      </w:pPr>
      <w:r>
        <w:rPr>
          <w:rFonts w:ascii="宋体" w:hAnsi="宋体"/>
          <w:color w:val="auto"/>
          <w:sz w:val="22"/>
          <w:szCs w:val="22"/>
        </w:rPr>
        <w:t>2.</w:t>
      </w:r>
      <w:r>
        <w:rPr>
          <w:rFonts w:ascii="宋体" w:hAnsi="宋体"/>
          <w:color w:val="auto"/>
          <w:sz w:val="22"/>
          <w:szCs w:val="22"/>
          <w:u w:val="single"/>
        </w:rPr>
        <w:t>（标的名称）</w:t>
      </w:r>
      <w:r>
        <w:rPr>
          <w:rFonts w:ascii="宋体" w:hAnsi="宋体"/>
          <w:color w:val="auto"/>
          <w:sz w:val="22"/>
          <w:szCs w:val="22"/>
        </w:rPr>
        <w:t>，属于</w:t>
      </w:r>
      <w:r>
        <w:rPr>
          <w:rFonts w:ascii="宋体" w:hAnsi="宋体"/>
          <w:color w:val="auto"/>
          <w:sz w:val="22"/>
          <w:szCs w:val="22"/>
          <w:u w:val="single"/>
        </w:rPr>
        <w:t>（采购文件中明确的所属行业）行业</w:t>
      </w:r>
      <w:r>
        <w:rPr>
          <w:rFonts w:ascii="宋体" w:hAnsi="宋体"/>
          <w:color w:val="auto"/>
          <w:sz w:val="22"/>
          <w:szCs w:val="22"/>
        </w:rPr>
        <w:t>；制造商为</w:t>
      </w:r>
      <w:r>
        <w:rPr>
          <w:rFonts w:ascii="宋体" w:hAnsi="宋体"/>
          <w:color w:val="auto"/>
          <w:sz w:val="22"/>
          <w:szCs w:val="22"/>
          <w:u w:val="single"/>
        </w:rPr>
        <w:t>（企业名称）</w:t>
      </w:r>
      <w:r>
        <w:rPr>
          <w:rFonts w:ascii="宋体" w:hAnsi="宋体"/>
          <w:color w:val="auto"/>
          <w:sz w:val="22"/>
          <w:szCs w:val="22"/>
        </w:rPr>
        <w:t>，从业人员</w:t>
      </w:r>
      <w:r>
        <w:rPr>
          <w:rFonts w:ascii="宋体" w:hAnsi="宋体"/>
          <w:color w:val="auto"/>
          <w:sz w:val="22"/>
          <w:szCs w:val="22"/>
          <w:u w:val="single"/>
        </w:rPr>
        <w:tab/>
      </w:r>
      <w:r>
        <w:rPr>
          <w:rFonts w:ascii="宋体" w:hAnsi="宋体"/>
          <w:color w:val="auto"/>
          <w:sz w:val="22"/>
          <w:szCs w:val="22"/>
        </w:rPr>
        <w:t>人，营业收入为</w:t>
      </w:r>
      <w:r>
        <w:rPr>
          <w:rFonts w:ascii="宋体" w:hAnsi="宋体"/>
          <w:color w:val="auto"/>
          <w:sz w:val="22"/>
          <w:szCs w:val="22"/>
          <w:u w:val="single"/>
        </w:rPr>
        <w:t xml:space="preserve"> </w:t>
      </w:r>
      <w:r>
        <w:rPr>
          <w:rFonts w:ascii="宋体" w:hAnsi="宋体"/>
          <w:color w:val="auto"/>
          <w:sz w:val="22"/>
          <w:szCs w:val="22"/>
          <w:u w:val="single"/>
        </w:rPr>
        <w:tab/>
      </w:r>
      <w:r>
        <w:rPr>
          <w:rFonts w:ascii="宋体" w:hAnsi="宋体"/>
          <w:color w:val="auto"/>
          <w:sz w:val="22"/>
          <w:szCs w:val="22"/>
          <w:u w:val="single"/>
        </w:rPr>
        <w:t xml:space="preserve">  </w:t>
      </w:r>
      <w:r>
        <w:rPr>
          <w:rFonts w:ascii="宋体" w:hAnsi="宋体"/>
          <w:color w:val="auto"/>
          <w:sz w:val="22"/>
          <w:szCs w:val="22"/>
        </w:rPr>
        <w:t>万元，资产总额为</w:t>
      </w:r>
      <w:r>
        <w:rPr>
          <w:rFonts w:ascii="宋体" w:hAnsi="宋体"/>
          <w:color w:val="auto"/>
          <w:sz w:val="22"/>
          <w:szCs w:val="22"/>
          <w:u w:val="single"/>
        </w:rPr>
        <w:t xml:space="preserve">   </w:t>
      </w:r>
      <w:r>
        <w:rPr>
          <w:rFonts w:ascii="宋体" w:hAnsi="宋体"/>
          <w:color w:val="auto"/>
          <w:sz w:val="22"/>
          <w:szCs w:val="22"/>
        </w:rPr>
        <w:t>万元，属于</w:t>
      </w:r>
      <w:r>
        <w:rPr>
          <w:rFonts w:ascii="宋体" w:hAnsi="宋体"/>
          <w:color w:val="auto"/>
          <w:sz w:val="22"/>
          <w:szCs w:val="22"/>
          <w:u w:val="single"/>
        </w:rPr>
        <w:t>（中型企业、小型企业、微型企业）</w:t>
      </w:r>
      <w:r>
        <w:rPr>
          <w:rFonts w:ascii="宋体" w:hAnsi="宋体"/>
          <w:color w:val="auto"/>
          <w:sz w:val="22"/>
          <w:szCs w:val="22"/>
        </w:rPr>
        <w:t>；</w:t>
      </w:r>
    </w:p>
    <w:p w14:paraId="3DB92F6A">
      <w:pPr>
        <w:pStyle w:val="14"/>
        <w:spacing w:line="480" w:lineRule="exact"/>
        <w:ind w:left="860"/>
        <w:rPr>
          <w:rFonts w:ascii="宋体" w:hAnsi="宋体"/>
          <w:color w:val="auto"/>
          <w:sz w:val="22"/>
          <w:szCs w:val="22"/>
        </w:rPr>
      </w:pPr>
      <w:r>
        <w:rPr>
          <w:rFonts w:ascii="宋体" w:hAnsi="宋体"/>
          <w:color w:val="auto"/>
          <w:sz w:val="22"/>
          <w:szCs w:val="22"/>
        </w:rPr>
        <w:t>……</w:t>
      </w:r>
    </w:p>
    <w:p w14:paraId="56E3F719">
      <w:pPr>
        <w:pStyle w:val="14"/>
        <w:spacing w:before="105" w:line="480" w:lineRule="exact"/>
        <w:ind w:right="417" w:firstLine="645"/>
        <w:rPr>
          <w:rFonts w:ascii="宋体" w:hAnsi="宋体"/>
          <w:color w:val="auto"/>
          <w:sz w:val="22"/>
          <w:szCs w:val="22"/>
        </w:rPr>
      </w:pPr>
      <w:r>
        <w:rPr>
          <w:rFonts w:ascii="宋体" w:hAnsi="宋体"/>
          <w:color w:val="auto"/>
          <w:sz w:val="22"/>
          <w:szCs w:val="22"/>
        </w:rPr>
        <w:t>以上企业，不属于大企业的分支机构，不存在控股股东为大企业的情形，也不存在与大企业的负责人为同一人的情形。</w:t>
      </w:r>
    </w:p>
    <w:p w14:paraId="614D1676">
      <w:pPr>
        <w:pStyle w:val="14"/>
        <w:spacing w:line="480" w:lineRule="exact"/>
        <w:ind w:right="372" w:firstLine="645"/>
        <w:rPr>
          <w:rFonts w:ascii="宋体" w:hAnsi="宋体"/>
          <w:color w:val="auto"/>
          <w:sz w:val="22"/>
          <w:szCs w:val="22"/>
        </w:rPr>
      </w:pPr>
      <w:r>
        <w:rPr>
          <w:rFonts w:ascii="宋体" w:hAnsi="宋体"/>
          <w:color w:val="auto"/>
          <w:sz w:val="22"/>
          <w:szCs w:val="22"/>
        </w:rPr>
        <w:t>本企业对上述声明内容的真实性负责。如有虚假，将依法承担相应责任。</w:t>
      </w:r>
    </w:p>
    <w:p w14:paraId="6D100C9B">
      <w:pPr>
        <w:pStyle w:val="14"/>
        <w:spacing w:before="105" w:line="480" w:lineRule="exact"/>
        <w:ind w:right="417" w:firstLine="2860" w:firstLineChars="1300"/>
        <w:rPr>
          <w:rFonts w:ascii="宋体" w:hAnsi="宋体"/>
          <w:color w:val="auto"/>
          <w:sz w:val="22"/>
          <w:szCs w:val="22"/>
        </w:rPr>
      </w:pPr>
    </w:p>
    <w:p w14:paraId="3BE1E457">
      <w:pPr>
        <w:pStyle w:val="14"/>
        <w:spacing w:before="105" w:line="480" w:lineRule="exact"/>
        <w:ind w:right="417" w:firstLine="3740" w:firstLineChars="1700"/>
        <w:rPr>
          <w:rFonts w:ascii="宋体" w:hAnsi="宋体"/>
          <w:color w:val="auto"/>
          <w:sz w:val="22"/>
          <w:szCs w:val="22"/>
        </w:rPr>
      </w:pPr>
      <w:r>
        <w:rPr>
          <w:rFonts w:ascii="宋体" w:hAnsi="宋体"/>
          <w:color w:val="auto"/>
          <w:sz w:val="22"/>
          <w:szCs w:val="22"/>
        </w:rPr>
        <w:t>企业名称（盖章）：</w:t>
      </w:r>
    </w:p>
    <w:p w14:paraId="09813039">
      <w:pPr>
        <w:pStyle w:val="14"/>
        <w:spacing w:before="105" w:line="480" w:lineRule="exact"/>
        <w:ind w:right="417" w:firstLine="3740" w:firstLineChars="1700"/>
        <w:rPr>
          <w:rFonts w:ascii="宋体" w:hAnsi="宋体"/>
          <w:color w:val="auto"/>
          <w:sz w:val="22"/>
          <w:szCs w:val="22"/>
        </w:rPr>
      </w:pPr>
      <w:r>
        <w:rPr>
          <w:rFonts w:ascii="宋体" w:hAnsi="宋体"/>
          <w:color w:val="auto"/>
          <w:sz w:val="22"/>
          <w:szCs w:val="22"/>
        </w:rPr>
        <w:t>日期：</w:t>
      </w:r>
    </w:p>
    <w:p w14:paraId="6885D59C">
      <w:pPr>
        <w:spacing w:line="440" w:lineRule="exact"/>
        <w:rPr>
          <w:rFonts w:ascii="宋体" w:hAnsi="宋体"/>
          <w:color w:val="auto"/>
          <w:sz w:val="22"/>
          <w:szCs w:val="22"/>
        </w:rPr>
      </w:pPr>
    </w:p>
    <w:p w14:paraId="0C1B43A9">
      <w:pPr>
        <w:spacing w:line="440" w:lineRule="exact"/>
        <w:rPr>
          <w:rFonts w:ascii="宋体" w:hAnsi="宋体"/>
          <w:color w:val="auto"/>
        </w:rPr>
      </w:pPr>
    </w:p>
    <w:p w14:paraId="299483FB">
      <w:pPr>
        <w:spacing w:line="440" w:lineRule="exact"/>
        <w:rPr>
          <w:rFonts w:ascii="宋体" w:hAnsi="宋体"/>
          <w:color w:val="auto"/>
        </w:rPr>
      </w:pPr>
    </w:p>
    <w:p w14:paraId="6F3B5177">
      <w:pPr>
        <w:spacing w:line="440" w:lineRule="exact"/>
        <w:rPr>
          <w:rFonts w:ascii="宋体" w:hAnsi="宋体"/>
          <w:color w:val="auto"/>
        </w:rPr>
      </w:pPr>
    </w:p>
    <w:p w14:paraId="1A185139">
      <w:pPr>
        <w:spacing w:line="440" w:lineRule="exact"/>
        <w:rPr>
          <w:rFonts w:ascii="宋体" w:hAnsi="宋体"/>
          <w:color w:val="auto"/>
        </w:rPr>
      </w:pPr>
    </w:p>
    <w:p w14:paraId="313F50B8">
      <w:pPr>
        <w:spacing w:line="440" w:lineRule="exact"/>
        <w:rPr>
          <w:rFonts w:hint="eastAsia" w:ascii="宋体" w:hAnsi="宋体"/>
          <w:color w:val="auto"/>
        </w:rPr>
      </w:pPr>
      <w:r>
        <w:rPr>
          <w:rFonts w:hint="eastAsia" w:ascii="宋体" w:hAnsi="宋体"/>
          <w:color w:val="auto"/>
        </w:rPr>
        <w:t>说明：</w:t>
      </w:r>
    </w:p>
    <w:p w14:paraId="40A3C6A3">
      <w:pPr>
        <w:spacing w:line="440" w:lineRule="exact"/>
        <w:rPr>
          <w:rFonts w:hint="eastAsia" w:ascii="宋体" w:hAnsi="宋体"/>
          <w:color w:val="auto"/>
        </w:rPr>
      </w:pPr>
      <w:r>
        <w:rPr>
          <w:rFonts w:hint="eastAsia" w:ascii="宋体" w:hAnsi="宋体"/>
          <w:color w:val="auto"/>
        </w:rPr>
        <w:t>从业人员、营业收入、资产总额填报上一年度数据，无上一年度数据的新成立企业可不填报。</w:t>
      </w:r>
    </w:p>
    <w:p w14:paraId="1D2E6358">
      <w:pPr>
        <w:rPr>
          <w:rFonts w:hint="eastAsia" w:ascii="宋体" w:hAnsi="宋体" w:cs="宋体"/>
          <w:b/>
          <w:bCs/>
          <w:color w:val="auto"/>
          <w:sz w:val="22"/>
          <w:szCs w:val="22"/>
        </w:rPr>
      </w:pPr>
      <w:r>
        <w:rPr>
          <w:rFonts w:hint="eastAsia" w:ascii="宋体" w:hAnsi="宋体" w:cs="宋体"/>
          <w:b/>
          <w:bCs/>
          <w:color w:val="auto"/>
          <w:sz w:val="22"/>
          <w:szCs w:val="22"/>
        </w:rPr>
        <w:br w:type="page"/>
      </w:r>
    </w:p>
    <w:p w14:paraId="2EF9CE1B">
      <w:pPr>
        <w:pStyle w:val="14"/>
        <w:spacing w:after="0" w:line="440" w:lineRule="exact"/>
        <w:jc w:val="center"/>
        <w:rPr>
          <w:rFonts w:ascii="宋体" w:hAnsi="宋体" w:cs="宋体"/>
          <w:b/>
          <w:bCs/>
          <w:color w:val="auto"/>
          <w:sz w:val="22"/>
          <w:szCs w:val="22"/>
        </w:rPr>
      </w:pPr>
      <w:r>
        <w:rPr>
          <w:rFonts w:hint="eastAsia" w:ascii="宋体" w:hAnsi="宋体" w:cs="宋体"/>
          <w:b/>
          <w:bCs/>
          <w:color w:val="auto"/>
          <w:sz w:val="22"/>
          <w:szCs w:val="22"/>
        </w:rPr>
        <w:t>中小企业声明函（工程、服务）</w:t>
      </w:r>
    </w:p>
    <w:p w14:paraId="74A8D443">
      <w:pPr>
        <w:pStyle w:val="14"/>
        <w:spacing w:after="0" w:line="440" w:lineRule="exact"/>
        <w:rPr>
          <w:rFonts w:ascii="宋体" w:hAnsi="宋体" w:cs="宋体"/>
          <w:b/>
          <w:color w:val="auto"/>
          <w:sz w:val="22"/>
          <w:szCs w:val="22"/>
        </w:rPr>
      </w:pPr>
    </w:p>
    <w:p w14:paraId="351569F6">
      <w:pPr>
        <w:pStyle w:val="14"/>
        <w:spacing w:after="0" w:line="480" w:lineRule="exact"/>
        <w:ind w:right="-1" w:firstLine="440" w:firstLineChars="200"/>
        <w:rPr>
          <w:rFonts w:ascii="宋体" w:hAnsi="宋体" w:cs="宋体"/>
          <w:color w:val="auto"/>
          <w:sz w:val="22"/>
          <w:szCs w:val="22"/>
        </w:rPr>
      </w:pPr>
      <w:r>
        <w:rPr>
          <w:rFonts w:hint="eastAsia" w:ascii="宋体" w:hAnsi="宋体" w:cs="宋体"/>
          <w:color w:val="auto"/>
          <w:sz w:val="22"/>
          <w:szCs w:val="22"/>
        </w:rPr>
        <w:t>本公司（联合体）郑重声明，根据《政府采购促进中小企业发展管理办法》（财库﹝2020﹞46号）的规定，本公司（联合体）参加</w:t>
      </w:r>
      <w:r>
        <w:rPr>
          <w:rFonts w:hint="eastAsia" w:ascii="宋体" w:hAnsi="宋体" w:cs="宋体"/>
          <w:color w:val="auto"/>
          <w:sz w:val="22"/>
          <w:szCs w:val="22"/>
          <w:u w:val="single"/>
        </w:rPr>
        <w:t>（单位名称）</w:t>
      </w:r>
      <w:r>
        <w:rPr>
          <w:rFonts w:hint="eastAsia" w:ascii="宋体" w:hAnsi="宋体" w:cs="宋体"/>
          <w:color w:val="auto"/>
          <w:sz w:val="22"/>
          <w:szCs w:val="22"/>
        </w:rPr>
        <w:t>的</w:t>
      </w:r>
      <w:r>
        <w:rPr>
          <w:rFonts w:hint="eastAsia" w:ascii="宋体" w:hAnsi="宋体" w:cs="宋体"/>
          <w:color w:val="auto"/>
          <w:sz w:val="22"/>
          <w:szCs w:val="22"/>
          <w:u w:val="single"/>
        </w:rPr>
        <w:t>（项目名称）</w:t>
      </w:r>
      <w:r>
        <w:rPr>
          <w:rFonts w:hint="eastAsia" w:ascii="宋体" w:hAnsi="宋体" w:cs="宋体"/>
          <w:color w:val="auto"/>
          <w:sz w:val="22"/>
          <w:szCs w:val="22"/>
        </w:rPr>
        <w:t>采购活动，工程的施工单位全部为符合政策要求的中小企业（或者：服务全部由符合政策要求的中小企业承接）。相关企业（含联合体中的中小企业、签订分包意向协议的中小企业）的具体情况如下：</w:t>
      </w:r>
    </w:p>
    <w:p w14:paraId="3E559E4C">
      <w:pPr>
        <w:pStyle w:val="88"/>
        <w:tabs>
          <w:tab w:val="left" w:pos="1025"/>
        </w:tabs>
        <w:spacing w:line="480" w:lineRule="exact"/>
        <w:ind w:firstLine="440"/>
        <w:rPr>
          <w:rFonts w:ascii="宋体" w:hAnsi="宋体" w:cs="宋体"/>
          <w:color w:val="auto"/>
          <w:sz w:val="22"/>
        </w:rPr>
      </w:pPr>
      <w:r>
        <w:rPr>
          <w:rFonts w:hint="eastAsia" w:ascii="宋体" w:hAnsi="宋体" w:cs="宋体"/>
          <w:color w:val="auto"/>
          <w:sz w:val="22"/>
        </w:rPr>
        <w:t>1.</w:t>
      </w:r>
      <w:r>
        <w:rPr>
          <w:rFonts w:hint="eastAsia" w:ascii="宋体" w:hAnsi="宋体" w:cs="宋体"/>
          <w:color w:val="auto"/>
          <w:sz w:val="22"/>
          <w:u w:val="single"/>
        </w:rPr>
        <w:t>（标的名称）</w:t>
      </w:r>
      <w:r>
        <w:rPr>
          <w:rFonts w:hint="eastAsia" w:ascii="宋体" w:hAnsi="宋体" w:cs="宋体"/>
          <w:color w:val="auto"/>
          <w:sz w:val="22"/>
        </w:rPr>
        <w:t>，属于（</w:t>
      </w:r>
      <w:r>
        <w:rPr>
          <w:rFonts w:hint="eastAsia" w:ascii="宋体" w:hAnsi="宋体" w:cs="宋体"/>
          <w:color w:val="auto"/>
          <w:sz w:val="22"/>
          <w:u w:val="single"/>
          <w:lang w:val="en-US" w:eastAsia="zh-CN"/>
        </w:rPr>
        <w:t>商务与租赁</w:t>
      </w:r>
      <w:r>
        <w:rPr>
          <w:rFonts w:hint="eastAsia" w:ascii="宋体" w:hAnsi="宋体" w:cs="宋体"/>
          <w:color w:val="auto"/>
          <w:sz w:val="22"/>
          <w:u w:val="single"/>
        </w:rPr>
        <w:t>行业</w:t>
      </w:r>
      <w:r>
        <w:rPr>
          <w:rFonts w:hint="eastAsia" w:ascii="宋体" w:hAnsi="宋体" w:cs="宋体"/>
          <w:color w:val="auto"/>
          <w:sz w:val="22"/>
        </w:rPr>
        <w:t>）；承建（承接）企业为</w:t>
      </w:r>
      <w:r>
        <w:rPr>
          <w:rFonts w:hint="eastAsia" w:ascii="宋体" w:hAnsi="宋体" w:cs="宋体"/>
          <w:color w:val="auto"/>
          <w:sz w:val="22"/>
          <w:u w:val="single"/>
        </w:rPr>
        <w:t>（企业名称）</w:t>
      </w:r>
      <w:r>
        <w:rPr>
          <w:rFonts w:hint="eastAsia" w:ascii="宋体" w:hAnsi="宋体" w:cs="宋体"/>
          <w:color w:val="auto"/>
          <w:sz w:val="22"/>
        </w:rPr>
        <w:t>，从业人员</w:t>
      </w:r>
      <w:r>
        <w:rPr>
          <w:rFonts w:hint="eastAsia" w:ascii="宋体" w:hAnsi="宋体" w:cs="宋体"/>
          <w:color w:val="auto"/>
          <w:sz w:val="22"/>
          <w:u w:val="single"/>
        </w:rPr>
        <w:t xml:space="preserve">  </w:t>
      </w:r>
      <w:r>
        <w:rPr>
          <w:rFonts w:hint="eastAsia" w:ascii="宋体" w:hAnsi="宋体" w:cs="宋体"/>
          <w:color w:val="auto"/>
          <w:sz w:val="22"/>
          <w:u w:val="single"/>
        </w:rPr>
        <w:tab/>
      </w:r>
      <w:r>
        <w:rPr>
          <w:rFonts w:hint="eastAsia" w:ascii="宋体" w:hAnsi="宋体" w:cs="宋体"/>
          <w:color w:val="auto"/>
          <w:sz w:val="22"/>
        </w:rPr>
        <w:t>人，营业收入为</w:t>
      </w:r>
      <w:r>
        <w:rPr>
          <w:rFonts w:hint="eastAsia" w:ascii="宋体" w:hAnsi="宋体" w:cs="宋体"/>
          <w:color w:val="auto"/>
          <w:sz w:val="22"/>
          <w:u w:val="single"/>
        </w:rPr>
        <w:t xml:space="preserve"> </w:t>
      </w:r>
      <w:r>
        <w:rPr>
          <w:rFonts w:hint="eastAsia" w:ascii="宋体" w:hAnsi="宋体" w:cs="宋体"/>
          <w:color w:val="auto"/>
          <w:sz w:val="22"/>
          <w:u w:val="single"/>
        </w:rPr>
        <w:tab/>
      </w:r>
      <w:r>
        <w:rPr>
          <w:rFonts w:hint="eastAsia" w:ascii="宋体" w:hAnsi="宋体" w:cs="宋体"/>
          <w:color w:val="auto"/>
          <w:sz w:val="22"/>
        </w:rPr>
        <w:t>万元，资产总额为</w:t>
      </w:r>
      <w:r>
        <w:rPr>
          <w:rFonts w:hint="eastAsia" w:ascii="宋体" w:hAnsi="宋体" w:cs="宋体"/>
          <w:color w:val="auto"/>
          <w:sz w:val="22"/>
          <w:u w:val="single"/>
        </w:rPr>
        <w:t xml:space="preserve"> </w:t>
      </w:r>
      <w:r>
        <w:rPr>
          <w:rFonts w:hint="eastAsia" w:ascii="宋体" w:hAnsi="宋体" w:cs="宋体"/>
          <w:color w:val="auto"/>
          <w:sz w:val="22"/>
          <w:u w:val="single"/>
        </w:rPr>
        <w:tab/>
      </w:r>
      <w:r>
        <w:rPr>
          <w:rFonts w:hint="eastAsia" w:ascii="宋体" w:hAnsi="宋体" w:cs="宋体"/>
          <w:color w:val="auto"/>
          <w:sz w:val="22"/>
        </w:rPr>
        <w:t>万元，属于</w:t>
      </w:r>
      <w:r>
        <w:rPr>
          <w:rFonts w:hint="eastAsia" w:ascii="宋体" w:hAnsi="宋体" w:cs="宋体"/>
          <w:color w:val="auto"/>
          <w:sz w:val="22"/>
          <w:u w:val="single"/>
        </w:rPr>
        <w:t>（中型企业、小型企业、微型企业）</w:t>
      </w:r>
      <w:r>
        <w:rPr>
          <w:rFonts w:hint="eastAsia" w:ascii="宋体" w:hAnsi="宋体" w:cs="宋体"/>
          <w:color w:val="auto"/>
          <w:sz w:val="22"/>
        </w:rPr>
        <w:t>；</w:t>
      </w:r>
    </w:p>
    <w:p w14:paraId="77F6489A">
      <w:pPr>
        <w:pStyle w:val="88"/>
        <w:tabs>
          <w:tab w:val="left" w:pos="1243"/>
          <w:tab w:val="left" w:pos="1806"/>
          <w:tab w:val="left" w:pos="5005"/>
          <w:tab w:val="left" w:pos="7213"/>
        </w:tabs>
        <w:spacing w:line="480" w:lineRule="exact"/>
        <w:ind w:right="258" w:firstLine="440"/>
        <w:rPr>
          <w:rFonts w:ascii="宋体" w:hAnsi="宋体" w:cs="宋体"/>
          <w:color w:val="auto"/>
          <w:sz w:val="22"/>
        </w:rPr>
      </w:pPr>
      <w:r>
        <w:rPr>
          <w:rFonts w:hint="eastAsia" w:ascii="宋体" w:hAnsi="宋体" w:cs="宋体"/>
          <w:color w:val="auto"/>
          <w:sz w:val="22"/>
        </w:rPr>
        <w:t>2.</w:t>
      </w:r>
      <w:r>
        <w:rPr>
          <w:rFonts w:hint="eastAsia" w:ascii="宋体" w:hAnsi="宋体" w:cs="宋体"/>
          <w:color w:val="auto"/>
          <w:sz w:val="22"/>
          <w:u w:val="single"/>
        </w:rPr>
        <w:t>（标的名称）</w:t>
      </w:r>
      <w:r>
        <w:rPr>
          <w:rFonts w:hint="eastAsia" w:ascii="宋体" w:hAnsi="宋体" w:cs="宋体"/>
          <w:color w:val="auto"/>
          <w:sz w:val="22"/>
        </w:rPr>
        <w:t>，属于（</w:t>
      </w:r>
      <w:r>
        <w:rPr>
          <w:rFonts w:hint="eastAsia" w:ascii="宋体" w:hAnsi="宋体" w:cs="宋体"/>
          <w:color w:val="auto"/>
          <w:sz w:val="22"/>
          <w:u w:val="single"/>
          <w:lang w:val="en-US" w:eastAsia="zh-CN"/>
        </w:rPr>
        <w:t>商务与租赁</w:t>
      </w:r>
      <w:r>
        <w:rPr>
          <w:rFonts w:hint="eastAsia" w:ascii="宋体" w:hAnsi="宋体" w:cs="宋体"/>
          <w:color w:val="auto"/>
          <w:sz w:val="22"/>
          <w:u w:val="single"/>
        </w:rPr>
        <w:t>行业</w:t>
      </w:r>
      <w:r>
        <w:rPr>
          <w:rFonts w:hint="eastAsia" w:ascii="宋体" w:hAnsi="宋体" w:cs="宋体"/>
          <w:color w:val="auto"/>
          <w:sz w:val="22"/>
        </w:rPr>
        <w:t>）；承建（承接）企业为</w:t>
      </w:r>
      <w:r>
        <w:rPr>
          <w:rFonts w:hint="eastAsia" w:ascii="宋体" w:hAnsi="宋体" w:cs="宋体"/>
          <w:color w:val="auto"/>
          <w:sz w:val="22"/>
          <w:u w:val="single"/>
        </w:rPr>
        <w:t>（企业名称）</w:t>
      </w:r>
      <w:r>
        <w:rPr>
          <w:rFonts w:hint="eastAsia" w:ascii="宋体" w:hAnsi="宋体" w:cs="宋体"/>
          <w:color w:val="auto"/>
          <w:sz w:val="22"/>
        </w:rPr>
        <w:t>，从业人员</w:t>
      </w:r>
      <w:r>
        <w:rPr>
          <w:rFonts w:hint="eastAsia" w:ascii="宋体" w:hAnsi="宋体" w:cs="宋体"/>
          <w:color w:val="auto"/>
          <w:sz w:val="22"/>
          <w:u w:val="single"/>
        </w:rPr>
        <w:t xml:space="preserve"> </w:t>
      </w:r>
      <w:r>
        <w:rPr>
          <w:rFonts w:hint="eastAsia" w:ascii="宋体" w:hAnsi="宋体" w:cs="宋体"/>
          <w:color w:val="auto"/>
          <w:sz w:val="22"/>
          <w:u w:val="single"/>
        </w:rPr>
        <w:tab/>
      </w:r>
      <w:r>
        <w:rPr>
          <w:rFonts w:hint="eastAsia" w:ascii="宋体" w:hAnsi="宋体" w:cs="宋体"/>
          <w:color w:val="auto"/>
          <w:sz w:val="22"/>
        </w:rPr>
        <w:t>人，营业收入为</w:t>
      </w:r>
      <w:r>
        <w:rPr>
          <w:rFonts w:hint="eastAsia" w:ascii="宋体" w:hAnsi="宋体" w:cs="宋体"/>
          <w:color w:val="auto"/>
          <w:sz w:val="22"/>
          <w:u w:val="single"/>
        </w:rPr>
        <w:t xml:space="preserve">   </w:t>
      </w:r>
      <w:r>
        <w:rPr>
          <w:rFonts w:hint="eastAsia" w:ascii="宋体" w:hAnsi="宋体" w:cs="宋体"/>
          <w:color w:val="auto"/>
          <w:sz w:val="22"/>
        </w:rPr>
        <w:t>万元，资产总额为</w:t>
      </w:r>
      <w:r>
        <w:rPr>
          <w:rFonts w:hint="eastAsia" w:ascii="宋体" w:hAnsi="宋体" w:cs="宋体"/>
          <w:color w:val="auto"/>
          <w:sz w:val="22"/>
          <w:u w:val="single"/>
        </w:rPr>
        <w:t xml:space="preserve">    </w:t>
      </w:r>
      <w:r>
        <w:rPr>
          <w:rFonts w:hint="eastAsia" w:ascii="宋体" w:hAnsi="宋体" w:cs="宋体"/>
          <w:color w:val="auto"/>
          <w:sz w:val="22"/>
        </w:rPr>
        <w:t>万元，属于</w:t>
      </w:r>
      <w:r>
        <w:rPr>
          <w:rFonts w:hint="eastAsia" w:ascii="宋体" w:hAnsi="宋体" w:cs="宋体"/>
          <w:color w:val="auto"/>
          <w:sz w:val="22"/>
          <w:u w:val="single"/>
        </w:rPr>
        <w:t>（中型企业、小型企业、微型企业）</w:t>
      </w:r>
      <w:r>
        <w:rPr>
          <w:rFonts w:hint="eastAsia" w:ascii="宋体" w:hAnsi="宋体" w:cs="宋体"/>
          <w:color w:val="auto"/>
          <w:sz w:val="22"/>
        </w:rPr>
        <w:t>；</w:t>
      </w:r>
    </w:p>
    <w:p w14:paraId="68FDA857">
      <w:pPr>
        <w:pStyle w:val="14"/>
        <w:spacing w:after="0" w:line="480" w:lineRule="exact"/>
        <w:ind w:left="860"/>
        <w:rPr>
          <w:rFonts w:ascii="宋体" w:hAnsi="宋体" w:cs="宋体"/>
          <w:color w:val="auto"/>
          <w:sz w:val="22"/>
          <w:szCs w:val="22"/>
        </w:rPr>
      </w:pPr>
      <w:r>
        <w:rPr>
          <w:rFonts w:hint="eastAsia" w:ascii="宋体" w:hAnsi="宋体" w:cs="宋体"/>
          <w:color w:val="auto"/>
          <w:sz w:val="22"/>
          <w:szCs w:val="22"/>
        </w:rPr>
        <w:t>……</w:t>
      </w:r>
    </w:p>
    <w:p w14:paraId="6C7648EC">
      <w:pPr>
        <w:pStyle w:val="14"/>
        <w:spacing w:after="0" w:line="480" w:lineRule="exact"/>
        <w:ind w:right="417" w:firstLine="645"/>
        <w:rPr>
          <w:rFonts w:ascii="宋体" w:hAnsi="宋体" w:cs="宋体"/>
          <w:color w:val="auto"/>
          <w:sz w:val="22"/>
          <w:szCs w:val="22"/>
        </w:rPr>
      </w:pPr>
      <w:r>
        <w:rPr>
          <w:rFonts w:hint="eastAsia" w:ascii="宋体" w:hAnsi="宋体" w:cs="宋体"/>
          <w:color w:val="auto"/>
          <w:sz w:val="22"/>
          <w:szCs w:val="22"/>
        </w:rPr>
        <w:t>以上企业，不属于大企业的分支机构，不存在控股股东为大企业的情形，也不存在与大企业的负责人为同一人的情形。</w:t>
      </w:r>
    </w:p>
    <w:p w14:paraId="0AC13D80">
      <w:pPr>
        <w:pStyle w:val="14"/>
        <w:spacing w:after="0" w:line="480" w:lineRule="exact"/>
        <w:ind w:right="375" w:firstLine="860"/>
        <w:rPr>
          <w:rFonts w:ascii="宋体" w:hAnsi="宋体" w:cs="宋体"/>
          <w:color w:val="auto"/>
          <w:sz w:val="22"/>
          <w:szCs w:val="22"/>
        </w:rPr>
      </w:pPr>
      <w:r>
        <w:rPr>
          <w:rFonts w:hint="eastAsia" w:ascii="宋体" w:hAnsi="宋体" w:cs="宋体"/>
          <w:color w:val="auto"/>
          <w:sz w:val="22"/>
          <w:szCs w:val="22"/>
        </w:rPr>
        <w:t>本企业对上述声明内容的真实性负责。如有虚假，将依法承担相应责任。</w:t>
      </w:r>
    </w:p>
    <w:p w14:paraId="4A5D4FA7">
      <w:pPr>
        <w:pStyle w:val="14"/>
        <w:spacing w:after="0" w:line="480" w:lineRule="exact"/>
        <w:ind w:left="4060" w:right="2166"/>
        <w:rPr>
          <w:rFonts w:ascii="宋体" w:hAnsi="宋体" w:cs="宋体"/>
          <w:color w:val="auto"/>
          <w:sz w:val="22"/>
          <w:szCs w:val="22"/>
        </w:rPr>
      </w:pPr>
    </w:p>
    <w:p w14:paraId="4517192A">
      <w:pPr>
        <w:pStyle w:val="14"/>
        <w:spacing w:after="0" w:line="480" w:lineRule="exact"/>
        <w:ind w:left="4060" w:right="2166"/>
        <w:rPr>
          <w:rFonts w:ascii="宋体" w:hAnsi="宋体" w:cs="宋体"/>
          <w:color w:val="auto"/>
          <w:sz w:val="22"/>
          <w:szCs w:val="22"/>
        </w:rPr>
      </w:pPr>
      <w:r>
        <w:rPr>
          <w:rFonts w:hint="eastAsia" w:ascii="宋体" w:hAnsi="宋体" w:cs="宋体"/>
          <w:color w:val="auto"/>
          <w:sz w:val="22"/>
          <w:szCs w:val="22"/>
        </w:rPr>
        <w:t>企业名称（盖章）：</w:t>
      </w:r>
    </w:p>
    <w:p w14:paraId="07BE49F5">
      <w:pPr>
        <w:pStyle w:val="14"/>
        <w:spacing w:after="0" w:line="480" w:lineRule="exact"/>
        <w:ind w:left="4060" w:right="2166"/>
        <w:rPr>
          <w:rFonts w:ascii="宋体" w:hAnsi="宋体" w:cs="宋体"/>
          <w:color w:val="auto"/>
          <w:sz w:val="22"/>
          <w:szCs w:val="22"/>
        </w:rPr>
      </w:pPr>
      <w:r>
        <w:rPr>
          <w:rFonts w:hint="eastAsia" w:ascii="宋体" w:hAnsi="宋体" w:cs="宋体"/>
          <w:color w:val="auto"/>
          <w:sz w:val="22"/>
          <w:szCs w:val="22"/>
        </w:rPr>
        <w:t>日期：</w:t>
      </w:r>
    </w:p>
    <w:p w14:paraId="5FC3934E">
      <w:pPr>
        <w:pStyle w:val="33"/>
        <w:shd w:val="clear" w:color="auto" w:fill="FFFFFF"/>
        <w:spacing w:before="0" w:beforeAutospacing="0" w:after="0" w:afterAutospacing="0" w:line="480" w:lineRule="exact"/>
        <w:rPr>
          <w:color w:val="auto"/>
          <w:sz w:val="22"/>
          <w:szCs w:val="22"/>
        </w:rPr>
      </w:pPr>
    </w:p>
    <w:p w14:paraId="3F7044B6">
      <w:pPr>
        <w:pStyle w:val="33"/>
        <w:shd w:val="clear" w:color="auto" w:fill="FFFFFF"/>
        <w:spacing w:before="0" w:beforeAutospacing="0" w:after="0" w:afterAutospacing="0" w:line="480" w:lineRule="exact"/>
        <w:rPr>
          <w:color w:val="auto"/>
          <w:sz w:val="22"/>
          <w:szCs w:val="22"/>
        </w:rPr>
      </w:pPr>
    </w:p>
    <w:p w14:paraId="43D4088B">
      <w:pPr>
        <w:pStyle w:val="33"/>
        <w:shd w:val="clear" w:color="auto" w:fill="FFFFFF"/>
        <w:spacing w:before="0" w:beforeAutospacing="0" w:after="0" w:afterAutospacing="0" w:line="480" w:lineRule="exact"/>
        <w:rPr>
          <w:color w:val="auto"/>
          <w:sz w:val="22"/>
          <w:szCs w:val="22"/>
        </w:rPr>
      </w:pPr>
    </w:p>
    <w:p w14:paraId="3BE3CF9C">
      <w:pPr>
        <w:pStyle w:val="33"/>
        <w:shd w:val="clear" w:color="auto" w:fill="FFFFFF"/>
        <w:spacing w:before="0" w:beforeAutospacing="0" w:after="0" w:afterAutospacing="0" w:line="480" w:lineRule="exact"/>
        <w:rPr>
          <w:color w:val="auto"/>
          <w:sz w:val="22"/>
          <w:szCs w:val="22"/>
        </w:rPr>
      </w:pPr>
    </w:p>
    <w:p w14:paraId="570286D9">
      <w:pPr>
        <w:spacing w:line="440" w:lineRule="exact"/>
        <w:rPr>
          <w:rFonts w:ascii="宋体" w:hAnsi="宋体" w:cs="宋体"/>
          <w:color w:val="auto"/>
          <w:sz w:val="22"/>
          <w:szCs w:val="22"/>
        </w:rPr>
      </w:pPr>
      <w:r>
        <w:rPr>
          <w:rFonts w:hint="eastAsia" w:ascii="宋体" w:hAnsi="宋体" w:cs="宋体"/>
          <w:color w:val="auto"/>
          <w:sz w:val="22"/>
          <w:szCs w:val="22"/>
        </w:rPr>
        <w:t>说明：</w:t>
      </w:r>
    </w:p>
    <w:p w14:paraId="5A8A9057">
      <w:pPr>
        <w:spacing w:line="440" w:lineRule="exact"/>
        <w:rPr>
          <w:rFonts w:ascii="宋体" w:hAnsi="宋体" w:cs="宋体"/>
          <w:color w:val="auto"/>
          <w:sz w:val="22"/>
          <w:szCs w:val="22"/>
        </w:rPr>
      </w:pPr>
      <w:r>
        <w:rPr>
          <w:rFonts w:hint="eastAsia" w:ascii="宋体" w:hAnsi="宋体" w:cs="宋体"/>
          <w:color w:val="auto"/>
          <w:sz w:val="22"/>
          <w:szCs w:val="22"/>
        </w:rPr>
        <w:t>从业人员、营业收入、资产总额填报上一年度数据，无上一年度数据的新成立企业可不填报。</w:t>
      </w:r>
    </w:p>
    <w:p w14:paraId="74A56DBB">
      <w:pPr>
        <w:spacing w:line="440" w:lineRule="exact"/>
        <w:rPr>
          <w:rFonts w:ascii="宋体" w:hAnsi="宋体" w:cs="宋体"/>
          <w:color w:val="auto"/>
          <w:sz w:val="22"/>
          <w:szCs w:val="22"/>
        </w:rPr>
      </w:pPr>
    </w:p>
    <w:p w14:paraId="78E31616">
      <w:pPr>
        <w:spacing w:line="440" w:lineRule="exact"/>
        <w:rPr>
          <w:rFonts w:ascii="宋体" w:hAnsi="宋体" w:cs="宋体"/>
          <w:color w:val="auto"/>
          <w:sz w:val="22"/>
          <w:szCs w:val="22"/>
        </w:rPr>
      </w:pPr>
    </w:p>
    <w:p w14:paraId="759712F3">
      <w:pPr>
        <w:pStyle w:val="15"/>
        <w:ind w:right="-252"/>
        <w:rPr>
          <w:rFonts w:cs="宋体"/>
          <w:color w:val="auto"/>
          <w:sz w:val="22"/>
          <w:szCs w:val="22"/>
        </w:rPr>
      </w:pPr>
    </w:p>
    <w:p w14:paraId="33C7E606">
      <w:pPr>
        <w:pStyle w:val="15"/>
        <w:ind w:right="-252"/>
        <w:rPr>
          <w:rFonts w:cs="宋体"/>
          <w:color w:val="auto"/>
          <w:sz w:val="22"/>
          <w:szCs w:val="22"/>
        </w:rPr>
      </w:pPr>
    </w:p>
    <w:p w14:paraId="7D827B07">
      <w:pPr>
        <w:pStyle w:val="15"/>
        <w:ind w:right="-252"/>
        <w:rPr>
          <w:rFonts w:cs="宋体"/>
          <w:color w:val="auto"/>
          <w:sz w:val="22"/>
          <w:szCs w:val="22"/>
        </w:rPr>
      </w:pPr>
    </w:p>
    <w:p w14:paraId="553AB547">
      <w:pPr>
        <w:pStyle w:val="15"/>
        <w:ind w:right="-252"/>
        <w:rPr>
          <w:rFonts w:cs="宋体"/>
          <w:color w:val="auto"/>
          <w:sz w:val="22"/>
          <w:szCs w:val="22"/>
        </w:rPr>
      </w:pPr>
    </w:p>
    <w:p w14:paraId="241DAFC0">
      <w:pPr>
        <w:pStyle w:val="15"/>
        <w:ind w:right="-252"/>
        <w:rPr>
          <w:rFonts w:cs="宋体"/>
          <w:color w:val="auto"/>
          <w:sz w:val="22"/>
          <w:szCs w:val="22"/>
        </w:rPr>
      </w:pPr>
    </w:p>
    <w:p w14:paraId="3544AF86">
      <w:pPr>
        <w:spacing w:line="440" w:lineRule="exact"/>
        <w:rPr>
          <w:rFonts w:ascii="宋体" w:hAnsi="宋体" w:cs="宋体"/>
          <w:color w:val="auto"/>
          <w:sz w:val="22"/>
          <w:szCs w:val="22"/>
        </w:rPr>
      </w:pPr>
      <w:r>
        <w:rPr>
          <w:rFonts w:hint="eastAsia" w:ascii="宋体" w:hAnsi="宋体" w:cs="宋体"/>
          <w:color w:val="auto"/>
          <w:sz w:val="22"/>
          <w:szCs w:val="22"/>
        </w:rPr>
        <w:t>附件2：</w:t>
      </w:r>
    </w:p>
    <w:p w14:paraId="58316859">
      <w:pPr>
        <w:spacing w:line="380" w:lineRule="exact"/>
        <w:jc w:val="center"/>
        <w:rPr>
          <w:rFonts w:ascii="宋体" w:hAnsi="宋体" w:cs="宋体"/>
          <w:b/>
          <w:color w:val="auto"/>
          <w:sz w:val="22"/>
          <w:szCs w:val="22"/>
        </w:rPr>
      </w:pPr>
      <w:r>
        <w:rPr>
          <w:rFonts w:hint="eastAsia" w:ascii="宋体" w:hAnsi="宋体" w:cs="宋体"/>
          <w:b/>
          <w:color w:val="auto"/>
          <w:sz w:val="22"/>
          <w:szCs w:val="22"/>
        </w:rPr>
        <w:t>残疾人福利性单位声明函</w:t>
      </w:r>
    </w:p>
    <w:p w14:paraId="55A77E54">
      <w:pPr>
        <w:spacing w:line="588" w:lineRule="exact"/>
        <w:rPr>
          <w:rFonts w:ascii="宋体" w:hAnsi="宋体" w:cs="宋体"/>
          <w:b/>
          <w:color w:val="auto"/>
          <w:spacing w:val="6"/>
          <w:sz w:val="22"/>
          <w:szCs w:val="22"/>
        </w:rPr>
      </w:pPr>
    </w:p>
    <w:p w14:paraId="21CC0A21">
      <w:pPr>
        <w:spacing w:line="588" w:lineRule="exact"/>
        <w:ind w:firstLine="440" w:firstLineChars="200"/>
        <w:rPr>
          <w:rFonts w:ascii="宋体" w:hAnsi="宋体" w:cs="宋体"/>
          <w:color w:val="auto"/>
          <w:sz w:val="22"/>
          <w:szCs w:val="22"/>
        </w:rPr>
      </w:pPr>
      <w:r>
        <w:rPr>
          <w:rFonts w:hint="eastAsia" w:ascii="宋体" w:hAnsi="宋体" w:cs="宋体"/>
          <w:color w:val="auto"/>
          <w:sz w:val="22"/>
          <w:szCs w:val="22"/>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cs="宋体"/>
          <w:color w:val="auto"/>
          <w:sz w:val="22"/>
          <w:szCs w:val="22"/>
          <w:u w:val="single"/>
        </w:rPr>
        <w:t xml:space="preserve">      </w:t>
      </w:r>
      <w:r>
        <w:rPr>
          <w:rFonts w:hint="eastAsia" w:ascii="宋体" w:hAnsi="宋体" w:cs="宋体"/>
          <w:color w:val="auto"/>
          <w:sz w:val="22"/>
          <w:szCs w:val="22"/>
        </w:rPr>
        <w:t>单位的</w:t>
      </w:r>
      <w:r>
        <w:rPr>
          <w:rFonts w:hint="eastAsia" w:ascii="宋体" w:hAnsi="宋体" w:cs="宋体"/>
          <w:color w:val="auto"/>
          <w:sz w:val="22"/>
          <w:szCs w:val="22"/>
          <w:u w:val="single"/>
        </w:rPr>
        <w:t xml:space="preserve">      </w:t>
      </w:r>
      <w:r>
        <w:rPr>
          <w:rFonts w:hint="eastAsia" w:ascii="宋体" w:hAnsi="宋体" w:cs="宋体"/>
          <w:color w:val="auto"/>
          <w:sz w:val="22"/>
          <w:szCs w:val="22"/>
        </w:rPr>
        <w:t>项目（编号：</w:t>
      </w:r>
      <w:r>
        <w:rPr>
          <w:rFonts w:hint="eastAsia" w:ascii="宋体" w:hAnsi="宋体" w:cs="宋体"/>
          <w:color w:val="auto"/>
          <w:sz w:val="22"/>
          <w:szCs w:val="22"/>
          <w:u w:val="single"/>
        </w:rPr>
        <w:t xml:space="preserve"> </w:t>
      </w:r>
      <w:r>
        <w:rPr>
          <w:rFonts w:hint="eastAsia" w:ascii="宋体" w:hAnsi="宋体" w:cs="宋体"/>
          <w:color w:val="auto"/>
          <w:sz w:val="22"/>
          <w:szCs w:val="22"/>
          <w:u w:val="single"/>
        </w:rPr>
        <w:tab/>
      </w:r>
      <w:r>
        <w:rPr>
          <w:rFonts w:hint="eastAsia" w:ascii="宋体" w:hAnsi="宋体" w:cs="宋体"/>
          <w:color w:val="auto"/>
          <w:sz w:val="22"/>
          <w:szCs w:val="22"/>
          <w:u w:val="single"/>
        </w:rPr>
        <w:t xml:space="preserve">     </w:t>
      </w:r>
      <w:r>
        <w:rPr>
          <w:rFonts w:hint="eastAsia" w:ascii="宋体" w:hAnsi="宋体" w:cs="宋体"/>
          <w:color w:val="auto"/>
          <w:sz w:val="22"/>
          <w:szCs w:val="22"/>
        </w:rPr>
        <w:t>）采购活动提供本单位制造的货物，或者提供其他残疾人福利性单位制造的货物（不包括使用非残疾人福利性单位注册商标的货物）。</w:t>
      </w:r>
    </w:p>
    <w:p w14:paraId="06214B92">
      <w:pPr>
        <w:spacing w:line="588" w:lineRule="exact"/>
        <w:ind w:firstLine="440" w:firstLineChars="200"/>
        <w:rPr>
          <w:rFonts w:ascii="宋体" w:hAnsi="宋体" w:cs="宋体"/>
          <w:color w:val="auto"/>
          <w:sz w:val="22"/>
          <w:szCs w:val="22"/>
        </w:rPr>
      </w:pPr>
      <w:r>
        <w:rPr>
          <w:rFonts w:hint="eastAsia" w:ascii="宋体" w:hAnsi="宋体" w:cs="宋体"/>
          <w:color w:val="auto"/>
          <w:sz w:val="22"/>
          <w:szCs w:val="22"/>
        </w:rPr>
        <w:t>本单位对上述声明的真实性负责。如有虚假，将依法承担相应责任。</w:t>
      </w:r>
    </w:p>
    <w:p w14:paraId="572E14D9">
      <w:pPr>
        <w:spacing w:line="588" w:lineRule="exact"/>
        <w:ind w:firstLine="440" w:firstLineChars="200"/>
        <w:rPr>
          <w:rFonts w:ascii="宋体" w:hAnsi="宋体" w:cs="宋体"/>
          <w:color w:val="auto"/>
          <w:sz w:val="22"/>
          <w:szCs w:val="22"/>
        </w:rPr>
      </w:pPr>
    </w:p>
    <w:p w14:paraId="0D99151D">
      <w:pPr>
        <w:spacing w:line="588" w:lineRule="exact"/>
        <w:ind w:firstLine="440" w:firstLineChars="200"/>
        <w:rPr>
          <w:rFonts w:ascii="宋体" w:hAnsi="宋体" w:cs="宋体"/>
          <w:color w:val="auto"/>
          <w:sz w:val="22"/>
          <w:szCs w:val="22"/>
        </w:rPr>
      </w:pPr>
    </w:p>
    <w:p w14:paraId="081E8FCB">
      <w:pPr>
        <w:tabs>
          <w:tab w:val="left" w:pos="4860"/>
        </w:tabs>
        <w:spacing w:line="588" w:lineRule="exact"/>
        <w:ind w:right="1560" w:firstLine="440" w:firstLineChars="200"/>
        <w:jc w:val="center"/>
        <w:rPr>
          <w:rFonts w:ascii="宋体" w:hAnsi="宋体" w:cs="宋体"/>
          <w:color w:val="auto"/>
          <w:sz w:val="22"/>
          <w:szCs w:val="22"/>
        </w:rPr>
      </w:pPr>
      <w:r>
        <w:rPr>
          <w:rFonts w:hint="eastAsia" w:ascii="宋体" w:hAnsi="宋体" w:cs="宋体"/>
          <w:color w:val="auto"/>
          <w:sz w:val="22"/>
          <w:szCs w:val="22"/>
        </w:rPr>
        <w:t xml:space="preserve">                                  供应商名称（盖章）：</w:t>
      </w:r>
    </w:p>
    <w:p w14:paraId="6D92F4AC">
      <w:pPr>
        <w:adjustRightInd w:val="0"/>
        <w:snapToGrid w:val="0"/>
        <w:spacing w:line="400" w:lineRule="exact"/>
        <w:rPr>
          <w:rFonts w:ascii="宋体" w:hAnsi="宋体" w:cs="宋体"/>
          <w:color w:val="auto"/>
          <w:sz w:val="22"/>
          <w:szCs w:val="22"/>
        </w:rPr>
      </w:pPr>
      <w:r>
        <w:rPr>
          <w:rFonts w:hint="eastAsia" w:ascii="宋体" w:hAnsi="宋体" w:cs="宋体"/>
          <w:color w:val="auto"/>
          <w:sz w:val="22"/>
          <w:szCs w:val="22"/>
        </w:rPr>
        <w:t xml:space="preserve">                                             日  期：      年    月     日</w:t>
      </w:r>
    </w:p>
    <w:p w14:paraId="1D87DBA3">
      <w:pPr>
        <w:pStyle w:val="14"/>
        <w:spacing w:after="0"/>
        <w:rPr>
          <w:rFonts w:ascii="宋体" w:hAnsi="宋体" w:cs="宋体"/>
          <w:color w:val="auto"/>
          <w:sz w:val="22"/>
          <w:szCs w:val="22"/>
        </w:rPr>
      </w:pPr>
    </w:p>
    <w:p w14:paraId="6DF7F163">
      <w:pPr>
        <w:pStyle w:val="14"/>
        <w:spacing w:after="0"/>
        <w:rPr>
          <w:rFonts w:ascii="宋体" w:hAnsi="宋体" w:cs="宋体"/>
          <w:color w:val="auto"/>
          <w:sz w:val="22"/>
          <w:szCs w:val="22"/>
        </w:rPr>
      </w:pPr>
    </w:p>
    <w:p w14:paraId="32F7227C">
      <w:pPr>
        <w:spacing w:line="588" w:lineRule="exact"/>
        <w:rPr>
          <w:rFonts w:ascii="宋体" w:hAnsi="宋体" w:cs="宋体"/>
          <w:color w:val="auto"/>
          <w:sz w:val="22"/>
          <w:szCs w:val="22"/>
        </w:rPr>
      </w:pPr>
      <w:r>
        <w:rPr>
          <w:rFonts w:hint="eastAsia" w:ascii="宋体" w:hAnsi="宋体" w:cs="宋体"/>
          <w:color w:val="auto"/>
          <w:sz w:val="22"/>
          <w:szCs w:val="22"/>
        </w:rPr>
        <w:t>备注说明：</w:t>
      </w:r>
    </w:p>
    <w:p w14:paraId="48EC3C69">
      <w:pPr>
        <w:spacing w:line="588" w:lineRule="exact"/>
        <w:ind w:firstLine="440" w:firstLineChars="200"/>
        <w:rPr>
          <w:rFonts w:ascii="宋体" w:hAnsi="宋体" w:cs="宋体"/>
          <w:color w:val="auto"/>
          <w:sz w:val="22"/>
          <w:szCs w:val="22"/>
        </w:rPr>
      </w:pPr>
      <w:r>
        <w:rPr>
          <w:rFonts w:hint="eastAsia" w:ascii="宋体" w:hAnsi="宋体" w:cs="宋体"/>
          <w:color w:val="auto"/>
          <w:sz w:val="22"/>
          <w:szCs w:val="22"/>
        </w:rPr>
        <w:t>1、如中标，将在中标公告中将此残疾人福利性单位声明函予以公示，接受社会监督；</w:t>
      </w:r>
    </w:p>
    <w:p w14:paraId="424F6337">
      <w:pPr>
        <w:spacing w:line="588" w:lineRule="exact"/>
        <w:ind w:firstLine="440" w:firstLineChars="200"/>
        <w:rPr>
          <w:rFonts w:ascii="宋体" w:hAnsi="宋体" w:cs="宋体"/>
          <w:color w:val="auto"/>
          <w:sz w:val="22"/>
          <w:szCs w:val="22"/>
        </w:rPr>
      </w:pPr>
      <w:r>
        <w:rPr>
          <w:rFonts w:hint="eastAsia" w:ascii="宋体" w:hAnsi="宋体" w:cs="宋体"/>
          <w:color w:val="auto"/>
          <w:sz w:val="22"/>
          <w:szCs w:val="22"/>
        </w:rPr>
        <w:t>2、供应商提供的《残疾人福利性单位声明函》与事实不符的，依照《政府采购法》第七十七条第一款的规定追究法律责任。</w:t>
      </w:r>
    </w:p>
    <w:p w14:paraId="3F107482">
      <w:pPr>
        <w:spacing w:line="420" w:lineRule="exact"/>
        <w:rPr>
          <w:color w:val="auto"/>
        </w:rPr>
      </w:pPr>
    </w:p>
    <w:p w14:paraId="3ECAC37D">
      <w:pPr>
        <w:pStyle w:val="14"/>
        <w:spacing w:after="0"/>
        <w:rPr>
          <w:color w:val="auto"/>
        </w:rPr>
      </w:pPr>
    </w:p>
    <w:p w14:paraId="474C7B84">
      <w:pPr>
        <w:pStyle w:val="14"/>
        <w:spacing w:after="0"/>
        <w:rPr>
          <w:color w:val="auto"/>
        </w:rPr>
      </w:pPr>
    </w:p>
    <w:p w14:paraId="026F093B">
      <w:pPr>
        <w:spacing w:line="440" w:lineRule="exact"/>
        <w:rPr>
          <w:b/>
          <w:color w:val="auto"/>
        </w:rPr>
      </w:pPr>
    </w:p>
    <w:p w14:paraId="09E5EAF8">
      <w:pPr>
        <w:pStyle w:val="14"/>
        <w:spacing w:after="0"/>
        <w:rPr>
          <w:color w:val="auto"/>
        </w:rPr>
      </w:pPr>
    </w:p>
    <w:p w14:paraId="38B4297F">
      <w:pPr>
        <w:pStyle w:val="14"/>
        <w:spacing w:after="0"/>
        <w:rPr>
          <w:color w:val="auto"/>
        </w:rPr>
      </w:pPr>
    </w:p>
    <w:p w14:paraId="2170E028">
      <w:pPr>
        <w:pStyle w:val="14"/>
        <w:spacing w:after="0"/>
        <w:rPr>
          <w:color w:val="auto"/>
        </w:rPr>
      </w:pPr>
    </w:p>
    <w:p w14:paraId="0494F56F">
      <w:pPr>
        <w:pStyle w:val="14"/>
        <w:spacing w:after="0"/>
        <w:rPr>
          <w:color w:val="auto"/>
        </w:rPr>
      </w:pPr>
    </w:p>
    <w:p w14:paraId="47D2FBCF">
      <w:pPr>
        <w:pStyle w:val="14"/>
        <w:spacing w:after="0"/>
        <w:rPr>
          <w:color w:val="auto"/>
        </w:rPr>
      </w:pPr>
    </w:p>
    <w:p w14:paraId="563764EB">
      <w:pPr>
        <w:pStyle w:val="14"/>
        <w:spacing w:after="0"/>
        <w:rPr>
          <w:color w:val="auto"/>
        </w:rPr>
      </w:pPr>
    </w:p>
    <w:p w14:paraId="3F392E7F">
      <w:pPr>
        <w:spacing w:line="360" w:lineRule="auto"/>
        <w:jc w:val="center"/>
        <w:outlineLvl w:val="0"/>
        <w:rPr>
          <w:rFonts w:ascii="黑体" w:hAnsi="黑体" w:eastAsia="黑体"/>
          <w:b/>
          <w:bCs/>
          <w:color w:val="auto"/>
          <w:kern w:val="44"/>
          <w:sz w:val="36"/>
          <w:szCs w:val="36"/>
        </w:rPr>
      </w:pPr>
      <w:r>
        <w:rPr>
          <w:b/>
          <w:color w:val="auto"/>
        </w:rPr>
        <w:br w:type="page"/>
      </w:r>
      <w:bookmarkStart w:id="206" w:name="_Toc4580"/>
      <w:bookmarkStart w:id="207" w:name="_Toc19298"/>
      <w:bookmarkStart w:id="208" w:name="_Toc5621"/>
      <w:bookmarkStart w:id="209" w:name="_Toc12151"/>
      <w:bookmarkStart w:id="210" w:name="_Toc19295"/>
      <w:r>
        <w:rPr>
          <w:rFonts w:hint="eastAsia" w:ascii="黑体" w:hAnsi="黑体" w:eastAsia="黑体"/>
          <w:b/>
          <w:bCs/>
          <w:color w:val="auto"/>
          <w:kern w:val="44"/>
          <w:sz w:val="36"/>
          <w:szCs w:val="36"/>
        </w:rPr>
        <w:t>第五部分   采购内容及要求</w:t>
      </w:r>
      <w:bookmarkEnd w:id="197"/>
      <w:bookmarkEnd w:id="198"/>
      <w:bookmarkEnd w:id="199"/>
      <w:bookmarkEnd w:id="200"/>
      <w:bookmarkEnd w:id="206"/>
      <w:bookmarkEnd w:id="207"/>
      <w:bookmarkEnd w:id="208"/>
      <w:bookmarkEnd w:id="209"/>
      <w:bookmarkEnd w:id="210"/>
    </w:p>
    <w:p w14:paraId="69F58953">
      <w:pPr>
        <w:pStyle w:val="3"/>
        <w:spacing w:line="680" w:lineRule="exact"/>
        <w:jc w:val="center"/>
        <w:rPr>
          <w:rFonts w:ascii="宋体" w:hAnsi="宋体" w:eastAsia="宋体"/>
          <w:color w:val="auto"/>
          <w:sz w:val="28"/>
          <w:szCs w:val="28"/>
        </w:rPr>
      </w:pPr>
      <w:bookmarkStart w:id="211" w:name="_Toc498696426"/>
      <w:bookmarkStart w:id="212" w:name="_Toc3672"/>
      <w:bookmarkStart w:id="213" w:name="_Toc132799476"/>
      <w:bookmarkStart w:id="214" w:name="_Toc524273187"/>
      <w:bookmarkStart w:id="215" w:name="_Toc23272"/>
      <w:bookmarkStart w:id="216" w:name="_Toc30658"/>
      <w:bookmarkStart w:id="217" w:name="_Toc8982"/>
      <w:bookmarkStart w:id="218" w:name="_Toc9969"/>
      <w:bookmarkStart w:id="219" w:name="_Toc22027"/>
      <w:bookmarkStart w:id="220" w:name="_Toc202085298"/>
      <w:bookmarkStart w:id="221" w:name="_Toc195502498"/>
      <w:bookmarkStart w:id="222" w:name="_Toc195502588"/>
      <w:r>
        <w:rPr>
          <w:rFonts w:hint="eastAsia" w:ascii="宋体" w:hAnsi="宋体" w:eastAsia="宋体"/>
          <w:color w:val="auto"/>
          <w:sz w:val="28"/>
          <w:szCs w:val="28"/>
        </w:rPr>
        <w:t>一、</w:t>
      </w:r>
      <w:bookmarkEnd w:id="211"/>
      <w:r>
        <w:rPr>
          <w:rFonts w:hint="eastAsia" w:ascii="宋体" w:hAnsi="宋体" w:eastAsia="宋体"/>
          <w:color w:val="auto"/>
          <w:sz w:val="28"/>
          <w:szCs w:val="28"/>
        </w:rPr>
        <w:t>相关说明</w:t>
      </w:r>
      <w:bookmarkEnd w:id="212"/>
      <w:bookmarkEnd w:id="213"/>
      <w:bookmarkEnd w:id="214"/>
    </w:p>
    <w:bookmarkEnd w:id="215"/>
    <w:p w14:paraId="60C1FEE3">
      <w:pPr>
        <w:spacing w:line="440" w:lineRule="exact"/>
        <w:ind w:left="550" w:hanging="550" w:hangingChars="250"/>
        <w:rPr>
          <w:rFonts w:ascii="宋体" w:hAnsi="宋体"/>
          <w:color w:val="auto"/>
          <w:sz w:val="22"/>
          <w:szCs w:val="22"/>
        </w:rPr>
      </w:pPr>
      <w:r>
        <w:rPr>
          <w:rFonts w:hint="eastAsia" w:ascii="宋体" w:hAnsi="宋体"/>
          <w:color w:val="auto"/>
          <w:sz w:val="22"/>
          <w:szCs w:val="22"/>
        </w:rPr>
        <w:t xml:space="preserve">1.   </w:t>
      </w:r>
      <w:r>
        <w:rPr>
          <w:rFonts w:hint="eastAsia" w:ascii="宋体" w:hAnsi="宋体"/>
          <w:color w:val="auto"/>
          <w:sz w:val="22"/>
          <w:szCs w:val="22"/>
          <w:lang w:eastAsia="zh-CN"/>
        </w:rPr>
        <w:t>磋商供应商</w:t>
      </w:r>
      <w:r>
        <w:rPr>
          <w:rFonts w:hint="eastAsia" w:ascii="宋体" w:hAnsi="宋体"/>
          <w:color w:val="auto"/>
          <w:sz w:val="22"/>
          <w:szCs w:val="22"/>
        </w:rPr>
        <w:t>所投产品及主要部件的名称、品牌、型号、技术参数、性能、数量、单价、合价、制造商、质保期等应对照</w:t>
      </w:r>
      <w:r>
        <w:rPr>
          <w:rFonts w:hint="eastAsia" w:ascii="宋体" w:hAnsi="宋体"/>
          <w:color w:val="auto"/>
          <w:sz w:val="22"/>
          <w:szCs w:val="22"/>
          <w:lang w:val="en-US" w:eastAsia="zh-CN"/>
        </w:rPr>
        <w:t>采购</w:t>
      </w:r>
      <w:r>
        <w:rPr>
          <w:rFonts w:hint="eastAsia" w:ascii="宋体" w:hAnsi="宋体"/>
          <w:color w:val="auto"/>
          <w:sz w:val="22"/>
          <w:szCs w:val="22"/>
        </w:rPr>
        <w:t>内容及技术要求列表对应进行说明，在</w:t>
      </w:r>
      <w:r>
        <w:rPr>
          <w:rFonts w:hint="eastAsia" w:ascii="宋体" w:hAnsi="宋体"/>
          <w:color w:val="auto"/>
          <w:sz w:val="22"/>
          <w:szCs w:val="22"/>
          <w:lang w:eastAsia="zh-CN"/>
        </w:rPr>
        <w:t>响应文件</w:t>
      </w:r>
      <w:r>
        <w:rPr>
          <w:rFonts w:hint="eastAsia" w:ascii="宋体" w:hAnsi="宋体"/>
          <w:color w:val="auto"/>
          <w:sz w:val="22"/>
          <w:szCs w:val="22"/>
        </w:rPr>
        <w:t>的相应部分明确，对</w:t>
      </w:r>
      <w:r>
        <w:rPr>
          <w:rFonts w:hint="eastAsia" w:ascii="宋体" w:hAnsi="宋体"/>
          <w:color w:val="auto"/>
          <w:sz w:val="22"/>
          <w:szCs w:val="22"/>
          <w:lang w:eastAsia="zh-CN"/>
        </w:rPr>
        <w:t>磋商文件</w:t>
      </w:r>
      <w:r>
        <w:rPr>
          <w:rFonts w:hint="eastAsia" w:ascii="宋体" w:hAnsi="宋体"/>
          <w:color w:val="auto"/>
          <w:sz w:val="22"/>
          <w:szCs w:val="22"/>
        </w:rPr>
        <w:t>的技术条款及其它要求应予以实质性响应，如有偏离须在偏离表中注明，否则会对</w:t>
      </w:r>
      <w:r>
        <w:rPr>
          <w:rFonts w:hint="eastAsia" w:ascii="宋体" w:hAnsi="宋体"/>
          <w:color w:val="auto"/>
          <w:sz w:val="22"/>
          <w:szCs w:val="22"/>
          <w:lang w:eastAsia="zh-CN"/>
        </w:rPr>
        <w:t>磋商供应商</w:t>
      </w:r>
      <w:r>
        <w:rPr>
          <w:rFonts w:hint="eastAsia" w:ascii="宋体" w:hAnsi="宋体"/>
          <w:color w:val="auto"/>
          <w:sz w:val="22"/>
          <w:szCs w:val="22"/>
        </w:rPr>
        <w:t>的投标做出不利评定。</w:t>
      </w:r>
    </w:p>
    <w:p w14:paraId="79438837">
      <w:pPr>
        <w:spacing w:line="440" w:lineRule="exact"/>
        <w:ind w:left="550" w:hanging="550" w:hangingChars="250"/>
        <w:rPr>
          <w:rFonts w:ascii="宋体" w:hAnsi="宋体"/>
          <w:color w:val="auto"/>
          <w:sz w:val="22"/>
          <w:szCs w:val="22"/>
        </w:rPr>
      </w:pPr>
      <w:r>
        <w:rPr>
          <w:rFonts w:hint="eastAsia" w:ascii="宋体" w:hAnsi="宋体"/>
          <w:color w:val="auto"/>
          <w:sz w:val="22"/>
          <w:szCs w:val="22"/>
        </w:rPr>
        <w:t xml:space="preserve">2.   </w:t>
      </w:r>
      <w:r>
        <w:rPr>
          <w:rFonts w:ascii="宋体" w:hAnsi="宋体"/>
          <w:b/>
          <w:bCs/>
          <w:color w:val="auto"/>
          <w:sz w:val="22"/>
          <w:szCs w:val="22"/>
        </w:rPr>
        <w:t>本项目为</w:t>
      </w:r>
      <w:r>
        <w:rPr>
          <w:rFonts w:hint="eastAsia" w:ascii="宋体" w:hAnsi="宋体"/>
          <w:b/>
          <w:bCs/>
          <w:color w:val="auto"/>
          <w:sz w:val="22"/>
          <w:szCs w:val="22"/>
        </w:rPr>
        <w:t>交钥匙工程。</w:t>
      </w:r>
      <w:r>
        <w:rPr>
          <w:rFonts w:hint="eastAsia" w:ascii="宋体" w:hAnsi="宋体"/>
          <w:color w:val="auto"/>
          <w:sz w:val="22"/>
          <w:szCs w:val="22"/>
          <w:lang w:eastAsia="zh-CN"/>
        </w:rPr>
        <w:t>磋商供应商</w:t>
      </w:r>
      <w:r>
        <w:rPr>
          <w:rFonts w:hint="eastAsia" w:ascii="宋体" w:hAnsi="宋体"/>
          <w:color w:val="auto"/>
          <w:sz w:val="22"/>
          <w:szCs w:val="22"/>
        </w:rPr>
        <w:t>须完成货物的生产、运输、安装、整合调试，直至验收合格交付使用前的所有工作。在此过程中发生的一切费用（包括辅助材料、连接水管、零部件等配套设施）均由</w:t>
      </w:r>
      <w:r>
        <w:rPr>
          <w:rFonts w:hint="eastAsia" w:ascii="宋体" w:hAnsi="宋体"/>
          <w:color w:val="auto"/>
          <w:sz w:val="22"/>
          <w:szCs w:val="22"/>
          <w:lang w:eastAsia="zh-CN"/>
        </w:rPr>
        <w:t>成交供应商</w:t>
      </w:r>
      <w:r>
        <w:rPr>
          <w:rFonts w:hint="eastAsia" w:ascii="宋体" w:hAnsi="宋体"/>
          <w:color w:val="auto"/>
          <w:sz w:val="22"/>
          <w:szCs w:val="22"/>
        </w:rPr>
        <w:t>提供，各</w:t>
      </w:r>
      <w:r>
        <w:rPr>
          <w:rFonts w:hint="eastAsia" w:ascii="宋体" w:hAnsi="宋体"/>
          <w:color w:val="auto"/>
          <w:sz w:val="22"/>
          <w:szCs w:val="22"/>
          <w:lang w:eastAsia="zh-CN"/>
        </w:rPr>
        <w:t>磋商供应商</w:t>
      </w:r>
      <w:r>
        <w:rPr>
          <w:rFonts w:hint="eastAsia" w:ascii="宋体" w:hAnsi="宋体"/>
          <w:color w:val="auto"/>
          <w:sz w:val="22"/>
          <w:szCs w:val="22"/>
        </w:rPr>
        <w:t>应对本</w:t>
      </w:r>
      <w:r>
        <w:rPr>
          <w:rFonts w:hint="eastAsia" w:ascii="宋体" w:hAnsi="宋体"/>
          <w:color w:val="auto"/>
          <w:sz w:val="22"/>
          <w:szCs w:val="22"/>
          <w:lang w:eastAsia="zh-CN"/>
        </w:rPr>
        <w:t>磋商文件</w:t>
      </w:r>
      <w:r>
        <w:rPr>
          <w:rFonts w:hint="eastAsia" w:ascii="宋体" w:hAnsi="宋体"/>
          <w:color w:val="auto"/>
          <w:sz w:val="22"/>
          <w:szCs w:val="22"/>
        </w:rPr>
        <w:t>未列出但完成本项目所必须的其他材料一一列出，并详细注明报价等情况，如未列出，则视为已包含在总价内，由</w:t>
      </w:r>
      <w:r>
        <w:rPr>
          <w:rFonts w:hint="eastAsia" w:ascii="宋体" w:hAnsi="宋体"/>
          <w:color w:val="auto"/>
          <w:sz w:val="22"/>
          <w:szCs w:val="22"/>
          <w:lang w:eastAsia="zh-CN"/>
        </w:rPr>
        <w:t>磋商供应商</w:t>
      </w:r>
      <w:r>
        <w:rPr>
          <w:rFonts w:hint="eastAsia" w:ascii="宋体" w:hAnsi="宋体"/>
          <w:color w:val="auto"/>
          <w:sz w:val="22"/>
          <w:szCs w:val="22"/>
        </w:rPr>
        <w:t>免费提供。</w:t>
      </w:r>
    </w:p>
    <w:p w14:paraId="042EA311">
      <w:pPr>
        <w:spacing w:line="440" w:lineRule="exact"/>
        <w:ind w:left="550" w:hanging="550" w:hangingChars="250"/>
        <w:rPr>
          <w:rFonts w:ascii="宋体" w:hAnsi="宋体"/>
          <w:color w:val="auto"/>
          <w:sz w:val="22"/>
          <w:szCs w:val="22"/>
        </w:rPr>
      </w:pPr>
      <w:r>
        <w:rPr>
          <w:rFonts w:hint="eastAsia" w:ascii="宋体" w:hAnsi="宋体"/>
          <w:color w:val="auto"/>
          <w:sz w:val="22"/>
          <w:szCs w:val="22"/>
        </w:rPr>
        <w:t xml:space="preserve">3.   </w:t>
      </w:r>
      <w:r>
        <w:rPr>
          <w:rFonts w:hint="eastAsia" w:ascii="宋体" w:hAnsi="宋体"/>
          <w:color w:val="auto"/>
          <w:sz w:val="22"/>
          <w:szCs w:val="22"/>
          <w:lang w:eastAsia="zh-CN"/>
        </w:rPr>
        <w:t>磋商供应商</w:t>
      </w:r>
      <w:r>
        <w:rPr>
          <w:rFonts w:hint="eastAsia" w:ascii="宋体" w:hAnsi="宋体"/>
          <w:color w:val="auto"/>
          <w:sz w:val="22"/>
          <w:szCs w:val="22"/>
        </w:rPr>
        <w:t>需针对本项目所提供的产品的技术性能、质量水平、具体实施方案、售后服务、培训计划等做详尽的描述。</w:t>
      </w:r>
    </w:p>
    <w:p w14:paraId="0DD23314">
      <w:pPr>
        <w:spacing w:line="440" w:lineRule="exact"/>
        <w:ind w:left="550" w:hanging="550" w:hangingChars="250"/>
        <w:rPr>
          <w:rFonts w:ascii="宋体" w:hAnsi="宋体" w:eastAsia="宋体" w:cs="Times New Roman"/>
          <w:color w:val="auto"/>
          <w:sz w:val="22"/>
          <w:szCs w:val="22"/>
        </w:rPr>
      </w:pPr>
      <w:r>
        <w:rPr>
          <w:rFonts w:hint="eastAsia" w:ascii="宋体" w:hAnsi="宋体" w:eastAsia="宋体" w:cs="Times New Roman"/>
          <w:color w:val="auto"/>
          <w:sz w:val="22"/>
          <w:szCs w:val="22"/>
        </w:rPr>
        <w:t>4</w:t>
      </w:r>
      <w:r>
        <w:rPr>
          <w:rFonts w:ascii="宋体" w:hAnsi="宋体" w:eastAsia="宋体" w:cs="Times New Roman"/>
          <w:color w:val="auto"/>
          <w:sz w:val="22"/>
          <w:szCs w:val="22"/>
        </w:rPr>
        <w:t xml:space="preserve">.   </w:t>
      </w:r>
      <w:r>
        <w:rPr>
          <w:rFonts w:hint="eastAsia" w:ascii="宋体" w:hAnsi="宋体" w:eastAsia="宋体" w:cs="Times New Roman"/>
          <w:color w:val="auto"/>
          <w:sz w:val="22"/>
          <w:szCs w:val="22"/>
        </w:rPr>
        <w:t>本</w:t>
      </w:r>
      <w:r>
        <w:rPr>
          <w:rFonts w:ascii="宋体" w:hAnsi="宋体" w:eastAsia="宋体" w:cs="Times New Roman"/>
          <w:color w:val="auto"/>
          <w:sz w:val="22"/>
          <w:szCs w:val="22"/>
        </w:rPr>
        <w:t>采购文件中如出现货物</w:t>
      </w:r>
      <w:r>
        <w:rPr>
          <w:rFonts w:hint="eastAsia" w:ascii="宋体" w:hAnsi="宋体" w:eastAsia="宋体" w:cs="Times New Roman"/>
          <w:color w:val="auto"/>
          <w:sz w:val="22"/>
          <w:szCs w:val="22"/>
        </w:rPr>
        <w:t>的品牌的，仅仅作为技术参数描述的便利性，不作限制性，</w:t>
      </w:r>
      <w:r>
        <w:rPr>
          <w:rFonts w:hint="eastAsia" w:ascii="宋体" w:hAnsi="宋体" w:eastAsia="宋体" w:cs="Times New Roman"/>
          <w:color w:val="auto"/>
          <w:sz w:val="22"/>
          <w:szCs w:val="22"/>
          <w:lang w:eastAsia="zh-CN"/>
        </w:rPr>
        <w:t>磋商供应商</w:t>
      </w:r>
      <w:r>
        <w:rPr>
          <w:rFonts w:hint="eastAsia" w:ascii="宋体" w:hAnsi="宋体" w:eastAsia="宋体" w:cs="Times New Roman"/>
          <w:color w:val="auto"/>
          <w:sz w:val="22"/>
          <w:szCs w:val="22"/>
        </w:rPr>
        <w:t>可以提供与所描述品牌技术性能相当的产品参与投标。</w:t>
      </w:r>
    </w:p>
    <w:p w14:paraId="3C013F24">
      <w:pPr>
        <w:spacing w:line="440" w:lineRule="exact"/>
        <w:ind w:left="550" w:hanging="550" w:hangingChars="250"/>
        <w:rPr>
          <w:rFonts w:ascii="宋体" w:hAnsi="宋体" w:eastAsia="宋体" w:cs="Times New Roman"/>
          <w:color w:val="auto"/>
          <w:sz w:val="22"/>
          <w:szCs w:val="22"/>
        </w:rPr>
      </w:pPr>
      <w:r>
        <w:rPr>
          <w:rFonts w:hint="eastAsia" w:ascii="宋体" w:hAnsi="宋体" w:eastAsia="宋体" w:cs="Times New Roman"/>
          <w:color w:val="auto"/>
          <w:sz w:val="22"/>
          <w:szCs w:val="22"/>
        </w:rPr>
        <w:t>5.   采购人可能对</w:t>
      </w:r>
      <w:r>
        <w:rPr>
          <w:rFonts w:hint="eastAsia" w:ascii="宋体" w:hAnsi="宋体" w:eastAsia="宋体" w:cs="Times New Roman"/>
          <w:color w:val="auto"/>
          <w:sz w:val="22"/>
          <w:szCs w:val="22"/>
          <w:lang w:val="en-US" w:eastAsia="zh-CN"/>
        </w:rPr>
        <w:t>成交</w:t>
      </w:r>
      <w:r>
        <w:rPr>
          <w:rFonts w:hint="eastAsia" w:ascii="宋体" w:hAnsi="宋体" w:eastAsia="宋体" w:cs="Times New Roman"/>
          <w:color w:val="auto"/>
          <w:sz w:val="22"/>
          <w:szCs w:val="22"/>
        </w:rPr>
        <w:t>产品（材料）进行抽查，</w:t>
      </w:r>
      <w:r>
        <w:rPr>
          <w:rFonts w:hint="eastAsia" w:ascii="宋体" w:hAnsi="宋体" w:eastAsia="宋体" w:cs="Times New Roman"/>
          <w:color w:val="auto"/>
          <w:sz w:val="22"/>
          <w:szCs w:val="22"/>
          <w:lang w:eastAsia="zh-CN"/>
        </w:rPr>
        <w:t>成交供应商</w:t>
      </w:r>
      <w:r>
        <w:rPr>
          <w:rFonts w:hint="eastAsia" w:ascii="宋体" w:hAnsi="宋体" w:eastAsia="宋体" w:cs="Times New Roman"/>
          <w:color w:val="auto"/>
          <w:sz w:val="22"/>
          <w:szCs w:val="22"/>
        </w:rPr>
        <w:t>须无条件配合。</w:t>
      </w:r>
    </w:p>
    <w:p w14:paraId="1C2913C2">
      <w:pPr>
        <w:spacing w:line="440" w:lineRule="exact"/>
        <w:ind w:left="550" w:hanging="550" w:hangingChars="250"/>
        <w:rPr>
          <w:rFonts w:ascii="宋体" w:hAnsi="宋体" w:eastAsia="宋体" w:cs="Times New Roman"/>
          <w:color w:val="auto"/>
          <w:sz w:val="22"/>
          <w:szCs w:val="22"/>
        </w:rPr>
      </w:pPr>
      <w:r>
        <w:rPr>
          <w:rFonts w:ascii="宋体" w:hAnsi="宋体" w:eastAsia="宋体" w:cs="Times New Roman"/>
          <w:color w:val="auto"/>
          <w:sz w:val="22"/>
          <w:szCs w:val="22"/>
        </w:rPr>
        <w:t>6</w:t>
      </w:r>
      <w:r>
        <w:rPr>
          <w:rFonts w:hint="eastAsia" w:ascii="宋体" w:hAnsi="宋体" w:eastAsia="宋体" w:cs="Times New Roman"/>
          <w:color w:val="auto"/>
          <w:sz w:val="22"/>
          <w:szCs w:val="22"/>
        </w:rPr>
        <w:t>.  供应商需提供各种材料的各项检测报告及成品货物检测报告等认为需要提供的资料，所投涉及燃气灶具及工业和商业用电热食品加工设备须具有有效的《全国工业产品生产许可证》。</w:t>
      </w:r>
    </w:p>
    <w:p w14:paraId="212EB480">
      <w:pPr>
        <w:spacing w:line="440" w:lineRule="exact"/>
        <w:ind w:left="550" w:hanging="550" w:hangingChars="250"/>
        <w:rPr>
          <w:rFonts w:ascii="宋体" w:hAnsi="宋体"/>
          <w:color w:val="auto"/>
          <w:sz w:val="22"/>
          <w:szCs w:val="22"/>
        </w:rPr>
      </w:pPr>
      <w:r>
        <w:rPr>
          <w:rFonts w:ascii="宋体" w:hAnsi="宋体" w:eastAsia="宋体" w:cs="Times New Roman"/>
          <w:color w:val="auto"/>
          <w:sz w:val="22"/>
          <w:szCs w:val="22"/>
        </w:rPr>
        <w:t>7</w:t>
      </w:r>
      <w:r>
        <w:rPr>
          <w:rFonts w:hint="eastAsia" w:ascii="宋体" w:hAnsi="宋体" w:eastAsia="宋体" w:cs="Times New Roman"/>
          <w:color w:val="auto"/>
          <w:sz w:val="22"/>
          <w:szCs w:val="22"/>
        </w:rPr>
        <w:t>.   采购人将对</w:t>
      </w:r>
      <w:r>
        <w:rPr>
          <w:rFonts w:hint="eastAsia" w:ascii="宋体" w:hAnsi="宋体" w:eastAsia="宋体" w:cs="Times New Roman"/>
          <w:color w:val="auto"/>
          <w:sz w:val="22"/>
          <w:szCs w:val="22"/>
          <w:lang w:eastAsia="zh-CN"/>
        </w:rPr>
        <w:t>成交供应商</w:t>
      </w:r>
      <w:r>
        <w:rPr>
          <w:rFonts w:hint="eastAsia" w:ascii="宋体" w:hAnsi="宋体" w:eastAsia="宋体" w:cs="Times New Roman"/>
          <w:color w:val="auto"/>
          <w:sz w:val="22"/>
          <w:szCs w:val="22"/>
        </w:rPr>
        <w:t>所提供的货物进行严格验收，如发现所</w:t>
      </w:r>
      <w:r>
        <w:rPr>
          <w:rFonts w:hint="eastAsia" w:ascii="宋体" w:hAnsi="宋体"/>
          <w:color w:val="auto"/>
          <w:sz w:val="22"/>
          <w:szCs w:val="22"/>
        </w:rPr>
        <w:t>提供的产品的材质、规格、尺寸不符合</w:t>
      </w:r>
      <w:r>
        <w:rPr>
          <w:rFonts w:hint="eastAsia" w:ascii="宋体" w:hAnsi="宋体"/>
          <w:color w:val="auto"/>
          <w:sz w:val="22"/>
          <w:szCs w:val="22"/>
          <w:lang w:eastAsia="zh-CN"/>
        </w:rPr>
        <w:t>磋商文件</w:t>
      </w:r>
      <w:r>
        <w:rPr>
          <w:rFonts w:hint="eastAsia" w:ascii="宋体" w:hAnsi="宋体"/>
          <w:color w:val="auto"/>
          <w:sz w:val="22"/>
          <w:szCs w:val="22"/>
        </w:rPr>
        <w:t>及投标的要求，将视其全部不合格，予以退货，直至合格为止。由此产生的费用和给采购人带来的损失均由</w:t>
      </w:r>
      <w:r>
        <w:rPr>
          <w:rFonts w:hint="eastAsia" w:ascii="宋体" w:hAnsi="宋体"/>
          <w:color w:val="auto"/>
          <w:sz w:val="22"/>
          <w:szCs w:val="22"/>
          <w:lang w:eastAsia="zh-CN"/>
        </w:rPr>
        <w:t>成交供应商</w:t>
      </w:r>
      <w:r>
        <w:rPr>
          <w:rFonts w:hint="eastAsia" w:ascii="宋体" w:hAnsi="宋体"/>
          <w:color w:val="auto"/>
          <w:sz w:val="22"/>
          <w:szCs w:val="22"/>
        </w:rPr>
        <w:t>承担。</w:t>
      </w:r>
    </w:p>
    <w:p w14:paraId="2DE0CCF3">
      <w:pPr>
        <w:spacing w:line="440" w:lineRule="exact"/>
        <w:ind w:left="550" w:hanging="550" w:hangingChars="250"/>
        <w:rPr>
          <w:rFonts w:ascii="宋体" w:hAnsi="宋体"/>
          <w:color w:val="auto"/>
          <w:sz w:val="22"/>
          <w:szCs w:val="22"/>
        </w:rPr>
      </w:pPr>
      <w:r>
        <w:rPr>
          <w:rFonts w:ascii="宋体" w:hAnsi="宋体"/>
          <w:color w:val="auto"/>
          <w:sz w:val="22"/>
          <w:szCs w:val="22"/>
        </w:rPr>
        <w:t>8</w:t>
      </w:r>
      <w:r>
        <w:rPr>
          <w:rFonts w:hint="eastAsia" w:ascii="宋体" w:hAnsi="宋体"/>
          <w:color w:val="auto"/>
          <w:sz w:val="22"/>
          <w:szCs w:val="22"/>
        </w:rPr>
        <w:t xml:space="preserve">.  </w:t>
      </w:r>
      <w:r>
        <w:rPr>
          <w:rFonts w:hint="eastAsia" w:ascii="宋体" w:hAnsi="宋体"/>
          <w:b/>
          <w:color w:val="auto"/>
          <w:sz w:val="22"/>
          <w:szCs w:val="22"/>
        </w:rPr>
        <w:t>关于投标样品的说明：</w:t>
      </w:r>
    </w:p>
    <w:p w14:paraId="7E0DD22B">
      <w:pPr>
        <w:spacing w:line="440" w:lineRule="exact"/>
        <w:ind w:left="550" w:hanging="552" w:hangingChars="250"/>
        <w:rPr>
          <w:rFonts w:hint="eastAsia" w:ascii="宋体" w:hAnsi="宋体" w:eastAsia="宋体" w:cs="Times New Roman"/>
          <w:b/>
          <w:bCs/>
          <w:color w:val="auto"/>
          <w:sz w:val="22"/>
          <w:szCs w:val="22"/>
        </w:rPr>
      </w:pPr>
      <w:r>
        <w:rPr>
          <w:rFonts w:hint="eastAsia" w:ascii="宋体" w:hAnsi="宋体" w:eastAsia="宋体" w:cs="Times New Roman"/>
          <w:b/>
          <w:bCs/>
          <w:color w:val="auto"/>
          <w:sz w:val="22"/>
          <w:szCs w:val="22"/>
        </w:rPr>
        <w:t>8.1  本项目要求</w:t>
      </w:r>
      <w:r>
        <w:rPr>
          <w:rFonts w:hint="eastAsia" w:ascii="宋体" w:hAnsi="宋体" w:eastAsia="宋体" w:cs="Times New Roman"/>
          <w:b/>
          <w:bCs/>
          <w:color w:val="auto"/>
          <w:sz w:val="22"/>
          <w:szCs w:val="22"/>
          <w:lang w:eastAsia="zh-CN"/>
        </w:rPr>
        <w:t>磋商供应商</w:t>
      </w:r>
      <w:r>
        <w:rPr>
          <w:rFonts w:hint="eastAsia" w:ascii="宋体" w:hAnsi="宋体" w:eastAsia="宋体" w:cs="Times New Roman"/>
          <w:b/>
          <w:bCs/>
          <w:color w:val="auto"/>
          <w:sz w:val="22"/>
          <w:szCs w:val="22"/>
        </w:rPr>
        <w:t>在投标现场提供样品，样品内容为采购内容及技术要求的清单中的：</w:t>
      </w:r>
    </w:p>
    <w:p w14:paraId="6328D407">
      <w:pPr>
        <w:spacing w:line="440" w:lineRule="exact"/>
        <w:ind w:left="550" w:hanging="552" w:hangingChars="250"/>
        <w:rPr>
          <w:rFonts w:hint="eastAsia" w:ascii="宋体" w:hAnsi="宋体" w:eastAsia="宋体" w:cs="Times New Roman"/>
          <w:b/>
          <w:bCs/>
          <w:color w:val="auto"/>
          <w:sz w:val="22"/>
          <w:szCs w:val="22"/>
          <w:lang w:val="en-US" w:eastAsia="zh-CN"/>
        </w:rPr>
      </w:pPr>
      <w:r>
        <w:rPr>
          <w:rFonts w:hint="eastAsia" w:ascii="宋体" w:hAnsi="宋体" w:eastAsia="宋体" w:cs="Times New Roman"/>
          <w:b/>
          <w:bCs/>
          <w:color w:val="auto"/>
          <w:sz w:val="22"/>
          <w:szCs w:val="22"/>
        </w:rPr>
        <w:t>（1）</w:t>
      </w:r>
      <w:r>
        <w:rPr>
          <w:rFonts w:hint="eastAsia" w:ascii="宋体" w:hAnsi="宋体" w:cs="Times New Roman"/>
          <w:b/>
          <w:bCs/>
          <w:color w:val="auto"/>
          <w:sz w:val="22"/>
          <w:szCs w:val="22"/>
          <w:lang w:val="en-US" w:eastAsia="zh-CN"/>
        </w:rPr>
        <w:t>序号31：</w:t>
      </w:r>
      <w:r>
        <w:rPr>
          <w:rFonts w:hint="eastAsia" w:ascii="宋体" w:hAnsi="宋体" w:eastAsia="宋体" w:cs="Times New Roman"/>
          <w:b/>
          <w:bCs/>
          <w:color w:val="auto"/>
          <w:sz w:val="22"/>
          <w:szCs w:val="22"/>
        </w:rPr>
        <w:t>油烟净化一体机</w:t>
      </w:r>
      <w:r>
        <w:rPr>
          <w:rFonts w:hint="eastAsia" w:ascii="宋体" w:hAnsi="宋体" w:cs="Times New Roman"/>
          <w:b/>
          <w:bCs/>
          <w:color w:val="auto"/>
          <w:sz w:val="22"/>
          <w:szCs w:val="22"/>
          <w:lang w:eastAsia="zh-CN"/>
        </w:rPr>
        <w:t>，</w:t>
      </w:r>
      <w:r>
        <w:rPr>
          <w:rFonts w:hint="eastAsia" w:ascii="宋体" w:hAnsi="宋体" w:eastAsia="宋体" w:cs="Times New Roman"/>
          <w:b/>
          <w:bCs/>
          <w:color w:val="auto"/>
          <w:sz w:val="22"/>
          <w:szCs w:val="22"/>
        </w:rPr>
        <w:t xml:space="preserve">  规格：1300</w:t>
      </w:r>
      <w:r>
        <w:rPr>
          <w:rFonts w:hint="eastAsia" w:ascii="宋体" w:hAnsi="宋体" w:eastAsia="宋体" w:cs="Times New Roman"/>
          <w:b/>
          <w:bCs/>
          <w:color w:val="auto"/>
          <w:sz w:val="22"/>
          <w:szCs w:val="22"/>
          <w:lang w:val="en-US" w:eastAsia="zh-CN"/>
        </w:rPr>
        <w:t>×</w:t>
      </w:r>
      <w:r>
        <w:rPr>
          <w:rFonts w:hint="eastAsia" w:ascii="宋体" w:hAnsi="宋体" w:eastAsia="宋体" w:cs="Times New Roman"/>
          <w:b/>
          <w:bCs/>
          <w:color w:val="auto"/>
          <w:sz w:val="22"/>
          <w:szCs w:val="22"/>
        </w:rPr>
        <w:t>1200</w:t>
      </w:r>
      <w:r>
        <w:rPr>
          <w:rFonts w:hint="eastAsia" w:ascii="宋体" w:hAnsi="宋体" w:eastAsia="宋体" w:cs="Times New Roman"/>
          <w:b/>
          <w:bCs/>
          <w:color w:val="auto"/>
          <w:sz w:val="22"/>
          <w:szCs w:val="22"/>
          <w:lang w:val="en-US" w:eastAsia="zh-CN"/>
        </w:rPr>
        <w:t>×</w:t>
      </w:r>
      <w:r>
        <w:rPr>
          <w:rFonts w:hint="eastAsia" w:ascii="宋体" w:hAnsi="宋体" w:eastAsia="宋体" w:cs="Times New Roman"/>
          <w:b/>
          <w:bCs/>
          <w:color w:val="auto"/>
          <w:sz w:val="22"/>
          <w:szCs w:val="22"/>
        </w:rPr>
        <w:t>935。</w:t>
      </w:r>
    </w:p>
    <w:p w14:paraId="5361501E">
      <w:pPr>
        <w:spacing w:line="440" w:lineRule="exact"/>
        <w:ind w:left="550" w:hanging="550" w:hangingChars="250"/>
        <w:rPr>
          <w:rFonts w:hint="eastAsia" w:ascii="宋体" w:hAnsi="宋体" w:eastAsia="宋体" w:cs="Times New Roman"/>
          <w:color w:val="auto"/>
          <w:sz w:val="22"/>
          <w:szCs w:val="22"/>
        </w:rPr>
      </w:pPr>
      <w:r>
        <w:rPr>
          <w:rFonts w:hint="eastAsia" w:ascii="宋体" w:hAnsi="宋体" w:eastAsia="宋体" w:cs="Times New Roman"/>
          <w:color w:val="auto"/>
          <w:sz w:val="22"/>
          <w:szCs w:val="22"/>
        </w:rPr>
        <w:t>8.2  相关说明：</w:t>
      </w:r>
    </w:p>
    <w:p w14:paraId="0FB3AE58">
      <w:pPr>
        <w:spacing w:line="400" w:lineRule="exact"/>
        <w:rPr>
          <w:rFonts w:ascii="宋体" w:hAnsi="宋体"/>
          <w:color w:val="auto"/>
          <w:sz w:val="22"/>
          <w:szCs w:val="22"/>
        </w:rPr>
      </w:pPr>
      <w:r>
        <w:rPr>
          <w:rFonts w:hint="eastAsia" w:ascii="宋体" w:hAnsi="宋体"/>
          <w:color w:val="auto"/>
          <w:sz w:val="22"/>
          <w:szCs w:val="22"/>
        </w:rPr>
        <w:t>（1）</w:t>
      </w:r>
      <w:r>
        <w:rPr>
          <w:rFonts w:hint="eastAsia" w:ascii="宋体" w:hAnsi="宋体"/>
          <w:color w:val="auto"/>
          <w:sz w:val="22"/>
          <w:szCs w:val="22"/>
          <w:lang w:eastAsia="zh-CN"/>
        </w:rPr>
        <w:t>磋商供应商</w:t>
      </w:r>
      <w:r>
        <w:rPr>
          <w:rFonts w:hint="eastAsia" w:ascii="宋体" w:hAnsi="宋体"/>
          <w:color w:val="auto"/>
          <w:sz w:val="22"/>
          <w:szCs w:val="22"/>
        </w:rPr>
        <w:t>需按要求提供实物样品，样品包装上注明</w:t>
      </w:r>
      <w:r>
        <w:rPr>
          <w:rFonts w:hint="eastAsia" w:ascii="宋体" w:hAnsi="宋体"/>
          <w:color w:val="auto"/>
          <w:sz w:val="22"/>
          <w:szCs w:val="22"/>
          <w:lang w:eastAsia="zh-CN"/>
        </w:rPr>
        <w:t>磋商供应商</w:t>
      </w:r>
      <w:r>
        <w:rPr>
          <w:rFonts w:hint="eastAsia" w:ascii="宋体" w:hAnsi="宋体"/>
          <w:color w:val="auto"/>
          <w:sz w:val="22"/>
          <w:szCs w:val="22"/>
        </w:rPr>
        <w:t>名称；</w:t>
      </w:r>
    </w:p>
    <w:p w14:paraId="7963AC15">
      <w:pPr>
        <w:spacing w:line="400" w:lineRule="exact"/>
        <w:rPr>
          <w:rFonts w:ascii="宋体" w:hAnsi="宋体"/>
          <w:color w:val="auto"/>
          <w:sz w:val="22"/>
          <w:szCs w:val="22"/>
        </w:rPr>
      </w:pPr>
      <w:r>
        <w:rPr>
          <w:rFonts w:hint="eastAsia" w:ascii="宋体" w:hAnsi="宋体"/>
          <w:color w:val="auto"/>
          <w:sz w:val="22"/>
          <w:szCs w:val="22"/>
        </w:rPr>
        <w:t>（2）</w:t>
      </w:r>
      <w:r>
        <w:rPr>
          <w:rFonts w:hint="eastAsia" w:ascii="宋体" w:hAnsi="宋体"/>
          <w:color w:val="auto"/>
          <w:sz w:val="22"/>
          <w:szCs w:val="22"/>
          <w:lang w:eastAsia="zh-CN"/>
        </w:rPr>
        <w:t>成交供应商</w:t>
      </w:r>
      <w:r>
        <w:rPr>
          <w:rFonts w:hint="eastAsia" w:ascii="宋体" w:hAnsi="宋体"/>
          <w:color w:val="auto"/>
          <w:sz w:val="22"/>
          <w:szCs w:val="22"/>
        </w:rPr>
        <w:t>的实物样品由采购人封存，作为供货验收时的依据之一；未</w:t>
      </w:r>
      <w:r>
        <w:rPr>
          <w:rFonts w:hint="eastAsia" w:ascii="宋体" w:hAnsi="宋体"/>
          <w:color w:val="auto"/>
          <w:sz w:val="22"/>
          <w:szCs w:val="22"/>
          <w:lang w:eastAsia="zh-CN"/>
        </w:rPr>
        <w:t>成交供应商</w:t>
      </w:r>
      <w:r>
        <w:rPr>
          <w:rFonts w:hint="eastAsia" w:ascii="宋体" w:hAnsi="宋体"/>
          <w:color w:val="auto"/>
          <w:sz w:val="22"/>
          <w:szCs w:val="22"/>
        </w:rPr>
        <w:t>提供的实物样品予以退还，且费用自理。</w:t>
      </w:r>
    </w:p>
    <w:p w14:paraId="0F65D576">
      <w:pPr>
        <w:spacing w:line="400" w:lineRule="exact"/>
        <w:rPr>
          <w:rFonts w:ascii="宋体" w:hAnsi="宋体"/>
          <w:color w:val="auto"/>
          <w:sz w:val="22"/>
          <w:szCs w:val="22"/>
        </w:rPr>
      </w:pPr>
      <w:r>
        <w:rPr>
          <w:rFonts w:hint="eastAsia" w:ascii="宋体" w:hAnsi="宋体"/>
          <w:color w:val="auto"/>
          <w:sz w:val="22"/>
          <w:szCs w:val="22"/>
        </w:rPr>
        <w:t>（3）评标委员会在评标时有权对投标样品进行质疑，并进行各种检测性、破坏性测试以证明所用材料与</w:t>
      </w:r>
      <w:r>
        <w:rPr>
          <w:rFonts w:hint="eastAsia" w:ascii="宋体" w:hAnsi="宋体"/>
          <w:color w:val="auto"/>
          <w:sz w:val="22"/>
          <w:szCs w:val="22"/>
          <w:lang w:eastAsia="zh-CN"/>
        </w:rPr>
        <w:t>磋商文件</w:t>
      </w:r>
      <w:r>
        <w:rPr>
          <w:rFonts w:hint="eastAsia" w:ascii="宋体" w:hAnsi="宋体"/>
          <w:color w:val="auto"/>
          <w:sz w:val="22"/>
          <w:szCs w:val="22"/>
        </w:rPr>
        <w:t>的符合性。</w:t>
      </w:r>
    </w:p>
    <w:p w14:paraId="6894DDFC">
      <w:pPr>
        <w:spacing w:line="440" w:lineRule="exact"/>
        <w:rPr>
          <w:rFonts w:ascii="宋体" w:hAnsi="宋体"/>
          <w:color w:val="auto"/>
          <w:sz w:val="22"/>
          <w:szCs w:val="22"/>
        </w:rPr>
      </w:pPr>
      <w:r>
        <w:rPr>
          <w:rFonts w:hint="eastAsia" w:ascii="宋体" w:hAnsi="宋体"/>
          <w:color w:val="auto"/>
          <w:sz w:val="22"/>
          <w:szCs w:val="22"/>
        </w:rPr>
        <w:t>（4）样品递交要求</w:t>
      </w:r>
    </w:p>
    <w:p w14:paraId="7CFF17DD">
      <w:pPr>
        <w:spacing w:line="440" w:lineRule="exact"/>
        <w:ind w:firstLine="440" w:firstLineChars="200"/>
        <w:rPr>
          <w:rFonts w:ascii="宋体" w:hAnsi="宋体"/>
          <w:color w:val="auto"/>
          <w:sz w:val="22"/>
          <w:szCs w:val="22"/>
        </w:rPr>
      </w:pPr>
      <w:r>
        <w:rPr>
          <w:rFonts w:hint="eastAsia" w:ascii="宋体" w:hAnsi="宋体"/>
          <w:color w:val="auto"/>
          <w:sz w:val="22"/>
          <w:szCs w:val="22"/>
          <w:lang w:eastAsia="zh-CN"/>
        </w:rPr>
        <w:t>磋商供应商</w:t>
      </w:r>
      <w:r>
        <w:rPr>
          <w:rFonts w:hint="eastAsia" w:ascii="宋体" w:hAnsi="宋体"/>
          <w:color w:val="auto"/>
          <w:sz w:val="22"/>
          <w:szCs w:val="22"/>
        </w:rPr>
        <w:t>必须</w:t>
      </w:r>
      <w:r>
        <w:rPr>
          <w:rFonts w:ascii="宋体" w:hAnsi="宋体"/>
          <w:color w:val="auto"/>
          <w:sz w:val="22"/>
          <w:szCs w:val="22"/>
        </w:rPr>
        <w:t>在规定的</w:t>
      </w:r>
      <w:r>
        <w:rPr>
          <w:rFonts w:hint="eastAsia" w:ascii="宋体" w:hAnsi="宋体"/>
          <w:color w:val="auto"/>
          <w:sz w:val="22"/>
          <w:szCs w:val="22"/>
        </w:rPr>
        <w:t>实物样品递交</w:t>
      </w:r>
      <w:r>
        <w:rPr>
          <w:rFonts w:ascii="宋体" w:hAnsi="宋体"/>
          <w:color w:val="auto"/>
          <w:sz w:val="22"/>
          <w:szCs w:val="22"/>
        </w:rPr>
        <w:t>时间</w:t>
      </w:r>
      <w:r>
        <w:rPr>
          <w:rFonts w:hint="eastAsia" w:ascii="宋体" w:hAnsi="宋体"/>
          <w:color w:val="auto"/>
          <w:sz w:val="22"/>
          <w:szCs w:val="22"/>
        </w:rPr>
        <w:t>内</w:t>
      </w:r>
      <w:r>
        <w:rPr>
          <w:rFonts w:ascii="宋体" w:hAnsi="宋体"/>
          <w:color w:val="auto"/>
          <w:sz w:val="22"/>
          <w:szCs w:val="22"/>
        </w:rPr>
        <w:t>送达到</w:t>
      </w:r>
      <w:r>
        <w:rPr>
          <w:rFonts w:hint="eastAsia" w:ascii="宋体" w:hAnsi="宋体"/>
          <w:color w:val="auto"/>
          <w:sz w:val="22"/>
          <w:szCs w:val="22"/>
        </w:rPr>
        <w:t>实物样品递交地点，否则视为未递交实物样品。在递交实物样品同时手持递交“实物样品递交委托书”，否则采购代理机构有权拒收。</w:t>
      </w:r>
    </w:p>
    <w:p w14:paraId="089FDA7A">
      <w:pPr>
        <w:spacing w:line="440" w:lineRule="exact"/>
        <w:ind w:firstLine="442" w:firstLineChars="200"/>
        <w:rPr>
          <w:rFonts w:ascii="宋体" w:hAnsi="宋体"/>
          <w:b/>
          <w:bCs/>
          <w:color w:val="auto"/>
          <w:sz w:val="22"/>
          <w:szCs w:val="22"/>
          <w:u w:val="single"/>
        </w:rPr>
      </w:pPr>
      <w:r>
        <w:rPr>
          <w:rFonts w:hint="eastAsia" w:ascii="宋体" w:hAnsi="宋体"/>
          <w:b/>
          <w:bCs/>
          <w:color w:val="auto"/>
          <w:sz w:val="22"/>
          <w:szCs w:val="22"/>
          <w:u w:val="single"/>
        </w:rPr>
        <w:t>实物样品递交时间：</w:t>
      </w:r>
      <w:r>
        <w:rPr>
          <w:rFonts w:hint="eastAsia" w:ascii="宋体" w:hAnsi="宋体"/>
          <w:b/>
          <w:bCs/>
          <w:color w:val="auto"/>
          <w:sz w:val="22"/>
          <w:szCs w:val="22"/>
          <w:u w:val="single"/>
          <w:lang w:eastAsia="zh-CN"/>
        </w:rPr>
        <w:t>响应文件</w:t>
      </w:r>
      <w:r>
        <w:rPr>
          <w:rFonts w:hint="eastAsia" w:ascii="宋体" w:hAnsi="宋体"/>
          <w:b/>
          <w:bCs/>
          <w:color w:val="auto"/>
          <w:sz w:val="22"/>
          <w:szCs w:val="22"/>
          <w:u w:val="single"/>
        </w:rPr>
        <w:t>递交截止时间前一小时至</w:t>
      </w:r>
      <w:r>
        <w:rPr>
          <w:rFonts w:hint="eastAsia" w:ascii="宋体" w:hAnsi="宋体"/>
          <w:b/>
          <w:bCs/>
          <w:color w:val="auto"/>
          <w:sz w:val="22"/>
          <w:szCs w:val="22"/>
          <w:u w:val="single"/>
          <w:lang w:eastAsia="zh-CN"/>
        </w:rPr>
        <w:t>响应文件</w:t>
      </w:r>
      <w:r>
        <w:rPr>
          <w:rFonts w:hint="eastAsia" w:ascii="宋体" w:hAnsi="宋体"/>
          <w:b/>
          <w:bCs/>
          <w:color w:val="auto"/>
          <w:sz w:val="22"/>
          <w:szCs w:val="22"/>
          <w:u w:val="single"/>
        </w:rPr>
        <w:t>递交截止时间止；</w:t>
      </w:r>
    </w:p>
    <w:p w14:paraId="42FE821E">
      <w:pPr>
        <w:pStyle w:val="145"/>
        <w:spacing w:line="440" w:lineRule="exact"/>
        <w:rPr>
          <w:color w:val="auto"/>
        </w:rPr>
      </w:pPr>
      <w:r>
        <w:rPr>
          <w:rFonts w:hint="eastAsia" w:ascii="宋体" w:hAnsi="宋体"/>
          <w:b/>
          <w:bCs/>
          <w:color w:val="auto"/>
          <w:sz w:val="22"/>
          <w:szCs w:val="22"/>
          <w:u w:val="single"/>
        </w:rPr>
        <w:t>实物样品递交地点：温州市瓯海区南塘1组团1幢楼下室外停车场内，</w:t>
      </w:r>
      <w:r>
        <w:rPr>
          <w:rFonts w:ascii="宋体" w:hAnsi="宋体"/>
          <w:b/>
          <w:bCs/>
          <w:color w:val="auto"/>
          <w:sz w:val="22"/>
          <w:szCs w:val="22"/>
          <w:u w:val="single"/>
        </w:rPr>
        <w:t>具体根据</w:t>
      </w:r>
      <w:r>
        <w:rPr>
          <w:rFonts w:hint="eastAsia" w:ascii="宋体" w:hAnsi="宋体"/>
          <w:b/>
          <w:bCs/>
          <w:color w:val="auto"/>
          <w:sz w:val="22"/>
          <w:szCs w:val="22"/>
          <w:u w:val="single"/>
        </w:rPr>
        <w:t>大楼</w:t>
      </w:r>
      <w:r>
        <w:rPr>
          <w:rFonts w:ascii="宋体" w:hAnsi="宋体"/>
          <w:b/>
          <w:bCs/>
          <w:color w:val="auto"/>
          <w:sz w:val="22"/>
          <w:szCs w:val="22"/>
          <w:u w:val="single"/>
        </w:rPr>
        <w:t>管理要求进行指定摆放，供应商应无条件配合，由采购代理机构负责接收。</w:t>
      </w:r>
    </w:p>
    <w:p w14:paraId="357B877D">
      <w:pPr>
        <w:widowControl/>
        <w:spacing w:line="440" w:lineRule="exact"/>
        <w:ind w:left="550" w:hanging="550" w:hangingChars="250"/>
        <w:rPr>
          <w:rFonts w:ascii="宋体" w:hAnsi="宋体" w:cs="宋体"/>
          <w:color w:val="auto"/>
          <w:sz w:val="22"/>
          <w:szCs w:val="22"/>
        </w:rPr>
      </w:pPr>
      <w:r>
        <w:rPr>
          <w:rFonts w:ascii="宋体" w:hAnsi="宋体" w:cs="宋体"/>
          <w:color w:val="auto"/>
          <w:sz w:val="22"/>
          <w:szCs w:val="22"/>
        </w:rPr>
        <w:t xml:space="preserve">9. </w:t>
      </w:r>
      <w:r>
        <w:rPr>
          <w:rFonts w:hint="eastAsia" w:ascii="宋体" w:hAnsi="宋体" w:cs="宋体"/>
          <w:color w:val="auto"/>
          <w:sz w:val="22"/>
          <w:szCs w:val="22"/>
          <w:lang w:val="en-US" w:eastAsia="zh-CN"/>
        </w:rPr>
        <w:t xml:space="preserve"> </w:t>
      </w:r>
      <w:r>
        <w:rPr>
          <w:rFonts w:ascii="宋体" w:hAnsi="宋体" w:cs="宋体"/>
          <w:color w:val="auto"/>
          <w:sz w:val="22"/>
          <w:szCs w:val="22"/>
        </w:rPr>
        <w:t xml:space="preserve"> </w:t>
      </w:r>
      <w:r>
        <w:rPr>
          <w:rFonts w:hint="eastAsia" w:ascii="宋体" w:hAnsi="宋体" w:cs="宋体"/>
          <w:color w:val="auto"/>
          <w:sz w:val="22"/>
          <w:szCs w:val="22"/>
        </w:rPr>
        <w:t>涉及到排烟管道的，无论实际数量是否有变动，价格均一次性包干，包含在总价中，不予调整。</w:t>
      </w:r>
    </w:p>
    <w:p w14:paraId="2E912693">
      <w:pPr>
        <w:widowControl/>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1</w:t>
      </w:r>
      <w:r>
        <w:rPr>
          <w:rFonts w:ascii="宋体" w:hAnsi="宋体" w:cs="宋体"/>
          <w:color w:val="auto"/>
          <w:sz w:val="22"/>
          <w:szCs w:val="22"/>
        </w:rPr>
        <w:t>0</w:t>
      </w:r>
      <w:r>
        <w:rPr>
          <w:rFonts w:hint="eastAsia" w:ascii="宋体" w:hAnsi="宋体" w:cs="宋体"/>
          <w:color w:val="auto"/>
          <w:sz w:val="22"/>
          <w:szCs w:val="22"/>
        </w:rPr>
        <w:t>.  所有电器类产品须符合国家强制认证要求，国家暂无规定的，应符合行业或企业标准。</w:t>
      </w:r>
    </w:p>
    <w:p w14:paraId="1BF96112">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1</w:t>
      </w:r>
      <w:r>
        <w:rPr>
          <w:rFonts w:ascii="宋体" w:hAnsi="宋体" w:cs="宋体"/>
          <w:color w:val="auto"/>
          <w:sz w:val="22"/>
          <w:szCs w:val="22"/>
        </w:rPr>
        <w:t>1</w:t>
      </w:r>
      <w:r>
        <w:rPr>
          <w:rFonts w:hint="eastAsia" w:ascii="宋体" w:hAnsi="宋体" w:cs="宋体"/>
          <w:color w:val="auto"/>
          <w:sz w:val="22"/>
          <w:szCs w:val="22"/>
        </w:rPr>
        <w:t>.  采购内容及技术要求中所涉及到的不锈钢材质，如未指明的，全部使用SUS304-2B材质。</w:t>
      </w:r>
    </w:p>
    <w:p w14:paraId="14054082">
      <w:pPr>
        <w:spacing w:line="440" w:lineRule="exact"/>
        <w:rPr>
          <w:rFonts w:hint="eastAsia" w:ascii="宋体" w:hAnsi="宋体"/>
          <w:b/>
          <w:color w:val="auto"/>
          <w:sz w:val="22"/>
          <w:szCs w:val="22"/>
        </w:rPr>
      </w:pPr>
      <w:r>
        <w:rPr>
          <w:rFonts w:ascii="宋体" w:hAnsi="宋体"/>
          <w:b/>
          <w:color w:val="auto"/>
          <w:sz w:val="22"/>
          <w:szCs w:val="22"/>
        </w:rPr>
        <w:t>1</w:t>
      </w:r>
      <w:r>
        <w:rPr>
          <w:rFonts w:hint="eastAsia" w:ascii="宋体" w:hAnsi="宋体"/>
          <w:b/>
          <w:color w:val="auto"/>
          <w:sz w:val="22"/>
          <w:szCs w:val="22"/>
          <w:lang w:val="en-US" w:eastAsia="zh-CN"/>
        </w:rPr>
        <w:t>2</w:t>
      </w:r>
      <w:r>
        <w:rPr>
          <w:rFonts w:ascii="宋体" w:hAnsi="宋体"/>
          <w:b/>
          <w:color w:val="auto"/>
          <w:sz w:val="22"/>
          <w:szCs w:val="22"/>
        </w:rPr>
        <w:t xml:space="preserve">.  </w:t>
      </w:r>
      <w:r>
        <w:rPr>
          <w:rFonts w:hint="eastAsia" w:ascii="宋体" w:hAnsi="宋体"/>
          <w:b/>
          <w:color w:val="auto"/>
          <w:sz w:val="22"/>
          <w:szCs w:val="22"/>
          <w:lang w:eastAsia="zh-CN"/>
        </w:rPr>
        <w:t>成交供应商</w:t>
      </w:r>
      <w:r>
        <w:rPr>
          <w:rFonts w:hint="eastAsia" w:ascii="宋体" w:hAnsi="宋体"/>
          <w:b/>
          <w:color w:val="auto"/>
          <w:sz w:val="22"/>
          <w:szCs w:val="22"/>
        </w:rPr>
        <w:t>须给进场施工员工交纳意外险，现场施工所发生的一些事故与责任均由</w:t>
      </w:r>
      <w:r>
        <w:rPr>
          <w:rFonts w:hint="eastAsia" w:ascii="宋体" w:hAnsi="宋体"/>
          <w:b/>
          <w:color w:val="auto"/>
          <w:sz w:val="22"/>
          <w:szCs w:val="22"/>
          <w:lang w:eastAsia="zh-CN"/>
        </w:rPr>
        <w:t>成交供应商</w:t>
      </w:r>
      <w:r>
        <w:rPr>
          <w:rFonts w:hint="eastAsia" w:ascii="宋体" w:hAnsi="宋体"/>
          <w:b/>
          <w:color w:val="auto"/>
          <w:sz w:val="22"/>
          <w:szCs w:val="22"/>
        </w:rPr>
        <w:t>负责。</w:t>
      </w:r>
    </w:p>
    <w:p w14:paraId="48A731E0">
      <w:pPr>
        <w:spacing w:line="440" w:lineRule="exact"/>
        <w:rPr>
          <w:rFonts w:hint="eastAsia" w:ascii="宋体" w:hAnsi="宋体"/>
          <w:b/>
          <w:color w:val="auto"/>
          <w:sz w:val="22"/>
          <w:szCs w:val="22"/>
          <w:lang w:val="en-US" w:eastAsia="zh-CN"/>
        </w:rPr>
      </w:pPr>
      <w:r>
        <w:rPr>
          <w:rFonts w:hint="eastAsia" w:ascii="宋体" w:hAnsi="宋体"/>
          <w:b/>
          <w:color w:val="auto"/>
          <w:sz w:val="22"/>
          <w:szCs w:val="22"/>
          <w:lang w:val="en-US" w:eastAsia="zh-CN"/>
        </w:rPr>
        <w:t>13.  附属工程施工部分：如磋商供应商不具备相关施工资质的，必须委托给有资质的供应商施工。</w:t>
      </w:r>
    </w:p>
    <w:p w14:paraId="2422521A">
      <w:pPr>
        <w:spacing w:line="440" w:lineRule="exact"/>
        <w:rPr>
          <w:rFonts w:hint="default" w:ascii="宋体" w:hAnsi="宋体" w:eastAsia="宋体"/>
          <w:b/>
          <w:color w:val="auto"/>
          <w:sz w:val="22"/>
          <w:szCs w:val="22"/>
          <w:lang w:val="en-US" w:eastAsia="zh-CN"/>
        </w:rPr>
      </w:pPr>
      <w:r>
        <w:rPr>
          <w:rFonts w:hint="eastAsia" w:ascii="宋体" w:hAnsi="宋体"/>
          <w:b/>
          <w:color w:val="auto"/>
          <w:sz w:val="22"/>
          <w:szCs w:val="22"/>
          <w:lang w:val="en-US" w:eastAsia="zh-CN"/>
        </w:rPr>
        <w:t>14.  本项目要求供应商提供相关材料原件的地址：</w:t>
      </w:r>
      <w:r>
        <w:rPr>
          <w:rFonts w:hint="eastAsia" w:ascii="宋体" w:hAnsi="宋体"/>
          <w:b/>
          <w:bCs/>
          <w:color w:val="auto"/>
          <w:sz w:val="22"/>
          <w:szCs w:val="22"/>
          <w:u w:val="single"/>
        </w:rPr>
        <w:t>温州市瓯海区南塘1组团1幢</w:t>
      </w:r>
      <w:r>
        <w:rPr>
          <w:rFonts w:hint="eastAsia" w:ascii="宋体" w:hAnsi="宋体"/>
          <w:b/>
          <w:bCs/>
          <w:color w:val="auto"/>
          <w:sz w:val="22"/>
          <w:szCs w:val="22"/>
          <w:u w:val="single"/>
          <w:lang w:val="en-US" w:eastAsia="zh-CN"/>
        </w:rPr>
        <w:t>1504室。</w:t>
      </w:r>
    </w:p>
    <w:p w14:paraId="56E28F42">
      <w:pPr>
        <w:rPr>
          <w:color w:val="auto"/>
        </w:rPr>
      </w:pPr>
    </w:p>
    <w:p w14:paraId="59E24C1F">
      <w:pPr>
        <w:rPr>
          <w:color w:val="auto"/>
        </w:rPr>
      </w:pPr>
    </w:p>
    <w:p w14:paraId="2DBD79A5">
      <w:pPr>
        <w:spacing w:line="680" w:lineRule="exact"/>
        <w:jc w:val="center"/>
        <w:rPr>
          <w:rFonts w:ascii="宋体" w:hAnsi="宋体"/>
          <w:b/>
          <w:bCs/>
          <w:color w:val="auto"/>
          <w:sz w:val="28"/>
          <w:szCs w:val="28"/>
        </w:rPr>
        <w:sectPr>
          <w:headerReference r:id="rId9" w:type="default"/>
          <w:footerReference r:id="rId10" w:type="default"/>
          <w:pgSz w:w="11906" w:h="16838"/>
          <w:pgMar w:top="1134" w:right="1134" w:bottom="1134" w:left="1134" w:header="851" w:footer="992" w:gutter="0"/>
          <w:cols w:space="720" w:num="1"/>
          <w:docGrid w:linePitch="312" w:charSpace="0"/>
        </w:sectPr>
      </w:pPr>
    </w:p>
    <w:p w14:paraId="06F01F41">
      <w:pPr>
        <w:pStyle w:val="3"/>
        <w:spacing w:line="680" w:lineRule="exact"/>
        <w:jc w:val="center"/>
        <w:rPr>
          <w:rFonts w:ascii="宋体" w:hAnsi="宋体" w:eastAsia="宋体"/>
          <w:color w:val="auto"/>
          <w:sz w:val="28"/>
          <w:szCs w:val="28"/>
        </w:rPr>
      </w:pPr>
      <w:bookmarkStart w:id="223" w:name="_Toc132799477"/>
      <w:bookmarkStart w:id="224" w:name="_Toc9465"/>
      <w:r>
        <w:rPr>
          <w:rFonts w:hint="eastAsia" w:ascii="宋体" w:hAnsi="宋体" w:eastAsia="宋体"/>
          <w:color w:val="auto"/>
          <w:sz w:val="28"/>
          <w:szCs w:val="28"/>
        </w:rPr>
        <w:t>二、采购内容及要求</w:t>
      </w:r>
      <w:bookmarkEnd w:id="223"/>
      <w:bookmarkEnd w:id="224"/>
    </w:p>
    <w:tbl>
      <w:tblPr>
        <w:tblStyle w:val="38"/>
        <w:tblW w:w="49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84"/>
        <w:gridCol w:w="1670"/>
        <w:gridCol w:w="2340"/>
        <w:gridCol w:w="6505"/>
        <w:gridCol w:w="1097"/>
        <w:gridCol w:w="2037"/>
      </w:tblGrid>
      <w:tr w14:paraId="317FC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04" w:type="pct"/>
            <w:shd w:val="clear" w:color="auto" w:fill="auto"/>
            <w:vAlign w:val="center"/>
          </w:tcPr>
          <w:p w14:paraId="32043A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lang w:eastAsia="zh-CN"/>
              </w:rPr>
            </w:pPr>
            <w:r>
              <w:rPr>
                <w:rFonts w:hint="eastAsia" w:ascii="宋体" w:hAnsi="宋体" w:eastAsia="宋体" w:cs="宋体"/>
                <w:b/>
                <w:bCs/>
                <w:i w:val="0"/>
                <w:iCs w:val="0"/>
                <w:color w:val="auto"/>
                <w:sz w:val="22"/>
                <w:szCs w:val="22"/>
                <w:u w:val="none"/>
                <w:lang w:val="en-US" w:eastAsia="zh-CN"/>
              </w:rPr>
              <w:t>序号</w:t>
            </w:r>
          </w:p>
        </w:tc>
        <w:tc>
          <w:tcPr>
            <w:tcW w:w="574" w:type="pct"/>
            <w:shd w:val="clear" w:color="auto" w:fill="auto"/>
            <w:vAlign w:val="center"/>
          </w:tcPr>
          <w:p w14:paraId="1CCD11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设备名称</w:t>
            </w:r>
          </w:p>
        </w:tc>
        <w:tc>
          <w:tcPr>
            <w:tcW w:w="805" w:type="pct"/>
            <w:shd w:val="clear" w:color="auto" w:fill="auto"/>
            <w:vAlign w:val="center"/>
          </w:tcPr>
          <w:p w14:paraId="35ACD6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规格</w:t>
            </w:r>
          </w:p>
        </w:tc>
        <w:tc>
          <w:tcPr>
            <w:tcW w:w="2238" w:type="pct"/>
            <w:shd w:val="clear" w:color="auto" w:fill="auto"/>
            <w:vAlign w:val="center"/>
          </w:tcPr>
          <w:p w14:paraId="634FF0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设备说明</w:t>
            </w:r>
          </w:p>
        </w:tc>
        <w:tc>
          <w:tcPr>
            <w:tcW w:w="377" w:type="pct"/>
            <w:shd w:val="clear" w:color="auto" w:fill="auto"/>
            <w:noWrap/>
            <w:vAlign w:val="center"/>
          </w:tcPr>
          <w:p w14:paraId="6119ED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c>
          <w:tcPr>
            <w:tcW w:w="700" w:type="pct"/>
            <w:shd w:val="clear" w:color="auto" w:fill="auto"/>
            <w:vAlign w:val="center"/>
          </w:tcPr>
          <w:p w14:paraId="4FA824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参考图片</w:t>
            </w:r>
          </w:p>
        </w:tc>
      </w:tr>
      <w:tr w14:paraId="16B5B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5000" w:type="pct"/>
            <w:gridSpan w:val="6"/>
            <w:shd w:val="clear" w:color="auto" w:fill="auto"/>
            <w:vAlign w:val="center"/>
          </w:tcPr>
          <w:p w14:paraId="09372B45">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过磅区</w:t>
            </w:r>
          </w:p>
        </w:tc>
      </w:tr>
      <w:tr w14:paraId="25DDE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04" w:type="pct"/>
            <w:shd w:val="clear" w:color="auto" w:fill="auto"/>
            <w:vAlign w:val="center"/>
          </w:tcPr>
          <w:p w14:paraId="3E822C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574" w:type="pct"/>
            <w:shd w:val="clear" w:color="auto" w:fill="auto"/>
            <w:vAlign w:val="center"/>
          </w:tcPr>
          <w:p w14:paraId="63DF0B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电击式灭蝇灯</w:t>
            </w:r>
          </w:p>
        </w:tc>
        <w:tc>
          <w:tcPr>
            <w:tcW w:w="805" w:type="pct"/>
            <w:shd w:val="clear" w:color="auto" w:fill="auto"/>
            <w:vAlign w:val="center"/>
          </w:tcPr>
          <w:p w14:paraId="05ABE69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p>
        </w:tc>
        <w:tc>
          <w:tcPr>
            <w:tcW w:w="2238" w:type="pct"/>
            <w:shd w:val="clear" w:color="auto" w:fill="auto"/>
            <w:vAlign w:val="center"/>
          </w:tcPr>
          <w:p w14:paraId="569F8C5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功率：220V/40W；采用半密封式收集器、可以安全地将被电击的蝇虫控制在收集器内、击伤的蝇虫也不至于飞溅机外、达到环保之目的。</w:t>
            </w:r>
          </w:p>
        </w:tc>
        <w:tc>
          <w:tcPr>
            <w:tcW w:w="377" w:type="pct"/>
            <w:shd w:val="clear" w:color="auto" w:fill="auto"/>
            <w:noWrap/>
            <w:vAlign w:val="center"/>
          </w:tcPr>
          <w:p w14:paraId="0426F9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1台</w:t>
            </w:r>
          </w:p>
        </w:tc>
        <w:tc>
          <w:tcPr>
            <w:tcW w:w="700" w:type="pct"/>
            <w:shd w:val="clear" w:color="auto" w:fill="auto"/>
            <w:vAlign w:val="center"/>
          </w:tcPr>
          <w:p w14:paraId="07175F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661312" behindDoc="1" locked="0" layoutInCell="1" allowOverlap="1">
                  <wp:simplePos x="0" y="0"/>
                  <wp:positionH relativeFrom="column">
                    <wp:posOffset>340360</wp:posOffset>
                  </wp:positionH>
                  <wp:positionV relativeFrom="paragraph">
                    <wp:posOffset>182880</wp:posOffset>
                  </wp:positionV>
                  <wp:extent cx="600075" cy="314325"/>
                  <wp:effectExtent l="0" t="0" r="9525" b="5715"/>
                  <wp:wrapTight wrapText="bothSides">
                    <wp:wrapPolygon>
                      <wp:start x="0" y="0"/>
                      <wp:lineTo x="0" y="20945"/>
                      <wp:lineTo x="20846" y="20945"/>
                      <wp:lineTo x="20846" y="0"/>
                      <wp:lineTo x="0" y="0"/>
                    </wp:wrapPolygon>
                  </wp:wrapTight>
                  <wp:docPr id="39"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 descr="IMG_256"/>
                          <pic:cNvPicPr>
                            <a:picLocks noChangeAspect="1"/>
                          </pic:cNvPicPr>
                        </pic:nvPicPr>
                        <pic:blipFill>
                          <a:blip r:embed="rId14"/>
                          <a:stretch>
                            <a:fillRect/>
                          </a:stretch>
                        </pic:blipFill>
                        <pic:spPr>
                          <a:xfrm>
                            <a:off x="0" y="0"/>
                            <a:ext cx="600075" cy="314325"/>
                          </a:xfrm>
                          <a:prstGeom prst="rect">
                            <a:avLst/>
                          </a:prstGeom>
                          <a:noFill/>
                          <a:ln w="9525">
                            <a:noFill/>
                          </a:ln>
                        </pic:spPr>
                      </pic:pic>
                    </a:graphicData>
                  </a:graphic>
                </wp:anchor>
              </w:drawing>
            </w:r>
          </w:p>
        </w:tc>
      </w:tr>
      <w:tr w14:paraId="18605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04" w:type="pct"/>
            <w:shd w:val="clear" w:color="auto" w:fill="auto"/>
            <w:vAlign w:val="center"/>
          </w:tcPr>
          <w:p w14:paraId="74C708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574" w:type="pct"/>
            <w:shd w:val="clear" w:color="auto" w:fill="auto"/>
            <w:vAlign w:val="center"/>
          </w:tcPr>
          <w:p w14:paraId="121268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洗地龙头</w:t>
            </w:r>
          </w:p>
        </w:tc>
        <w:tc>
          <w:tcPr>
            <w:tcW w:w="805" w:type="pct"/>
            <w:shd w:val="clear" w:color="auto" w:fill="auto"/>
            <w:vAlign w:val="center"/>
          </w:tcPr>
          <w:p w14:paraId="18F1D37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p>
        </w:tc>
        <w:tc>
          <w:tcPr>
            <w:tcW w:w="2238" w:type="pct"/>
            <w:shd w:val="clear" w:color="auto" w:fill="auto"/>
            <w:vAlign w:val="center"/>
          </w:tcPr>
          <w:p w14:paraId="3247485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材料：黄铜、钢材；</w:t>
            </w:r>
          </w:p>
          <w:p w14:paraId="3423CB8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长度：10.5m</w:t>
            </w:r>
          </w:p>
        </w:tc>
        <w:tc>
          <w:tcPr>
            <w:tcW w:w="377" w:type="pct"/>
            <w:shd w:val="clear" w:color="auto" w:fill="auto"/>
            <w:noWrap/>
            <w:vAlign w:val="center"/>
          </w:tcPr>
          <w:p w14:paraId="4185F4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1个</w:t>
            </w:r>
          </w:p>
        </w:tc>
        <w:tc>
          <w:tcPr>
            <w:tcW w:w="700" w:type="pct"/>
            <w:shd w:val="clear" w:color="auto" w:fill="auto"/>
            <w:vAlign w:val="center"/>
          </w:tcPr>
          <w:p w14:paraId="179146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662336" behindDoc="1" locked="0" layoutInCell="1" allowOverlap="1">
                  <wp:simplePos x="0" y="0"/>
                  <wp:positionH relativeFrom="column">
                    <wp:posOffset>355600</wp:posOffset>
                  </wp:positionH>
                  <wp:positionV relativeFrom="paragraph">
                    <wp:posOffset>0</wp:posOffset>
                  </wp:positionV>
                  <wp:extent cx="571500" cy="447675"/>
                  <wp:effectExtent l="0" t="0" r="7620" b="9525"/>
                  <wp:wrapTight wrapText="bothSides">
                    <wp:wrapPolygon>
                      <wp:start x="0" y="0"/>
                      <wp:lineTo x="0" y="20589"/>
                      <wp:lineTo x="21312" y="20589"/>
                      <wp:lineTo x="21312" y="0"/>
                      <wp:lineTo x="0" y="0"/>
                    </wp:wrapPolygon>
                  </wp:wrapTight>
                  <wp:docPr id="40"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2" descr="IMG_257"/>
                          <pic:cNvPicPr>
                            <a:picLocks noChangeAspect="1"/>
                          </pic:cNvPicPr>
                        </pic:nvPicPr>
                        <pic:blipFill>
                          <a:blip r:embed="rId15"/>
                          <a:stretch>
                            <a:fillRect/>
                          </a:stretch>
                        </pic:blipFill>
                        <pic:spPr>
                          <a:xfrm>
                            <a:off x="0" y="0"/>
                            <a:ext cx="571500" cy="447675"/>
                          </a:xfrm>
                          <a:prstGeom prst="rect">
                            <a:avLst/>
                          </a:prstGeom>
                          <a:noFill/>
                          <a:ln w="9525">
                            <a:noFill/>
                          </a:ln>
                        </pic:spPr>
                      </pic:pic>
                    </a:graphicData>
                  </a:graphic>
                </wp:anchor>
              </w:drawing>
            </w:r>
          </w:p>
        </w:tc>
      </w:tr>
      <w:tr w14:paraId="75ECE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4" w:type="pct"/>
            <w:shd w:val="clear" w:color="auto" w:fill="auto"/>
            <w:vAlign w:val="center"/>
          </w:tcPr>
          <w:p w14:paraId="7E5992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574" w:type="pct"/>
            <w:shd w:val="clear" w:color="auto" w:fill="auto"/>
            <w:vAlign w:val="center"/>
          </w:tcPr>
          <w:p w14:paraId="45E5A5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洗手星盆</w:t>
            </w:r>
          </w:p>
        </w:tc>
        <w:tc>
          <w:tcPr>
            <w:tcW w:w="805" w:type="pct"/>
            <w:shd w:val="clear" w:color="auto" w:fill="auto"/>
            <w:vAlign w:val="center"/>
          </w:tcPr>
          <w:p w14:paraId="4D2D94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规格：500×400×300</w:t>
            </w:r>
          </w:p>
        </w:tc>
        <w:tc>
          <w:tcPr>
            <w:tcW w:w="2238" w:type="pct"/>
            <w:shd w:val="clear" w:color="auto" w:fill="auto"/>
            <w:vAlign w:val="center"/>
          </w:tcPr>
          <w:p w14:paraId="7D31C4A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说明：304#2B发纹贴塑不锈钢板制造；骨架采用δ=1.2 Φ38不锈钢圆通，台面δ=1.2，星盆斗δ=1.0，配落水器、拦渣斗。</w:t>
            </w:r>
          </w:p>
        </w:tc>
        <w:tc>
          <w:tcPr>
            <w:tcW w:w="377" w:type="pct"/>
            <w:shd w:val="clear" w:color="auto" w:fill="auto"/>
            <w:noWrap/>
            <w:vAlign w:val="center"/>
          </w:tcPr>
          <w:p w14:paraId="0B7A7C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1份</w:t>
            </w:r>
          </w:p>
        </w:tc>
        <w:tc>
          <w:tcPr>
            <w:tcW w:w="700" w:type="pct"/>
            <w:shd w:val="clear" w:color="auto" w:fill="auto"/>
            <w:vAlign w:val="center"/>
          </w:tcPr>
          <w:p w14:paraId="0BBBE2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663360" behindDoc="1" locked="0" layoutInCell="1" allowOverlap="1">
                  <wp:simplePos x="0" y="0"/>
                  <wp:positionH relativeFrom="column">
                    <wp:posOffset>340360</wp:posOffset>
                  </wp:positionH>
                  <wp:positionV relativeFrom="paragraph">
                    <wp:posOffset>160020</wp:posOffset>
                  </wp:positionV>
                  <wp:extent cx="600075" cy="361950"/>
                  <wp:effectExtent l="0" t="0" r="9525" b="3810"/>
                  <wp:wrapTight wrapText="bothSides">
                    <wp:wrapPolygon>
                      <wp:start x="0" y="0"/>
                      <wp:lineTo x="0" y="20918"/>
                      <wp:lineTo x="20846" y="20918"/>
                      <wp:lineTo x="20846" y="0"/>
                      <wp:lineTo x="0" y="0"/>
                    </wp:wrapPolygon>
                  </wp:wrapTight>
                  <wp:docPr id="4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 descr="IMG_258"/>
                          <pic:cNvPicPr>
                            <a:picLocks noChangeAspect="1"/>
                          </pic:cNvPicPr>
                        </pic:nvPicPr>
                        <pic:blipFill>
                          <a:blip r:embed="rId16"/>
                          <a:stretch>
                            <a:fillRect/>
                          </a:stretch>
                        </pic:blipFill>
                        <pic:spPr>
                          <a:xfrm>
                            <a:off x="0" y="0"/>
                            <a:ext cx="600075" cy="361950"/>
                          </a:xfrm>
                          <a:prstGeom prst="rect">
                            <a:avLst/>
                          </a:prstGeom>
                          <a:noFill/>
                          <a:ln w="9525">
                            <a:noFill/>
                          </a:ln>
                        </pic:spPr>
                      </pic:pic>
                    </a:graphicData>
                  </a:graphic>
                </wp:anchor>
              </w:drawing>
            </w:r>
          </w:p>
        </w:tc>
      </w:tr>
      <w:tr w14:paraId="2F1A0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4" w:type="pct"/>
            <w:shd w:val="clear" w:color="auto" w:fill="auto"/>
            <w:vAlign w:val="center"/>
          </w:tcPr>
          <w:p w14:paraId="0889B7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574" w:type="pct"/>
            <w:shd w:val="clear" w:color="auto" w:fill="auto"/>
            <w:vAlign w:val="center"/>
          </w:tcPr>
          <w:p w14:paraId="0F3A49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感应龙头</w:t>
            </w:r>
          </w:p>
        </w:tc>
        <w:tc>
          <w:tcPr>
            <w:tcW w:w="805" w:type="pct"/>
            <w:shd w:val="clear" w:color="auto" w:fill="auto"/>
            <w:vAlign w:val="center"/>
          </w:tcPr>
          <w:p w14:paraId="20BD910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p>
        </w:tc>
        <w:tc>
          <w:tcPr>
            <w:tcW w:w="2238" w:type="pct"/>
            <w:shd w:val="clear" w:color="auto" w:fill="auto"/>
            <w:vAlign w:val="center"/>
          </w:tcPr>
          <w:p w14:paraId="6189BE7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 xml:space="preserve">说明：1.工作电压：1.5V×4（四节五号干电池）或者220V  50/60HZ交流电；                                 </w:t>
            </w:r>
          </w:p>
          <w:p w14:paraId="7327580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 xml:space="preserve">2.工作水压：0.1-0.6MPa 可接冷热混水，出水温度可调；                          </w:t>
            </w:r>
          </w:p>
          <w:p w14:paraId="32E7957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 xml:space="preserve">3.开孔径：25mm；                                </w:t>
            </w:r>
          </w:p>
          <w:p w14:paraId="79D1CA9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4.台式安装黄铜铸造水嘴，表面镀铬处理；</w:t>
            </w:r>
          </w:p>
          <w:p w14:paraId="55073B3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5. 接水口口径为1/2"外螺纹；</w:t>
            </w:r>
          </w:p>
          <w:p w14:paraId="42BF050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6.属节水产品，产品技术条件须符合CJ/T194/2014《非接触式给水器具》、 GB25501-2019《水嘴水效限定值及水效等级》标准要求并提供相应证书</w:t>
            </w:r>
            <w:r>
              <w:rPr>
                <w:rFonts w:hint="eastAsia" w:ascii="宋体" w:hAnsi="宋体" w:eastAsia="宋体" w:cs="宋体"/>
                <w:i w:val="0"/>
                <w:iCs w:val="0"/>
                <w:color w:val="auto"/>
                <w:sz w:val="22"/>
                <w:szCs w:val="22"/>
                <w:u w:val="none"/>
                <w:lang w:eastAsia="zh-CN"/>
              </w:rPr>
              <w:t>；</w:t>
            </w:r>
            <w:r>
              <w:rPr>
                <w:rFonts w:hint="eastAsia" w:ascii="宋体" w:hAnsi="宋体" w:eastAsia="宋体" w:cs="宋体"/>
                <w:i w:val="0"/>
                <w:iCs w:val="0"/>
                <w:color w:val="auto"/>
                <w:sz w:val="22"/>
                <w:szCs w:val="22"/>
                <w:u w:val="none"/>
              </w:rPr>
              <w:t xml:space="preserve">                                                                                              7、产品符合中国环境标志产品认证实施规ECC-1057EL-A/0 的要求属环境标志产品，并提供相应证书复印件并加盖公章。</w:t>
            </w:r>
          </w:p>
          <w:p w14:paraId="48E7B6F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highlight w:val="yellow"/>
                <w:u w:val="none"/>
              </w:rPr>
              <w:t>▲</w:t>
            </w:r>
            <w:r>
              <w:rPr>
                <w:rFonts w:hint="eastAsia" w:ascii="宋体" w:hAnsi="宋体" w:eastAsia="宋体" w:cs="宋体"/>
                <w:i w:val="0"/>
                <w:iCs w:val="0"/>
                <w:color w:val="auto"/>
                <w:sz w:val="22"/>
                <w:szCs w:val="22"/>
                <w:highlight w:val="yellow"/>
                <w:u w:val="single"/>
              </w:rPr>
              <w:t>本产品属于政府强制采购节能产品，须提供参与实施政府采购节能（环境标志）产品认证机构出具的认证证书或证书发布平台的投标产品认证证书查询截图</w:t>
            </w:r>
            <w:r>
              <w:rPr>
                <w:rFonts w:hint="eastAsia" w:ascii="宋体" w:hAnsi="宋体" w:eastAsia="宋体" w:cs="宋体"/>
                <w:i w:val="0"/>
                <w:iCs w:val="0"/>
                <w:color w:val="auto"/>
                <w:sz w:val="22"/>
                <w:szCs w:val="22"/>
                <w:highlight w:val="yellow"/>
                <w:u w:val="none"/>
              </w:rPr>
              <w:t>（请在</w:t>
            </w:r>
            <w:r>
              <w:rPr>
                <w:rFonts w:hint="eastAsia" w:ascii="宋体" w:hAnsi="宋体" w:eastAsia="宋体" w:cs="宋体"/>
                <w:i w:val="0"/>
                <w:iCs w:val="0"/>
                <w:color w:val="auto"/>
                <w:sz w:val="22"/>
                <w:szCs w:val="22"/>
                <w:highlight w:val="yellow"/>
                <w:u w:val="none"/>
                <w:lang w:eastAsia="zh-CN"/>
              </w:rPr>
              <w:t>响应文件</w:t>
            </w:r>
            <w:r>
              <w:rPr>
                <w:rFonts w:hint="eastAsia" w:ascii="宋体" w:hAnsi="宋体" w:eastAsia="宋体" w:cs="宋体"/>
                <w:i w:val="0"/>
                <w:iCs w:val="0"/>
                <w:color w:val="auto"/>
                <w:sz w:val="22"/>
                <w:szCs w:val="22"/>
                <w:highlight w:val="yellow"/>
                <w:u w:val="none"/>
              </w:rPr>
              <w:t>“列入政府采购节能环保清单的证明资料”中体现）。</w:t>
            </w:r>
          </w:p>
        </w:tc>
        <w:tc>
          <w:tcPr>
            <w:tcW w:w="377" w:type="pct"/>
            <w:shd w:val="clear" w:color="auto" w:fill="auto"/>
            <w:noWrap/>
            <w:vAlign w:val="center"/>
          </w:tcPr>
          <w:p w14:paraId="2971CE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1个</w:t>
            </w:r>
          </w:p>
        </w:tc>
        <w:tc>
          <w:tcPr>
            <w:tcW w:w="700" w:type="pct"/>
            <w:shd w:val="clear" w:color="auto" w:fill="auto"/>
            <w:vAlign w:val="center"/>
          </w:tcPr>
          <w:p w14:paraId="5AE6E0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664384" behindDoc="1" locked="0" layoutInCell="1" allowOverlap="1">
                  <wp:simplePos x="0" y="0"/>
                  <wp:positionH relativeFrom="column">
                    <wp:posOffset>370840</wp:posOffset>
                  </wp:positionH>
                  <wp:positionV relativeFrom="paragraph">
                    <wp:posOffset>1219200</wp:posOffset>
                  </wp:positionV>
                  <wp:extent cx="542925" cy="295275"/>
                  <wp:effectExtent l="0" t="0" r="5715" b="9525"/>
                  <wp:wrapTight wrapText="bothSides">
                    <wp:wrapPolygon>
                      <wp:start x="0" y="0"/>
                      <wp:lineTo x="0" y="20067"/>
                      <wp:lineTo x="21221" y="20067"/>
                      <wp:lineTo x="21221" y="0"/>
                      <wp:lineTo x="0" y="0"/>
                    </wp:wrapPolygon>
                  </wp:wrapTight>
                  <wp:docPr id="4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 descr="IMG_259"/>
                          <pic:cNvPicPr>
                            <a:picLocks noChangeAspect="1"/>
                          </pic:cNvPicPr>
                        </pic:nvPicPr>
                        <pic:blipFill>
                          <a:blip r:embed="rId17"/>
                          <a:stretch>
                            <a:fillRect/>
                          </a:stretch>
                        </pic:blipFill>
                        <pic:spPr>
                          <a:xfrm>
                            <a:off x="0" y="0"/>
                            <a:ext cx="542925" cy="295275"/>
                          </a:xfrm>
                          <a:prstGeom prst="rect">
                            <a:avLst/>
                          </a:prstGeom>
                          <a:noFill/>
                          <a:ln w="9525">
                            <a:noFill/>
                          </a:ln>
                        </pic:spPr>
                      </pic:pic>
                    </a:graphicData>
                  </a:graphic>
                </wp:anchor>
              </w:drawing>
            </w:r>
          </w:p>
        </w:tc>
      </w:tr>
      <w:tr w14:paraId="7F158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5000" w:type="pct"/>
            <w:gridSpan w:val="6"/>
            <w:shd w:val="clear" w:color="auto" w:fill="auto"/>
            <w:vAlign w:val="center"/>
          </w:tcPr>
          <w:p w14:paraId="083328A4">
            <w:pPr>
              <w:keepNext w:val="0"/>
              <w:keepLines w:val="0"/>
              <w:pageBreakBefore w:val="0"/>
              <w:kinsoku/>
              <w:wordWrap/>
              <w:overflowPunct/>
              <w:topLinePunct w:val="0"/>
              <w:autoSpaceDE/>
              <w:autoSpaceDN/>
              <w:bidi w:val="0"/>
              <w:adjustRightInd/>
              <w:snapToGrid/>
              <w:spacing w:line="360" w:lineRule="exact"/>
              <w:jc w:val="left"/>
              <w:rPr>
                <w:rFonts w:hint="default" w:ascii="宋体" w:hAnsi="宋体" w:eastAsia="宋体" w:cs="宋体"/>
                <w:b/>
                <w:bCs/>
                <w:i w:val="0"/>
                <w:iCs w:val="0"/>
                <w:color w:val="auto"/>
                <w:sz w:val="22"/>
                <w:szCs w:val="22"/>
                <w:u w:val="none"/>
                <w:lang w:val="en-US"/>
              </w:rPr>
            </w:pPr>
            <w:r>
              <w:rPr>
                <w:rFonts w:hint="eastAsia" w:ascii="宋体" w:hAnsi="宋体" w:eastAsia="宋体" w:cs="宋体"/>
                <w:b/>
                <w:bCs/>
                <w:i w:val="0"/>
                <w:iCs w:val="0"/>
                <w:color w:val="auto"/>
                <w:kern w:val="0"/>
                <w:sz w:val="22"/>
                <w:szCs w:val="22"/>
                <w:u w:val="none"/>
                <w:lang w:val="en-US" w:eastAsia="zh-CN" w:bidi="ar"/>
              </w:rPr>
              <w:t>男/女更衣室</w:t>
            </w:r>
          </w:p>
        </w:tc>
      </w:tr>
      <w:tr w14:paraId="06CD2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4" w:type="pct"/>
            <w:shd w:val="clear" w:color="auto" w:fill="auto"/>
            <w:vAlign w:val="center"/>
          </w:tcPr>
          <w:p w14:paraId="68485D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574" w:type="pct"/>
            <w:shd w:val="clear" w:color="auto" w:fill="auto"/>
            <w:vAlign w:val="center"/>
          </w:tcPr>
          <w:p w14:paraId="29B884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洗手星盆</w:t>
            </w:r>
          </w:p>
        </w:tc>
        <w:tc>
          <w:tcPr>
            <w:tcW w:w="805" w:type="pct"/>
            <w:shd w:val="clear" w:color="auto" w:fill="auto"/>
            <w:vAlign w:val="center"/>
          </w:tcPr>
          <w:p w14:paraId="6BCF82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规格：500×400×300</w:t>
            </w:r>
          </w:p>
        </w:tc>
        <w:tc>
          <w:tcPr>
            <w:tcW w:w="2238" w:type="pct"/>
            <w:shd w:val="clear" w:color="auto" w:fill="auto"/>
            <w:vAlign w:val="center"/>
          </w:tcPr>
          <w:p w14:paraId="3A8117F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说明：304#2B发纹贴塑不锈钢板制造；骨架采用δ=1.2 Φ38不锈钢圆通，台面δ=1.2，星盆斗δ=1.0，配落水器、拦渣斗。</w:t>
            </w:r>
          </w:p>
        </w:tc>
        <w:tc>
          <w:tcPr>
            <w:tcW w:w="377" w:type="pct"/>
            <w:shd w:val="clear" w:color="auto" w:fill="auto"/>
            <w:noWrap/>
            <w:vAlign w:val="center"/>
          </w:tcPr>
          <w:p w14:paraId="534AA6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2个</w:t>
            </w:r>
          </w:p>
        </w:tc>
        <w:tc>
          <w:tcPr>
            <w:tcW w:w="700" w:type="pct"/>
            <w:shd w:val="clear" w:color="auto" w:fill="auto"/>
            <w:vAlign w:val="center"/>
          </w:tcPr>
          <w:p w14:paraId="0025A6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660288" behindDoc="1" locked="0" layoutInCell="1" allowOverlap="1">
                  <wp:simplePos x="0" y="0"/>
                  <wp:positionH relativeFrom="column">
                    <wp:posOffset>340360</wp:posOffset>
                  </wp:positionH>
                  <wp:positionV relativeFrom="paragraph">
                    <wp:posOffset>160020</wp:posOffset>
                  </wp:positionV>
                  <wp:extent cx="600075" cy="361950"/>
                  <wp:effectExtent l="0" t="0" r="9525" b="3810"/>
                  <wp:wrapTight wrapText="bothSides">
                    <wp:wrapPolygon>
                      <wp:start x="0" y="0"/>
                      <wp:lineTo x="0" y="20918"/>
                      <wp:lineTo x="20846" y="20918"/>
                      <wp:lineTo x="20846" y="0"/>
                      <wp:lineTo x="0" y="0"/>
                    </wp:wrapPolygon>
                  </wp:wrapTight>
                  <wp:docPr id="43"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5" descr="IMG_260"/>
                          <pic:cNvPicPr>
                            <a:picLocks noChangeAspect="1"/>
                          </pic:cNvPicPr>
                        </pic:nvPicPr>
                        <pic:blipFill>
                          <a:blip r:embed="rId16"/>
                          <a:stretch>
                            <a:fillRect/>
                          </a:stretch>
                        </pic:blipFill>
                        <pic:spPr>
                          <a:xfrm>
                            <a:off x="0" y="0"/>
                            <a:ext cx="600075" cy="361950"/>
                          </a:xfrm>
                          <a:prstGeom prst="rect">
                            <a:avLst/>
                          </a:prstGeom>
                          <a:noFill/>
                          <a:ln w="9525">
                            <a:noFill/>
                          </a:ln>
                        </pic:spPr>
                      </pic:pic>
                    </a:graphicData>
                  </a:graphic>
                </wp:anchor>
              </w:drawing>
            </w:r>
          </w:p>
        </w:tc>
      </w:tr>
      <w:tr w14:paraId="37242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4" w:type="pct"/>
            <w:shd w:val="clear" w:color="auto" w:fill="auto"/>
            <w:vAlign w:val="center"/>
          </w:tcPr>
          <w:p w14:paraId="7D65B9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574" w:type="pct"/>
            <w:shd w:val="clear" w:color="auto" w:fill="auto"/>
            <w:vAlign w:val="center"/>
          </w:tcPr>
          <w:p w14:paraId="365050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感应龙头</w:t>
            </w:r>
          </w:p>
        </w:tc>
        <w:tc>
          <w:tcPr>
            <w:tcW w:w="805" w:type="pct"/>
            <w:shd w:val="clear" w:color="auto" w:fill="auto"/>
            <w:vAlign w:val="center"/>
          </w:tcPr>
          <w:p w14:paraId="0510D86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p>
        </w:tc>
        <w:tc>
          <w:tcPr>
            <w:tcW w:w="2238" w:type="pct"/>
            <w:shd w:val="clear" w:color="auto" w:fill="auto"/>
            <w:vAlign w:val="center"/>
          </w:tcPr>
          <w:p w14:paraId="70A3D1F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 xml:space="preserve">说明：1.工作电压：1.5V×4（四节五号干电池）或者220V  50/60HZ交流电；                                 </w:t>
            </w:r>
          </w:p>
          <w:p w14:paraId="33DBCF1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 xml:space="preserve">2.工作水压：0.1-0.6MPa 可接冷热混水，出水温度可调；                          </w:t>
            </w:r>
          </w:p>
          <w:p w14:paraId="3AF7906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 xml:space="preserve">3.开孔径：25mm；                                </w:t>
            </w:r>
          </w:p>
          <w:p w14:paraId="0525654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4.台式安装黄铜铸造水嘴，表面镀铬处理；</w:t>
            </w:r>
          </w:p>
          <w:p w14:paraId="50D61B5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5. 接水口口径为1/2"外螺纹；</w:t>
            </w:r>
          </w:p>
          <w:p w14:paraId="6EC72D4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6.属节水产品，产品技术条件须符合CJ/T194/2014《非接触式给水器具》、 GB25501-2019《水嘴水效限定值及水效等级》标准要求并提供相应证书</w:t>
            </w:r>
            <w:r>
              <w:rPr>
                <w:rFonts w:hint="eastAsia" w:ascii="宋体" w:hAnsi="宋体" w:eastAsia="宋体" w:cs="宋体"/>
                <w:i w:val="0"/>
                <w:iCs w:val="0"/>
                <w:color w:val="auto"/>
                <w:sz w:val="22"/>
                <w:szCs w:val="22"/>
                <w:u w:val="none"/>
                <w:lang w:eastAsia="zh-CN"/>
              </w:rPr>
              <w:t>；</w:t>
            </w:r>
            <w:r>
              <w:rPr>
                <w:rFonts w:hint="eastAsia" w:ascii="宋体" w:hAnsi="宋体" w:eastAsia="宋体" w:cs="宋体"/>
                <w:i w:val="0"/>
                <w:iCs w:val="0"/>
                <w:color w:val="auto"/>
                <w:sz w:val="22"/>
                <w:szCs w:val="22"/>
                <w:u w:val="none"/>
              </w:rPr>
              <w:t xml:space="preserve">                                                                                              7、产品符合中国环境标志产品认证实施规ECC-1057EL-A/0 的要求属环境标志产品，并提供相应证书复印件并加盖公章。</w:t>
            </w:r>
          </w:p>
          <w:p w14:paraId="4CE037F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highlight w:val="yellow"/>
                <w:u w:val="none"/>
              </w:rPr>
              <w:t>▲</w:t>
            </w:r>
            <w:r>
              <w:rPr>
                <w:rFonts w:hint="eastAsia" w:ascii="宋体" w:hAnsi="宋体" w:eastAsia="宋体" w:cs="宋体"/>
                <w:i w:val="0"/>
                <w:iCs w:val="0"/>
                <w:color w:val="auto"/>
                <w:sz w:val="22"/>
                <w:szCs w:val="22"/>
                <w:highlight w:val="yellow"/>
                <w:u w:val="single"/>
              </w:rPr>
              <w:t>本产品属于政府强制采购节能产品，须提供参与实施政府采购节能（环境标志）产品认证机构出具的认证证书或证书发布平台的投标产品认证证书查询截图</w:t>
            </w:r>
            <w:r>
              <w:rPr>
                <w:rFonts w:hint="eastAsia" w:ascii="宋体" w:hAnsi="宋体" w:eastAsia="宋体" w:cs="宋体"/>
                <w:i w:val="0"/>
                <w:iCs w:val="0"/>
                <w:color w:val="auto"/>
                <w:sz w:val="22"/>
                <w:szCs w:val="22"/>
                <w:highlight w:val="yellow"/>
                <w:u w:val="none"/>
              </w:rPr>
              <w:t>（请在</w:t>
            </w:r>
            <w:r>
              <w:rPr>
                <w:rFonts w:hint="eastAsia" w:ascii="宋体" w:hAnsi="宋体" w:eastAsia="宋体" w:cs="宋体"/>
                <w:i w:val="0"/>
                <w:iCs w:val="0"/>
                <w:color w:val="auto"/>
                <w:sz w:val="22"/>
                <w:szCs w:val="22"/>
                <w:highlight w:val="yellow"/>
                <w:u w:val="none"/>
                <w:lang w:eastAsia="zh-CN"/>
              </w:rPr>
              <w:t>响应文件</w:t>
            </w:r>
            <w:r>
              <w:rPr>
                <w:rFonts w:hint="eastAsia" w:ascii="宋体" w:hAnsi="宋体" w:eastAsia="宋体" w:cs="宋体"/>
                <w:i w:val="0"/>
                <w:iCs w:val="0"/>
                <w:color w:val="auto"/>
                <w:sz w:val="22"/>
                <w:szCs w:val="22"/>
                <w:highlight w:val="yellow"/>
                <w:u w:val="none"/>
              </w:rPr>
              <w:t>“列入政府采购节能环保清单的证明资料”中体现）。</w:t>
            </w:r>
          </w:p>
        </w:tc>
        <w:tc>
          <w:tcPr>
            <w:tcW w:w="377" w:type="pct"/>
            <w:shd w:val="clear" w:color="auto" w:fill="auto"/>
            <w:noWrap/>
            <w:vAlign w:val="center"/>
          </w:tcPr>
          <w:p w14:paraId="660F11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2个</w:t>
            </w:r>
          </w:p>
        </w:tc>
        <w:tc>
          <w:tcPr>
            <w:tcW w:w="700" w:type="pct"/>
            <w:shd w:val="clear" w:color="auto" w:fill="auto"/>
            <w:vAlign w:val="center"/>
          </w:tcPr>
          <w:p w14:paraId="1F80B0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665408" behindDoc="1" locked="0" layoutInCell="1" allowOverlap="1">
                  <wp:simplePos x="0" y="0"/>
                  <wp:positionH relativeFrom="column">
                    <wp:posOffset>412750</wp:posOffset>
                  </wp:positionH>
                  <wp:positionV relativeFrom="paragraph">
                    <wp:posOffset>1562100</wp:posOffset>
                  </wp:positionV>
                  <wp:extent cx="542925" cy="295275"/>
                  <wp:effectExtent l="0" t="0" r="5715" b="9525"/>
                  <wp:wrapTight wrapText="bothSides">
                    <wp:wrapPolygon>
                      <wp:start x="0" y="0"/>
                      <wp:lineTo x="0" y="20067"/>
                      <wp:lineTo x="21221" y="20067"/>
                      <wp:lineTo x="21221" y="0"/>
                      <wp:lineTo x="0" y="0"/>
                    </wp:wrapPolygon>
                  </wp:wrapTight>
                  <wp:docPr id="44"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6" descr="IMG_261"/>
                          <pic:cNvPicPr>
                            <a:picLocks noChangeAspect="1"/>
                          </pic:cNvPicPr>
                        </pic:nvPicPr>
                        <pic:blipFill>
                          <a:blip r:embed="rId17"/>
                          <a:stretch>
                            <a:fillRect/>
                          </a:stretch>
                        </pic:blipFill>
                        <pic:spPr>
                          <a:xfrm>
                            <a:off x="0" y="0"/>
                            <a:ext cx="542925" cy="295275"/>
                          </a:xfrm>
                          <a:prstGeom prst="rect">
                            <a:avLst/>
                          </a:prstGeom>
                          <a:noFill/>
                          <a:ln w="9525">
                            <a:noFill/>
                          </a:ln>
                        </pic:spPr>
                      </pic:pic>
                    </a:graphicData>
                  </a:graphic>
                </wp:anchor>
              </w:drawing>
            </w:r>
          </w:p>
        </w:tc>
      </w:tr>
      <w:tr w14:paraId="14AD3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04" w:type="pct"/>
            <w:shd w:val="clear" w:color="auto" w:fill="auto"/>
            <w:vAlign w:val="center"/>
          </w:tcPr>
          <w:p w14:paraId="3D4978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574" w:type="pct"/>
            <w:shd w:val="clear" w:color="auto" w:fill="auto"/>
            <w:vAlign w:val="center"/>
          </w:tcPr>
          <w:p w14:paraId="10735D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干手机</w:t>
            </w:r>
          </w:p>
        </w:tc>
        <w:tc>
          <w:tcPr>
            <w:tcW w:w="805" w:type="pct"/>
            <w:shd w:val="clear" w:color="auto" w:fill="auto"/>
            <w:vAlign w:val="center"/>
          </w:tcPr>
          <w:p w14:paraId="201D97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156×176×207</w:t>
            </w:r>
          </w:p>
        </w:tc>
        <w:tc>
          <w:tcPr>
            <w:tcW w:w="2238" w:type="pct"/>
            <w:shd w:val="clear" w:color="auto" w:fill="auto"/>
            <w:vAlign w:val="center"/>
          </w:tcPr>
          <w:p w14:paraId="16051DC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红外线自动感应，伸手自动出风，风温均应、手感舒适，ABS工程塑料外壳。</w:t>
            </w:r>
          </w:p>
        </w:tc>
        <w:tc>
          <w:tcPr>
            <w:tcW w:w="377" w:type="pct"/>
            <w:shd w:val="clear" w:color="auto" w:fill="auto"/>
            <w:noWrap/>
            <w:vAlign w:val="center"/>
          </w:tcPr>
          <w:p w14:paraId="00EC59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2台</w:t>
            </w:r>
          </w:p>
        </w:tc>
        <w:tc>
          <w:tcPr>
            <w:tcW w:w="700" w:type="pct"/>
            <w:shd w:val="clear" w:color="auto" w:fill="auto"/>
            <w:noWrap/>
            <w:vAlign w:val="center"/>
          </w:tcPr>
          <w:p w14:paraId="6DB2B4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666432" behindDoc="1" locked="0" layoutInCell="1" allowOverlap="1">
                  <wp:simplePos x="0" y="0"/>
                  <wp:positionH relativeFrom="column">
                    <wp:posOffset>466090</wp:posOffset>
                  </wp:positionH>
                  <wp:positionV relativeFrom="paragraph">
                    <wp:posOffset>60960</wp:posOffset>
                  </wp:positionV>
                  <wp:extent cx="428625" cy="333375"/>
                  <wp:effectExtent l="0" t="0" r="13335" b="1905"/>
                  <wp:wrapTight wrapText="bothSides">
                    <wp:wrapPolygon>
                      <wp:start x="0" y="0"/>
                      <wp:lineTo x="0" y="20736"/>
                      <wp:lineTo x="20736" y="20736"/>
                      <wp:lineTo x="20736" y="0"/>
                      <wp:lineTo x="0" y="0"/>
                    </wp:wrapPolygon>
                  </wp:wrapTight>
                  <wp:docPr id="45"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7" descr="IMG_262"/>
                          <pic:cNvPicPr>
                            <a:picLocks noChangeAspect="1"/>
                          </pic:cNvPicPr>
                        </pic:nvPicPr>
                        <pic:blipFill>
                          <a:blip r:embed="rId18"/>
                          <a:stretch>
                            <a:fillRect/>
                          </a:stretch>
                        </pic:blipFill>
                        <pic:spPr>
                          <a:xfrm>
                            <a:off x="0" y="0"/>
                            <a:ext cx="428625" cy="333375"/>
                          </a:xfrm>
                          <a:prstGeom prst="rect">
                            <a:avLst/>
                          </a:prstGeom>
                          <a:noFill/>
                          <a:ln w="9525">
                            <a:noFill/>
                          </a:ln>
                        </pic:spPr>
                      </pic:pic>
                    </a:graphicData>
                  </a:graphic>
                </wp:anchor>
              </w:drawing>
            </w:r>
          </w:p>
        </w:tc>
      </w:tr>
      <w:tr w14:paraId="5CFE5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5000" w:type="pct"/>
            <w:gridSpan w:val="6"/>
            <w:shd w:val="clear" w:color="auto" w:fill="auto"/>
            <w:vAlign w:val="center"/>
          </w:tcPr>
          <w:p w14:paraId="7FADC4F6">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洁具间</w:t>
            </w:r>
          </w:p>
        </w:tc>
      </w:tr>
      <w:tr w14:paraId="2C792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04" w:type="pct"/>
            <w:shd w:val="clear" w:color="auto" w:fill="auto"/>
            <w:noWrap/>
            <w:vAlign w:val="center"/>
          </w:tcPr>
          <w:p w14:paraId="049D28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574" w:type="pct"/>
            <w:shd w:val="clear" w:color="auto" w:fill="auto"/>
            <w:noWrap/>
            <w:vAlign w:val="center"/>
          </w:tcPr>
          <w:p w14:paraId="572236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拖把池</w:t>
            </w:r>
          </w:p>
        </w:tc>
        <w:tc>
          <w:tcPr>
            <w:tcW w:w="805" w:type="pct"/>
            <w:shd w:val="clear" w:color="auto" w:fill="auto"/>
            <w:noWrap/>
            <w:vAlign w:val="center"/>
          </w:tcPr>
          <w:p w14:paraId="69706F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规格：600×600×(800+100)</w:t>
            </w:r>
          </w:p>
        </w:tc>
        <w:tc>
          <w:tcPr>
            <w:tcW w:w="2238" w:type="pct"/>
            <w:shd w:val="clear" w:color="auto" w:fill="auto"/>
            <w:vAlign w:val="center"/>
          </w:tcPr>
          <w:p w14:paraId="11FFE03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说明：采用SUS304-2B优质发纹贴塑不锈钢板制造，台面δ=1.2mm，星盆斗δ=1.0mm，柱φ38 ×δ=0.8不锈钢管（配可调节子弹脚），配优质不锈钢落水器、拦渣斗。</w:t>
            </w:r>
          </w:p>
        </w:tc>
        <w:tc>
          <w:tcPr>
            <w:tcW w:w="377" w:type="pct"/>
            <w:shd w:val="clear" w:color="auto" w:fill="auto"/>
            <w:noWrap/>
            <w:vAlign w:val="center"/>
          </w:tcPr>
          <w:p w14:paraId="006604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1个</w:t>
            </w:r>
          </w:p>
        </w:tc>
        <w:tc>
          <w:tcPr>
            <w:tcW w:w="700" w:type="pct"/>
            <w:shd w:val="clear" w:color="auto" w:fill="auto"/>
            <w:noWrap/>
            <w:vAlign w:val="center"/>
          </w:tcPr>
          <w:p w14:paraId="558826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667456" behindDoc="1" locked="0" layoutInCell="1" allowOverlap="1">
                  <wp:simplePos x="0" y="0"/>
                  <wp:positionH relativeFrom="column">
                    <wp:posOffset>496570</wp:posOffset>
                  </wp:positionH>
                  <wp:positionV relativeFrom="paragraph">
                    <wp:posOffset>-38100</wp:posOffset>
                  </wp:positionV>
                  <wp:extent cx="371475" cy="533400"/>
                  <wp:effectExtent l="0" t="0" r="9525" b="0"/>
                  <wp:wrapTight wrapText="bothSides">
                    <wp:wrapPolygon>
                      <wp:start x="0" y="0"/>
                      <wp:lineTo x="0" y="20983"/>
                      <wp:lineTo x="20382" y="20983"/>
                      <wp:lineTo x="20382" y="0"/>
                      <wp:lineTo x="0" y="0"/>
                    </wp:wrapPolygon>
                  </wp:wrapTight>
                  <wp:docPr id="46"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8" descr="IMG_263"/>
                          <pic:cNvPicPr>
                            <a:picLocks noChangeAspect="1"/>
                          </pic:cNvPicPr>
                        </pic:nvPicPr>
                        <pic:blipFill>
                          <a:blip r:embed="rId19"/>
                          <a:stretch>
                            <a:fillRect/>
                          </a:stretch>
                        </pic:blipFill>
                        <pic:spPr>
                          <a:xfrm>
                            <a:off x="0" y="0"/>
                            <a:ext cx="371475" cy="533400"/>
                          </a:xfrm>
                          <a:prstGeom prst="rect">
                            <a:avLst/>
                          </a:prstGeom>
                          <a:noFill/>
                          <a:ln w="9525">
                            <a:noFill/>
                          </a:ln>
                        </pic:spPr>
                      </pic:pic>
                    </a:graphicData>
                  </a:graphic>
                </wp:anchor>
              </w:drawing>
            </w:r>
          </w:p>
        </w:tc>
      </w:tr>
      <w:tr w14:paraId="52FF3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04" w:type="pct"/>
            <w:shd w:val="clear" w:color="auto" w:fill="auto"/>
            <w:noWrap/>
            <w:vAlign w:val="center"/>
          </w:tcPr>
          <w:p w14:paraId="0B1D87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574" w:type="pct"/>
            <w:shd w:val="clear" w:color="auto" w:fill="auto"/>
            <w:noWrap/>
            <w:vAlign w:val="center"/>
          </w:tcPr>
          <w:p w14:paraId="0F71F1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拖把沥干池</w:t>
            </w:r>
          </w:p>
        </w:tc>
        <w:tc>
          <w:tcPr>
            <w:tcW w:w="805" w:type="pct"/>
            <w:shd w:val="clear" w:color="auto" w:fill="auto"/>
            <w:noWrap/>
            <w:vAlign w:val="center"/>
          </w:tcPr>
          <w:p w14:paraId="03B436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规格：1500×400×1800</w:t>
            </w:r>
          </w:p>
        </w:tc>
        <w:tc>
          <w:tcPr>
            <w:tcW w:w="2238" w:type="pct"/>
            <w:shd w:val="clear" w:color="auto" w:fill="auto"/>
            <w:vAlign w:val="center"/>
          </w:tcPr>
          <w:p w14:paraId="543F35E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说明：采用SUS304-2B优质发纹贴塑不锈钢板制造，台面δ=1.2mm，星盆斗δ=1.0mm，柱φ38 ×δ=0.8不锈钢管（配可调节子弹脚），配优质不锈钢落水器、拦渣斗。</w:t>
            </w:r>
          </w:p>
        </w:tc>
        <w:tc>
          <w:tcPr>
            <w:tcW w:w="377" w:type="pct"/>
            <w:shd w:val="clear" w:color="auto" w:fill="auto"/>
            <w:noWrap/>
            <w:vAlign w:val="center"/>
          </w:tcPr>
          <w:p w14:paraId="6B32A5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1个</w:t>
            </w:r>
          </w:p>
        </w:tc>
        <w:tc>
          <w:tcPr>
            <w:tcW w:w="700" w:type="pct"/>
            <w:shd w:val="clear" w:color="auto" w:fill="auto"/>
            <w:noWrap/>
            <w:vAlign w:val="center"/>
          </w:tcPr>
          <w:p w14:paraId="74336F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668480" behindDoc="1" locked="0" layoutInCell="1" allowOverlap="1">
                  <wp:simplePos x="0" y="0"/>
                  <wp:positionH relativeFrom="column">
                    <wp:posOffset>466090</wp:posOffset>
                  </wp:positionH>
                  <wp:positionV relativeFrom="paragraph">
                    <wp:posOffset>38100</wp:posOffset>
                  </wp:positionV>
                  <wp:extent cx="438150" cy="600075"/>
                  <wp:effectExtent l="0" t="0" r="3810" b="9525"/>
                  <wp:wrapTight wrapText="bothSides">
                    <wp:wrapPolygon>
                      <wp:start x="0" y="0"/>
                      <wp:lineTo x="0" y="20846"/>
                      <wp:lineTo x="21037" y="20846"/>
                      <wp:lineTo x="21037" y="0"/>
                      <wp:lineTo x="0" y="0"/>
                    </wp:wrapPolygon>
                  </wp:wrapTight>
                  <wp:docPr id="47"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9" descr="IMG_264"/>
                          <pic:cNvPicPr>
                            <a:picLocks noChangeAspect="1"/>
                          </pic:cNvPicPr>
                        </pic:nvPicPr>
                        <pic:blipFill>
                          <a:blip r:embed="rId20"/>
                          <a:stretch>
                            <a:fillRect/>
                          </a:stretch>
                        </pic:blipFill>
                        <pic:spPr>
                          <a:xfrm>
                            <a:off x="0" y="0"/>
                            <a:ext cx="438150" cy="600075"/>
                          </a:xfrm>
                          <a:prstGeom prst="rect">
                            <a:avLst/>
                          </a:prstGeom>
                          <a:noFill/>
                          <a:ln w="9525">
                            <a:noFill/>
                          </a:ln>
                        </pic:spPr>
                      </pic:pic>
                    </a:graphicData>
                  </a:graphic>
                </wp:anchor>
              </w:drawing>
            </w:r>
          </w:p>
        </w:tc>
      </w:tr>
      <w:tr w14:paraId="4F686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04" w:type="pct"/>
            <w:shd w:val="clear" w:color="auto" w:fill="auto"/>
            <w:noWrap/>
            <w:vAlign w:val="center"/>
          </w:tcPr>
          <w:p w14:paraId="44AA8B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10</w:t>
            </w:r>
          </w:p>
        </w:tc>
        <w:tc>
          <w:tcPr>
            <w:tcW w:w="574" w:type="pct"/>
            <w:shd w:val="clear" w:color="auto" w:fill="auto"/>
            <w:vAlign w:val="center"/>
          </w:tcPr>
          <w:p w14:paraId="356EAB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拖把池龙头</w:t>
            </w:r>
          </w:p>
        </w:tc>
        <w:tc>
          <w:tcPr>
            <w:tcW w:w="805" w:type="pct"/>
            <w:shd w:val="clear" w:color="auto" w:fill="auto"/>
            <w:vAlign w:val="center"/>
          </w:tcPr>
          <w:p w14:paraId="5CEE5BD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p>
        </w:tc>
        <w:tc>
          <w:tcPr>
            <w:tcW w:w="2238" w:type="pct"/>
            <w:shd w:val="clear" w:color="auto" w:fill="auto"/>
            <w:vAlign w:val="center"/>
          </w:tcPr>
          <w:p w14:paraId="0D0E3DE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说明：材质:100%优质62铜 高品质陶瓷阀芯；</w:t>
            </w:r>
          </w:p>
          <w:p w14:paraId="7389338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总长：15cm（最高点到台面垂直距离）；</w:t>
            </w:r>
          </w:p>
          <w:p w14:paraId="6EFB2C9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出水口:14.4cm（出水口至管距离）；</w:t>
            </w:r>
          </w:p>
          <w:p w14:paraId="7FB62B0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高：11.2cm。</w:t>
            </w:r>
          </w:p>
        </w:tc>
        <w:tc>
          <w:tcPr>
            <w:tcW w:w="377" w:type="pct"/>
            <w:shd w:val="clear" w:color="auto" w:fill="auto"/>
            <w:noWrap/>
            <w:vAlign w:val="center"/>
          </w:tcPr>
          <w:p w14:paraId="5BD659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2个</w:t>
            </w:r>
          </w:p>
        </w:tc>
        <w:tc>
          <w:tcPr>
            <w:tcW w:w="700" w:type="pct"/>
            <w:shd w:val="clear" w:color="auto" w:fill="auto"/>
            <w:vAlign w:val="center"/>
          </w:tcPr>
          <w:p w14:paraId="17EEAA77">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2"/>
                <w:szCs w:val="22"/>
                <w:u w:val="none"/>
              </w:rPr>
            </w:pPr>
          </w:p>
        </w:tc>
      </w:tr>
      <w:tr w14:paraId="540FE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5000" w:type="pct"/>
            <w:gridSpan w:val="6"/>
            <w:shd w:val="clear" w:color="auto" w:fill="auto"/>
            <w:vAlign w:val="center"/>
          </w:tcPr>
          <w:p w14:paraId="2D742D8E">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库房</w:t>
            </w:r>
          </w:p>
        </w:tc>
      </w:tr>
      <w:tr w14:paraId="304E3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4" w:type="pct"/>
            <w:shd w:val="clear" w:color="auto" w:fill="auto"/>
            <w:vAlign w:val="center"/>
          </w:tcPr>
          <w:p w14:paraId="1E6882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11</w:t>
            </w:r>
          </w:p>
        </w:tc>
        <w:tc>
          <w:tcPr>
            <w:tcW w:w="574" w:type="pct"/>
            <w:shd w:val="clear" w:color="auto" w:fill="auto"/>
            <w:vAlign w:val="center"/>
          </w:tcPr>
          <w:p w14:paraId="1824F1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平板车</w:t>
            </w:r>
          </w:p>
        </w:tc>
        <w:tc>
          <w:tcPr>
            <w:tcW w:w="805" w:type="pct"/>
            <w:shd w:val="clear" w:color="auto" w:fill="auto"/>
            <w:vAlign w:val="center"/>
          </w:tcPr>
          <w:p w14:paraId="2E7D73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规格：900×500×900</w:t>
            </w:r>
          </w:p>
        </w:tc>
        <w:tc>
          <w:tcPr>
            <w:tcW w:w="2238" w:type="pct"/>
            <w:shd w:val="clear" w:color="auto" w:fill="auto"/>
            <w:vAlign w:val="center"/>
          </w:tcPr>
          <w:p w14:paraId="14578ED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说明：304#2B发纹贴塑不锈钢板制造；δ=1.0，配4个科顺脚轮，其中2个带刹车。</w:t>
            </w:r>
          </w:p>
        </w:tc>
        <w:tc>
          <w:tcPr>
            <w:tcW w:w="377" w:type="pct"/>
            <w:shd w:val="clear" w:color="auto" w:fill="auto"/>
            <w:noWrap/>
            <w:vAlign w:val="center"/>
          </w:tcPr>
          <w:p w14:paraId="6C1F85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2辆</w:t>
            </w:r>
          </w:p>
        </w:tc>
        <w:tc>
          <w:tcPr>
            <w:tcW w:w="700" w:type="pct"/>
            <w:shd w:val="clear" w:color="auto" w:fill="auto"/>
            <w:vAlign w:val="center"/>
          </w:tcPr>
          <w:p w14:paraId="650227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669504" behindDoc="1" locked="0" layoutInCell="1" allowOverlap="1">
                  <wp:simplePos x="0" y="0"/>
                  <wp:positionH relativeFrom="column">
                    <wp:posOffset>420370</wp:posOffset>
                  </wp:positionH>
                  <wp:positionV relativeFrom="paragraph">
                    <wp:posOffset>-30480</wp:posOffset>
                  </wp:positionV>
                  <wp:extent cx="533400" cy="504825"/>
                  <wp:effectExtent l="0" t="0" r="0" b="13335"/>
                  <wp:wrapTight wrapText="bothSides">
                    <wp:wrapPolygon>
                      <wp:start x="0" y="0"/>
                      <wp:lineTo x="0" y="20866"/>
                      <wp:lineTo x="20983" y="20866"/>
                      <wp:lineTo x="20983" y="0"/>
                      <wp:lineTo x="0" y="0"/>
                    </wp:wrapPolygon>
                  </wp:wrapTight>
                  <wp:docPr id="48"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0" descr="IMG_265"/>
                          <pic:cNvPicPr>
                            <a:picLocks noChangeAspect="1"/>
                          </pic:cNvPicPr>
                        </pic:nvPicPr>
                        <pic:blipFill>
                          <a:blip r:embed="rId21"/>
                          <a:stretch>
                            <a:fillRect/>
                          </a:stretch>
                        </pic:blipFill>
                        <pic:spPr>
                          <a:xfrm>
                            <a:off x="0" y="0"/>
                            <a:ext cx="533400" cy="504825"/>
                          </a:xfrm>
                          <a:prstGeom prst="rect">
                            <a:avLst/>
                          </a:prstGeom>
                          <a:noFill/>
                          <a:ln w="9525">
                            <a:noFill/>
                          </a:ln>
                        </pic:spPr>
                      </pic:pic>
                    </a:graphicData>
                  </a:graphic>
                </wp:anchor>
              </w:drawing>
            </w:r>
          </w:p>
        </w:tc>
      </w:tr>
      <w:tr w14:paraId="61420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5000" w:type="pct"/>
            <w:gridSpan w:val="6"/>
            <w:shd w:val="clear" w:color="auto" w:fill="auto"/>
            <w:vAlign w:val="center"/>
          </w:tcPr>
          <w:p w14:paraId="58084F17">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蔬菜粗加工</w:t>
            </w:r>
          </w:p>
        </w:tc>
      </w:tr>
      <w:tr w14:paraId="19C80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4" w:type="pct"/>
            <w:shd w:val="clear" w:color="auto" w:fill="auto"/>
            <w:vAlign w:val="center"/>
          </w:tcPr>
          <w:p w14:paraId="31375A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12</w:t>
            </w:r>
          </w:p>
        </w:tc>
        <w:tc>
          <w:tcPr>
            <w:tcW w:w="574" w:type="pct"/>
            <w:shd w:val="clear" w:color="auto" w:fill="auto"/>
            <w:vAlign w:val="center"/>
          </w:tcPr>
          <w:p w14:paraId="0F5C19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冷热水龙头</w:t>
            </w:r>
          </w:p>
        </w:tc>
        <w:tc>
          <w:tcPr>
            <w:tcW w:w="805" w:type="pct"/>
            <w:shd w:val="clear" w:color="auto" w:fill="auto"/>
            <w:vAlign w:val="center"/>
          </w:tcPr>
          <w:p w14:paraId="18230A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p>
        </w:tc>
        <w:tc>
          <w:tcPr>
            <w:tcW w:w="2238" w:type="pct"/>
            <w:shd w:val="clear" w:color="auto" w:fill="auto"/>
            <w:vAlign w:val="center"/>
          </w:tcPr>
          <w:p w14:paraId="7518A61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材质：100%优质62铜 高品质陶瓷阀芯；</w:t>
            </w:r>
          </w:p>
          <w:p w14:paraId="08274FA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总长：35cm（最高点到台面垂直距离）。</w:t>
            </w:r>
          </w:p>
        </w:tc>
        <w:tc>
          <w:tcPr>
            <w:tcW w:w="377" w:type="pct"/>
            <w:shd w:val="clear" w:color="auto" w:fill="auto"/>
            <w:noWrap/>
            <w:vAlign w:val="center"/>
          </w:tcPr>
          <w:p w14:paraId="184776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1个</w:t>
            </w:r>
          </w:p>
        </w:tc>
        <w:tc>
          <w:tcPr>
            <w:tcW w:w="700" w:type="pct"/>
            <w:shd w:val="clear" w:color="auto" w:fill="auto"/>
            <w:vAlign w:val="center"/>
          </w:tcPr>
          <w:p w14:paraId="74AC6A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670528" behindDoc="1" locked="0" layoutInCell="1" allowOverlap="1">
                  <wp:simplePos x="0" y="0"/>
                  <wp:positionH relativeFrom="column">
                    <wp:posOffset>542290</wp:posOffset>
                  </wp:positionH>
                  <wp:positionV relativeFrom="paragraph">
                    <wp:posOffset>45720</wp:posOffset>
                  </wp:positionV>
                  <wp:extent cx="285750" cy="361950"/>
                  <wp:effectExtent l="0" t="0" r="3810" b="3810"/>
                  <wp:wrapTight wrapText="bothSides">
                    <wp:wrapPolygon>
                      <wp:start x="0" y="0"/>
                      <wp:lineTo x="0" y="20918"/>
                      <wp:lineTo x="20736" y="20918"/>
                      <wp:lineTo x="20736" y="0"/>
                      <wp:lineTo x="0" y="0"/>
                    </wp:wrapPolygon>
                  </wp:wrapTight>
                  <wp:docPr id="49"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1" descr="IMG_266"/>
                          <pic:cNvPicPr>
                            <a:picLocks noChangeAspect="1"/>
                          </pic:cNvPicPr>
                        </pic:nvPicPr>
                        <pic:blipFill>
                          <a:blip r:embed="rId22"/>
                          <a:stretch>
                            <a:fillRect/>
                          </a:stretch>
                        </pic:blipFill>
                        <pic:spPr>
                          <a:xfrm>
                            <a:off x="0" y="0"/>
                            <a:ext cx="285750" cy="361950"/>
                          </a:xfrm>
                          <a:prstGeom prst="rect">
                            <a:avLst/>
                          </a:prstGeom>
                          <a:noFill/>
                          <a:ln w="9525">
                            <a:noFill/>
                          </a:ln>
                        </pic:spPr>
                      </pic:pic>
                    </a:graphicData>
                  </a:graphic>
                </wp:anchor>
              </w:drawing>
            </w:r>
          </w:p>
        </w:tc>
      </w:tr>
      <w:tr w14:paraId="52EED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04" w:type="pct"/>
            <w:shd w:val="clear" w:color="auto" w:fill="auto"/>
            <w:vAlign w:val="center"/>
          </w:tcPr>
          <w:p w14:paraId="466A34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13</w:t>
            </w:r>
          </w:p>
        </w:tc>
        <w:tc>
          <w:tcPr>
            <w:tcW w:w="574" w:type="pct"/>
            <w:shd w:val="clear" w:color="auto" w:fill="auto"/>
            <w:vAlign w:val="center"/>
          </w:tcPr>
          <w:p w14:paraId="7360B2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冷热水龙头</w:t>
            </w:r>
          </w:p>
        </w:tc>
        <w:tc>
          <w:tcPr>
            <w:tcW w:w="805" w:type="pct"/>
            <w:shd w:val="clear" w:color="auto" w:fill="auto"/>
            <w:vAlign w:val="center"/>
          </w:tcPr>
          <w:p w14:paraId="5CCF56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p>
        </w:tc>
        <w:tc>
          <w:tcPr>
            <w:tcW w:w="2238" w:type="pct"/>
            <w:shd w:val="clear" w:color="auto" w:fill="auto"/>
            <w:vAlign w:val="center"/>
          </w:tcPr>
          <w:p w14:paraId="5C392AE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材质：100%优质62铜 高品质陶瓷阀芯；</w:t>
            </w:r>
          </w:p>
          <w:p w14:paraId="7FBD4B8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总长：35cm（最高点到台面垂直距离）。</w:t>
            </w:r>
          </w:p>
        </w:tc>
        <w:tc>
          <w:tcPr>
            <w:tcW w:w="377" w:type="pct"/>
            <w:shd w:val="clear" w:color="auto" w:fill="auto"/>
            <w:noWrap/>
            <w:vAlign w:val="center"/>
          </w:tcPr>
          <w:p w14:paraId="215670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3个</w:t>
            </w:r>
          </w:p>
        </w:tc>
        <w:tc>
          <w:tcPr>
            <w:tcW w:w="700" w:type="pct"/>
            <w:shd w:val="clear" w:color="auto" w:fill="auto"/>
            <w:vAlign w:val="center"/>
          </w:tcPr>
          <w:p w14:paraId="50389A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671552" behindDoc="1" locked="0" layoutInCell="1" allowOverlap="1">
                  <wp:simplePos x="0" y="0"/>
                  <wp:positionH relativeFrom="column">
                    <wp:posOffset>542290</wp:posOffset>
                  </wp:positionH>
                  <wp:positionV relativeFrom="paragraph">
                    <wp:posOffset>45720</wp:posOffset>
                  </wp:positionV>
                  <wp:extent cx="285750" cy="361950"/>
                  <wp:effectExtent l="0" t="0" r="3810" b="3810"/>
                  <wp:wrapTight wrapText="bothSides">
                    <wp:wrapPolygon>
                      <wp:start x="0" y="0"/>
                      <wp:lineTo x="0" y="20918"/>
                      <wp:lineTo x="20736" y="20918"/>
                      <wp:lineTo x="20736" y="0"/>
                      <wp:lineTo x="0" y="0"/>
                    </wp:wrapPolygon>
                  </wp:wrapTight>
                  <wp:docPr id="50"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2" descr="IMG_267"/>
                          <pic:cNvPicPr>
                            <a:picLocks noChangeAspect="1"/>
                          </pic:cNvPicPr>
                        </pic:nvPicPr>
                        <pic:blipFill>
                          <a:blip r:embed="rId22"/>
                          <a:stretch>
                            <a:fillRect/>
                          </a:stretch>
                        </pic:blipFill>
                        <pic:spPr>
                          <a:xfrm>
                            <a:off x="0" y="0"/>
                            <a:ext cx="285750" cy="361950"/>
                          </a:xfrm>
                          <a:prstGeom prst="rect">
                            <a:avLst/>
                          </a:prstGeom>
                          <a:noFill/>
                          <a:ln w="9525">
                            <a:noFill/>
                          </a:ln>
                        </pic:spPr>
                      </pic:pic>
                    </a:graphicData>
                  </a:graphic>
                </wp:anchor>
              </w:drawing>
            </w:r>
          </w:p>
        </w:tc>
      </w:tr>
      <w:tr w14:paraId="56F96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04" w:type="pct"/>
            <w:shd w:val="clear" w:color="auto" w:fill="auto"/>
            <w:vAlign w:val="center"/>
          </w:tcPr>
          <w:p w14:paraId="6838D9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14</w:t>
            </w:r>
          </w:p>
        </w:tc>
        <w:tc>
          <w:tcPr>
            <w:tcW w:w="574" w:type="pct"/>
            <w:shd w:val="clear" w:color="auto" w:fill="auto"/>
            <w:vAlign w:val="center"/>
          </w:tcPr>
          <w:p w14:paraId="65D310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蔬菜清洗去皮机</w:t>
            </w:r>
          </w:p>
        </w:tc>
        <w:tc>
          <w:tcPr>
            <w:tcW w:w="805" w:type="pct"/>
            <w:shd w:val="clear" w:color="auto" w:fill="auto"/>
            <w:vAlign w:val="center"/>
          </w:tcPr>
          <w:p w14:paraId="43F2DA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规格：780×670×930</w:t>
            </w:r>
          </w:p>
        </w:tc>
        <w:tc>
          <w:tcPr>
            <w:tcW w:w="2238" w:type="pct"/>
            <w:shd w:val="clear" w:color="auto" w:fill="auto"/>
            <w:vAlign w:val="center"/>
          </w:tcPr>
          <w:p w14:paraId="2645020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适用于马铃薯、胡萝卜、莲藕、甘薯等蔬果类清洗去皮。整机国标304精制；辊刷全部使用实心轴制造；缸体u型弧度设计，采用7根尼龙1010毛刷，利用差速设计翻滚摩擦去皮。</w:t>
            </w:r>
          </w:p>
        </w:tc>
        <w:tc>
          <w:tcPr>
            <w:tcW w:w="377" w:type="pct"/>
            <w:shd w:val="clear" w:color="auto" w:fill="auto"/>
            <w:noWrap/>
            <w:vAlign w:val="center"/>
          </w:tcPr>
          <w:p w14:paraId="65378E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1台</w:t>
            </w:r>
          </w:p>
        </w:tc>
        <w:tc>
          <w:tcPr>
            <w:tcW w:w="700" w:type="pct"/>
            <w:shd w:val="clear" w:color="auto" w:fill="auto"/>
            <w:noWrap/>
            <w:vAlign w:val="center"/>
          </w:tcPr>
          <w:p w14:paraId="35E403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672576" behindDoc="1" locked="0" layoutInCell="1" allowOverlap="1">
                  <wp:simplePos x="0" y="0"/>
                  <wp:positionH relativeFrom="column">
                    <wp:posOffset>466090</wp:posOffset>
                  </wp:positionH>
                  <wp:positionV relativeFrom="paragraph">
                    <wp:posOffset>76200</wp:posOffset>
                  </wp:positionV>
                  <wp:extent cx="428625" cy="523875"/>
                  <wp:effectExtent l="0" t="0" r="13335" b="9525"/>
                  <wp:wrapTight wrapText="bothSides">
                    <wp:wrapPolygon>
                      <wp:start x="0" y="0"/>
                      <wp:lineTo x="0" y="20736"/>
                      <wp:lineTo x="20736" y="20736"/>
                      <wp:lineTo x="20736" y="0"/>
                      <wp:lineTo x="0" y="0"/>
                    </wp:wrapPolygon>
                  </wp:wrapTight>
                  <wp:docPr id="51"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3" descr="IMG_268"/>
                          <pic:cNvPicPr>
                            <a:picLocks noChangeAspect="1"/>
                          </pic:cNvPicPr>
                        </pic:nvPicPr>
                        <pic:blipFill>
                          <a:blip r:embed="rId23"/>
                          <a:stretch>
                            <a:fillRect/>
                          </a:stretch>
                        </pic:blipFill>
                        <pic:spPr>
                          <a:xfrm>
                            <a:off x="0" y="0"/>
                            <a:ext cx="428625" cy="523875"/>
                          </a:xfrm>
                          <a:prstGeom prst="rect">
                            <a:avLst/>
                          </a:prstGeom>
                          <a:noFill/>
                          <a:ln w="9525">
                            <a:noFill/>
                          </a:ln>
                        </pic:spPr>
                      </pic:pic>
                    </a:graphicData>
                  </a:graphic>
                </wp:anchor>
              </w:drawing>
            </w:r>
          </w:p>
        </w:tc>
      </w:tr>
      <w:tr w14:paraId="7175D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04" w:type="pct"/>
            <w:shd w:val="clear" w:color="auto" w:fill="auto"/>
            <w:vAlign w:val="center"/>
          </w:tcPr>
          <w:p w14:paraId="069973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15</w:t>
            </w:r>
          </w:p>
        </w:tc>
        <w:tc>
          <w:tcPr>
            <w:tcW w:w="574" w:type="pct"/>
            <w:shd w:val="clear" w:color="auto" w:fill="auto"/>
            <w:vAlign w:val="center"/>
          </w:tcPr>
          <w:p w14:paraId="53BA88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洗地龙头</w:t>
            </w:r>
          </w:p>
        </w:tc>
        <w:tc>
          <w:tcPr>
            <w:tcW w:w="805" w:type="pct"/>
            <w:shd w:val="clear" w:color="auto" w:fill="auto"/>
            <w:vAlign w:val="center"/>
          </w:tcPr>
          <w:p w14:paraId="1EF68C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p>
        </w:tc>
        <w:tc>
          <w:tcPr>
            <w:tcW w:w="2238" w:type="pct"/>
            <w:shd w:val="clear" w:color="auto" w:fill="auto"/>
            <w:vAlign w:val="center"/>
          </w:tcPr>
          <w:p w14:paraId="17C4319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材料：黄铜、钢材；</w:t>
            </w:r>
          </w:p>
          <w:p w14:paraId="43B1CA7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长度：10.5m。</w:t>
            </w:r>
          </w:p>
        </w:tc>
        <w:tc>
          <w:tcPr>
            <w:tcW w:w="377" w:type="pct"/>
            <w:shd w:val="clear" w:color="auto" w:fill="auto"/>
            <w:noWrap/>
            <w:vAlign w:val="center"/>
          </w:tcPr>
          <w:p w14:paraId="3213A9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1个</w:t>
            </w:r>
          </w:p>
        </w:tc>
        <w:tc>
          <w:tcPr>
            <w:tcW w:w="700" w:type="pct"/>
            <w:shd w:val="clear" w:color="auto" w:fill="auto"/>
            <w:vAlign w:val="center"/>
          </w:tcPr>
          <w:p w14:paraId="017FF2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673600" behindDoc="1" locked="0" layoutInCell="1" allowOverlap="1">
                  <wp:simplePos x="0" y="0"/>
                  <wp:positionH relativeFrom="column">
                    <wp:posOffset>397510</wp:posOffset>
                  </wp:positionH>
                  <wp:positionV relativeFrom="paragraph">
                    <wp:posOffset>0</wp:posOffset>
                  </wp:positionV>
                  <wp:extent cx="571500" cy="447675"/>
                  <wp:effectExtent l="0" t="0" r="7620" b="9525"/>
                  <wp:wrapTight wrapText="bothSides">
                    <wp:wrapPolygon>
                      <wp:start x="0" y="0"/>
                      <wp:lineTo x="0" y="20589"/>
                      <wp:lineTo x="21312" y="20589"/>
                      <wp:lineTo x="21312" y="0"/>
                      <wp:lineTo x="0" y="0"/>
                    </wp:wrapPolygon>
                  </wp:wrapTight>
                  <wp:docPr id="52"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4" descr="IMG_269"/>
                          <pic:cNvPicPr>
                            <a:picLocks noChangeAspect="1"/>
                          </pic:cNvPicPr>
                        </pic:nvPicPr>
                        <pic:blipFill>
                          <a:blip r:embed="rId15"/>
                          <a:stretch>
                            <a:fillRect/>
                          </a:stretch>
                        </pic:blipFill>
                        <pic:spPr>
                          <a:xfrm>
                            <a:off x="0" y="0"/>
                            <a:ext cx="571500" cy="447675"/>
                          </a:xfrm>
                          <a:prstGeom prst="rect">
                            <a:avLst/>
                          </a:prstGeom>
                          <a:noFill/>
                          <a:ln w="9525">
                            <a:noFill/>
                          </a:ln>
                        </pic:spPr>
                      </pic:pic>
                    </a:graphicData>
                  </a:graphic>
                </wp:anchor>
              </w:drawing>
            </w:r>
          </w:p>
        </w:tc>
      </w:tr>
      <w:tr w14:paraId="30CB1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04" w:type="pct"/>
            <w:shd w:val="clear" w:color="auto" w:fill="auto"/>
            <w:vAlign w:val="center"/>
          </w:tcPr>
          <w:p w14:paraId="30D8A0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16</w:t>
            </w:r>
          </w:p>
        </w:tc>
        <w:tc>
          <w:tcPr>
            <w:tcW w:w="574" w:type="pct"/>
            <w:shd w:val="clear" w:color="auto" w:fill="auto"/>
            <w:vAlign w:val="center"/>
          </w:tcPr>
          <w:p w14:paraId="41D446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电击式灭蝇灯</w:t>
            </w:r>
          </w:p>
        </w:tc>
        <w:tc>
          <w:tcPr>
            <w:tcW w:w="805" w:type="pct"/>
            <w:shd w:val="clear" w:color="auto" w:fill="auto"/>
            <w:vAlign w:val="center"/>
          </w:tcPr>
          <w:p w14:paraId="2C405F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p>
        </w:tc>
        <w:tc>
          <w:tcPr>
            <w:tcW w:w="2238" w:type="pct"/>
            <w:shd w:val="clear" w:color="auto" w:fill="auto"/>
            <w:vAlign w:val="center"/>
          </w:tcPr>
          <w:p w14:paraId="6907051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功率：220V/40W；采用半密封式收集器、可以安全地将被电击的蝇虫控制在收集器内、击伤的蝇虫也不至于飞溅机外、达到环保之目的。</w:t>
            </w:r>
          </w:p>
        </w:tc>
        <w:tc>
          <w:tcPr>
            <w:tcW w:w="377" w:type="pct"/>
            <w:shd w:val="clear" w:color="auto" w:fill="auto"/>
            <w:noWrap/>
            <w:vAlign w:val="center"/>
          </w:tcPr>
          <w:p w14:paraId="1ED655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2台</w:t>
            </w:r>
          </w:p>
        </w:tc>
        <w:tc>
          <w:tcPr>
            <w:tcW w:w="700" w:type="pct"/>
            <w:shd w:val="clear" w:color="auto" w:fill="auto"/>
            <w:vAlign w:val="center"/>
          </w:tcPr>
          <w:p w14:paraId="7C61D3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674624" behindDoc="1" locked="0" layoutInCell="1" allowOverlap="1">
                  <wp:simplePos x="0" y="0"/>
                  <wp:positionH relativeFrom="column">
                    <wp:posOffset>382270</wp:posOffset>
                  </wp:positionH>
                  <wp:positionV relativeFrom="paragraph">
                    <wp:posOffset>182880</wp:posOffset>
                  </wp:positionV>
                  <wp:extent cx="600075" cy="314325"/>
                  <wp:effectExtent l="0" t="0" r="9525" b="5715"/>
                  <wp:wrapTight wrapText="bothSides">
                    <wp:wrapPolygon>
                      <wp:start x="0" y="0"/>
                      <wp:lineTo x="0" y="20945"/>
                      <wp:lineTo x="20846" y="20945"/>
                      <wp:lineTo x="20846" y="0"/>
                      <wp:lineTo x="0" y="0"/>
                    </wp:wrapPolygon>
                  </wp:wrapTight>
                  <wp:docPr id="53"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5" descr="IMG_270"/>
                          <pic:cNvPicPr>
                            <a:picLocks noChangeAspect="1"/>
                          </pic:cNvPicPr>
                        </pic:nvPicPr>
                        <pic:blipFill>
                          <a:blip r:embed="rId14"/>
                          <a:stretch>
                            <a:fillRect/>
                          </a:stretch>
                        </pic:blipFill>
                        <pic:spPr>
                          <a:xfrm>
                            <a:off x="0" y="0"/>
                            <a:ext cx="600075" cy="314325"/>
                          </a:xfrm>
                          <a:prstGeom prst="rect">
                            <a:avLst/>
                          </a:prstGeom>
                          <a:noFill/>
                          <a:ln w="9525">
                            <a:noFill/>
                          </a:ln>
                        </pic:spPr>
                      </pic:pic>
                    </a:graphicData>
                  </a:graphic>
                </wp:anchor>
              </w:drawing>
            </w:r>
          </w:p>
        </w:tc>
      </w:tr>
      <w:tr w14:paraId="1146C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5000" w:type="pct"/>
            <w:gridSpan w:val="6"/>
            <w:shd w:val="clear" w:color="auto" w:fill="auto"/>
            <w:vAlign w:val="center"/>
          </w:tcPr>
          <w:p w14:paraId="1015A629">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鱼肉粗加工</w:t>
            </w:r>
          </w:p>
        </w:tc>
      </w:tr>
      <w:tr w14:paraId="3D7CE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4" w:type="pct"/>
            <w:shd w:val="clear" w:color="auto" w:fill="auto"/>
            <w:vAlign w:val="center"/>
          </w:tcPr>
          <w:p w14:paraId="63A062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17</w:t>
            </w:r>
          </w:p>
        </w:tc>
        <w:tc>
          <w:tcPr>
            <w:tcW w:w="574" w:type="pct"/>
            <w:shd w:val="clear" w:color="auto" w:fill="auto"/>
            <w:vAlign w:val="center"/>
          </w:tcPr>
          <w:p w14:paraId="5D2C9B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冷热水龙头</w:t>
            </w:r>
          </w:p>
        </w:tc>
        <w:tc>
          <w:tcPr>
            <w:tcW w:w="805" w:type="pct"/>
            <w:shd w:val="clear" w:color="auto" w:fill="auto"/>
            <w:vAlign w:val="center"/>
          </w:tcPr>
          <w:p w14:paraId="1AE52D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p>
        </w:tc>
        <w:tc>
          <w:tcPr>
            <w:tcW w:w="2238" w:type="pct"/>
            <w:shd w:val="clear" w:color="auto" w:fill="auto"/>
            <w:vAlign w:val="center"/>
          </w:tcPr>
          <w:p w14:paraId="5129480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材质：100%优质62铜 高品质陶瓷阀芯；</w:t>
            </w:r>
          </w:p>
          <w:p w14:paraId="4FF7CC9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总长：35cm（最高点到台面垂直距离）。</w:t>
            </w:r>
          </w:p>
        </w:tc>
        <w:tc>
          <w:tcPr>
            <w:tcW w:w="377" w:type="pct"/>
            <w:shd w:val="clear" w:color="auto" w:fill="auto"/>
            <w:noWrap/>
            <w:vAlign w:val="center"/>
          </w:tcPr>
          <w:p w14:paraId="5D6586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3个</w:t>
            </w:r>
          </w:p>
        </w:tc>
        <w:tc>
          <w:tcPr>
            <w:tcW w:w="700" w:type="pct"/>
            <w:shd w:val="clear" w:color="auto" w:fill="auto"/>
            <w:vAlign w:val="center"/>
          </w:tcPr>
          <w:p w14:paraId="73E5D8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675648" behindDoc="1" locked="0" layoutInCell="1" allowOverlap="1">
                  <wp:simplePos x="0" y="0"/>
                  <wp:positionH relativeFrom="column">
                    <wp:posOffset>542290</wp:posOffset>
                  </wp:positionH>
                  <wp:positionV relativeFrom="paragraph">
                    <wp:posOffset>45720</wp:posOffset>
                  </wp:positionV>
                  <wp:extent cx="285750" cy="361950"/>
                  <wp:effectExtent l="0" t="0" r="3810" b="3810"/>
                  <wp:wrapTight wrapText="bothSides">
                    <wp:wrapPolygon>
                      <wp:start x="0" y="0"/>
                      <wp:lineTo x="0" y="20918"/>
                      <wp:lineTo x="20736" y="20918"/>
                      <wp:lineTo x="20736" y="0"/>
                      <wp:lineTo x="0" y="0"/>
                    </wp:wrapPolygon>
                  </wp:wrapTight>
                  <wp:docPr id="54"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6" descr="IMG_271"/>
                          <pic:cNvPicPr>
                            <a:picLocks noChangeAspect="1"/>
                          </pic:cNvPicPr>
                        </pic:nvPicPr>
                        <pic:blipFill>
                          <a:blip r:embed="rId22"/>
                          <a:stretch>
                            <a:fillRect/>
                          </a:stretch>
                        </pic:blipFill>
                        <pic:spPr>
                          <a:xfrm>
                            <a:off x="0" y="0"/>
                            <a:ext cx="285750" cy="361950"/>
                          </a:xfrm>
                          <a:prstGeom prst="rect">
                            <a:avLst/>
                          </a:prstGeom>
                          <a:noFill/>
                          <a:ln w="9525">
                            <a:noFill/>
                          </a:ln>
                        </pic:spPr>
                      </pic:pic>
                    </a:graphicData>
                  </a:graphic>
                </wp:anchor>
              </w:drawing>
            </w:r>
          </w:p>
        </w:tc>
      </w:tr>
      <w:tr w14:paraId="58FAE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4" w:type="pct"/>
            <w:shd w:val="clear" w:color="auto" w:fill="auto"/>
            <w:vAlign w:val="center"/>
          </w:tcPr>
          <w:p w14:paraId="2E553B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18</w:t>
            </w:r>
          </w:p>
        </w:tc>
        <w:tc>
          <w:tcPr>
            <w:tcW w:w="574" w:type="pct"/>
            <w:shd w:val="clear" w:color="auto" w:fill="auto"/>
            <w:vAlign w:val="center"/>
          </w:tcPr>
          <w:p w14:paraId="1CBBEC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单星剖鱼台</w:t>
            </w:r>
          </w:p>
        </w:tc>
        <w:tc>
          <w:tcPr>
            <w:tcW w:w="805" w:type="pct"/>
            <w:shd w:val="clear" w:color="auto" w:fill="auto"/>
            <w:vAlign w:val="center"/>
          </w:tcPr>
          <w:p w14:paraId="4C1F7F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规格：1450×800×(800+100)</w:t>
            </w:r>
          </w:p>
        </w:tc>
        <w:tc>
          <w:tcPr>
            <w:tcW w:w="2238" w:type="pct"/>
            <w:shd w:val="clear" w:color="auto" w:fill="auto"/>
            <w:vAlign w:val="center"/>
          </w:tcPr>
          <w:p w14:paraId="72AC3C4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说明：304#2B发纹贴塑不锈钢板制造；台面δ=1.2，星盆斗δ=1.0；骨架采用δ=1.0 Φ38不锈钢圆通，配Φ38不锈钢可调节重力子弹脚，配落水器、拦渣斗。</w:t>
            </w:r>
          </w:p>
        </w:tc>
        <w:tc>
          <w:tcPr>
            <w:tcW w:w="377" w:type="pct"/>
            <w:shd w:val="clear" w:color="auto" w:fill="auto"/>
            <w:noWrap/>
            <w:vAlign w:val="center"/>
          </w:tcPr>
          <w:p w14:paraId="5E2D10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2张</w:t>
            </w:r>
          </w:p>
        </w:tc>
        <w:tc>
          <w:tcPr>
            <w:tcW w:w="700" w:type="pct"/>
            <w:shd w:val="clear" w:color="auto" w:fill="auto"/>
            <w:vAlign w:val="center"/>
          </w:tcPr>
          <w:p w14:paraId="1793BD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676672" behindDoc="1" locked="0" layoutInCell="1" allowOverlap="1">
                  <wp:simplePos x="0" y="0"/>
                  <wp:positionH relativeFrom="column">
                    <wp:posOffset>420370</wp:posOffset>
                  </wp:positionH>
                  <wp:positionV relativeFrom="paragraph">
                    <wp:posOffset>114300</wp:posOffset>
                  </wp:positionV>
                  <wp:extent cx="533400" cy="457200"/>
                  <wp:effectExtent l="0" t="0" r="0" b="0"/>
                  <wp:wrapTight wrapText="bothSides">
                    <wp:wrapPolygon>
                      <wp:start x="0" y="0"/>
                      <wp:lineTo x="0" y="20880"/>
                      <wp:lineTo x="20983" y="20880"/>
                      <wp:lineTo x="20983" y="0"/>
                      <wp:lineTo x="0" y="0"/>
                    </wp:wrapPolygon>
                  </wp:wrapTight>
                  <wp:docPr id="55"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7" descr="IMG_272"/>
                          <pic:cNvPicPr>
                            <a:picLocks noChangeAspect="1"/>
                          </pic:cNvPicPr>
                        </pic:nvPicPr>
                        <pic:blipFill>
                          <a:blip r:embed="rId24"/>
                          <a:stretch>
                            <a:fillRect/>
                          </a:stretch>
                        </pic:blipFill>
                        <pic:spPr>
                          <a:xfrm>
                            <a:off x="0" y="0"/>
                            <a:ext cx="533400" cy="457200"/>
                          </a:xfrm>
                          <a:prstGeom prst="rect">
                            <a:avLst/>
                          </a:prstGeom>
                          <a:noFill/>
                          <a:ln w="9525">
                            <a:noFill/>
                          </a:ln>
                        </pic:spPr>
                      </pic:pic>
                    </a:graphicData>
                  </a:graphic>
                </wp:anchor>
              </w:drawing>
            </w:r>
          </w:p>
        </w:tc>
      </w:tr>
      <w:tr w14:paraId="7CFE6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4" w:type="pct"/>
            <w:shd w:val="clear" w:color="auto" w:fill="auto"/>
            <w:vAlign w:val="center"/>
          </w:tcPr>
          <w:p w14:paraId="077258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19</w:t>
            </w:r>
          </w:p>
        </w:tc>
        <w:tc>
          <w:tcPr>
            <w:tcW w:w="574" w:type="pct"/>
            <w:shd w:val="clear" w:color="auto" w:fill="auto"/>
            <w:vAlign w:val="center"/>
          </w:tcPr>
          <w:p w14:paraId="222AE5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冷热水龙头</w:t>
            </w:r>
          </w:p>
        </w:tc>
        <w:tc>
          <w:tcPr>
            <w:tcW w:w="805" w:type="pct"/>
            <w:shd w:val="clear" w:color="auto" w:fill="auto"/>
            <w:vAlign w:val="center"/>
          </w:tcPr>
          <w:p w14:paraId="3AB19D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p>
        </w:tc>
        <w:tc>
          <w:tcPr>
            <w:tcW w:w="2238" w:type="pct"/>
            <w:shd w:val="clear" w:color="auto" w:fill="auto"/>
            <w:vAlign w:val="center"/>
          </w:tcPr>
          <w:p w14:paraId="5A6B5C5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材质：100%优质62铜 高品质陶瓷阀芯；</w:t>
            </w:r>
          </w:p>
          <w:p w14:paraId="5AA3E7F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总长：35cm（最高点到台面垂直距离）。</w:t>
            </w:r>
          </w:p>
        </w:tc>
        <w:tc>
          <w:tcPr>
            <w:tcW w:w="377" w:type="pct"/>
            <w:shd w:val="clear" w:color="auto" w:fill="auto"/>
            <w:noWrap/>
            <w:vAlign w:val="center"/>
          </w:tcPr>
          <w:p w14:paraId="12CEAB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2个</w:t>
            </w:r>
          </w:p>
        </w:tc>
        <w:tc>
          <w:tcPr>
            <w:tcW w:w="700" w:type="pct"/>
            <w:shd w:val="clear" w:color="auto" w:fill="auto"/>
            <w:vAlign w:val="center"/>
          </w:tcPr>
          <w:p w14:paraId="25A08B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677696" behindDoc="1" locked="0" layoutInCell="1" allowOverlap="1">
                  <wp:simplePos x="0" y="0"/>
                  <wp:positionH relativeFrom="column">
                    <wp:posOffset>542290</wp:posOffset>
                  </wp:positionH>
                  <wp:positionV relativeFrom="paragraph">
                    <wp:posOffset>45720</wp:posOffset>
                  </wp:positionV>
                  <wp:extent cx="285750" cy="361950"/>
                  <wp:effectExtent l="0" t="0" r="3810" b="3810"/>
                  <wp:wrapTight wrapText="bothSides">
                    <wp:wrapPolygon>
                      <wp:start x="0" y="0"/>
                      <wp:lineTo x="0" y="20918"/>
                      <wp:lineTo x="20736" y="20918"/>
                      <wp:lineTo x="20736" y="0"/>
                      <wp:lineTo x="0" y="0"/>
                    </wp:wrapPolygon>
                  </wp:wrapTight>
                  <wp:docPr id="56"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18" descr="IMG_273"/>
                          <pic:cNvPicPr>
                            <a:picLocks noChangeAspect="1"/>
                          </pic:cNvPicPr>
                        </pic:nvPicPr>
                        <pic:blipFill>
                          <a:blip r:embed="rId22"/>
                          <a:stretch>
                            <a:fillRect/>
                          </a:stretch>
                        </pic:blipFill>
                        <pic:spPr>
                          <a:xfrm>
                            <a:off x="0" y="0"/>
                            <a:ext cx="285750" cy="361950"/>
                          </a:xfrm>
                          <a:prstGeom prst="rect">
                            <a:avLst/>
                          </a:prstGeom>
                          <a:noFill/>
                          <a:ln w="9525">
                            <a:noFill/>
                          </a:ln>
                        </pic:spPr>
                      </pic:pic>
                    </a:graphicData>
                  </a:graphic>
                </wp:anchor>
              </w:drawing>
            </w:r>
          </w:p>
        </w:tc>
      </w:tr>
      <w:tr w14:paraId="4BBC1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04" w:type="pct"/>
            <w:shd w:val="clear" w:color="auto" w:fill="auto"/>
            <w:vAlign w:val="center"/>
          </w:tcPr>
          <w:p w14:paraId="7DF33B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20</w:t>
            </w:r>
          </w:p>
        </w:tc>
        <w:tc>
          <w:tcPr>
            <w:tcW w:w="574" w:type="pct"/>
            <w:shd w:val="clear" w:color="auto" w:fill="auto"/>
            <w:vAlign w:val="center"/>
          </w:tcPr>
          <w:p w14:paraId="307F5F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开水器连底座</w:t>
            </w:r>
          </w:p>
        </w:tc>
        <w:tc>
          <w:tcPr>
            <w:tcW w:w="805" w:type="pct"/>
            <w:shd w:val="clear" w:color="auto" w:fill="auto"/>
            <w:vAlign w:val="center"/>
          </w:tcPr>
          <w:p w14:paraId="4232EF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规格：600×620×1580</w:t>
            </w:r>
          </w:p>
        </w:tc>
        <w:tc>
          <w:tcPr>
            <w:tcW w:w="2238" w:type="pct"/>
            <w:shd w:val="clear" w:color="auto" w:fill="auto"/>
            <w:vAlign w:val="center"/>
          </w:tcPr>
          <w:p w14:paraId="19FE177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供水量：120L/h；</w:t>
            </w:r>
          </w:p>
          <w:p w14:paraId="4385DF6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功率：380V/12KW。</w:t>
            </w:r>
          </w:p>
        </w:tc>
        <w:tc>
          <w:tcPr>
            <w:tcW w:w="377" w:type="pct"/>
            <w:shd w:val="clear" w:color="auto" w:fill="auto"/>
            <w:noWrap/>
            <w:vAlign w:val="center"/>
          </w:tcPr>
          <w:p w14:paraId="4FE3CE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2台</w:t>
            </w:r>
          </w:p>
        </w:tc>
        <w:tc>
          <w:tcPr>
            <w:tcW w:w="700" w:type="pct"/>
            <w:shd w:val="clear" w:color="auto" w:fill="auto"/>
            <w:vAlign w:val="center"/>
          </w:tcPr>
          <w:p w14:paraId="7B7D62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678720" behindDoc="1" locked="0" layoutInCell="1" allowOverlap="1">
                  <wp:simplePos x="0" y="0"/>
                  <wp:positionH relativeFrom="column">
                    <wp:posOffset>557530</wp:posOffset>
                  </wp:positionH>
                  <wp:positionV relativeFrom="paragraph">
                    <wp:posOffset>0</wp:posOffset>
                  </wp:positionV>
                  <wp:extent cx="247650" cy="457200"/>
                  <wp:effectExtent l="0" t="0" r="11430" b="0"/>
                  <wp:wrapTight wrapText="bothSides">
                    <wp:wrapPolygon>
                      <wp:start x="0" y="0"/>
                      <wp:lineTo x="0" y="20880"/>
                      <wp:lineTo x="19938" y="20880"/>
                      <wp:lineTo x="19938" y="0"/>
                      <wp:lineTo x="0" y="0"/>
                    </wp:wrapPolygon>
                  </wp:wrapTight>
                  <wp:docPr id="57"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19" descr="IMG_274"/>
                          <pic:cNvPicPr>
                            <a:picLocks noChangeAspect="1"/>
                          </pic:cNvPicPr>
                        </pic:nvPicPr>
                        <pic:blipFill>
                          <a:blip r:embed="rId25"/>
                          <a:stretch>
                            <a:fillRect/>
                          </a:stretch>
                        </pic:blipFill>
                        <pic:spPr>
                          <a:xfrm>
                            <a:off x="0" y="0"/>
                            <a:ext cx="247650" cy="457200"/>
                          </a:xfrm>
                          <a:prstGeom prst="rect">
                            <a:avLst/>
                          </a:prstGeom>
                          <a:noFill/>
                          <a:ln w="9525">
                            <a:noFill/>
                          </a:ln>
                        </pic:spPr>
                      </pic:pic>
                    </a:graphicData>
                  </a:graphic>
                </wp:anchor>
              </w:drawing>
            </w:r>
          </w:p>
        </w:tc>
      </w:tr>
      <w:tr w14:paraId="36170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5000" w:type="pct"/>
            <w:gridSpan w:val="6"/>
            <w:shd w:val="clear" w:color="auto" w:fill="auto"/>
            <w:vAlign w:val="center"/>
          </w:tcPr>
          <w:p w14:paraId="47BD1EDF">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精加工</w:t>
            </w:r>
          </w:p>
        </w:tc>
      </w:tr>
      <w:tr w14:paraId="73932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4" w:type="pct"/>
            <w:shd w:val="clear" w:color="auto" w:fill="auto"/>
            <w:vAlign w:val="center"/>
          </w:tcPr>
          <w:p w14:paraId="1DEC4C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21</w:t>
            </w:r>
          </w:p>
        </w:tc>
        <w:tc>
          <w:tcPr>
            <w:tcW w:w="574" w:type="pct"/>
            <w:shd w:val="clear" w:color="auto" w:fill="auto"/>
            <w:vAlign w:val="center"/>
          </w:tcPr>
          <w:p w14:paraId="109465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多功能切菜机</w:t>
            </w:r>
          </w:p>
        </w:tc>
        <w:tc>
          <w:tcPr>
            <w:tcW w:w="805" w:type="pct"/>
            <w:shd w:val="clear" w:color="auto" w:fill="auto"/>
            <w:vAlign w:val="center"/>
          </w:tcPr>
          <w:p w14:paraId="2F0FFF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规格：1200×530×1280</w:t>
            </w:r>
          </w:p>
        </w:tc>
        <w:tc>
          <w:tcPr>
            <w:tcW w:w="2238" w:type="pct"/>
            <w:shd w:val="clear" w:color="auto" w:fill="auto"/>
            <w:vAlign w:val="center"/>
          </w:tcPr>
          <w:p w14:paraId="217A859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切菜长度：1-30mm（可调）；</w:t>
            </w:r>
          </w:p>
          <w:p w14:paraId="2DB1D82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产量：300-1000KG/小时；</w:t>
            </w:r>
          </w:p>
          <w:p w14:paraId="56274E0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功率：1.3KW/220V。</w:t>
            </w:r>
          </w:p>
        </w:tc>
        <w:tc>
          <w:tcPr>
            <w:tcW w:w="377" w:type="pct"/>
            <w:shd w:val="clear" w:color="auto" w:fill="auto"/>
            <w:noWrap/>
            <w:vAlign w:val="center"/>
          </w:tcPr>
          <w:p w14:paraId="09E2DE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1台</w:t>
            </w:r>
          </w:p>
        </w:tc>
        <w:tc>
          <w:tcPr>
            <w:tcW w:w="700" w:type="pct"/>
            <w:shd w:val="clear" w:color="auto" w:fill="auto"/>
            <w:noWrap/>
            <w:vAlign w:val="center"/>
          </w:tcPr>
          <w:p w14:paraId="7D6821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679744" behindDoc="1" locked="0" layoutInCell="1" allowOverlap="1">
                  <wp:simplePos x="0" y="0"/>
                  <wp:positionH relativeFrom="column">
                    <wp:posOffset>496570</wp:posOffset>
                  </wp:positionH>
                  <wp:positionV relativeFrom="paragraph">
                    <wp:posOffset>99060</wp:posOffset>
                  </wp:positionV>
                  <wp:extent cx="381000" cy="485775"/>
                  <wp:effectExtent l="0" t="0" r="0" b="1905"/>
                  <wp:wrapTight wrapText="bothSides">
                    <wp:wrapPolygon>
                      <wp:start x="0" y="0"/>
                      <wp:lineTo x="0" y="21007"/>
                      <wp:lineTo x="20736" y="21007"/>
                      <wp:lineTo x="20736" y="0"/>
                      <wp:lineTo x="0" y="0"/>
                    </wp:wrapPolygon>
                  </wp:wrapTight>
                  <wp:docPr id="58"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0" descr="IMG_275"/>
                          <pic:cNvPicPr>
                            <a:picLocks noChangeAspect="1"/>
                          </pic:cNvPicPr>
                        </pic:nvPicPr>
                        <pic:blipFill>
                          <a:blip r:embed="rId26"/>
                          <a:stretch>
                            <a:fillRect/>
                          </a:stretch>
                        </pic:blipFill>
                        <pic:spPr>
                          <a:xfrm>
                            <a:off x="0" y="0"/>
                            <a:ext cx="381000" cy="485775"/>
                          </a:xfrm>
                          <a:prstGeom prst="rect">
                            <a:avLst/>
                          </a:prstGeom>
                          <a:noFill/>
                          <a:ln w="9525">
                            <a:noFill/>
                          </a:ln>
                        </pic:spPr>
                      </pic:pic>
                    </a:graphicData>
                  </a:graphic>
                </wp:anchor>
              </w:drawing>
            </w:r>
          </w:p>
        </w:tc>
      </w:tr>
      <w:tr w14:paraId="6C451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04" w:type="pct"/>
            <w:shd w:val="clear" w:color="auto" w:fill="auto"/>
            <w:vAlign w:val="center"/>
          </w:tcPr>
          <w:p w14:paraId="41E59B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22</w:t>
            </w:r>
          </w:p>
        </w:tc>
        <w:tc>
          <w:tcPr>
            <w:tcW w:w="574" w:type="pct"/>
            <w:shd w:val="clear" w:color="auto" w:fill="auto"/>
            <w:vAlign w:val="center"/>
          </w:tcPr>
          <w:p w14:paraId="4E401C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冷热水龙头</w:t>
            </w:r>
          </w:p>
        </w:tc>
        <w:tc>
          <w:tcPr>
            <w:tcW w:w="805" w:type="pct"/>
            <w:shd w:val="clear" w:color="auto" w:fill="auto"/>
            <w:vAlign w:val="center"/>
          </w:tcPr>
          <w:p w14:paraId="2DAE32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p>
        </w:tc>
        <w:tc>
          <w:tcPr>
            <w:tcW w:w="2238" w:type="pct"/>
            <w:shd w:val="clear" w:color="auto" w:fill="auto"/>
            <w:vAlign w:val="center"/>
          </w:tcPr>
          <w:p w14:paraId="697822C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材质：100%优质62铜 高品质陶瓷阀芯；</w:t>
            </w:r>
          </w:p>
          <w:p w14:paraId="0C1A53A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总长：35cm（最高点到台面垂直距离）。</w:t>
            </w:r>
          </w:p>
        </w:tc>
        <w:tc>
          <w:tcPr>
            <w:tcW w:w="377" w:type="pct"/>
            <w:shd w:val="clear" w:color="auto" w:fill="auto"/>
            <w:noWrap/>
            <w:vAlign w:val="center"/>
          </w:tcPr>
          <w:p w14:paraId="3450C7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2个</w:t>
            </w:r>
          </w:p>
        </w:tc>
        <w:tc>
          <w:tcPr>
            <w:tcW w:w="700" w:type="pct"/>
            <w:shd w:val="clear" w:color="auto" w:fill="auto"/>
            <w:vAlign w:val="center"/>
          </w:tcPr>
          <w:p w14:paraId="0DA83F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680768" behindDoc="1" locked="0" layoutInCell="1" allowOverlap="1">
                  <wp:simplePos x="0" y="0"/>
                  <wp:positionH relativeFrom="column">
                    <wp:posOffset>542290</wp:posOffset>
                  </wp:positionH>
                  <wp:positionV relativeFrom="paragraph">
                    <wp:posOffset>45720</wp:posOffset>
                  </wp:positionV>
                  <wp:extent cx="285750" cy="361950"/>
                  <wp:effectExtent l="0" t="0" r="3810" b="3810"/>
                  <wp:wrapTight wrapText="bothSides">
                    <wp:wrapPolygon>
                      <wp:start x="0" y="0"/>
                      <wp:lineTo x="0" y="20918"/>
                      <wp:lineTo x="20736" y="20918"/>
                      <wp:lineTo x="20736" y="0"/>
                      <wp:lineTo x="0" y="0"/>
                    </wp:wrapPolygon>
                  </wp:wrapTight>
                  <wp:docPr id="59"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21" descr="IMG_276"/>
                          <pic:cNvPicPr>
                            <a:picLocks noChangeAspect="1"/>
                          </pic:cNvPicPr>
                        </pic:nvPicPr>
                        <pic:blipFill>
                          <a:blip r:embed="rId22"/>
                          <a:stretch>
                            <a:fillRect/>
                          </a:stretch>
                        </pic:blipFill>
                        <pic:spPr>
                          <a:xfrm>
                            <a:off x="0" y="0"/>
                            <a:ext cx="285750" cy="361950"/>
                          </a:xfrm>
                          <a:prstGeom prst="rect">
                            <a:avLst/>
                          </a:prstGeom>
                          <a:noFill/>
                          <a:ln w="9525">
                            <a:noFill/>
                          </a:ln>
                        </pic:spPr>
                      </pic:pic>
                    </a:graphicData>
                  </a:graphic>
                </wp:anchor>
              </w:drawing>
            </w:r>
          </w:p>
        </w:tc>
      </w:tr>
      <w:tr w14:paraId="5017A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4" w:type="pct"/>
            <w:shd w:val="clear" w:color="auto" w:fill="auto"/>
            <w:vAlign w:val="center"/>
          </w:tcPr>
          <w:p w14:paraId="1DEC3E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23</w:t>
            </w:r>
          </w:p>
        </w:tc>
        <w:tc>
          <w:tcPr>
            <w:tcW w:w="574" w:type="pct"/>
            <w:shd w:val="clear" w:color="auto" w:fill="auto"/>
            <w:vAlign w:val="center"/>
          </w:tcPr>
          <w:p w14:paraId="14658A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洗地龙头</w:t>
            </w:r>
          </w:p>
        </w:tc>
        <w:tc>
          <w:tcPr>
            <w:tcW w:w="805" w:type="pct"/>
            <w:shd w:val="clear" w:color="auto" w:fill="auto"/>
            <w:vAlign w:val="center"/>
          </w:tcPr>
          <w:p w14:paraId="0179B9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p>
        </w:tc>
        <w:tc>
          <w:tcPr>
            <w:tcW w:w="2238" w:type="pct"/>
            <w:shd w:val="clear" w:color="auto" w:fill="auto"/>
            <w:vAlign w:val="center"/>
          </w:tcPr>
          <w:p w14:paraId="294F60A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材料：黄铜、钢材；</w:t>
            </w:r>
          </w:p>
          <w:p w14:paraId="7EA5023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长度：10.5m。</w:t>
            </w:r>
          </w:p>
        </w:tc>
        <w:tc>
          <w:tcPr>
            <w:tcW w:w="377" w:type="pct"/>
            <w:shd w:val="clear" w:color="auto" w:fill="auto"/>
            <w:noWrap/>
            <w:vAlign w:val="center"/>
          </w:tcPr>
          <w:p w14:paraId="697CD7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1个</w:t>
            </w:r>
          </w:p>
        </w:tc>
        <w:tc>
          <w:tcPr>
            <w:tcW w:w="700" w:type="pct"/>
            <w:shd w:val="clear" w:color="auto" w:fill="auto"/>
            <w:vAlign w:val="center"/>
          </w:tcPr>
          <w:p w14:paraId="342A9E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681792" behindDoc="1" locked="0" layoutInCell="1" allowOverlap="1">
                  <wp:simplePos x="0" y="0"/>
                  <wp:positionH relativeFrom="column">
                    <wp:posOffset>397510</wp:posOffset>
                  </wp:positionH>
                  <wp:positionV relativeFrom="paragraph">
                    <wp:posOffset>0</wp:posOffset>
                  </wp:positionV>
                  <wp:extent cx="571500" cy="447675"/>
                  <wp:effectExtent l="0" t="0" r="7620" b="9525"/>
                  <wp:wrapTight wrapText="bothSides">
                    <wp:wrapPolygon>
                      <wp:start x="0" y="0"/>
                      <wp:lineTo x="0" y="20589"/>
                      <wp:lineTo x="21312" y="20589"/>
                      <wp:lineTo x="21312" y="0"/>
                      <wp:lineTo x="0" y="0"/>
                    </wp:wrapPolygon>
                  </wp:wrapTight>
                  <wp:docPr id="60"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22" descr="IMG_277"/>
                          <pic:cNvPicPr>
                            <a:picLocks noChangeAspect="1"/>
                          </pic:cNvPicPr>
                        </pic:nvPicPr>
                        <pic:blipFill>
                          <a:blip r:embed="rId15"/>
                          <a:stretch>
                            <a:fillRect/>
                          </a:stretch>
                        </pic:blipFill>
                        <pic:spPr>
                          <a:xfrm>
                            <a:off x="0" y="0"/>
                            <a:ext cx="571500" cy="447675"/>
                          </a:xfrm>
                          <a:prstGeom prst="rect">
                            <a:avLst/>
                          </a:prstGeom>
                          <a:noFill/>
                          <a:ln w="9525">
                            <a:noFill/>
                          </a:ln>
                        </pic:spPr>
                      </pic:pic>
                    </a:graphicData>
                  </a:graphic>
                </wp:anchor>
              </w:drawing>
            </w:r>
          </w:p>
        </w:tc>
      </w:tr>
      <w:tr w14:paraId="7ABD8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04" w:type="pct"/>
            <w:shd w:val="clear" w:color="auto" w:fill="auto"/>
            <w:vAlign w:val="center"/>
          </w:tcPr>
          <w:p w14:paraId="11D25F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24</w:t>
            </w:r>
          </w:p>
        </w:tc>
        <w:tc>
          <w:tcPr>
            <w:tcW w:w="574" w:type="pct"/>
            <w:shd w:val="clear" w:color="auto" w:fill="auto"/>
            <w:vAlign w:val="center"/>
          </w:tcPr>
          <w:p w14:paraId="5B4233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电击式灭蝇灯</w:t>
            </w:r>
          </w:p>
        </w:tc>
        <w:tc>
          <w:tcPr>
            <w:tcW w:w="805" w:type="pct"/>
            <w:shd w:val="clear" w:color="auto" w:fill="auto"/>
            <w:vAlign w:val="center"/>
          </w:tcPr>
          <w:p w14:paraId="2A977E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p>
        </w:tc>
        <w:tc>
          <w:tcPr>
            <w:tcW w:w="2238" w:type="pct"/>
            <w:shd w:val="clear" w:color="auto" w:fill="auto"/>
            <w:vAlign w:val="center"/>
          </w:tcPr>
          <w:p w14:paraId="75B6EE4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功率：220V/40W；采用半密封式收集器、可以安全地将被电击的蝇虫控制在收集器内、击伤的蝇虫也不至于飞溅机外、达到环保之目的。</w:t>
            </w:r>
          </w:p>
        </w:tc>
        <w:tc>
          <w:tcPr>
            <w:tcW w:w="377" w:type="pct"/>
            <w:shd w:val="clear" w:color="auto" w:fill="auto"/>
            <w:noWrap/>
            <w:vAlign w:val="center"/>
          </w:tcPr>
          <w:p w14:paraId="21CF45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2台</w:t>
            </w:r>
          </w:p>
        </w:tc>
        <w:tc>
          <w:tcPr>
            <w:tcW w:w="700" w:type="pct"/>
            <w:shd w:val="clear" w:color="auto" w:fill="auto"/>
            <w:vAlign w:val="center"/>
          </w:tcPr>
          <w:p w14:paraId="014B5D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682816" behindDoc="1" locked="0" layoutInCell="1" allowOverlap="1">
                  <wp:simplePos x="0" y="0"/>
                  <wp:positionH relativeFrom="column">
                    <wp:posOffset>382270</wp:posOffset>
                  </wp:positionH>
                  <wp:positionV relativeFrom="paragraph">
                    <wp:posOffset>182880</wp:posOffset>
                  </wp:positionV>
                  <wp:extent cx="600075" cy="314325"/>
                  <wp:effectExtent l="0" t="0" r="9525" b="5715"/>
                  <wp:wrapTight wrapText="bothSides">
                    <wp:wrapPolygon>
                      <wp:start x="0" y="0"/>
                      <wp:lineTo x="0" y="20945"/>
                      <wp:lineTo x="20846" y="20945"/>
                      <wp:lineTo x="20846" y="0"/>
                      <wp:lineTo x="0" y="0"/>
                    </wp:wrapPolygon>
                  </wp:wrapTight>
                  <wp:docPr id="61" name="图片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23" descr="IMG_278"/>
                          <pic:cNvPicPr>
                            <a:picLocks noChangeAspect="1"/>
                          </pic:cNvPicPr>
                        </pic:nvPicPr>
                        <pic:blipFill>
                          <a:blip r:embed="rId14"/>
                          <a:stretch>
                            <a:fillRect/>
                          </a:stretch>
                        </pic:blipFill>
                        <pic:spPr>
                          <a:xfrm>
                            <a:off x="0" y="0"/>
                            <a:ext cx="600075" cy="314325"/>
                          </a:xfrm>
                          <a:prstGeom prst="rect">
                            <a:avLst/>
                          </a:prstGeom>
                          <a:noFill/>
                          <a:ln w="9525">
                            <a:noFill/>
                          </a:ln>
                        </pic:spPr>
                      </pic:pic>
                    </a:graphicData>
                  </a:graphic>
                </wp:anchor>
              </w:drawing>
            </w:r>
          </w:p>
        </w:tc>
      </w:tr>
      <w:tr w14:paraId="651DB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04" w:type="pct"/>
            <w:shd w:val="clear" w:color="auto" w:fill="auto"/>
            <w:vAlign w:val="center"/>
          </w:tcPr>
          <w:p w14:paraId="7C9560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25</w:t>
            </w:r>
          </w:p>
        </w:tc>
        <w:tc>
          <w:tcPr>
            <w:tcW w:w="574" w:type="pct"/>
            <w:shd w:val="clear" w:color="auto" w:fill="auto"/>
            <w:vAlign w:val="center"/>
          </w:tcPr>
          <w:p w14:paraId="6089AB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四门双温冰箱</w:t>
            </w:r>
          </w:p>
        </w:tc>
        <w:tc>
          <w:tcPr>
            <w:tcW w:w="805" w:type="pct"/>
            <w:shd w:val="clear" w:color="auto" w:fill="auto"/>
            <w:vAlign w:val="center"/>
          </w:tcPr>
          <w:p w14:paraId="6AFB57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规格：1215×750×1930</w:t>
            </w:r>
          </w:p>
        </w:tc>
        <w:tc>
          <w:tcPr>
            <w:tcW w:w="2238" w:type="pct"/>
            <w:shd w:val="clear" w:color="auto" w:fill="auto"/>
            <w:vAlign w:val="center"/>
          </w:tcPr>
          <w:p w14:paraId="47E8812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容积：991L；</w:t>
            </w:r>
          </w:p>
          <w:p w14:paraId="3E1A998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温度：5℃～-5℃/-6℃ ～ -15℃；</w:t>
            </w:r>
          </w:p>
          <w:p w14:paraId="7B52D09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电量：450W/1PH/220V。</w:t>
            </w:r>
          </w:p>
        </w:tc>
        <w:tc>
          <w:tcPr>
            <w:tcW w:w="377" w:type="pct"/>
            <w:shd w:val="clear" w:color="auto" w:fill="auto"/>
            <w:noWrap/>
            <w:vAlign w:val="center"/>
          </w:tcPr>
          <w:p w14:paraId="04D42F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2太</w:t>
            </w:r>
          </w:p>
        </w:tc>
        <w:tc>
          <w:tcPr>
            <w:tcW w:w="700" w:type="pct"/>
            <w:shd w:val="clear" w:color="auto" w:fill="auto"/>
            <w:noWrap/>
            <w:vAlign w:val="center"/>
          </w:tcPr>
          <w:p w14:paraId="724DE9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683840" behindDoc="1" locked="0" layoutInCell="1" allowOverlap="1">
                  <wp:simplePos x="0" y="0"/>
                  <wp:positionH relativeFrom="column">
                    <wp:posOffset>511810</wp:posOffset>
                  </wp:positionH>
                  <wp:positionV relativeFrom="paragraph">
                    <wp:posOffset>83820</wp:posOffset>
                  </wp:positionV>
                  <wp:extent cx="342900" cy="514350"/>
                  <wp:effectExtent l="0" t="0" r="7620" b="3810"/>
                  <wp:wrapTight wrapText="bothSides">
                    <wp:wrapPolygon>
                      <wp:start x="0" y="0"/>
                      <wp:lineTo x="0" y="21120"/>
                      <wp:lineTo x="20240" y="21120"/>
                      <wp:lineTo x="20240" y="0"/>
                      <wp:lineTo x="0" y="0"/>
                    </wp:wrapPolygon>
                  </wp:wrapTight>
                  <wp:docPr id="62" name="图片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24" descr="IMG_279"/>
                          <pic:cNvPicPr>
                            <a:picLocks noChangeAspect="1"/>
                          </pic:cNvPicPr>
                        </pic:nvPicPr>
                        <pic:blipFill>
                          <a:blip r:embed="rId27"/>
                          <a:stretch>
                            <a:fillRect/>
                          </a:stretch>
                        </pic:blipFill>
                        <pic:spPr>
                          <a:xfrm>
                            <a:off x="0" y="0"/>
                            <a:ext cx="342900" cy="514350"/>
                          </a:xfrm>
                          <a:prstGeom prst="rect">
                            <a:avLst/>
                          </a:prstGeom>
                          <a:noFill/>
                          <a:ln w="9525">
                            <a:noFill/>
                          </a:ln>
                        </pic:spPr>
                      </pic:pic>
                    </a:graphicData>
                  </a:graphic>
                </wp:anchor>
              </w:drawing>
            </w:r>
          </w:p>
        </w:tc>
      </w:tr>
      <w:tr w14:paraId="464DA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5000" w:type="pct"/>
            <w:gridSpan w:val="6"/>
            <w:shd w:val="clear" w:color="auto" w:fill="auto"/>
            <w:vAlign w:val="center"/>
          </w:tcPr>
          <w:p w14:paraId="0B9B0B76">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烹饪间</w:t>
            </w:r>
          </w:p>
        </w:tc>
      </w:tr>
      <w:tr w14:paraId="7E94E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04" w:type="pct"/>
            <w:shd w:val="clear" w:color="auto" w:fill="auto"/>
            <w:vAlign w:val="center"/>
          </w:tcPr>
          <w:p w14:paraId="06B644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26</w:t>
            </w:r>
          </w:p>
        </w:tc>
        <w:tc>
          <w:tcPr>
            <w:tcW w:w="574" w:type="pct"/>
            <w:shd w:val="clear" w:color="auto" w:fill="auto"/>
            <w:vAlign w:val="center"/>
          </w:tcPr>
          <w:p w14:paraId="1C52F6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冷热水龙头</w:t>
            </w:r>
          </w:p>
        </w:tc>
        <w:tc>
          <w:tcPr>
            <w:tcW w:w="805" w:type="pct"/>
            <w:shd w:val="clear" w:color="auto" w:fill="auto"/>
            <w:vAlign w:val="center"/>
          </w:tcPr>
          <w:p w14:paraId="1261BBF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p>
        </w:tc>
        <w:tc>
          <w:tcPr>
            <w:tcW w:w="2238" w:type="pct"/>
            <w:shd w:val="clear" w:color="auto" w:fill="auto"/>
            <w:vAlign w:val="center"/>
          </w:tcPr>
          <w:p w14:paraId="1AB2A45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材质：100%优质62铜 高品质陶瓷阀芯；</w:t>
            </w:r>
          </w:p>
          <w:p w14:paraId="21DDCBB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总长：35cm（最高点到台面垂直距离）。</w:t>
            </w:r>
          </w:p>
        </w:tc>
        <w:tc>
          <w:tcPr>
            <w:tcW w:w="377" w:type="pct"/>
            <w:shd w:val="clear" w:color="auto" w:fill="auto"/>
            <w:noWrap/>
            <w:vAlign w:val="center"/>
          </w:tcPr>
          <w:p w14:paraId="1C232C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2个</w:t>
            </w:r>
          </w:p>
        </w:tc>
        <w:tc>
          <w:tcPr>
            <w:tcW w:w="700" w:type="pct"/>
            <w:shd w:val="clear" w:color="auto" w:fill="auto"/>
            <w:vAlign w:val="center"/>
          </w:tcPr>
          <w:p w14:paraId="25DDD0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684864" behindDoc="1" locked="0" layoutInCell="1" allowOverlap="1">
                  <wp:simplePos x="0" y="0"/>
                  <wp:positionH relativeFrom="column">
                    <wp:posOffset>542290</wp:posOffset>
                  </wp:positionH>
                  <wp:positionV relativeFrom="paragraph">
                    <wp:posOffset>45720</wp:posOffset>
                  </wp:positionV>
                  <wp:extent cx="285750" cy="361950"/>
                  <wp:effectExtent l="0" t="0" r="3810" b="3810"/>
                  <wp:wrapTight wrapText="bothSides">
                    <wp:wrapPolygon>
                      <wp:start x="0" y="0"/>
                      <wp:lineTo x="0" y="20918"/>
                      <wp:lineTo x="20736" y="20918"/>
                      <wp:lineTo x="20736" y="0"/>
                      <wp:lineTo x="0" y="0"/>
                    </wp:wrapPolygon>
                  </wp:wrapTight>
                  <wp:docPr id="63" name="图片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25" descr="IMG_280"/>
                          <pic:cNvPicPr>
                            <a:picLocks noChangeAspect="1"/>
                          </pic:cNvPicPr>
                        </pic:nvPicPr>
                        <pic:blipFill>
                          <a:blip r:embed="rId22"/>
                          <a:stretch>
                            <a:fillRect/>
                          </a:stretch>
                        </pic:blipFill>
                        <pic:spPr>
                          <a:xfrm>
                            <a:off x="0" y="0"/>
                            <a:ext cx="285750" cy="361950"/>
                          </a:xfrm>
                          <a:prstGeom prst="rect">
                            <a:avLst/>
                          </a:prstGeom>
                          <a:noFill/>
                          <a:ln w="9525">
                            <a:noFill/>
                          </a:ln>
                        </pic:spPr>
                      </pic:pic>
                    </a:graphicData>
                  </a:graphic>
                </wp:anchor>
              </w:drawing>
            </w:r>
          </w:p>
        </w:tc>
      </w:tr>
      <w:tr w14:paraId="4CCC8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4" w:type="pct"/>
            <w:shd w:val="clear" w:color="auto" w:fill="auto"/>
            <w:vAlign w:val="center"/>
          </w:tcPr>
          <w:p w14:paraId="7AF496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27</w:t>
            </w:r>
          </w:p>
        </w:tc>
        <w:tc>
          <w:tcPr>
            <w:tcW w:w="574" w:type="pct"/>
            <w:shd w:val="clear" w:color="auto" w:fill="auto"/>
            <w:vAlign w:val="center"/>
          </w:tcPr>
          <w:p w14:paraId="756A35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洗地龙头</w:t>
            </w:r>
          </w:p>
        </w:tc>
        <w:tc>
          <w:tcPr>
            <w:tcW w:w="805" w:type="pct"/>
            <w:shd w:val="clear" w:color="auto" w:fill="auto"/>
            <w:vAlign w:val="center"/>
          </w:tcPr>
          <w:p w14:paraId="2A9003C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p>
        </w:tc>
        <w:tc>
          <w:tcPr>
            <w:tcW w:w="2238" w:type="pct"/>
            <w:shd w:val="clear" w:color="auto" w:fill="auto"/>
            <w:vAlign w:val="center"/>
          </w:tcPr>
          <w:p w14:paraId="2436802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材料：黄铜、钢材；</w:t>
            </w:r>
          </w:p>
          <w:p w14:paraId="0511356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长度：10.5m。</w:t>
            </w:r>
          </w:p>
        </w:tc>
        <w:tc>
          <w:tcPr>
            <w:tcW w:w="377" w:type="pct"/>
            <w:shd w:val="clear" w:color="auto" w:fill="auto"/>
            <w:noWrap/>
            <w:vAlign w:val="center"/>
          </w:tcPr>
          <w:p w14:paraId="1500C3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1个</w:t>
            </w:r>
          </w:p>
        </w:tc>
        <w:tc>
          <w:tcPr>
            <w:tcW w:w="700" w:type="pct"/>
            <w:shd w:val="clear" w:color="auto" w:fill="auto"/>
            <w:vAlign w:val="center"/>
          </w:tcPr>
          <w:p w14:paraId="32896A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685888" behindDoc="1" locked="0" layoutInCell="1" allowOverlap="1">
                  <wp:simplePos x="0" y="0"/>
                  <wp:positionH relativeFrom="column">
                    <wp:posOffset>420370</wp:posOffset>
                  </wp:positionH>
                  <wp:positionV relativeFrom="paragraph">
                    <wp:posOffset>0</wp:posOffset>
                  </wp:positionV>
                  <wp:extent cx="523875" cy="447675"/>
                  <wp:effectExtent l="0" t="0" r="9525" b="9525"/>
                  <wp:wrapTight wrapText="bothSides">
                    <wp:wrapPolygon>
                      <wp:start x="0" y="0"/>
                      <wp:lineTo x="0" y="20589"/>
                      <wp:lineTo x="20736" y="20589"/>
                      <wp:lineTo x="20736" y="0"/>
                      <wp:lineTo x="0" y="0"/>
                    </wp:wrapPolygon>
                  </wp:wrapTight>
                  <wp:docPr id="64" name="图片 26"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26" descr="IMG_281"/>
                          <pic:cNvPicPr>
                            <a:picLocks noChangeAspect="1"/>
                          </pic:cNvPicPr>
                        </pic:nvPicPr>
                        <pic:blipFill>
                          <a:blip r:embed="rId28"/>
                          <a:stretch>
                            <a:fillRect/>
                          </a:stretch>
                        </pic:blipFill>
                        <pic:spPr>
                          <a:xfrm>
                            <a:off x="0" y="0"/>
                            <a:ext cx="523875" cy="447675"/>
                          </a:xfrm>
                          <a:prstGeom prst="rect">
                            <a:avLst/>
                          </a:prstGeom>
                          <a:noFill/>
                          <a:ln w="9525">
                            <a:noFill/>
                          </a:ln>
                        </pic:spPr>
                      </pic:pic>
                    </a:graphicData>
                  </a:graphic>
                </wp:anchor>
              </w:drawing>
            </w:r>
          </w:p>
        </w:tc>
      </w:tr>
      <w:tr w14:paraId="781BF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04" w:type="pct"/>
            <w:shd w:val="clear" w:color="auto" w:fill="auto"/>
            <w:vAlign w:val="center"/>
          </w:tcPr>
          <w:p w14:paraId="1103AA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28</w:t>
            </w:r>
          </w:p>
        </w:tc>
        <w:tc>
          <w:tcPr>
            <w:tcW w:w="574" w:type="pct"/>
            <w:shd w:val="clear" w:color="auto" w:fill="auto"/>
            <w:vAlign w:val="center"/>
          </w:tcPr>
          <w:p w14:paraId="5D0AED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双眼燃气炒灶</w:t>
            </w:r>
          </w:p>
        </w:tc>
        <w:tc>
          <w:tcPr>
            <w:tcW w:w="805" w:type="pct"/>
            <w:shd w:val="clear" w:color="auto" w:fill="auto"/>
            <w:vAlign w:val="center"/>
          </w:tcPr>
          <w:p w14:paraId="797F17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规格：1800×1200×(800+450)</w:t>
            </w:r>
          </w:p>
        </w:tc>
        <w:tc>
          <w:tcPr>
            <w:tcW w:w="2238" w:type="pct"/>
            <w:shd w:val="clear" w:color="auto" w:fill="auto"/>
            <w:vAlign w:val="center"/>
          </w:tcPr>
          <w:p w14:paraId="5922B88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说明：304#2B发纹贴塑不锈钢板制造；台面δ=1.2mm；面板、侧板、后板δ=1.0mm；台面保温层25mm～30mm厚高温隔热玻璃纤维板；脚Φ48厚壁铁管外套Φ50不锈钢管，连不锈钢可调节脚；节能炉芯；配助燃鼓风机、摇摆龙头。炉膛Φ380mm。配熄火保护装置；电量：0.75KW/1PH/220V。</w:t>
            </w:r>
          </w:p>
        </w:tc>
        <w:tc>
          <w:tcPr>
            <w:tcW w:w="377" w:type="pct"/>
            <w:shd w:val="clear" w:color="auto" w:fill="auto"/>
            <w:noWrap/>
            <w:vAlign w:val="center"/>
          </w:tcPr>
          <w:p w14:paraId="6725A8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3台</w:t>
            </w:r>
          </w:p>
        </w:tc>
        <w:tc>
          <w:tcPr>
            <w:tcW w:w="700" w:type="pct"/>
            <w:shd w:val="clear" w:color="auto" w:fill="auto"/>
            <w:noWrap/>
            <w:vAlign w:val="center"/>
          </w:tcPr>
          <w:p w14:paraId="0DCA7B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686912" behindDoc="1" locked="0" layoutInCell="1" allowOverlap="1">
                  <wp:simplePos x="0" y="0"/>
                  <wp:positionH relativeFrom="column">
                    <wp:posOffset>389890</wp:posOffset>
                  </wp:positionH>
                  <wp:positionV relativeFrom="paragraph">
                    <wp:posOffset>381000</wp:posOffset>
                  </wp:positionV>
                  <wp:extent cx="581025" cy="381000"/>
                  <wp:effectExtent l="0" t="0" r="13335" b="0"/>
                  <wp:wrapTight wrapText="bothSides">
                    <wp:wrapPolygon>
                      <wp:start x="0" y="0"/>
                      <wp:lineTo x="0" y="20736"/>
                      <wp:lineTo x="20963" y="20736"/>
                      <wp:lineTo x="20963" y="0"/>
                      <wp:lineTo x="0" y="0"/>
                    </wp:wrapPolygon>
                  </wp:wrapTight>
                  <wp:docPr id="65" name="图片 27"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27" descr="IMG_282"/>
                          <pic:cNvPicPr>
                            <a:picLocks noChangeAspect="1"/>
                          </pic:cNvPicPr>
                        </pic:nvPicPr>
                        <pic:blipFill>
                          <a:blip r:embed="rId29"/>
                          <a:stretch>
                            <a:fillRect/>
                          </a:stretch>
                        </pic:blipFill>
                        <pic:spPr>
                          <a:xfrm>
                            <a:off x="0" y="0"/>
                            <a:ext cx="581025" cy="381000"/>
                          </a:xfrm>
                          <a:prstGeom prst="rect">
                            <a:avLst/>
                          </a:prstGeom>
                          <a:noFill/>
                          <a:ln w="9525">
                            <a:noFill/>
                          </a:ln>
                        </pic:spPr>
                      </pic:pic>
                    </a:graphicData>
                  </a:graphic>
                </wp:anchor>
              </w:drawing>
            </w:r>
          </w:p>
        </w:tc>
      </w:tr>
      <w:tr w14:paraId="6B36E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4" w:type="pct"/>
            <w:shd w:val="clear" w:color="auto" w:fill="auto"/>
            <w:vAlign w:val="center"/>
          </w:tcPr>
          <w:p w14:paraId="1209FA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29</w:t>
            </w:r>
          </w:p>
        </w:tc>
        <w:tc>
          <w:tcPr>
            <w:tcW w:w="574" w:type="pct"/>
            <w:shd w:val="clear" w:color="auto" w:fill="auto"/>
            <w:vAlign w:val="center"/>
          </w:tcPr>
          <w:p w14:paraId="72B0A5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调料平台</w:t>
            </w:r>
          </w:p>
        </w:tc>
        <w:tc>
          <w:tcPr>
            <w:tcW w:w="805" w:type="pct"/>
            <w:shd w:val="clear" w:color="auto" w:fill="auto"/>
            <w:vAlign w:val="center"/>
          </w:tcPr>
          <w:p w14:paraId="6C1A7E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规格：500×1100×(800+400)</w:t>
            </w:r>
          </w:p>
        </w:tc>
        <w:tc>
          <w:tcPr>
            <w:tcW w:w="2238" w:type="pct"/>
            <w:shd w:val="clear" w:color="auto" w:fill="auto"/>
            <w:vAlign w:val="center"/>
          </w:tcPr>
          <w:p w14:paraId="2187C27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说明：304#2B发纹贴塑不锈钢板制造；骨架采用δ=1.0Φ38不锈钢圆通，台面板δ=1.2；配Φ38不锈钢可调节重力子弹脚；定制与电磁灶款式配套。</w:t>
            </w:r>
          </w:p>
        </w:tc>
        <w:tc>
          <w:tcPr>
            <w:tcW w:w="377" w:type="pct"/>
            <w:shd w:val="clear" w:color="auto" w:fill="auto"/>
            <w:noWrap/>
            <w:vAlign w:val="center"/>
          </w:tcPr>
          <w:p w14:paraId="33E23D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5台</w:t>
            </w:r>
          </w:p>
        </w:tc>
        <w:tc>
          <w:tcPr>
            <w:tcW w:w="700" w:type="pct"/>
            <w:shd w:val="clear" w:color="auto" w:fill="auto"/>
            <w:vAlign w:val="center"/>
          </w:tcPr>
          <w:p w14:paraId="2EA5CE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687936" behindDoc="1" locked="0" layoutInCell="1" allowOverlap="1">
                  <wp:simplePos x="0" y="0"/>
                  <wp:positionH relativeFrom="column">
                    <wp:posOffset>450850</wp:posOffset>
                  </wp:positionH>
                  <wp:positionV relativeFrom="paragraph">
                    <wp:posOffset>99060</wp:posOffset>
                  </wp:positionV>
                  <wp:extent cx="466725" cy="485775"/>
                  <wp:effectExtent l="0" t="0" r="5715" b="1905"/>
                  <wp:wrapTight wrapText="bothSides">
                    <wp:wrapPolygon>
                      <wp:start x="0" y="0"/>
                      <wp:lineTo x="0" y="21007"/>
                      <wp:lineTo x="21159" y="21007"/>
                      <wp:lineTo x="21159" y="0"/>
                      <wp:lineTo x="0" y="0"/>
                    </wp:wrapPolygon>
                  </wp:wrapTight>
                  <wp:docPr id="67" name="图片 28"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28" descr="IMG_283"/>
                          <pic:cNvPicPr>
                            <a:picLocks noChangeAspect="1"/>
                          </pic:cNvPicPr>
                        </pic:nvPicPr>
                        <pic:blipFill>
                          <a:blip r:embed="rId30"/>
                          <a:stretch>
                            <a:fillRect/>
                          </a:stretch>
                        </pic:blipFill>
                        <pic:spPr>
                          <a:xfrm>
                            <a:off x="0" y="0"/>
                            <a:ext cx="466725" cy="485775"/>
                          </a:xfrm>
                          <a:prstGeom prst="rect">
                            <a:avLst/>
                          </a:prstGeom>
                          <a:noFill/>
                          <a:ln w="9525">
                            <a:noFill/>
                          </a:ln>
                        </pic:spPr>
                      </pic:pic>
                    </a:graphicData>
                  </a:graphic>
                </wp:anchor>
              </w:drawing>
            </w:r>
          </w:p>
        </w:tc>
      </w:tr>
      <w:tr w14:paraId="2E2EF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04" w:type="pct"/>
            <w:shd w:val="clear" w:color="auto" w:fill="auto"/>
            <w:vAlign w:val="center"/>
          </w:tcPr>
          <w:p w14:paraId="790263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30</w:t>
            </w:r>
          </w:p>
        </w:tc>
        <w:tc>
          <w:tcPr>
            <w:tcW w:w="574" w:type="pct"/>
            <w:shd w:val="clear" w:color="auto" w:fill="auto"/>
            <w:vAlign w:val="center"/>
          </w:tcPr>
          <w:p w14:paraId="3FEB07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燃气双眼炒灶</w:t>
            </w:r>
          </w:p>
        </w:tc>
        <w:tc>
          <w:tcPr>
            <w:tcW w:w="805" w:type="pct"/>
            <w:shd w:val="clear" w:color="auto" w:fill="auto"/>
            <w:vAlign w:val="center"/>
          </w:tcPr>
          <w:p w14:paraId="40A311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规格：1800×1100×(810+440)</w:t>
            </w:r>
          </w:p>
        </w:tc>
        <w:tc>
          <w:tcPr>
            <w:tcW w:w="2238" w:type="pct"/>
            <w:shd w:val="clear" w:color="auto" w:fill="auto"/>
            <w:vAlign w:val="center"/>
          </w:tcPr>
          <w:p w14:paraId="3F6C65A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说明：采用SUS304-2B优质发纹贴塑不锈钢板制造，台面δ=1.2mm；面板、侧板、后板δ=1.0mm；台面保温层25mm～30mm厚高温隔热玻璃纤维板；炉内胆δ=2mm A3铁板；炉架40*40角铁 (国标)；锅围、尾撑一次性压制成型；配耐火砖及硅酸铝耐火材料；脚Φ48厚壁铁管外套Φ50不锈钢管，连不锈钢可调节脚；节能炉芯；配助燃鼓风机、摇摆龙头。炉膛Φ380mm。电量：0.75KW/1PH/220V</w:t>
            </w:r>
          </w:p>
        </w:tc>
        <w:tc>
          <w:tcPr>
            <w:tcW w:w="377" w:type="pct"/>
            <w:shd w:val="clear" w:color="auto" w:fill="auto"/>
            <w:noWrap/>
            <w:vAlign w:val="center"/>
          </w:tcPr>
          <w:p w14:paraId="070BC9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1台</w:t>
            </w:r>
          </w:p>
        </w:tc>
        <w:tc>
          <w:tcPr>
            <w:tcW w:w="700" w:type="pct"/>
            <w:shd w:val="clear" w:color="auto" w:fill="auto"/>
            <w:noWrap/>
            <w:vAlign w:val="center"/>
          </w:tcPr>
          <w:p w14:paraId="3D1A73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688960" behindDoc="1" locked="0" layoutInCell="1" allowOverlap="1">
                  <wp:simplePos x="0" y="0"/>
                  <wp:positionH relativeFrom="column">
                    <wp:posOffset>306070</wp:posOffset>
                  </wp:positionH>
                  <wp:positionV relativeFrom="paragraph">
                    <wp:posOffset>488315</wp:posOffset>
                  </wp:positionV>
                  <wp:extent cx="762000" cy="619125"/>
                  <wp:effectExtent l="0" t="0" r="0" b="4445"/>
                  <wp:wrapTight wrapText="bothSides">
                    <wp:wrapPolygon>
                      <wp:start x="9504" y="3722"/>
                      <wp:lineTo x="1296" y="3722"/>
                      <wp:lineTo x="432" y="4785"/>
                      <wp:lineTo x="1296" y="15951"/>
                      <wp:lineTo x="2592" y="20204"/>
                      <wp:lineTo x="3888" y="21268"/>
                      <wp:lineTo x="6480" y="21268"/>
                      <wp:lineTo x="12960" y="20204"/>
                      <wp:lineTo x="20304" y="15951"/>
                      <wp:lineTo x="20304" y="9039"/>
                      <wp:lineTo x="15984" y="3722"/>
                      <wp:lineTo x="9504" y="3722"/>
                    </wp:wrapPolygon>
                  </wp:wrapTight>
                  <wp:docPr id="66" name="图片 29"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29" descr="IMG_284"/>
                          <pic:cNvPicPr>
                            <a:picLocks noChangeAspect="1"/>
                          </pic:cNvPicPr>
                        </pic:nvPicPr>
                        <pic:blipFill>
                          <a:blip r:embed="rId31"/>
                          <a:stretch>
                            <a:fillRect/>
                          </a:stretch>
                        </pic:blipFill>
                        <pic:spPr>
                          <a:xfrm>
                            <a:off x="0" y="0"/>
                            <a:ext cx="762000" cy="619125"/>
                          </a:xfrm>
                          <a:prstGeom prst="rect">
                            <a:avLst/>
                          </a:prstGeom>
                          <a:noFill/>
                          <a:ln w="9525">
                            <a:noFill/>
                          </a:ln>
                        </pic:spPr>
                      </pic:pic>
                    </a:graphicData>
                  </a:graphic>
                </wp:anchor>
              </w:drawing>
            </w:r>
          </w:p>
        </w:tc>
      </w:tr>
      <w:tr w14:paraId="46F81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04" w:type="pct"/>
            <w:shd w:val="clear" w:color="auto" w:fill="auto"/>
            <w:vAlign w:val="center"/>
          </w:tcPr>
          <w:p w14:paraId="5CDC28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31</w:t>
            </w:r>
          </w:p>
        </w:tc>
        <w:tc>
          <w:tcPr>
            <w:tcW w:w="574" w:type="pct"/>
            <w:shd w:val="clear" w:color="auto" w:fill="auto"/>
            <w:vAlign w:val="center"/>
          </w:tcPr>
          <w:p w14:paraId="301F89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油烟净化一体机(单位:m)</w:t>
            </w:r>
          </w:p>
        </w:tc>
        <w:tc>
          <w:tcPr>
            <w:tcW w:w="805" w:type="pct"/>
            <w:shd w:val="clear" w:color="auto" w:fill="auto"/>
            <w:vAlign w:val="center"/>
          </w:tcPr>
          <w:p w14:paraId="5B0788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规格：1000×1200×1030</w:t>
            </w:r>
          </w:p>
        </w:tc>
        <w:tc>
          <w:tcPr>
            <w:tcW w:w="2238" w:type="pct"/>
            <w:shd w:val="clear" w:color="auto" w:fill="auto"/>
            <w:vAlign w:val="center"/>
          </w:tcPr>
          <w:p w14:paraId="521EE3D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lang w:eastAsia="zh-CN"/>
              </w:rPr>
            </w:pPr>
            <w:r>
              <w:rPr>
                <w:rFonts w:hint="eastAsia" w:ascii="宋体" w:hAnsi="宋体" w:eastAsia="宋体" w:cs="宋体"/>
                <w:i w:val="0"/>
                <w:iCs w:val="0"/>
                <w:color w:val="auto"/>
                <w:sz w:val="22"/>
                <w:szCs w:val="22"/>
                <w:u w:val="none"/>
              </w:rPr>
              <w:t>1、原理:油烟气体通过瓦屋顶结构挡板，将大分子团收集；再通过高速离心盘进行物理分离；再通过高低压等离子刀片电场吸附，从而达到油烟净化的目的，净化率可达98%以上</w:t>
            </w:r>
            <w:r>
              <w:rPr>
                <w:rFonts w:hint="eastAsia" w:ascii="宋体" w:hAnsi="宋体" w:eastAsia="宋体" w:cs="宋体"/>
                <w:i w:val="0"/>
                <w:iCs w:val="0"/>
                <w:color w:val="auto"/>
                <w:sz w:val="22"/>
                <w:szCs w:val="22"/>
                <w:u w:val="none"/>
                <w:lang w:eastAsia="zh-CN"/>
              </w:rPr>
              <w:t>；</w:t>
            </w:r>
          </w:p>
          <w:p w14:paraId="534874D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lang w:eastAsia="zh-CN"/>
              </w:rPr>
            </w:pPr>
            <w:r>
              <w:rPr>
                <w:rFonts w:hint="eastAsia" w:ascii="宋体" w:hAnsi="宋体" w:eastAsia="宋体" w:cs="宋体"/>
                <w:i w:val="0"/>
                <w:iCs w:val="0"/>
                <w:color w:val="auto"/>
                <w:sz w:val="22"/>
                <w:szCs w:val="22"/>
                <w:u w:val="none"/>
              </w:rPr>
              <w:t>2、采用优质不锈钢201双面油墨拉丝，国标1.0材质</w:t>
            </w:r>
            <w:r>
              <w:rPr>
                <w:rFonts w:hint="eastAsia" w:ascii="宋体" w:hAnsi="宋体" w:eastAsia="宋体" w:cs="宋体"/>
                <w:i w:val="0"/>
                <w:iCs w:val="0"/>
                <w:color w:val="auto"/>
                <w:sz w:val="22"/>
                <w:szCs w:val="22"/>
                <w:u w:val="none"/>
                <w:lang w:eastAsia="zh-CN"/>
              </w:rPr>
              <w:t>；</w:t>
            </w:r>
          </w:p>
          <w:p w14:paraId="299AE34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lang w:eastAsia="zh-CN"/>
              </w:rPr>
            </w:pPr>
            <w:r>
              <w:rPr>
                <w:rFonts w:hint="eastAsia" w:ascii="宋体" w:hAnsi="宋体" w:eastAsia="宋体" w:cs="宋体"/>
                <w:i w:val="0"/>
                <w:iCs w:val="0"/>
                <w:color w:val="auto"/>
                <w:sz w:val="22"/>
                <w:szCs w:val="22"/>
                <w:u w:val="none"/>
              </w:rPr>
              <w:t>3、三相五线制（380V），整机功率≤2.5KW</w:t>
            </w:r>
            <w:r>
              <w:rPr>
                <w:rFonts w:hint="eastAsia" w:ascii="宋体" w:hAnsi="宋体" w:eastAsia="宋体" w:cs="宋体"/>
                <w:i w:val="0"/>
                <w:iCs w:val="0"/>
                <w:color w:val="auto"/>
                <w:sz w:val="22"/>
                <w:szCs w:val="22"/>
                <w:u w:val="none"/>
                <w:lang w:eastAsia="zh-CN"/>
              </w:rPr>
              <w:t>；</w:t>
            </w:r>
          </w:p>
          <w:p w14:paraId="46CB895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lang w:eastAsia="zh-CN"/>
              </w:rPr>
            </w:pPr>
            <w:r>
              <w:rPr>
                <w:rFonts w:hint="eastAsia" w:ascii="宋体" w:hAnsi="宋体" w:eastAsia="宋体" w:cs="宋体"/>
                <w:i w:val="0"/>
                <w:iCs w:val="0"/>
                <w:color w:val="auto"/>
                <w:sz w:val="22"/>
                <w:szCs w:val="22"/>
                <w:u w:val="none"/>
              </w:rPr>
              <w:t>4、设备自带相序保护、软启动、电场短路保护、放电跳停保护、电源过载保护和变压器过温保护等多重保护功能，确保设备安全</w:t>
            </w:r>
            <w:r>
              <w:rPr>
                <w:rFonts w:hint="eastAsia" w:ascii="宋体" w:hAnsi="宋体" w:eastAsia="宋体" w:cs="宋体"/>
                <w:i w:val="0"/>
                <w:iCs w:val="0"/>
                <w:color w:val="auto"/>
                <w:sz w:val="22"/>
                <w:szCs w:val="22"/>
                <w:u w:val="none"/>
                <w:lang w:eastAsia="zh-CN"/>
              </w:rPr>
              <w:t>；</w:t>
            </w:r>
          </w:p>
          <w:p w14:paraId="581C822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lang w:eastAsia="zh-CN"/>
              </w:rPr>
            </w:pPr>
            <w:r>
              <w:rPr>
                <w:rFonts w:hint="eastAsia" w:ascii="宋体" w:hAnsi="宋体" w:eastAsia="宋体" w:cs="宋体"/>
                <w:i w:val="0"/>
                <w:iCs w:val="0"/>
                <w:color w:val="auto"/>
                <w:sz w:val="22"/>
                <w:szCs w:val="22"/>
                <w:u w:val="none"/>
              </w:rPr>
              <w:t>5、依据声环境质量标准GB12348-2008，满足噪声≤60分贝</w:t>
            </w:r>
            <w:r>
              <w:rPr>
                <w:rFonts w:hint="eastAsia" w:ascii="宋体" w:hAnsi="宋体" w:eastAsia="宋体" w:cs="宋体"/>
                <w:i w:val="0"/>
                <w:iCs w:val="0"/>
                <w:color w:val="auto"/>
                <w:sz w:val="22"/>
                <w:szCs w:val="22"/>
                <w:u w:val="none"/>
                <w:lang w:eastAsia="zh-CN"/>
              </w:rPr>
              <w:t>；</w:t>
            </w:r>
          </w:p>
          <w:p w14:paraId="628E21E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lang w:eastAsia="zh-CN"/>
              </w:rPr>
            </w:pPr>
            <w:r>
              <w:rPr>
                <w:rFonts w:hint="eastAsia" w:ascii="宋体" w:hAnsi="宋体" w:eastAsia="宋体" w:cs="宋体"/>
                <w:i w:val="0"/>
                <w:iCs w:val="0"/>
                <w:color w:val="auto"/>
                <w:sz w:val="22"/>
                <w:szCs w:val="22"/>
                <w:u w:val="none"/>
              </w:rPr>
              <w:t>6、双屏幕设计：触摸屏可手势启动；一键启动及分别控制各功能启停，具有净化、照明、燃泄，时钟，错相等功能显示；电场显示屏实时显示工作输入电流、输出电流电流，打火清洗显示、短路/断路显示、故障提示等功能</w:t>
            </w:r>
            <w:r>
              <w:rPr>
                <w:rFonts w:hint="eastAsia" w:ascii="宋体" w:hAnsi="宋体" w:eastAsia="宋体" w:cs="宋体"/>
                <w:i w:val="0"/>
                <w:iCs w:val="0"/>
                <w:color w:val="auto"/>
                <w:sz w:val="22"/>
                <w:szCs w:val="22"/>
                <w:u w:val="none"/>
                <w:lang w:eastAsia="zh-CN"/>
              </w:rPr>
              <w:t>；</w:t>
            </w:r>
          </w:p>
          <w:p w14:paraId="2ED5639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lang w:eastAsia="zh-CN"/>
              </w:rPr>
            </w:pPr>
            <w:r>
              <w:rPr>
                <w:rFonts w:hint="eastAsia" w:ascii="宋体" w:hAnsi="宋体" w:eastAsia="宋体" w:cs="宋体"/>
                <w:i w:val="0"/>
                <w:iCs w:val="0"/>
                <w:color w:val="auto"/>
                <w:sz w:val="22"/>
                <w:szCs w:val="22"/>
                <w:u w:val="none"/>
              </w:rPr>
              <w:t>7、提供静电复合式油烟净化一体机由国家级环保产品质量监督检测中心提供的依据HJ/T62-2001检测报告，在额定风量下，油烟去除效率≥98.5%，油烟排放浓度≤0.25mg/m³，颗粒物排放浓度≤1.5mg/m³，非甲烷总烃排放浓度≤4mg/m³</w:t>
            </w:r>
            <w:r>
              <w:rPr>
                <w:rFonts w:hint="eastAsia" w:ascii="宋体" w:hAnsi="宋体" w:eastAsia="宋体" w:cs="宋体"/>
                <w:i w:val="0"/>
                <w:iCs w:val="0"/>
                <w:color w:val="auto"/>
                <w:sz w:val="22"/>
                <w:szCs w:val="22"/>
                <w:u w:val="none"/>
                <w:lang w:eastAsia="zh-CN"/>
              </w:rPr>
              <w:t>；</w:t>
            </w:r>
          </w:p>
          <w:p w14:paraId="5119BD4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lang w:eastAsia="zh-CN"/>
              </w:rPr>
            </w:pPr>
            <w:r>
              <w:rPr>
                <w:rFonts w:hint="eastAsia" w:ascii="宋体" w:hAnsi="宋体" w:eastAsia="宋体" w:cs="宋体"/>
                <w:i w:val="0"/>
                <w:iCs w:val="0"/>
                <w:color w:val="auto"/>
                <w:sz w:val="22"/>
                <w:szCs w:val="22"/>
                <w:u w:val="none"/>
              </w:rPr>
              <w:t>★8、油烟净化一体机拥有：【产品在额定风量(修正后）、80%和120%风量运行条件下，其净化率均≥99.1%；额定风量、80%和120%风量运行条件下油烟排放浓度≤0.1mg/m3；在基准风量运行条件下非甲烷总烃浓度≤0.1mg/m3、颗粒物浓度≤0.1mg/m3】《中国环境标志（II型）产品认证证书》证书须均体现以下内容：12000风量（m³/h）≤20000。投标时提供相应证书加盖</w:t>
            </w:r>
            <w:r>
              <w:rPr>
                <w:rFonts w:hint="eastAsia" w:ascii="宋体" w:hAnsi="宋体" w:cs="宋体"/>
                <w:i w:val="0"/>
                <w:iCs w:val="0"/>
                <w:color w:val="auto"/>
                <w:sz w:val="22"/>
                <w:szCs w:val="22"/>
                <w:u w:val="none"/>
                <w:lang w:val="en-US" w:eastAsia="zh-CN"/>
              </w:rPr>
              <w:t>供应商</w:t>
            </w:r>
            <w:r>
              <w:rPr>
                <w:rFonts w:hint="eastAsia" w:ascii="宋体" w:hAnsi="宋体" w:eastAsia="宋体" w:cs="宋体"/>
                <w:i w:val="0"/>
                <w:iCs w:val="0"/>
                <w:color w:val="auto"/>
                <w:sz w:val="22"/>
                <w:szCs w:val="22"/>
                <w:u w:val="none"/>
              </w:rPr>
              <w:t>公章并提供认监委网络查询截图</w:t>
            </w:r>
            <w:r>
              <w:rPr>
                <w:rFonts w:hint="eastAsia" w:ascii="宋体" w:hAnsi="宋体" w:eastAsia="宋体" w:cs="宋体"/>
                <w:i w:val="0"/>
                <w:iCs w:val="0"/>
                <w:color w:val="auto"/>
                <w:sz w:val="22"/>
                <w:szCs w:val="22"/>
                <w:u w:val="none"/>
                <w:lang w:eastAsia="zh-CN"/>
              </w:rPr>
              <w:t>；</w:t>
            </w:r>
          </w:p>
          <w:p w14:paraId="0CA850A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9、油烟净化一体机依据：GB/T17626.3-2016中试验程序进行：试验等级：2级；试验场强：3V/m；频率范围：80MHz~1GHz；调幅：80%AM(1kHz）；功能暂时丧失，但在骚扰停止后一体机自行恢复，无需操作者干预。提供相应报告带有</w:t>
            </w:r>
            <w:r>
              <w:rPr>
                <w:rFonts w:hint="eastAsia" w:ascii="宋体" w:hAnsi="宋体" w:cs="宋体"/>
                <w:i w:val="0"/>
                <w:iCs w:val="0"/>
                <w:color w:val="auto"/>
                <w:sz w:val="22"/>
                <w:szCs w:val="22"/>
                <w:u w:val="none"/>
                <w:lang w:eastAsia="zh-CN"/>
              </w:rPr>
              <w:t>“</w:t>
            </w:r>
            <w:r>
              <w:rPr>
                <w:rFonts w:hint="eastAsia" w:ascii="宋体" w:hAnsi="宋体" w:cs="宋体"/>
                <w:i w:val="0"/>
                <w:iCs w:val="0"/>
                <w:color w:val="auto"/>
                <w:sz w:val="22"/>
                <w:szCs w:val="22"/>
                <w:u w:val="none"/>
                <w:lang w:val="en-US" w:eastAsia="zh-CN"/>
              </w:rPr>
              <w:t>CMA</w:t>
            </w:r>
            <w:r>
              <w:rPr>
                <w:rFonts w:hint="eastAsia" w:ascii="宋体" w:hAnsi="宋体" w:cs="宋体"/>
                <w:i w:val="0"/>
                <w:iCs w:val="0"/>
                <w:color w:val="auto"/>
                <w:sz w:val="22"/>
                <w:szCs w:val="22"/>
                <w:u w:val="none"/>
                <w:lang w:eastAsia="zh-CN"/>
              </w:rPr>
              <w:t>”</w:t>
            </w:r>
            <w:r>
              <w:rPr>
                <w:rFonts w:hint="eastAsia" w:ascii="宋体" w:hAnsi="宋体" w:cs="宋体"/>
                <w:i w:val="0"/>
                <w:iCs w:val="0"/>
                <w:color w:val="auto"/>
                <w:sz w:val="22"/>
                <w:szCs w:val="22"/>
                <w:u w:val="none"/>
                <w:lang w:val="en-US" w:eastAsia="zh-CN"/>
              </w:rPr>
              <w:t>或者</w:t>
            </w:r>
            <w:r>
              <w:rPr>
                <w:rFonts w:hint="eastAsia" w:ascii="宋体" w:hAnsi="宋体" w:eastAsia="宋体" w:cs="宋体"/>
                <w:i w:val="0"/>
                <w:iCs w:val="0"/>
                <w:color w:val="auto"/>
                <w:sz w:val="22"/>
                <w:szCs w:val="22"/>
                <w:u w:val="none"/>
              </w:rPr>
              <w:t>“CNAS”标志，同时符合上述指标要求的检测报告加盖</w:t>
            </w:r>
            <w:r>
              <w:rPr>
                <w:rFonts w:hint="eastAsia" w:ascii="宋体" w:hAnsi="宋体" w:cs="宋体"/>
                <w:i w:val="0"/>
                <w:iCs w:val="0"/>
                <w:color w:val="auto"/>
                <w:sz w:val="22"/>
                <w:szCs w:val="22"/>
                <w:u w:val="none"/>
                <w:lang w:val="en-US" w:eastAsia="zh-CN"/>
              </w:rPr>
              <w:t>供应商</w:t>
            </w:r>
            <w:r>
              <w:rPr>
                <w:rFonts w:hint="eastAsia" w:ascii="宋体" w:hAnsi="宋体" w:eastAsia="宋体" w:cs="宋体"/>
                <w:i w:val="0"/>
                <w:iCs w:val="0"/>
                <w:color w:val="auto"/>
                <w:sz w:val="22"/>
                <w:szCs w:val="22"/>
                <w:u w:val="none"/>
              </w:rPr>
              <w:t>公章并提供认监委网络查询截图。</w:t>
            </w:r>
          </w:p>
        </w:tc>
        <w:tc>
          <w:tcPr>
            <w:tcW w:w="377" w:type="pct"/>
            <w:shd w:val="clear" w:color="auto" w:fill="auto"/>
            <w:noWrap/>
            <w:vAlign w:val="center"/>
          </w:tcPr>
          <w:p w14:paraId="0AADB5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11m</w:t>
            </w:r>
          </w:p>
        </w:tc>
        <w:tc>
          <w:tcPr>
            <w:tcW w:w="700" w:type="pct"/>
            <w:shd w:val="clear" w:color="auto" w:fill="auto"/>
            <w:noWrap/>
            <w:vAlign w:val="center"/>
          </w:tcPr>
          <w:p w14:paraId="64081B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689984" behindDoc="1" locked="0" layoutInCell="1" allowOverlap="1">
                  <wp:simplePos x="0" y="0"/>
                  <wp:positionH relativeFrom="column">
                    <wp:posOffset>313690</wp:posOffset>
                  </wp:positionH>
                  <wp:positionV relativeFrom="paragraph">
                    <wp:posOffset>883920</wp:posOffset>
                  </wp:positionV>
                  <wp:extent cx="733425" cy="285750"/>
                  <wp:effectExtent l="0" t="0" r="13335" b="3810"/>
                  <wp:wrapTight wrapText="bothSides">
                    <wp:wrapPolygon>
                      <wp:start x="0" y="0"/>
                      <wp:lineTo x="0" y="20736"/>
                      <wp:lineTo x="21095" y="20736"/>
                      <wp:lineTo x="21095" y="0"/>
                      <wp:lineTo x="0" y="0"/>
                    </wp:wrapPolygon>
                  </wp:wrapTight>
                  <wp:docPr id="88" name="图片 30"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0" descr="IMG_285"/>
                          <pic:cNvPicPr>
                            <a:picLocks noChangeAspect="1"/>
                          </pic:cNvPicPr>
                        </pic:nvPicPr>
                        <pic:blipFill>
                          <a:blip r:embed="rId32"/>
                          <a:stretch>
                            <a:fillRect/>
                          </a:stretch>
                        </pic:blipFill>
                        <pic:spPr>
                          <a:xfrm>
                            <a:off x="0" y="0"/>
                            <a:ext cx="733425" cy="285750"/>
                          </a:xfrm>
                          <a:prstGeom prst="rect">
                            <a:avLst/>
                          </a:prstGeom>
                          <a:noFill/>
                          <a:ln w="9525">
                            <a:noFill/>
                          </a:ln>
                        </pic:spPr>
                      </pic:pic>
                    </a:graphicData>
                  </a:graphic>
                </wp:anchor>
              </w:drawing>
            </w:r>
          </w:p>
        </w:tc>
      </w:tr>
      <w:tr w14:paraId="73A99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4" w:type="pct"/>
            <w:shd w:val="clear" w:color="auto" w:fill="auto"/>
            <w:vAlign w:val="center"/>
          </w:tcPr>
          <w:p w14:paraId="7A1417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32</w:t>
            </w:r>
          </w:p>
        </w:tc>
        <w:tc>
          <w:tcPr>
            <w:tcW w:w="574" w:type="pct"/>
            <w:shd w:val="clear" w:color="auto" w:fill="auto"/>
            <w:vAlign w:val="center"/>
          </w:tcPr>
          <w:p w14:paraId="6E9EDB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灭火系统</w:t>
            </w:r>
          </w:p>
        </w:tc>
        <w:tc>
          <w:tcPr>
            <w:tcW w:w="805" w:type="pct"/>
            <w:shd w:val="clear" w:color="auto" w:fill="auto"/>
            <w:vAlign w:val="center"/>
          </w:tcPr>
          <w:p w14:paraId="55000E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规格：配套烟罩(烟罩10米)</w:t>
            </w:r>
          </w:p>
        </w:tc>
        <w:tc>
          <w:tcPr>
            <w:tcW w:w="2238" w:type="pct"/>
            <w:shd w:val="clear" w:color="auto" w:fill="auto"/>
            <w:vAlign w:val="center"/>
          </w:tcPr>
          <w:p w14:paraId="6877D86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主机箱采用SUS304-1.0mm不锈钢板材，灭火系统连接管采用SUS304-1.0mm不锈钢管，喷嘴采用365度无死角转动喷嘴</w:t>
            </w:r>
          </w:p>
          <w:p w14:paraId="7980FAA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1、灭火装置具备自动和手动两种操作模式需与消防水(或者自来水)管路相连，系统启动后，自控水阀等灭火剂喷洒完全后，再自动喷水,具有火灾自动探测，自动实施灭火功能；</w:t>
            </w:r>
          </w:p>
          <w:p w14:paraId="53A7788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2、系统装置包括:控制箱、管路、喷嘴探测器、易熔连接片、金属拉索、滑轮三通、滑轮弯头.释放机构、驱动瓶、水流控制阀、单向阀、减压阀等组成;释放机构及水流阀为机械式启动 (不能使用电磁阀，避免因电路故障造成装置无法启动)电控系统与主机箱为一体，具备四寸微电脑显示屏。</w:t>
            </w:r>
          </w:p>
          <w:p w14:paraId="7B7E2EE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lang w:eastAsia="zh-CN"/>
              </w:rPr>
            </w:pPr>
            <w:r>
              <w:rPr>
                <w:rFonts w:hint="eastAsia" w:ascii="宋体" w:hAnsi="宋体" w:eastAsia="宋体" w:cs="宋体"/>
                <w:i w:val="0"/>
                <w:iCs w:val="0"/>
                <w:color w:val="auto"/>
                <w:sz w:val="22"/>
                <w:szCs w:val="22"/>
                <w:u w:val="none"/>
              </w:rPr>
              <w:t>3、★提供所投产品双瓶组喷嘴数量：≥27只，提供带有CMA及CNAS标复印件加盖制造商</w:t>
            </w:r>
            <w:r>
              <w:rPr>
                <w:rFonts w:hint="eastAsia" w:ascii="宋体" w:hAnsi="宋体" w:cs="宋体"/>
                <w:i w:val="0"/>
                <w:iCs w:val="0"/>
                <w:color w:val="auto"/>
                <w:sz w:val="22"/>
                <w:szCs w:val="22"/>
                <w:u w:val="none"/>
                <w:lang w:eastAsia="zh-CN"/>
              </w:rPr>
              <w:t>公章。</w:t>
            </w:r>
          </w:p>
          <w:p w14:paraId="030F3E5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lang w:eastAsia="zh-CN"/>
              </w:rPr>
            </w:pPr>
            <w:r>
              <w:rPr>
                <w:rFonts w:hint="eastAsia" w:ascii="宋体" w:hAnsi="宋体" w:eastAsia="宋体" w:cs="宋体"/>
                <w:i w:val="0"/>
                <w:iCs w:val="0"/>
                <w:color w:val="auto"/>
                <w:sz w:val="22"/>
                <w:szCs w:val="22"/>
                <w:u w:val="none"/>
              </w:rPr>
              <w:t>4、★提供拉力弹簧检测报告耐高低温实验，依据GB/T 2423.22-2012，预处理：（23±2）℃、（50±5）%RH,24h; 试验温度从（25±5）℃开始→经70min降温至-45℃，保持低温15h→经200min升温至155℃，保持高温15h→经130min降温至（25±5）℃，此为一个循环，共计6个循环。检测结果全部合格，任缺一项为不符合</w:t>
            </w:r>
            <w:r>
              <w:rPr>
                <w:rFonts w:hint="eastAsia" w:ascii="宋体" w:hAnsi="宋体" w:eastAsia="宋体" w:cs="宋体"/>
                <w:i w:val="0"/>
                <w:iCs w:val="0"/>
                <w:color w:val="auto"/>
                <w:sz w:val="22"/>
                <w:szCs w:val="22"/>
                <w:u w:val="none"/>
                <w:lang w:eastAsia="zh-CN"/>
              </w:rPr>
              <w:t>磋商文件</w:t>
            </w:r>
            <w:r>
              <w:rPr>
                <w:rFonts w:hint="eastAsia" w:ascii="宋体" w:hAnsi="宋体" w:eastAsia="宋体" w:cs="宋体"/>
                <w:i w:val="0"/>
                <w:iCs w:val="0"/>
                <w:color w:val="auto"/>
                <w:sz w:val="22"/>
                <w:szCs w:val="22"/>
                <w:u w:val="none"/>
              </w:rPr>
              <w:t>要求（提供所投灭火装置厂家的第三方检测报告带有CMA和CNAS标及产品照片页复印件加盖</w:t>
            </w:r>
            <w:r>
              <w:rPr>
                <w:rFonts w:hint="eastAsia" w:ascii="宋体" w:hAnsi="宋体" w:cs="宋体"/>
                <w:i w:val="0"/>
                <w:iCs w:val="0"/>
                <w:color w:val="auto"/>
                <w:sz w:val="22"/>
                <w:szCs w:val="22"/>
                <w:u w:val="none"/>
                <w:lang w:val="en-US" w:eastAsia="zh-CN"/>
              </w:rPr>
              <w:t>供应商</w:t>
            </w:r>
            <w:r>
              <w:rPr>
                <w:rFonts w:hint="eastAsia" w:ascii="宋体" w:hAnsi="宋体" w:cs="宋体"/>
                <w:i w:val="0"/>
                <w:iCs w:val="0"/>
                <w:color w:val="auto"/>
                <w:sz w:val="22"/>
                <w:szCs w:val="22"/>
                <w:u w:val="none"/>
                <w:lang w:eastAsia="zh-CN"/>
              </w:rPr>
              <w:t>公章</w:t>
            </w:r>
            <w:r>
              <w:rPr>
                <w:rFonts w:hint="eastAsia" w:ascii="宋体" w:hAnsi="宋体" w:eastAsia="宋体" w:cs="宋体"/>
                <w:i w:val="0"/>
                <w:iCs w:val="0"/>
                <w:color w:val="auto"/>
                <w:sz w:val="22"/>
                <w:szCs w:val="22"/>
                <w:u w:val="none"/>
              </w:rPr>
              <w:t>）</w:t>
            </w:r>
            <w:r>
              <w:rPr>
                <w:rFonts w:hint="eastAsia" w:ascii="宋体" w:hAnsi="宋体" w:cs="宋体"/>
                <w:i w:val="0"/>
                <w:iCs w:val="0"/>
                <w:color w:val="auto"/>
                <w:sz w:val="22"/>
                <w:szCs w:val="22"/>
                <w:u w:val="none"/>
                <w:lang w:eastAsia="zh-CN"/>
              </w:rPr>
              <w:t>。</w:t>
            </w:r>
          </w:p>
          <w:p w14:paraId="0B23474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5、★厨房设备灭火装置主机箱配备压力观察口，提供带图片页的检验报告。提供应急管理部依据XF498-2012、CCCF-CPRZ-21:2019出具的带有CMA和CNAS标识的型式检验报告复印件；</w:t>
            </w:r>
          </w:p>
          <w:p w14:paraId="652B1DF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lang w:eastAsia="zh-CN"/>
              </w:rPr>
            </w:pPr>
            <w:r>
              <w:rPr>
                <w:rFonts w:hint="eastAsia" w:ascii="宋体" w:hAnsi="宋体" w:cs="宋体"/>
                <w:i w:val="0"/>
                <w:iCs w:val="0"/>
                <w:color w:val="auto"/>
                <w:sz w:val="22"/>
                <w:szCs w:val="22"/>
                <w:u w:val="none"/>
                <w:lang w:val="en-US" w:eastAsia="zh-CN"/>
              </w:rPr>
              <w:t>6、</w:t>
            </w:r>
            <w:r>
              <w:rPr>
                <w:rFonts w:hint="eastAsia" w:ascii="宋体" w:hAnsi="宋体" w:eastAsia="宋体" w:cs="宋体"/>
                <w:i w:val="0"/>
                <w:iCs w:val="0"/>
                <w:color w:val="auto"/>
                <w:sz w:val="22"/>
                <w:szCs w:val="22"/>
                <w:u w:val="none"/>
              </w:rPr>
              <w:t>其它要求：为了确保产品质量，</w:t>
            </w:r>
            <w:r>
              <w:rPr>
                <w:rFonts w:hint="eastAsia" w:ascii="宋体" w:hAnsi="宋体" w:cs="宋体"/>
                <w:i w:val="0"/>
                <w:iCs w:val="0"/>
                <w:color w:val="auto"/>
                <w:sz w:val="22"/>
                <w:szCs w:val="22"/>
                <w:u w:val="none"/>
                <w:lang w:val="en-US" w:eastAsia="zh-CN"/>
              </w:rPr>
              <w:t>响应文件中</w:t>
            </w:r>
            <w:r>
              <w:rPr>
                <w:rFonts w:hint="eastAsia" w:ascii="宋体" w:hAnsi="宋体" w:eastAsia="宋体" w:cs="宋体"/>
                <w:i w:val="0"/>
                <w:iCs w:val="0"/>
                <w:color w:val="auto"/>
                <w:sz w:val="22"/>
                <w:szCs w:val="22"/>
                <w:u w:val="none"/>
              </w:rPr>
              <w:t>需提供本产品生产厂家对项目出具证书真实性的确认函和售后服务承诺函原件</w:t>
            </w:r>
            <w:r>
              <w:rPr>
                <w:rFonts w:hint="eastAsia" w:ascii="宋体" w:hAnsi="宋体" w:cs="宋体"/>
                <w:i w:val="0"/>
                <w:iCs w:val="0"/>
                <w:color w:val="auto"/>
                <w:sz w:val="22"/>
                <w:szCs w:val="22"/>
                <w:u w:val="none"/>
                <w:lang w:val="en-US" w:eastAsia="zh-CN"/>
              </w:rPr>
              <w:t>扫描件</w:t>
            </w:r>
            <w:r>
              <w:rPr>
                <w:rFonts w:hint="eastAsia" w:ascii="宋体" w:hAnsi="宋体" w:eastAsia="宋体" w:cs="宋体"/>
                <w:i w:val="0"/>
                <w:iCs w:val="0"/>
                <w:color w:val="auto"/>
                <w:sz w:val="22"/>
                <w:szCs w:val="22"/>
                <w:u w:val="none"/>
              </w:rPr>
              <w:t>，并加盖制造商</w:t>
            </w:r>
            <w:r>
              <w:rPr>
                <w:rFonts w:hint="eastAsia" w:ascii="宋体" w:hAnsi="宋体" w:cs="宋体"/>
                <w:i w:val="0"/>
                <w:iCs w:val="0"/>
                <w:color w:val="auto"/>
                <w:sz w:val="22"/>
                <w:szCs w:val="22"/>
                <w:u w:val="none"/>
                <w:lang w:val="en-US" w:eastAsia="zh-CN"/>
              </w:rPr>
              <w:t>公</w:t>
            </w:r>
            <w:r>
              <w:rPr>
                <w:rFonts w:hint="eastAsia" w:ascii="宋体" w:hAnsi="宋体" w:eastAsia="宋体" w:cs="宋体"/>
                <w:i w:val="0"/>
                <w:iCs w:val="0"/>
                <w:color w:val="auto"/>
                <w:sz w:val="22"/>
                <w:szCs w:val="22"/>
                <w:u w:val="none"/>
              </w:rPr>
              <w:t>章 (</w:t>
            </w:r>
            <w:r>
              <w:rPr>
                <w:rFonts w:hint="eastAsia" w:ascii="宋体" w:hAnsi="宋体" w:cs="宋体"/>
                <w:i w:val="0"/>
                <w:iCs w:val="0"/>
                <w:color w:val="auto"/>
                <w:sz w:val="22"/>
                <w:szCs w:val="22"/>
                <w:u w:val="none"/>
                <w:lang w:val="en-US" w:eastAsia="zh-CN"/>
              </w:rPr>
              <w:t>磋商现场提供上述函件的原件核对，否则不予认可</w:t>
            </w:r>
            <w:r>
              <w:rPr>
                <w:rFonts w:hint="eastAsia" w:ascii="宋体" w:hAnsi="宋体" w:eastAsia="宋体" w:cs="宋体"/>
                <w:i w:val="0"/>
                <w:iCs w:val="0"/>
                <w:color w:val="auto"/>
                <w:sz w:val="22"/>
                <w:szCs w:val="22"/>
                <w:u w:val="none"/>
              </w:rPr>
              <w:t>）</w:t>
            </w:r>
            <w:r>
              <w:rPr>
                <w:rFonts w:hint="eastAsia"/>
                <w:color w:val="auto"/>
                <w:lang w:eastAsia="zh-CN"/>
              </w:rPr>
              <w:t>。</w:t>
            </w:r>
          </w:p>
          <w:p w14:paraId="23578BB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lang w:eastAsia="zh-CN"/>
              </w:rPr>
            </w:pPr>
            <w:r>
              <w:rPr>
                <w:rFonts w:hint="eastAsia" w:ascii="宋体" w:hAnsi="宋体" w:cs="宋体"/>
                <w:i w:val="0"/>
                <w:iCs w:val="0"/>
                <w:color w:val="auto"/>
                <w:sz w:val="22"/>
                <w:szCs w:val="22"/>
                <w:u w:val="none"/>
                <w:lang w:val="en-US" w:eastAsia="zh-CN"/>
              </w:rPr>
              <w:t>7、</w:t>
            </w:r>
            <w:r>
              <w:rPr>
                <w:rFonts w:hint="eastAsia" w:ascii="宋体" w:hAnsi="宋体" w:eastAsia="宋体" w:cs="宋体"/>
                <w:i w:val="0"/>
                <w:iCs w:val="0"/>
                <w:color w:val="auto"/>
                <w:sz w:val="22"/>
                <w:szCs w:val="22"/>
                <w:u w:val="none"/>
              </w:rPr>
              <w:t>规格：双瓶，配套烟罩</w:t>
            </w:r>
            <w:r>
              <w:rPr>
                <w:rFonts w:hint="eastAsia" w:ascii="宋体" w:hAnsi="宋体" w:cs="宋体"/>
                <w:i w:val="0"/>
                <w:iCs w:val="0"/>
                <w:color w:val="auto"/>
                <w:sz w:val="22"/>
                <w:szCs w:val="22"/>
                <w:u w:val="none"/>
                <w:lang w:eastAsia="zh-CN"/>
              </w:rPr>
              <w:t>。</w:t>
            </w:r>
          </w:p>
        </w:tc>
        <w:tc>
          <w:tcPr>
            <w:tcW w:w="377" w:type="pct"/>
            <w:shd w:val="clear" w:color="auto" w:fill="auto"/>
            <w:noWrap/>
            <w:vAlign w:val="center"/>
          </w:tcPr>
          <w:p w14:paraId="7F7CA7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1套</w:t>
            </w:r>
          </w:p>
        </w:tc>
        <w:tc>
          <w:tcPr>
            <w:tcW w:w="700" w:type="pct"/>
            <w:shd w:val="clear" w:color="auto" w:fill="auto"/>
            <w:noWrap/>
            <w:vAlign w:val="center"/>
          </w:tcPr>
          <w:p w14:paraId="297F8D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691008" behindDoc="1" locked="0" layoutInCell="1" allowOverlap="1">
                  <wp:simplePos x="0" y="0"/>
                  <wp:positionH relativeFrom="column">
                    <wp:posOffset>412750</wp:posOffset>
                  </wp:positionH>
                  <wp:positionV relativeFrom="paragraph">
                    <wp:posOffset>701040</wp:posOffset>
                  </wp:positionV>
                  <wp:extent cx="542925" cy="419100"/>
                  <wp:effectExtent l="0" t="0" r="5715" b="7620"/>
                  <wp:wrapTight wrapText="bothSides">
                    <wp:wrapPolygon>
                      <wp:start x="0" y="0"/>
                      <wp:lineTo x="0" y="21207"/>
                      <wp:lineTo x="21221" y="21207"/>
                      <wp:lineTo x="21221" y="0"/>
                      <wp:lineTo x="0" y="0"/>
                    </wp:wrapPolygon>
                  </wp:wrapTight>
                  <wp:docPr id="87" name="图片 31"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31" descr="IMG_286"/>
                          <pic:cNvPicPr>
                            <a:picLocks noChangeAspect="1"/>
                          </pic:cNvPicPr>
                        </pic:nvPicPr>
                        <pic:blipFill>
                          <a:blip r:embed="rId33"/>
                          <a:stretch>
                            <a:fillRect/>
                          </a:stretch>
                        </pic:blipFill>
                        <pic:spPr>
                          <a:xfrm>
                            <a:off x="0" y="0"/>
                            <a:ext cx="542925" cy="419100"/>
                          </a:xfrm>
                          <a:prstGeom prst="rect">
                            <a:avLst/>
                          </a:prstGeom>
                          <a:noFill/>
                          <a:ln w="9525">
                            <a:noFill/>
                          </a:ln>
                        </pic:spPr>
                      </pic:pic>
                    </a:graphicData>
                  </a:graphic>
                </wp:anchor>
              </w:drawing>
            </w:r>
          </w:p>
        </w:tc>
      </w:tr>
      <w:tr w14:paraId="60B68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04" w:type="pct"/>
            <w:shd w:val="clear" w:color="auto" w:fill="auto"/>
            <w:vAlign w:val="center"/>
          </w:tcPr>
          <w:p w14:paraId="13F67E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33</w:t>
            </w:r>
          </w:p>
        </w:tc>
        <w:tc>
          <w:tcPr>
            <w:tcW w:w="574" w:type="pct"/>
            <w:shd w:val="clear" w:color="auto" w:fill="auto"/>
            <w:vAlign w:val="center"/>
          </w:tcPr>
          <w:p w14:paraId="3B5CE8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电击式灭蝇灯</w:t>
            </w:r>
          </w:p>
        </w:tc>
        <w:tc>
          <w:tcPr>
            <w:tcW w:w="805" w:type="pct"/>
            <w:shd w:val="clear" w:color="auto" w:fill="auto"/>
            <w:vAlign w:val="center"/>
          </w:tcPr>
          <w:p w14:paraId="2CEDE5C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p>
        </w:tc>
        <w:tc>
          <w:tcPr>
            <w:tcW w:w="2238" w:type="pct"/>
            <w:shd w:val="clear" w:color="auto" w:fill="auto"/>
            <w:vAlign w:val="center"/>
          </w:tcPr>
          <w:p w14:paraId="21ECF03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功率：220V/40W；采用半密封式收集器、可以安全地将被电击的蝇虫控制在收集器内、击伤的蝇虫也不至于飞溅机外、达到环保之目的。</w:t>
            </w:r>
          </w:p>
        </w:tc>
        <w:tc>
          <w:tcPr>
            <w:tcW w:w="377" w:type="pct"/>
            <w:shd w:val="clear" w:color="auto" w:fill="auto"/>
            <w:noWrap/>
            <w:vAlign w:val="center"/>
          </w:tcPr>
          <w:p w14:paraId="0FCD6A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2台</w:t>
            </w:r>
          </w:p>
        </w:tc>
        <w:tc>
          <w:tcPr>
            <w:tcW w:w="700" w:type="pct"/>
            <w:shd w:val="clear" w:color="auto" w:fill="auto"/>
            <w:vAlign w:val="center"/>
          </w:tcPr>
          <w:p w14:paraId="087181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692032" behindDoc="1" locked="0" layoutInCell="1" allowOverlap="1">
                  <wp:simplePos x="0" y="0"/>
                  <wp:positionH relativeFrom="column">
                    <wp:posOffset>412750</wp:posOffset>
                  </wp:positionH>
                  <wp:positionV relativeFrom="paragraph">
                    <wp:posOffset>182880</wp:posOffset>
                  </wp:positionV>
                  <wp:extent cx="542925" cy="314325"/>
                  <wp:effectExtent l="0" t="0" r="5715" b="5715"/>
                  <wp:wrapTight wrapText="bothSides">
                    <wp:wrapPolygon>
                      <wp:start x="0" y="0"/>
                      <wp:lineTo x="0" y="20945"/>
                      <wp:lineTo x="21221" y="20945"/>
                      <wp:lineTo x="21221" y="0"/>
                      <wp:lineTo x="0" y="0"/>
                    </wp:wrapPolygon>
                  </wp:wrapTight>
                  <wp:docPr id="86" name="图片 32" descr="IMG_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32" descr="IMG_287"/>
                          <pic:cNvPicPr>
                            <a:picLocks noChangeAspect="1"/>
                          </pic:cNvPicPr>
                        </pic:nvPicPr>
                        <pic:blipFill>
                          <a:blip r:embed="rId34"/>
                          <a:stretch>
                            <a:fillRect/>
                          </a:stretch>
                        </pic:blipFill>
                        <pic:spPr>
                          <a:xfrm>
                            <a:off x="0" y="0"/>
                            <a:ext cx="542925" cy="314325"/>
                          </a:xfrm>
                          <a:prstGeom prst="rect">
                            <a:avLst/>
                          </a:prstGeom>
                          <a:noFill/>
                          <a:ln w="9525">
                            <a:noFill/>
                          </a:ln>
                        </pic:spPr>
                      </pic:pic>
                    </a:graphicData>
                  </a:graphic>
                </wp:anchor>
              </w:drawing>
            </w:r>
          </w:p>
        </w:tc>
      </w:tr>
      <w:tr w14:paraId="12A3F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5000" w:type="pct"/>
            <w:gridSpan w:val="6"/>
            <w:shd w:val="clear" w:color="auto" w:fill="auto"/>
            <w:vAlign w:val="center"/>
          </w:tcPr>
          <w:p w14:paraId="3BE2C4F8">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备餐间</w:t>
            </w:r>
          </w:p>
        </w:tc>
      </w:tr>
      <w:tr w14:paraId="2B3EA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04" w:type="pct"/>
            <w:shd w:val="clear" w:color="auto" w:fill="auto"/>
            <w:vAlign w:val="center"/>
          </w:tcPr>
          <w:p w14:paraId="5640AB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34</w:t>
            </w:r>
          </w:p>
        </w:tc>
        <w:tc>
          <w:tcPr>
            <w:tcW w:w="574" w:type="pct"/>
            <w:shd w:val="clear" w:color="auto" w:fill="auto"/>
            <w:vAlign w:val="center"/>
          </w:tcPr>
          <w:p w14:paraId="1771A3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洗手星盆</w:t>
            </w:r>
          </w:p>
        </w:tc>
        <w:tc>
          <w:tcPr>
            <w:tcW w:w="805" w:type="pct"/>
            <w:shd w:val="clear" w:color="auto" w:fill="auto"/>
            <w:vAlign w:val="center"/>
          </w:tcPr>
          <w:p w14:paraId="0652CC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规格：500×400×300</w:t>
            </w:r>
          </w:p>
        </w:tc>
        <w:tc>
          <w:tcPr>
            <w:tcW w:w="2238" w:type="pct"/>
            <w:shd w:val="clear" w:color="auto" w:fill="auto"/>
            <w:vAlign w:val="center"/>
          </w:tcPr>
          <w:p w14:paraId="461CCFB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说明：304#2B发纹贴塑不锈钢板制造；骨架采用δ=1.2 Φ38不锈钢圆通，台面δ=1.2，星盆斗δ=1.0，配落水器、拦渣斗。</w:t>
            </w:r>
          </w:p>
        </w:tc>
        <w:tc>
          <w:tcPr>
            <w:tcW w:w="377" w:type="pct"/>
            <w:shd w:val="clear" w:color="auto" w:fill="auto"/>
            <w:noWrap/>
            <w:vAlign w:val="center"/>
          </w:tcPr>
          <w:p w14:paraId="7EB378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1个</w:t>
            </w:r>
          </w:p>
        </w:tc>
        <w:tc>
          <w:tcPr>
            <w:tcW w:w="700" w:type="pct"/>
            <w:shd w:val="clear" w:color="auto" w:fill="auto"/>
            <w:vAlign w:val="center"/>
          </w:tcPr>
          <w:p w14:paraId="1210BE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693056" behindDoc="1" locked="0" layoutInCell="1" allowOverlap="1">
                  <wp:simplePos x="0" y="0"/>
                  <wp:positionH relativeFrom="column">
                    <wp:posOffset>420370</wp:posOffset>
                  </wp:positionH>
                  <wp:positionV relativeFrom="paragraph">
                    <wp:posOffset>45720</wp:posOffset>
                  </wp:positionV>
                  <wp:extent cx="523875" cy="361950"/>
                  <wp:effectExtent l="0" t="0" r="9525" b="3810"/>
                  <wp:wrapTight wrapText="bothSides">
                    <wp:wrapPolygon>
                      <wp:start x="0" y="0"/>
                      <wp:lineTo x="0" y="20918"/>
                      <wp:lineTo x="20736" y="20918"/>
                      <wp:lineTo x="20736" y="0"/>
                      <wp:lineTo x="0" y="0"/>
                    </wp:wrapPolygon>
                  </wp:wrapTight>
                  <wp:docPr id="85" name="图片 33" descr="IMG_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33" descr="IMG_288"/>
                          <pic:cNvPicPr>
                            <a:picLocks noChangeAspect="1"/>
                          </pic:cNvPicPr>
                        </pic:nvPicPr>
                        <pic:blipFill>
                          <a:blip r:embed="rId35"/>
                          <a:stretch>
                            <a:fillRect/>
                          </a:stretch>
                        </pic:blipFill>
                        <pic:spPr>
                          <a:xfrm>
                            <a:off x="0" y="0"/>
                            <a:ext cx="523875" cy="361950"/>
                          </a:xfrm>
                          <a:prstGeom prst="rect">
                            <a:avLst/>
                          </a:prstGeom>
                          <a:noFill/>
                          <a:ln w="9525">
                            <a:noFill/>
                          </a:ln>
                        </pic:spPr>
                      </pic:pic>
                    </a:graphicData>
                  </a:graphic>
                </wp:anchor>
              </w:drawing>
            </w:r>
          </w:p>
        </w:tc>
      </w:tr>
      <w:tr w14:paraId="3D033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04" w:type="pct"/>
            <w:shd w:val="clear" w:color="auto" w:fill="auto"/>
            <w:vAlign w:val="center"/>
          </w:tcPr>
          <w:p w14:paraId="6B3C9D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35</w:t>
            </w:r>
          </w:p>
        </w:tc>
        <w:tc>
          <w:tcPr>
            <w:tcW w:w="574" w:type="pct"/>
            <w:shd w:val="clear" w:color="auto" w:fill="auto"/>
            <w:vAlign w:val="center"/>
          </w:tcPr>
          <w:p w14:paraId="6D44A9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感应龙头</w:t>
            </w:r>
          </w:p>
        </w:tc>
        <w:tc>
          <w:tcPr>
            <w:tcW w:w="805" w:type="pct"/>
            <w:shd w:val="clear" w:color="auto" w:fill="auto"/>
            <w:vAlign w:val="center"/>
          </w:tcPr>
          <w:p w14:paraId="725027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p>
        </w:tc>
        <w:tc>
          <w:tcPr>
            <w:tcW w:w="2238" w:type="pct"/>
            <w:shd w:val="clear" w:color="auto" w:fill="auto"/>
            <w:vAlign w:val="center"/>
          </w:tcPr>
          <w:p w14:paraId="44F5147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 xml:space="preserve">说明：1.工作电压：1.5V×4（四节五号干电池）或者220V  50/60HZ交流电；                                 </w:t>
            </w:r>
          </w:p>
          <w:p w14:paraId="07E1D63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 xml:space="preserve">2.工作水压：0.1-0.6MPa 可接冷热混水，出水温度可调；                          </w:t>
            </w:r>
          </w:p>
          <w:p w14:paraId="142C29B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 xml:space="preserve">3.开孔径：25mm；                                </w:t>
            </w:r>
          </w:p>
          <w:p w14:paraId="3B734C1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4.台式安装黄铜铸造水嘴，表面镀铬处理；</w:t>
            </w:r>
          </w:p>
          <w:p w14:paraId="151DD9F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5. 接水口口径为1/2"外螺纹；</w:t>
            </w:r>
          </w:p>
          <w:p w14:paraId="3E00689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6.属节水产品，产品技术条件须符合CJ/T194/2014《非接触式给水器具》、 GB25501-2019《水嘴水效限定值及水效等级》标准要求并提供相应证书</w:t>
            </w:r>
            <w:r>
              <w:rPr>
                <w:rFonts w:hint="eastAsia" w:ascii="宋体" w:hAnsi="宋体" w:eastAsia="宋体" w:cs="宋体"/>
                <w:i w:val="0"/>
                <w:iCs w:val="0"/>
                <w:color w:val="auto"/>
                <w:sz w:val="22"/>
                <w:szCs w:val="22"/>
                <w:u w:val="none"/>
                <w:lang w:eastAsia="zh-CN"/>
              </w:rPr>
              <w:t>；</w:t>
            </w:r>
            <w:r>
              <w:rPr>
                <w:rFonts w:hint="eastAsia" w:ascii="宋体" w:hAnsi="宋体" w:eastAsia="宋体" w:cs="宋体"/>
                <w:i w:val="0"/>
                <w:iCs w:val="0"/>
                <w:color w:val="auto"/>
                <w:sz w:val="22"/>
                <w:szCs w:val="22"/>
                <w:u w:val="none"/>
              </w:rPr>
              <w:t xml:space="preserve">                                                                                                7、产品符合中国环境标志产品认证实施规ECC-1057EL-A/0 的要求属环境标志产品，并提供相应证书复印件并加盖公章。</w:t>
            </w:r>
          </w:p>
          <w:p w14:paraId="036710E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highlight w:val="yellow"/>
                <w:u w:val="none"/>
              </w:rPr>
              <w:t>▲</w:t>
            </w:r>
            <w:r>
              <w:rPr>
                <w:rFonts w:hint="eastAsia" w:ascii="宋体" w:hAnsi="宋体" w:eastAsia="宋体" w:cs="宋体"/>
                <w:i w:val="0"/>
                <w:iCs w:val="0"/>
                <w:color w:val="auto"/>
                <w:sz w:val="22"/>
                <w:szCs w:val="22"/>
                <w:highlight w:val="yellow"/>
                <w:u w:val="single"/>
              </w:rPr>
              <w:t>本产品属于政府强制采购节能产品，须提供参与实施政府采购节能（环境标志）产品认证机构出具的认证证书或证书发布平台的投标产品认证证书查询截图</w:t>
            </w:r>
            <w:r>
              <w:rPr>
                <w:rFonts w:hint="eastAsia" w:ascii="宋体" w:hAnsi="宋体" w:eastAsia="宋体" w:cs="宋体"/>
                <w:i w:val="0"/>
                <w:iCs w:val="0"/>
                <w:color w:val="auto"/>
                <w:sz w:val="22"/>
                <w:szCs w:val="22"/>
                <w:highlight w:val="yellow"/>
                <w:u w:val="none"/>
              </w:rPr>
              <w:t>（请在</w:t>
            </w:r>
            <w:r>
              <w:rPr>
                <w:rFonts w:hint="eastAsia" w:ascii="宋体" w:hAnsi="宋体" w:eastAsia="宋体" w:cs="宋体"/>
                <w:i w:val="0"/>
                <w:iCs w:val="0"/>
                <w:color w:val="auto"/>
                <w:sz w:val="22"/>
                <w:szCs w:val="22"/>
                <w:highlight w:val="yellow"/>
                <w:u w:val="none"/>
                <w:lang w:eastAsia="zh-CN"/>
              </w:rPr>
              <w:t>响应文件</w:t>
            </w:r>
            <w:r>
              <w:rPr>
                <w:rFonts w:hint="eastAsia" w:ascii="宋体" w:hAnsi="宋体" w:eastAsia="宋体" w:cs="宋体"/>
                <w:i w:val="0"/>
                <w:iCs w:val="0"/>
                <w:color w:val="auto"/>
                <w:sz w:val="22"/>
                <w:szCs w:val="22"/>
                <w:highlight w:val="yellow"/>
                <w:u w:val="none"/>
              </w:rPr>
              <w:t>“列入政府采购节能环保清单的证明资料”中体现）。</w:t>
            </w:r>
          </w:p>
        </w:tc>
        <w:tc>
          <w:tcPr>
            <w:tcW w:w="377" w:type="pct"/>
            <w:shd w:val="clear" w:color="auto" w:fill="auto"/>
            <w:noWrap/>
            <w:vAlign w:val="center"/>
          </w:tcPr>
          <w:p w14:paraId="0C1644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1个</w:t>
            </w:r>
          </w:p>
        </w:tc>
        <w:tc>
          <w:tcPr>
            <w:tcW w:w="700" w:type="pct"/>
            <w:shd w:val="clear" w:color="auto" w:fill="auto"/>
            <w:vAlign w:val="center"/>
          </w:tcPr>
          <w:p w14:paraId="5ECF81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694080" behindDoc="1" locked="0" layoutInCell="1" allowOverlap="1">
                  <wp:simplePos x="0" y="0"/>
                  <wp:positionH relativeFrom="column">
                    <wp:posOffset>420370</wp:posOffset>
                  </wp:positionH>
                  <wp:positionV relativeFrom="paragraph">
                    <wp:posOffset>76200</wp:posOffset>
                  </wp:positionV>
                  <wp:extent cx="523875" cy="295275"/>
                  <wp:effectExtent l="0" t="0" r="9525" b="9525"/>
                  <wp:wrapTight wrapText="bothSides">
                    <wp:wrapPolygon>
                      <wp:start x="0" y="0"/>
                      <wp:lineTo x="0" y="20067"/>
                      <wp:lineTo x="20736" y="20067"/>
                      <wp:lineTo x="20736" y="0"/>
                      <wp:lineTo x="0" y="0"/>
                    </wp:wrapPolygon>
                  </wp:wrapTight>
                  <wp:docPr id="84" name="图片 34" descr="IMG_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34" descr="IMG_289"/>
                          <pic:cNvPicPr>
                            <a:picLocks noChangeAspect="1"/>
                          </pic:cNvPicPr>
                        </pic:nvPicPr>
                        <pic:blipFill>
                          <a:blip r:embed="rId36"/>
                          <a:stretch>
                            <a:fillRect/>
                          </a:stretch>
                        </pic:blipFill>
                        <pic:spPr>
                          <a:xfrm>
                            <a:off x="0" y="0"/>
                            <a:ext cx="523875" cy="295275"/>
                          </a:xfrm>
                          <a:prstGeom prst="rect">
                            <a:avLst/>
                          </a:prstGeom>
                          <a:noFill/>
                          <a:ln w="9525">
                            <a:noFill/>
                          </a:ln>
                        </pic:spPr>
                      </pic:pic>
                    </a:graphicData>
                  </a:graphic>
                </wp:anchor>
              </w:drawing>
            </w:r>
          </w:p>
        </w:tc>
      </w:tr>
      <w:tr w14:paraId="0E063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04" w:type="pct"/>
            <w:shd w:val="clear" w:color="auto" w:fill="auto"/>
            <w:vAlign w:val="center"/>
          </w:tcPr>
          <w:p w14:paraId="35D2DF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36</w:t>
            </w:r>
          </w:p>
        </w:tc>
        <w:tc>
          <w:tcPr>
            <w:tcW w:w="574" w:type="pct"/>
            <w:shd w:val="clear" w:color="auto" w:fill="auto"/>
            <w:vAlign w:val="center"/>
          </w:tcPr>
          <w:p w14:paraId="447AE0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干手机</w:t>
            </w:r>
          </w:p>
        </w:tc>
        <w:tc>
          <w:tcPr>
            <w:tcW w:w="805" w:type="pct"/>
            <w:shd w:val="clear" w:color="auto" w:fill="auto"/>
            <w:vAlign w:val="center"/>
          </w:tcPr>
          <w:p w14:paraId="5F4B6E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156×176×207</w:t>
            </w:r>
          </w:p>
        </w:tc>
        <w:tc>
          <w:tcPr>
            <w:tcW w:w="2238" w:type="pct"/>
            <w:shd w:val="clear" w:color="auto" w:fill="auto"/>
            <w:vAlign w:val="center"/>
          </w:tcPr>
          <w:p w14:paraId="03A48C5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红外线自动感应，伸手自动出风，风温均应、手感舒适，ABS工程塑料外壳。</w:t>
            </w:r>
          </w:p>
        </w:tc>
        <w:tc>
          <w:tcPr>
            <w:tcW w:w="377" w:type="pct"/>
            <w:shd w:val="clear" w:color="auto" w:fill="auto"/>
            <w:noWrap/>
            <w:vAlign w:val="center"/>
          </w:tcPr>
          <w:p w14:paraId="1D18C4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1个</w:t>
            </w:r>
          </w:p>
        </w:tc>
        <w:tc>
          <w:tcPr>
            <w:tcW w:w="700" w:type="pct"/>
            <w:shd w:val="clear" w:color="auto" w:fill="auto"/>
            <w:noWrap/>
            <w:vAlign w:val="center"/>
          </w:tcPr>
          <w:p w14:paraId="445228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695104" behindDoc="1" locked="0" layoutInCell="1" allowOverlap="1">
                  <wp:simplePos x="0" y="0"/>
                  <wp:positionH relativeFrom="column">
                    <wp:posOffset>466090</wp:posOffset>
                  </wp:positionH>
                  <wp:positionV relativeFrom="paragraph">
                    <wp:posOffset>60960</wp:posOffset>
                  </wp:positionV>
                  <wp:extent cx="428625" cy="333375"/>
                  <wp:effectExtent l="0" t="0" r="13335" b="1905"/>
                  <wp:wrapTight wrapText="bothSides">
                    <wp:wrapPolygon>
                      <wp:start x="0" y="0"/>
                      <wp:lineTo x="0" y="20736"/>
                      <wp:lineTo x="20736" y="20736"/>
                      <wp:lineTo x="20736" y="0"/>
                      <wp:lineTo x="0" y="0"/>
                    </wp:wrapPolygon>
                  </wp:wrapTight>
                  <wp:docPr id="83" name="图片 35" descr="IMG_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35" descr="IMG_290"/>
                          <pic:cNvPicPr>
                            <a:picLocks noChangeAspect="1"/>
                          </pic:cNvPicPr>
                        </pic:nvPicPr>
                        <pic:blipFill>
                          <a:blip r:embed="rId18"/>
                          <a:stretch>
                            <a:fillRect/>
                          </a:stretch>
                        </pic:blipFill>
                        <pic:spPr>
                          <a:xfrm>
                            <a:off x="0" y="0"/>
                            <a:ext cx="428625" cy="333375"/>
                          </a:xfrm>
                          <a:prstGeom prst="rect">
                            <a:avLst/>
                          </a:prstGeom>
                          <a:noFill/>
                          <a:ln w="9525">
                            <a:noFill/>
                          </a:ln>
                        </pic:spPr>
                      </pic:pic>
                    </a:graphicData>
                  </a:graphic>
                </wp:anchor>
              </w:drawing>
            </w:r>
          </w:p>
        </w:tc>
      </w:tr>
      <w:tr w14:paraId="447C9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04" w:type="pct"/>
            <w:shd w:val="clear" w:color="auto" w:fill="auto"/>
            <w:vAlign w:val="center"/>
          </w:tcPr>
          <w:p w14:paraId="4F0601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37</w:t>
            </w:r>
          </w:p>
        </w:tc>
        <w:tc>
          <w:tcPr>
            <w:tcW w:w="574" w:type="pct"/>
            <w:shd w:val="clear" w:color="auto" w:fill="auto"/>
            <w:vAlign w:val="center"/>
          </w:tcPr>
          <w:p w14:paraId="13DCB4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冷热水龙头</w:t>
            </w:r>
          </w:p>
        </w:tc>
        <w:tc>
          <w:tcPr>
            <w:tcW w:w="805" w:type="pct"/>
            <w:shd w:val="clear" w:color="auto" w:fill="auto"/>
            <w:vAlign w:val="center"/>
          </w:tcPr>
          <w:p w14:paraId="36B4FA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p>
        </w:tc>
        <w:tc>
          <w:tcPr>
            <w:tcW w:w="2238" w:type="pct"/>
            <w:shd w:val="clear" w:color="auto" w:fill="auto"/>
            <w:vAlign w:val="center"/>
          </w:tcPr>
          <w:p w14:paraId="38D0923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材质：100%优质62铜 高品质陶瓷阀芯；</w:t>
            </w:r>
          </w:p>
          <w:p w14:paraId="6897D41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总长：35cm（最高点到台面垂直距离）。</w:t>
            </w:r>
          </w:p>
        </w:tc>
        <w:tc>
          <w:tcPr>
            <w:tcW w:w="377" w:type="pct"/>
            <w:shd w:val="clear" w:color="auto" w:fill="auto"/>
            <w:noWrap/>
            <w:vAlign w:val="center"/>
          </w:tcPr>
          <w:p w14:paraId="23A543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2个</w:t>
            </w:r>
          </w:p>
        </w:tc>
        <w:tc>
          <w:tcPr>
            <w:tcW w:w="700" w:type="pct"/>
            <w:shd w:val="clear" w:color="auto" w:fill="auto"/>
            <w:vAlign w:val="center"/>
          </w:tcPr>
          <w:p w14:paraId="169E1C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696128" behindDoc="1" locked="0" layoutInCell="1" allowOverlap="1">
                  <wp:simplePos x="0" y="0"/>
                  <wp:positionH relativeFrom="column">
                    <wp:posOffset>542290</wp:posOffset>
                  </wp:positionH>
                  <wp:positionV relativeFrom="paragraph">
                    <wp:posOffset>45720</wp:posOffset>
                  </wp:positionV>
                  <wp:extent cx="285750" cy="361950"/>
                  <wp:effectExtent l="0" t="0" r="3810" b="3810"/>
                  <wp:wrapTight wrapText="bothSides">
                    <wp:wrapPolygon>
                      <wp:start x="0" y="0"/>
                      <wp:lineTo x="0" y="20918"/>
                      <wp:lineTo x="20736" y="20918"/>
                      <wp:lineTo x="20736" y="0"/>
                      <wp:lineTo x="0" y="0"/>
                    </wp:wrapPolygon>
                  </wp:wrapTight>
                  <wp:docPr id="82" name="图片 36" descr="IMG_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36" descr="IMG_291"/>
                          <pic:cNvPicPr>
                            <a:picLocks noChangeAspect="1"/>
                          </pic:cNvPicPr>
                        </pic:nvPicPr>
                        <pic:blipFill>
                          <a:blip r:embed="rId22"/>
                          <a:stretch>
                            <a:fillRect/>
                          </a:stretch>
                        </pic:blipFill>
                        <pic:spPr>
                          <a:xfrm>
                            <a:off x="0" y="0"/>
                            <a:ext cx="285750" cy="361950"/>
                          </a:xfrm>
                          <a:prstGeom prst="rect">
                            <a:avLst/>
                          </a:prstGeom>
                          <a:noFill/>
                          <a:ln w="9525">
                            <a:noFill/>
                          </a:ln>
                        </pic:spPr>
                      </pic:pic>
                    </a:graphicData>
                  </a:graphic>
                </wp:anchor>
              </w:drawing>
            </w:r>
          </w:p>
        </w:tc>
      </w:tr>
      <w:tr w14:paraId="547FA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4" w:type="pct"/>
            <w:shd w:val="clear" w:color="auto" w:fill="auto"/>
            <w:vAlign w:val="center"/>
          </w:tcPr>
          <w:p w14:paraId="0DD2F3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38</w:t>
            </w:r>
          </w:p>
        </w:tc>
        <w:tc>
          <w:tcPr>
            <w:tcW w:w="574" w:type="pct"/>
            <w:shd w:val="clear" w:color="auto" w:fill="auto"/>
            <w:vAlign w:val="center"/>
          </w:tcPr>
          <w:p w14:paraId="4E8D2A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紫外线消毒灯</w:t>
            </w:r>
          </w:p>
        </w:tc>
        <w:tc>
          <w:tcPr>
            <w:tcW w:w="805" w:type="pct"/>
            <w:shd w:val="clear" w:color="auto" w:fill="auto"/>
            <w:vAlign w:val="center"/>
          </w:tcPr>
          <w:p w14:paraId="47748A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p>
        </w:tc>
        <w:tc>
          <w:tcPr>
            <w:tcW w:w="2238" w:type="pct"/>
            <w:shd w:val="clear" w:color="auto" w:fill="auto"/>
            <w:vAlign w:val="center"/>
          </w:tcPr>
          <w:p w14:paraId="455CBB36">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iCs w:val="0"/>
                <w:color w:val="auto"/>
                <w:sz w:val="22"/>
                <w:szCs w:val="22"/>
                <w:u w:val="none"/>
              </w:rPr>
            </w:pPr>
          </w:p>
        </w:tc>
        <w:tc>
          <w:tcPr>
            <w:tcW w:w="377" w:type="pct"/>
            <w:shd w:val="clear" w:color="auto" w:fill="auto"/>
            <w:noWrap/>
            <w:vAlign w:val="center"/>
          </w:tcPr>
          <w:p w14:paraId="18B811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2台</w:t>
            </w:r>
          </w:p>
        </w:tc>
        <w:tc>
          <w:tcPr>
            <w:tcW w:w="700" w:type="pct"/>
            <w:shd w:val="clear" w:color="auto" w:fill="auto"/>
            <w:noWrap/>
            <w:vAlign w:val="center"/>
          </w:tcPr>
          <w:p w14:paraId="0FEF4B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697152" behindDoc="1" locked="0" layoutInCell="1" allowOverlap="1">
                  <wp:simplePos x="0" y="0"/>
                  <wp:positionH relativeFrom="column">
                    <wp:posOffset>405130</wp:posOffset>
                  </wp:positionH>
                  <wp:positionV relativeFrom="paragraph">
                    <wp:posOffset>45720</wp:posOffset>
                  </wp:positionV>
                  <wp:extent cx="552450" cy="123825"/>
                  <wp:effectExtent l="0" t="0" r="11430" b="13335"/>
                  <wp:wrapTight wrapText="bothSides">
                    <wp:wrapPolygon>
                      <wp:start x="0" y="0"/>
                      <wp:lineTo x="0" y="18609"/>
                      <wp:lineTo x="20855" y="18609"/>
                      <wp:lineTo x="20855" y="0"/>
                      <wp:lineTo x="0" y="0"/>
                    </wp:wrapPolygon>
                  </wp:wrapTight>
                  <wp:docPr id="81" name="图片 37" descr="IMG_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37" descr="IMG_292"/>
                          <pic:cNvPicPr>
                            <a:picLocks noChangeAspect="1"/>
                          </pic:cNvPicPr>
                        </pic:nvPicPr>
                        <pic:blipFill>
                          <a:blip r:embed="rId37"/>
                          <a:stretch>
                            <a:fillRect/>
                          </a:stretch>
                        </pic:blipFill>
                        <pic:spPr>
                          <a:xfrm>
                            <a:off x="0" y="0"/>
                            <a:ext cx="552450" cy="123825"/>
                          </a:xfrm>
                          <a:prstGeom prst="rect">
                            <a:avLst/>
                          </a:prstGeom>
                          <a:noFill/>
                          <a:ln w="9525">
                            <a:noFill/>
                          </a:ln>
                        </pic:spPr>
                      </pic:pic>
                    </a:graphicData>
                  </a:graphic>
                </wp:anchor>
              </w:drawing>
            </w:r>
          </w:p>
        </w:tc>
      </w:tr>
      <w:tr w14:paraId="44D03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5000" w:type="pct"/>
            <w:gridSpan w:val="6"/>
            <w:shd w:val="clear" w:color="auto" w:fill="auto"/>
            <w:vAlign w:val="center"/>
          </w:tcPr>
          <w:p w14:paraId="4CBCE7A7">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蒸煮间</w:t>
            </w:r>
          </w:p>
        </w:tc>
      </w:tr>
      <w:tr w14:paraId="0ED05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04" w:type="pct"/>
            <w:shd w:val="clear" w:color="auto" w:fill="auto"/>
            <w:vAlign w:val="center"/>
          </w:tcPr>
          <w:p w14:paraId="11E272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39</w:t>
            </w:r>
          </w:p>
        </w:tc>
        <w:tc>
          <w:tcPr>
            <w:tcW w:w="574" w:type="pct"/>
            <w:shd w:val="clear" w:color="auto" w:fill="auto"/>
            <w:vAlign w:val="center"/>
          </w:tcPr>
          <w:p w14:paraId="0BE7789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电磁可倾</w:t>
            </w:r>
          </w:p>
          <w:p w14:paraId="49023D8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（摇摆）式80</w:t>
            </w:r>
          </w:p>
          <w:p w14:paraId="32E83C2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防腐蚀汤煲炉</w:t>
            </w:r>
          </w:p>
        </w:tc>
        <w:tc>
          <w:tcPr>
            <w:tcW w:w="805" w:type="pct"/>
            <w:shd w:val="clear" w:color="auto" w:fill="auto"/>
            <w:vAlign w:val="center"/>
          </w:tcPr>
          <w:p w14:paraId="4954B4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规格：1550*1120*1000</w:t>
            </w:r>
          </w:p>
        </w:tc>
        <w:tc>
          <w:tcPr>
            <w:tcW w:w="2238" w:type="pct"/>
            <w:shd w:val="clear" w:color="auto" w:fill="auto"/>
            <w:vAlign w:val="center"/>
          </w:tcPr>
          <w:p w14:paraId="726A3320">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1、规格：≧1550*1120*1000 mm；</w:t>
            </w:r>
          </w:p>
          <w:p w14:paraId="6807C95C">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2、额定电压、功率：380V~、≧20kW；</w:t>
            </w:r>
          </w:p>
          <w:p w14:paraId="4F8E308C">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3、锅具：1个，外径，≧Φ800mm，内空，≧Φ540*h600mm；容量，≧200L；</w:t>
            </w:r>
          </w:p>
          <w:p w14:paraId="6F3DCF88">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4、锅具材质：采用≧厚3.0mm的019Cr21CuTi（443#）防腐蚀不锈钢板材制作；</w:t>
            </w:r>
          </w:p>
          <w:p w14:paraId="66C3DE2A">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5、进水及清洗∶≧Φ4分*1000mm304#拉伸龙头，龙头主体采用不锈钢06Cr19Ni10（SUS304#）材质，水龙头过滤网采用POM材质，水龙头密封硅胶垫采用硅胶材质；</w:t>
            </w:r>
          </w:p>
          <w:p w14:paraId="035764F5">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6、整机采用SUS304#不锈钢板材制作：</w:t>
            </w:r>
          </w:p>
          <w:p w14:paraId="3ACB869D">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A、面板、框架：釆用≥1.2mm 板材；</w:t>
            </w:r>
          </w:p>
          <w:p w14:paraId="1A760EAF">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B、侧板、底板、门板：釆用≥1.0mm 板材；</w:t>
            </w:r>
          </w:p>
          <w:p w14:paraId="1C9F5E96">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7、质量要求：设备符合相关卫生、安全、节能、环保相关国家标准；</w:t>
            </w:r>
          </w:p>
          <w:p w14:paraId="5F8BECE5">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2"/>
                <w:szCs w:val="22"/>
                <w:u w:val="none"/>
              </w:rPr>
            </w:pPr>
            <w:r>
              <w:rPr>
                <w:rFonts w:hint="eastAsia" w:ascii="宋体" w:hAnsi="宋体" w:eastAsia="宋体" w:cs="宋体"/>
                <w:color w:val="auto"/>
                <w:kern w:val="0"/>
                <w:sz w:val="22"/>
                <w:szCs w:val="22"/>
                <w:highlight w:val="none"/>
                <w:lang w:bidi="ar"/>
              </w:rPr>
              <w:t>★</w:t>
            </w:r>
            <w:r>
              <w:rPr>
                <w:rFonts w:hint="eastAsia" w:ascii="宋体" w:hAnsi="宋体" w:eastAsia="宋体" w:cs="宋体"/>
                <w:i w:val="0"/>
                <w:iCs w:val="0"/>
                <w:color w:val="auto"/>
                <w:sz w:val="22"/>
                <w:szCs w:val="22"/>
                <w:u w:val="none"/>
              </w:rPr>
              <w:t>8、电磁可倾（摇摆）式80防腐蚀汤煲炉整机需同时具有：</w:t>
            </w:r>
          </w:p>
          <w:p w14:paraId="14417A2E">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①符合GB4706.1-2005、GB4706.35-2008标准的≧26项安全型式试验报告和产品认证证书；</w:t>
            </w:r>
          </w:p>
          <w:p w14:paraId="7F508FD6">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②符合GB/T 26125-2011、GB/T 26572-2011标准的认证试验报告和认证证书；</w:t>
            </w:r>
          </w:p>
          <w:p w14:paraId="2491D5CF">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2"/>
                <w:szCs w:val="22"/>
                <w:u w:val="none"/>
              </w:rPr>
            </w:pPr>
            <w:r>
              <w:rPr>
                <w:rFonts w:hint="eastAsia" w:ascii="宋体" w:hAnsi="宋体" w:eastAsia="宋体" w:cs="宋体"/>
                <w:color w:val="auto"/>
                <w:kern w:val="0"/>
                <w:sz w:val="22"/>
                <w:szCs w:val="22"/>
                <w:highlight w:val="none"/>
                <w:lang w:bidi="ar"/>
              </w:rPr>
              <w:t>★</w:t>
            </w:r>
            <w:r>
              <w:rPr>
                <w:rFonts w:hint="eastAsia" w:ascii="宋体" w:hAnsi="宋体" w:eastAsia="宋体" w:cs="宋体"/>
                <w:i w:val="0"/>
                <w:iCs w:val="0"/>
                <w:color w:val="auto"/>
                <w:sz w:val="22"/>
                <w:szCs w:val="22"/>
                <w:u w:val="none"/>
              </w:rPr>
              <w:t>9、电磁可倾（摇摆）式80防腐蚀汤煲炉整机需同时具有：</w:t>
            </w:r>
          </w:p>
          <w:p w14:paraId="1315AE6B">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①符合GB/T 39640-2020标准的电磁场辐射认证试验报告和商用电磁灶电磁辐射认证证书；</w:t>
            </w:r>
          </w:p>
          <w:p w14:paraId="61F7FB32">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②符合GB/T 24021-2001标准的中国环境标志（Ⅱ型）产品认证证书；</w:t>
            </w:r>
          </w:p>
          <w:p w14:paraId="564C4732">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以上8~9项提供同时具有国家授权以上相应标准相关项目试验和认证资格的第三方出具的试验报告和有效期内认证证书（所投符合功能质量要求的设备整机名称和型号须在相关报告和证书的附录清单中以予佐证，并相关证书附录清单内容可在“全国认证认可信息公共服务平台”查询有效）扫描件加盖</w:t>
            </w:r>
            <w:r>
              <w:rPr>
                <w:rFonts w:hint="eastAsia" w:ascii="宋体" w:hAnsi="宋体" w:eastAsia="宋体" w:cs="宋体"/>
                <w:i w:val="0"/>
                <w:iCs w:val="0"/>
                <w:color w:val="auto"/>
                <w:sz w:val="22"/>
                <w:szCs w:val="22"/>
                <w:u w:val="none"/>
                <w:lang w:val="en-US" w:eastAsia="zh-CN"/>
              </w:rPr>
              <w:t>磋商供应商</w:t>
            </w:r>
            <w:r>
              <w:rPr>
                <w:rFonts w:hint="eastAsia" w:ascii="宋体" w:hAnsi="宋体" w:eastAsia="宋体" w:cs="宋体"/>
                <w:i w:val="0"/>
                <w:iCs w:val="0"/>
                <w:color w:val="auto"/>
                <w:sz w:val="22"/>
                <w:szCs w:val="22"/>
                <w:u w:val="none"/>
              </w:rPr>
              <w:t>公章，否则视为负偏离。】</w:t>
            </w:r>
          </w:p>
        </w:tc>
        <w:tc>
          <w:tcPr>
            <w:tcW w:w="377" w:type="pct"/>
            <w:shd w:val="clear" w:color="auto" w:fill="auto"/>
            <w:noWrap/>
            <w:vAlign w:val="center"/>
          </w:tcPr>
          <w:p w14:paraId="1D4160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1台</w:t>
            </w:r>
          </w:p>
        </w:tc>
        <w:tc>
          <w:tcPr>
            <w:tcW w:w="700" w:type="pct"/>
            <w:shd w:val="clear" w:color="auto" w:fill="auto"/>
            <w:vAlign w:val="center"/>
          </w:tcPr>
          <w:p w14:paraId="1FFE3B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698176" behindDoc="1" locked="0" layoutInCell="1" allowOverlap="1">
                  <wp:simplePos x="0" y="0"/>
                  <wp:positionH relativeFrom="column">
                    <wp:posOffset>315595</wp:posOffset>
                  </wp:positionH>
                  <wp:positionV relativeFrom="paragraph">
                    <wp:posOffset>426720</wp:posOffset>
                  </wp:positionV>
                  <wp:extent cx="742950" cy="742950"/>
                  <wp:effectExtent l="0" t="0" r="0" b="3810"/>
                  <wp:wrapTight wrapText="bothSides">
                    <wp:wrapPolygon>
                      <wp:start x="6203" y="443"/>
                      <wp:lineTo x="4431" y="443"/>
                      <wp:lineTo x="1329" y="5317"/>
                      <wp:lineTo x="1329" y="15951"/>
                      <wp:lineTo x="5317" y="20382"/>
                      <wp:lineTo x="6646" y="21268"/>
                      <wp:lineTo x="8862" y="21268"/>
                      <wp:lineTo x="11520" y="20382"/>
                      <wp:lineTo x="19495" y="15951"/>
                      <wp:lineTo x="19052" y="14622"/>
                      <wp:lineTo x="20825" y="5317"/>
                      <wp:lineTo x="16837" y="3102"/>
                      <wp:lineTo x="7975" y="443"/>
                      <wp:lineTo x="6203" y="443"/>
                    </wp:wrapPolygon>
                  </wp:wrapTight>
                  <wp:docPr id="80" name="图片 38" descr="IMG_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38" descr="IMG_293"/>
                          <pic:cNvPicPr>
                            <a:picLocks noChangeAspect="1"/>
                          </pic:cNvPicPr>
                        </pic:nvPicPr>
                        <pic:blipFill>
                          <a:blip r:embed="rId38"/>
                          <a:stretch>
                            <a:fillRect/>
                          </a:stretch>
                        </pic:blipFill>
                        <pic:spPr>
                          <a:xfrm>
                            <a:off x="0" y="0"/>
                            <a:ext cx="742950" cy="742950"/>
                          </a:xfrm>
                          <a:prstGeom prst="rect">
                            <a:avLst/>
                          </a:prstGeom>
                          <a:noFill/>
                          <a:ln w="9525">
                            <a:noFill/>
                          </a:ln>
                        </pic:spPr>
                      </pic:pic>
                    </a:graphicData>
                  </a:graphic>
                </wp:anchor>
              </w:drawing>
            </w:r>
          </w:p>
        </w:tc>
      </w:tr>
      <w:tr w14:paraId="741F6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4" w:type="pct"/>
            <w:shd w:val="clear" w:color="auto" w:fill="auto"/>
            <w:vAlign w:val="center"/>
          </w:tcPr>
          <w:p w14:paraId="260E5F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40</w:t>
            </w:r>
          </w:p>
        </w:tc>
        <w:tc>
          <w:tcPr>
            <w:tcW w:w="574" w:type="pct"/>
            <w:shd w:val="clear" w:color="auto" w:fill="auto"/>
            <w:vAlign w:val="center"/>
          </w:tcPr>
          <w:p w14:paraId="709D53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集汽罩(m²)</w:t>
            </w:r>
          </w:p>
        </w:tc>
        <w:tc>
          <w:tcPr>
            <w:tcW w:w="805" w:type="pct"/>
            <w:shd w:val="clear" w:color="auto" w:fill="auto"/>
            <w:vAlign w:val="center"/>
          </w:tcPr>
          <w:p w14:paraId="71423F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规格：9700×1200×500</w:t>
            </w:r>
          </w:p>
        </w:tc>
        <w:tc>
          <w:tcPr>
            <w:tcW w:w="2238" w:type="pct"/>
            <w:shd w:val="clear" w:color="auto" w:fill="auto"/>
            <w:vAlign w:val="center"/>
          </w:tcPr>
          <w:p w14:paraId="338A465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说明：304#2B发纹贴塑不锈钢板制造，前板、侧板、δ=1.0mm后板δ=0.8mm。</w:t>
            </w:r>
          </w:p>
        </w:tc>
        <w:tc>
          <w:tcPr>
            <w:tcW w:w="377" w:type="pct"/>
            <w:shd w:val="clear" w:color="auto" w:fill="auto"/>
            <w:noWrap/>
            <w:vAlign w:val="center"/>
          </w:tcPr>
          <w:p w14:paraId="337C9C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11.64m²</w:t>
            </w:r>
          </w:p>
        </w:tc>
        <w:tc>
          <w:tcPr>
            <w:tcW w:w="700" w:type="pct"/>
            <w:shd w:val="clear" w:color="auto" w:fill="auto"/>
            <w:vAlign w:val="center"/>
          </w:tcPr>
          <w:p w14:paraId="280C2C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699200" behindDoc="1" locked="0" layoutInCell="1" allowOverlap="1">
                  <wp:simplePos x="0" y="0"/>
                  <wp:positionH relativeFrom="column">
                    <wp:posOffset>389890</wp:posOffset>
                  </wp:positionH>
                  <wp:positionV relativeFrom="paragraph">
                    <wp:posOffset>60960</wp:posOffset>
                  </wp:positionV>
                  <wp:extent cx="590550" cy="333375"/>
                  <wp:effectExtent l="0" t="0" r="3810" b="1905"/>
                  <wp:wrapTight wrapText="bothSides">
                    <wp:wrapPolygon>
                      <wp:start x="0" y="0"/>
                      <wp:lineTo x="0" y="20736"/>
                      <wp:lineTo x="21182" y="20736"/>
                      <wp:lineTo x="21182" y="0"/>
                      <wp:lineTo x="0" y="0"/>
                    </wp:wrapPolygon>
                  </wp:wrapTight>
                  <wp:docPr id="79" name="图片 39" descr="IMG_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39" descr="IMG_294"/>
                          <pic:cNvPicPr>
                            <a:picLocks noChangeAspect="1"/>
                          </pic:cNvPicPr>
                        </pic:nvPicPr>
                        <pic:blipFill>
                          <a:blip r:embed="rId39"/>
                          <a:stretch>
                            <a:fillRect/>
                          </a:stretch>
                        </pic:blipFill>
                        <pic:spPr>
                          <a:xfrm>
                            <a:off x="0" y="0"/>
                            <a:ext cx="590550" cy="333375"/>
                          </a:xfrm>
                          <a:prstGeom prst="rect">
                            <a:avLst/>
                          </a:prstGeom>
                          <a:noFill/>
                          <a:ln w="9525">
                            <a:noFill/>
                          </a:ln>
                        </pic:spPr>
                      </pic:pic>
                    </a:graphicData>
                  </a:graphic>
                </wp:anchor>
              </w:drawing>
            </w:r>
          </w:p>
        </w:tc>
      </w:tr>
      <w:tr w14:paraId="49368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04" w:type="pct"/>
            <w:shd w:val="clear" w:color="auto" w:fill="auto"/>
            <w:vAlign w:val="center"/>
          </w:tcPr>
          <w:p w14:paraId="7F3AD0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41</w:t>
            </w:r>
          </w:p>
        </w:tc>
        <w:tc>
          <w:tcPr>
            <w:tcW w:w="574" w:type="pct"/>
            <w:shd w:val="clear" w:color="auto" w:fill="auto"/>
            <w:vAlign w:val="center"/>
          </w:tcPr>
          <w:p w14:paraId="0FD878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淘米星盆</w:t>
            </w:r>
          </w:p>
        </w:tc>
        <w:tc>
          <w:tcPr>
            <w:tcW w:w="805" w:type="pct"/>
            <w:shd w:val="clear" w:color="auto" w:fill="auto"/>
            <w:vAlign w:val="center"/>
          </w:tcPr>
          <w:p w14:paraId="66A0C9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规格：1200×1000×800</w:t>
            </w:r>
          </w:p>
        </w:tc>
        <w:tc>
          <w:tcPr>
            <w:tcW w:w="2238" w:type="pct"/>
            <w:shd w:val="clear" w:color="auto" w:fill="auto"/>
            <w:vAlign w:val="center"/>
          </w:tcPr>
          <w:p w14:paraId="291FFBF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说明：304#2B发纹贴塑不锈钢板制造；台面δ=1.2，星盆斗δ=1.0；骨架采用δ=1.0 Φ38不锈钢圆通，配Φ38不锈钢可调节重力子弹脚，配落水器、拦渣斗。</w:t>
            </w:r>
          </w:p>
        </w:tc>
        <w:tc>
          <w:tcPr>
            <w:tcW w:w="377" w:type="pct"/>
            <w:shd w:val="clear" w:color="auto" w:fill="auto"/>
            <w:noWrap/>
            <w:vAlign w:val="center"/>
          </w:tcPr>
          <w:p w14:paraId="574972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2台</w:t>
            </w:r>
          </w:p>
        </w:tc>
        <w:tc>
          <w:tcPr>
            <w:tcW w:w="700" w:type="pct"/>
            <w:shd w:val="clear" w:color="auto" w:fill="auto"/>
            <w:vAlign w:val="center"/>
          </w:tcPr>
          <w:p w14:paraId="423D49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700224" behindDoc="1" locked="0" layoutInCell="1" allowOverlap="1">
                  <wp:simplePos x="0" y="0"/>
                  <wp:positionH relativeFrom="column">
                    <wp:posOffset>435610</wp:posOffset>
                  </wp:positionH>
                  <wp:positionV relativeFrom="paragraph">
                    <wp:posOffset>-129540</wp:posOffset>
                  </wp:positionV>
                  <wp:extent cx="495300" cy="485775"/>
                  <wp:effectExtent l="0" t="0" r="7620" b="1905"/>
                  <wp:wrapTight wrapText="bothSides">
                    <wp:wrapPolygon>
                      <wp:start x="0" y="0"/>
                      <wp:lineTo x="0" y="21007"/>
                      <wp:lineTo x="21268" y="21007"/>
                      <wp:lineTo x="21268" y="0"/>
                      <wp:lineTo x="0" y="0"/>
                    </wp:wrapPolygon>
                  </wp:wrapTight>
                  <wp:docPr id="78" name="图片 40" descr="IMG_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40" descr="IMG_295"/>
                          <pic:cNvPicPr>
                            <a:picLocks noChangeAspect="1"/>
                          </pic:cNvPicPr>
                        </pic:nvPicPr>
                        <pic:blipFill>
                          <a:blip r:embed="rId40"/>
                          <a:stretch>
                            <a:fillRect/>
                          </a:stretch>
                        </pic:blipFill>
                        <pic:spPr>
                          <a:xfrm>
                            <a:off x="0" y="0"/>
                            <a:ext cx="495300" cy="485775"/>
                          </a:xfrm>
                          <a:prstGeom prst="rect">
                            <a:avLst/>
                          </a:prstGeom>
                          <a:noFill/>
                          <a:ln w="9525">
                            <a:noFill/>
                          </a:ln>
                        </pic:spPr>
                      </pic:pic>
                    </a:graphicData>
                  </a:graphic>
                </wp:anchor>
              </w:drawing>
            </w:r>
          </w:p>
        </w:tc>
      </w:tr>
      <w:tr w14:paraId="27390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04" w:type="pct"/>
            <w:shd w:val="clear" w:color="auto" w:fill="auto"/>
            <w:vAlign w:val="center"/>
          </w:tcPr>
          <w:p w14:paraId="408352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42</w:t>
            </w:r>
          </w:p>
        </w:tc>
        <w:tc>
          <w:tcPr>
            <w:tcW w:w="574" w:type="pct"/>
            <w:shd w:val="clear" w:color="auto" w:fill="auto"/>
            <w:vAlign w:val="center"/>
          </w:tcPr>
          <w:p w14:paraId="17995A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冷热水龙头</w:t>
            </w:r>
          </w:p>
        </w:tc>
        <w:tc>
          <w:tcPr>
            <w:tcW w:w="805" w:type="pct"/>
            <w:shd w:val="clear" w:color="auto" w:fill="auto"/>
            <w:vAlign w:val="center"/>
          </w:tcPr>
          <w:p w14:paraId="6A094B5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p>
        </w:tc>
        <w:tc>
          <w:tcPr>
            <w:tcW w:w="2238" w:type="pct"/>
            <w:shd w:val="clear" w:color="auto" w:fill="auto"/>
            <w:vAlign w:val="center"/>
          </w:tcPr>
          <w:p w14:paraId="0C597D0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材质：100%优质62铜 高品质陶瓷阀芯；</w:t>
            </w:r>
          </w:p>
          <w:p w14:paraId="6B71E66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总长：35cm（最高点到台面垂直距离）。</w:t>
            </w:r>
          </w:p>
        </w:tc>
        <w:tc>
          <w:tcPr>
            <w:tcW w:w="377" w:type="pct"/>
            <w:shd w:val="clear" w:color="auto" w:fill="auto"/>
            <w:noWrap/>
            <w:vAlign w:val="center"/>
          </w:tcPr>
          <w:p w14:paraId="12F765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2个</w:t>
            </w:r>
          </w:p>
        </w:tc>
        <w:tc>
          <w:tcPr>
            <w:tcW w:w="700" w:type="pct"/>
            <w:shd w:val="clear" w:color="auto" w:fill="auto"/>
            <w:vAlign w:val="center"/>
          </w:tcPr>
          <w:p w14:paraId="6D8972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701248" behindDoc="1" locked="0" layoutInCell="1" allowOverlap="1">
                  <wp:simplePos x="0" y="0"/>
                  <wp:positionH relativeFrom="column">
                    <wp:posOffset>542290</wp:posOffset>
                  </wp:positionH>
                  <wp:positionV relativeFrom="paragraph">
                    <wp:posOffset>45720</wp:posOffset>
                  </wp:positionV>
                  <wp:extent cx="285750" cy="361950"/>
                  <wp:effectExtent l="0" t="0" r="3810" b="3810"/>
                  <wp:wrapTight wrapText="bothSides">
                    <wp:wrapPolygon>
                      <wp:start x="0" y="0"/>
                      <wp:lineTo x="0" y="20918"/>
                      <wp:lineTo x="20736" y="20918"/>
                      <wp:lineTo x="20736" y="0"/>
                      <wp:lineTo x="0" y="0"/>
                    </wp:wrapPolygon>
                  </wp:wrapTight>
                  <wp:docPr id="77" name="图片 41" descr="IMG_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41" descr="IMG_296"/>
                          <pic:cNvPicPr>
                            <a:picLocks noChangeAspect="1"/>
                          </pic:cNvPicPr>
                        </pic:nvPicPr>
                        <pic:blipFill>
                          <a:blip r:embed="rId22"/>
                          <a:stretch>
                            <a:fillRect/>
                          </a:stretch>
                        </pic:blipFill>
                        <pic:spPr>
                          <a:xfrm>
                            <a:off x="0" y="0"/>
                            <a:ext cx="285750" cy="361950"/>
                          </a:xfrm>
                          <a:prstGeom prst="rect">
                            <a:avLst/>
                          </a:prstGeom>
                          <a:noFill/>
                          <a:ln w="9525">
                            <a:noFill/>
                          </a:ln>
                        </pic:spPr>
                      </pic:pic>
                    </a:graphicData>
                  </a:graphic>
                </wp:anchor>
              </w:drawing>
            </w:r>
          </w:p>
        </w:tc>
      </w:tr>
      <w:tr w14:paraId="14233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5000" w:type="pct"/>
            <w:gridSpan w:val="6"/>
            <w:shd w:val="clear" w:color="auto" w:fill="auto"/>
            <w:vAlign w:val="center"/>
          </w:tcPr>
          <w:p w14:paraId="51088856">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煮面间</w:t>
            </w:r>
          </w:p>
        </w:tc>
      </w:tr>
      <w:tr w14:paraId="4AF86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4" w:type="pct"/>
            <w:shd w:val="clear" w:color="auto" w:fill="auto"/>
            <w:vAlign w:val="center"/>
          </w:tcPr>
          <w:p w14:paraId="011F77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43</w:t>
            </w:r>
          </w:p>
        </w:tc>
        <w:tc>
          <w:tcPr>
            <w:tcW w:w="574" w:type="pct"/>
            <w:shd w:val="clear" w:color="auto" w:fill="auto"/>
            <w:vAlign w:val="center"/>
          </w:tcPr>
          <w:p w14:paraId="03AA20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冷热水龙头</w:t>
            </w:r>
          </w:p>
        </w:tc>
        <w:tc>
          <w:tcPr>
            <w:tcW w:w="805" w:type="pct"/>
            <w:shd w:val="clear" w:color="auto" w:fill="auto"/>
            <w:vAlign w:val="center"/>
          </w:tcPr>
          <w:p w14:paraId="4DBC416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p>
        </w:tc>
        <w:tc>
          <w:tcPr>
            <w:tcW w:w="2238" w:type="pct"/>
            <w:shd w:val="clear" w:color="auto" w:fill="auto"/>
            <w:vAlign w:val="center"/>
          </w:tcPr>
          <w:p w14:paraId="5CCF0FA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材质：100%优质62铜 高品质陶瓷阀芯；</w:t>
            </w:r>
          </w:p>
          <w:p w14:paraId="05F42C0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总长：35cm（最高点到台面垂直距离）。</w:t>
            </w:r>
          </w:p>
        </w:tc>
        <w:tc>
          <w:tcPr>
            <w:tcW w:w="377" w:type="pct"/>
            <w:shd w:val="clear" w:color="auto" w:fill="auto"/>
            <w:noWrap/>
            <w:vAlign w:val="center"/>
          </w:tcPr>
          <w:p w14:paraId="253E53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2个</w:t>
            </w:r>
          </w:p>
        </w:tc>
        <w:tc>
          <w:tcPr>
            <w:tcW w:w="700" w:type="pct"/>
            <w:shd w:val="clear" w:color="auto" w:fill="auto"/>
            <w:vAlign w:val="center"/>
          </w:tcPr>
          <w:p w14:paraId="021099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702272" behindDoc="1" locked="0" layoutInCell="1" allowOverlap="1">
                  <wp:simplePos x="0" y="0"/>
                  <wp:positionH relativeFrom="column">
                    <wp:posOffset>542290</wp:posOffset>
                  </wp:positionH>
                  <wp:positionV relativeFrom="paragraph">
                    <wp:posOffset>45720</wp:posOffset>
                  </wp:positionV>
                  <wp:extent cx="285750" cy="361950"/>
                  <wp:effectExtent l="0" t="0" r="3810" b="3810"/>
                  <wp:wrapTight wrapText="bothSides">
                    <wp:wrapPolygon>
                      <wp:start x="0" y="0"/>
                      <wp:lineTo x="0" y="20918"/>
                      <wp:lineTo x="20736" y="20918"/>
                      <wp:lineTo x="20736" y="0"/>
                      <wp:lineTo x="0" y="0"/>
                    </wp:wrapPolygon>
                  </wp:wrapTight>
                  <wp:docPr id="76" name="图片 42" descr="IMG_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42" descr="IMG_297"/>
                          <pic:cNvPicPr>
                            <a:picLocks noChangeAspect="1"/>
                          </pic:cNvPicPr>
                        </pic:nvPicPr>
                        <pic:blipFill>
                          <a:blip r:embed="rId22"/>
                          <a:stretch>
                            <a:fillRect/>
                          </a:stretch>
                        </pic:blipFill>
                        <pic:spPr>
                          <a:xfrm>
                            <a:off x="0" y="0"/>
                            <a:ext cx="285750" cy="361950"/>
                          </a:xfrm>
                          <a:prstGeom prst="rect">
                            <a:avLst/>
                          </a:prstGeom>
                          <a:noFill/>
                          <a:ln w="9525">
                            <a:noFill/>
                          </a:ln>
                        </pic:spPr>
                      </pic:pic>
                    </a:graphicData>
                  </a:graphic>
                </wp:anchor>
              </w:drawing>
            </w:r>
          </w:p>
        </w:tc>
      </w:tr>
      <w:tr w14:paraId="0D764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04" w:type="pct"/>
            <w:shd w:val="clear" w:color="auto" w:fill="auto"/>
            <w:vAlign w:val="center"/>
          </w:tcPr>
          <w:p w14:paraId="44E8D0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44</w:t>
            </w:r>
          </w:p>
        </w:tc>
        <w:tc>
          <w:tcPr>
            <w:tcW w:w="574" w:type="pct"/>
            <w:shd w:val="clear" w:color="auto" w:fill="auto"/>
            <w:vAlign w:val="center"/>
          </w:tcPr>
          <w:p w14:paraId="18821A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电磁单头50</w:t>
            </w:r>
          </w:p>
          <w:p w14:paraId="61CC63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防腐蚀汤煲炉</w:t>
            </w:r>
          </w:p>
        </w:tc>
        <w:tc>
          <w:tcPr>
            <w:tcW w:w="805" w:type="pct"/>
            <w:shd w:val="clear" w:color="auto" w:fill="auto"/>
            <w:vAlign w:val="center"/>
          </w:tcPr>
          <w:p w14:paraId="53B1B0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规格：800*800*（800+400）</w:t>
            </w:r>
          </w:p>
        </w:tc>
        <w:tc>
          <w:tcPr>
            <w:tcW w:w="2238" w:type="pct"/>
            <w:shd w:val="clear" w:color="auto" w:fill="auto"/>
            <w:vAlign w:val="center"/>
          </w:tcPr>
          <w:p w14:paraId="36C283FF">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1、规格：≧800*800* (500+700) mm；</w:t>
            </w:r>
          </w:p>
          <w:p w14:paraId="69BC3C05">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2、额定电压、功率：380V、15kW；</w:t>
            </w:r>
          </w:p>
          <w:p w14:paraId="6F3ABEEE">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3、汤锅：1个，Φ500*h500mm汤锅；桶具净重，9.6kg；容量，98L；</w:t>
            </w:r>
          </w:p>
          <w:p w14:paraId="35FBA389">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4、汤锅材质：采用≧厚1.5~3.0mm的 06Cr19Ni10（SUS304#不锈钢）+12Cr13（410#不锈钢）防腐蚀复合板材制作；；</w:t>
            </w:r>
          </w:p>
          <w:p w14:paraId="73FEF0C1">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5、进水∶1个，≥Ф4分*250mm304#不锈钢250摇摆龙头进水，龙头主体采用不锈钢06Cr19Ni10（SUS304#）材质，水龙头过滤网采用POM材质，水龙头密封硅胶垫采用硅胶材质；</w:t>
            </w:r>
          </w:p>
          <w:p w14:paraId="36C05E65">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6、整机采用SUS304#不锈钢板材制作：</w:t>
            </w:r>
          </w:p>
          <w:p w14:paraId="52E2EE6F">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A、面板、框架：釆用≥1.2mm 板材；</w:t>
            </w:r>
          </w:p>
          <w:p w14:paraId="37266B41">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B、侧板、底板、门板：釆用≥1.0mm 板材；</w:t>
            </w:r>
          </w:p>
          <w:p w14:paraId="43E5CE8C">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7、质量要求：设备符合相关卫生、安全、节能、环保相关国家标准；</w:t>
            </w:r>
          </w:p>
          <w:p w14:paraId="24D2E2A3">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★8、电磁单头防腐蚀50汤煲炉整机需同时具有：</w:t>
            </w:r>
          </w:p>
          <w:p w14:paraId="179B4D2E">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①符合GB 4806.7-2016、GB 4806.9-2016、GB 4806.11-2016标准的食品接触安全认证标志试验报告和认证证书；</w:t>
            </w:r>
          </w:p>
          <w:p w14:paraId="4BA79587">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②符合GB/T 39640-2020标准的电磁场辐射认证试验报告和商用电磁灶电磁辐射认证证书；</w:t>
            </w:r>
          </w:p>
          <w:p w14:paraId="6B2624A8">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★9、电磁单头防腐蚀50汤煲炉整机需同时具有：</w:t>
            </w:r>
          </w:p>
          <w:p w14:paraId="3E776F8B">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①符合GB40876-2021标准的热效率≧92%的中国节能产品认证试验报告和中国节能产品认证证书；</w:t>
            </w:r>
          </w:p>
          <w:p w14:paraId="408AB34A">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②符合GB/T 24021-2001标准的中国环境标志（Ⅱ型）产品认证证书；</w:t>
            </w:r>
          </w:p>
          <w:p w14:paraId="3579DB5A">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以上8~9项提供同时具有国家授权以上相应标准相关项目试验和认证资格的第三方出具的试验报告和有效期内认证证书（所投符合功能质量要求的设备整机名称和型号须在相关报告和证书的附录清单中以予佐证，并相关证书附录清单内容可在“全国认证认可信息公共服务平台”查询有效）扫描件加盖</w:t>
            </w:r>
            <w:r>
              <w:rPr>
                <w:rFonts w:hint="eastAsia" w:ascii="宋体" w:hAnsi="宋体" w:eastAsia="宋体" w:cs="宋体"/>
                <w:i w:val="0"/>
                <w:iCs w:val="0"/>
                <w:color w:val="auto"/>
                <w:sz w:val="22"/>
                <w:szCs w:val="22"/>
                <w:u w:val="none"/>
                <w:lang w:val="en-US" w:eastAsia="zh-CN"/>
              </w:rPr>
              <w:t>磋商供应商</w:t>
            </w:r>
            <w:r>
              <w:rPr>
                <w:rFonts w:hint="eastAsia" w:ascii="宋体" w:hAnsi="宋体" w:eastAsia="宋体" w:cs="宋体"/>
                <w:i w:val="0"/>
                <w:iCs w:val="0"/>
                <w:color w:val="auto"/>
                <w:sz w:val="22"/>
                <w:szCs w:val="22"/>
                <w:u w:val="none"/>
              </w:rPr>
              <w:t>公章，否则视为负偏离。】</w:t>
            </w:r>
          </w:p>
        </w:tc>
        <w:tc>
          <w:tcPr>
            <w:tcW w:w="377" w:type="pct"/>
            <w:shd w:val="clear" w:color="auto" w:fill="auto"/>
            <w:noWrap/>
            <w:vAlign w:val="center"/>
          </w:tcPr>
          <w:p w14:paraId="1A1CE7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2台</w:t>
            </w:r>
          </w:p>
        </w:tc>
        <w:tc>
          <w:tcPr>
            <w:tcW w:w="700" w:type="pct"/>
            <w:shd w:val="clear" w:color="auto" w:fill="auto"/>
            <w:vAlign w:val="center"/>
          </w:tcPr>
          <w:p w14:paraId="4ABDBC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color w:val="auto"/>
                <w:sz w:val="22"/>
                <w:szCs w:val="22"/>
              </w:rPr>
              <w:drawing>
                <wp:anchor distT="0" distB="0" distL="114300" distR="114300" simplePos="0" relativeHeight="251703296" behindDoc="1" locked="0" layoutInCell="1" allowOverlap="1">
                  <wp:simplePos x="0" y="0"/>
                  <wp:positionH relativeFrom="column">
                    <wp:posOffset>412750</wp:posOffset>
                  </wp:positionH>
                  <wp:positionV relativeFrom="paragraph">
                    <wp:posOffset>1790700</wp:posOffset>
                  </wp:positionV>
                  <wp:extent cx="541020" cy="532765"/>
                  <wp:effectExtent l="0" t="0" r="7620" b="635"/>
                  <wp:wrapTight wrapText="bothSides">
                    <wp:wrapPolygon>
                      <wp:start x="0" y="0"/>
                      <wp:lineTo x="0" y="21008"/>
                      <wp:lineTo x="21296" y="21008"/>
                      <wp:lineTo x="21296" y="0"/>
                      <wp:lineTo x="0" y="0"/>
                    </wp:wrapPolygon>
                  </wp:wrapTight>
                  <wp:docPr id="89" name="图片 7" descr="D款单头汤煲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7" descr="D款单头汤煲炉"/>
                          <pic:cNvPicPr>
                            <a:picLocks noChangeAspect="1"/>
                          </pic:cNvPicPr>
                        </pic:nvPicPr>
                        <pic:blipFill>
                          <a:blip r:embed="rId41"/>
                          <a:stretch>
                            <a:fillRect/>
                          </a:stretch>
                        </pic:blipFill>
                        <pic:spPr>
                          <a:xfrm>
                            <a:off x="0" y="0"/>
                            <a:ext cx="541020" cy="532765"/>
                          </a:xfrm>
                          <a:prstGeom prst="rect">
                            <a:avLst/>
                          </a:prstGeom>
                          <a:noFill/>
                          <a:ln w="9525">
                            <a:noFill/>
                          </a:ln>
                        </pic:spPr>
                      </pic:pic>
                    </a:graphicData>
                  </a:graphic>
                </wp:anchor>
              </w:drawing>
            </w:r>
          </w:p>
        </w:tc>
      </w:tr>
      <w:tr w14:paraId="6519C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04" w:type="pct"/>
            <w:shd w:val="clear" w:color="auto" w:fill="auto"/>
            <w:vAlign w:val="center"/>
          </w:tcPr>
          <w:p w14:paraId="69678D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45</w:t>
            </w:r>
          </w:p>
        </w:tc>
        <w:tc>
          <w:tcPr>
            <w:tcW w:w="574" w:type="pct"/>
            <w:shd w:val="clear" w:color="auto" w:fill="auto"/>
            <w:vAlign w:val="center"/>
          </w:tcPr>
          <w:p w14:paraId="066AC7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电磁 40 防粘锅扒炉（铁板烧）</w:t>
            </w:r>
          </w:p>
        </w:tc>
        <w:tc>
          <w:tcPr>
            <w:tcW w:w="805" w:type="pct"/>
            <w:shd w:val="clear" w:color="auto" w:fill="auto"/>
            <w:vAlign w:val="center"/>
          </w:tcPr>
          <w:p w14:paraId="05ACF4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规格：750*800*（800+50）</w:t>
            </w:r>
          </w:p>
        </w:tc>
        <w:tc>
          <w:tcPr>
            <w:tcW w:w="2238" w:type="pct"/>
            <w:shd w:val="clear" w:color="auto" w:fill="auto"/>
            <w:vAlign w:val="center"/>
          </w:tcPr>
          <w:p w14:paraId="3A21E18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1、规格：≧750*800*（800+50）mm；</w:t>
            </w:r>
          </w:p>
          <w:p w14:paraId="769F4EA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2、额定电压、功率：380V~、≧15kW；</w:t>
            </w:r>
          </w:p>
          <w:p w14:paraId="6401D42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3、煎板锅：1块，≧565*445*15mm，；</w:t>
            </w:r>
          </w:p>
          <w:p w14:paraId="3AAF36C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4、锅具材质：采用厚≧15.0mm的耐冲击、耐磨损、无涂层，经过PVD氮气沉相渗透技术处理的Q235#防粘锅板材制作；</w:t>
            </w:r>
          </w:p>
          <w:p w14:paraId="1A30F72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5、清洗龙头：1套，采用≧Ф4分高弯龙头控制进水，高弯龙头龙头主体采用不锈钢06Cr19Ni10（SUS304#）材质，水龙头过滤网采用POM材质，水龙头密封硅胶垫采用硅胶材质；</w:t>
            </w:r>
          </w:p>
          <w:p w14:paraId="43C38FC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6、整机采用SUS304#不锈钢板材制作：</w:t>
            </w:r>
          </w:p>
          <w:p w14:paraId="70ACEC0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A、面板、框架：釆用≥1.2mm 板材；</w:t>
            </w:r>
          </w:p>
          <w:p w14:paraId="51F8BE0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B、侧板、底板、门板：釆用≥1.0mm 板材；</w:t>
            </w:r>
          </w:p>
          <w:p w14:paraId="485D4DB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7、加热技术与效果：采用电磁感应加热技术；发热面≥430*310mm，均匀无盲区加热设计；</w:t>
            </w:r>
          </w:p>
          <w:p w14:paraId="1FFC553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8、温度控制：采用PID限温缓趋温控技术，温度误差±5℃；</w:t>
            </w:r>
          </w:p>
          <w:p w14:paraId="13149F4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9、质量要求：设备符合相关卫生、安全、节能、环保相关国家标准；</w:t>
            </w:r>
          </w:p>
          <w:p w14:paraId="51E464A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★10、电磁 40 防粘锅扒炉（铁板烧）整机需同时具有：</w:t>
            </w:r>
          </w:p>
          <w:p w14:paraId="4DDB3C6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①符合GB 4806.7-2016、GB 4806.9-2016、GB 4806.11-2016标准的食品接触安全认证标志试验报告和认证证书；</w:t>
            </w:r>
          </w:p>
          <w:p w14:paraId="1C0A0E2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②符合符GB4706.1-2005、GB4706.37-2008标准的≧26项安全型式实验检测报告和产品认证证书；</w:t>
            </w:r>
          </w:p>
          <w:p w14:paraId="29E9B6E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★11、电磁 40 防粘锅扒炉（铁板烧）整机需同时具有：</w:t>
            </w:r>
          </w:p>
          <w:p w14:paraId="0BE7B79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①符合GB 4806.7-2016、GB 4806.9-2016、GB 4806.11-2016标准的食品接触安全认证标志试验报告和认证证书；</w:t>
            </w:r>
          </w:p>
          <w:p w14:paraId="215B086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②符合GB/T 39640-2020标准的电磁场辐射认证试验报告和商用电磁灶电磁辐射认证证书；</w:t>
            </w:r>
          </w:p>
          <w:p w14:paraId="563FF12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以上10~11项提供同时具有国家授权以上相应标准相关项目试验和认证资格的第三方出具的试验报告和有效期内认证证书（所投符合功能质量要求的设备整机名称和型号须在相关报告和证书的清单中以予佐证，并证书清单内容可在“全国认证认可信息公共服务平台”查询有效）扫描件加盖磋商供应商公章，否则视为负偏离。】</w:t>
            </w:r>
          </w:p>
        </w:tc>
        <w:tc>
          <w:tcPr>
            <w:tcW w:w="377" w:type="pct"/>
            <w:shd w:val="clear" w:color="auto" w:fill="auto"/>
            <w:noWrap/>
            <w:vAlign w:val="center"/>
          </w:tcPr>
          <w:p w14:paraId="365842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1台</w:t>
            </w:r>
          </w:p>
        </w:tc>
        <w:tc>
          <w:tcPr>
            <w:tcW w:w="700" w:type="pct"/>
            <w:shd w:val="clear" w:color="auto" w:fill="auto"/>
            <w:noWrap/>
            <w:vAlign w:val="center"/>
          </w:tcPr>
          <w:p w14:paraId="2FA769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704320" behindDoc="1" locked="0" layoutInCell="1" allowOverlap="1">
                  <wp:simplePos x="0" y="0"/>
                  <wp:positionH relativeFrom="column">
                    <wp:posOffset>488950</wp:posOffset>
                  </wp:positionH>
                  <wp:positionV relativeFrom="paragraph">
                    <wp:posOffset>1478280</wp:posOffset>
                  </wp:positionV>
                  <wp:extent cx="390525" cy="466725"/>
                  <wp:effectExtent l="0" t="0" r="5715" b="5715"/>
                  <wp:wrapTight wrapText="bothSides">
                    <wp:wrapPolygon>
                      <wp:start x="0" y="0"/>
                      <wp:lineTo x="0" y="21159"/>
                      <wp:lineTo x="21073" y="21159"/>
                      <wp:lineTo x="21073" y="0"/>
                      <wp:lineTo x="0" y="0"/>
                    </wp:wrapPolygon>
                  </wp:wrapTight>
                  <wp:docPr id="90" name="图片 350" descr="IMG_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350" descr="IMG_329"/>
                          <pic:cNvPicPr>
                            <a:picLocks noChangeAspect="1"/>
                          </pic:cNvPicPr>
                        </pic:nvPicPr>
                        <pic:blipFill>
                          <a:blip r:embed="rId42"/>
                          <a:stretch>
                            <a:fillRect/>
                          </a:stretch>
                        </pic:blipFill>
                        <pic:spPr>
                          <a:xfrm>
                            <a:off x="0" y="0"/>
                            <a:ext cx="390525" cy="466725"/>
                          </a:xfrm>
                          <a:prstGeom prst="rect">
                            <a:avLst/>
                          </a:prstGeom>
                          <a:noFill/>
                          <a:ln w="9525">
                            <a:noFill/>
                          </a:ln>
                        </pic:spPr>
                      </pic:pic>
                    </a:graphicData>
                  </a:graphic>
                </wp:anchor>
              </w:drawing>
            </w:r>
          </w:p>
        </w:tc>
      </w:tr>
      <w:tr w14:paraId="16EAF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04" w:type="pct"/>
            <w:shd w:val="clear" w:color="auto" w:fill="auto"/>
            <w:vAlign w:val="center"/>
          </w:tcPr>
          <w:p w14:paraId="56B178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46</w:t>
            </w:r>
          </w:p>
        </w:tc>
        <w:tc>
          <w:tcPr>
            <w:tcW w:w="574" w:type="pct"/>
            <w:shd w:val="clear" w:color="auto" w:fill="auto"/>
            <w:vAlign w:val="center"/>
          </w:tcPr>
          <w:p w14:paraId="0D4075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明档岛式油网烟罩</w:t>
            </w:r>
          </w:p>
        </w:tc>
        <w:tc>
          <w:tcPr>
            <w:tcW w:w="805" w:type="pct"/>
            <w:shd w:val="clear" w:color="auto" w:fill="auto"/>
            <w:vAlign w:val="center"/>
          </w:tcPr>
          <w:p w14:paraId="44AB04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3800×1000×500</w:t>
            </w:r>
          </w:p>
        </w:tc>
        <w:tc>
          <w:tcPr>
            <w:tcW w:w="2238" w:type="pct"/>
            <w:shd w:val="clear" w:color="auto" w:fill="auto"/>
            <w:vAlign w:val="center"/>
          </w:tcPr>
          <w:p w14:paraId="4A4642D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说明：304#2B发纹贴塑不锈钢板制造，前板、侧板、δ=1.2mm后板δ=0.8mm。</w:t>
            </w:r>
          </w:p>
        </w:tc>
        <w:tc>
          <w:tcPr>
            <w:tcW w:w="377" w:type="pct"/>
            <w:shd w:val="clear" w:color="auto" w:fill="auto"/>
            <w:noWrap/>
            <w:vAlign w:val="center"/>
          </w:tcPr>
          <w:p w14:paraId="73FB33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700" w:type="pct"/>
            <w:shd w:val="clear" w:color="auto" w:fill="auto"/>
            <w:vAlign w:val="center"/>
          </w:tcPr>
          <w:p w14:paraId="50A496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705344" behindDoc="1" locked="0" layoutInCell="1" allowOverlap="1">
                  <wp:simplePos x="0" y="0"/>
                  <wp:positionH relativeFrom="column">
                    <wp:posOffset>321310</wp:posOffset>
                  </wp:positionH>
                  <wp:positionV relativeFrom="paragraph">
                    <wp:posOffset>30480</wp:posOffset>
                  </wp:positionV>
                  <wp:extent cx="723900" cy="390525"/>
                  <wp:effectExtent l="0" t="0" r="7620" b="5715"/>
                  <wp:wrapTight wrapText="bothSides">
                    <wp:wrapPolygon>
                      <wp:start x="0" y="0"/>
                      <wp:lineTo x="0" y="21073"/>
                      <wp:lineTo x="21373" y="21073"/>
                      <wp:lineTo x="21373" y="0"/>
                      <wp:lineTo x="0" y="0"/>
                    </wp:wrapPolygon>
                  </wp:wrapTight>
                  <wp:docPr id="73" name="图片 45" descr="IMG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45" descr="IMG_300"/>
                          <pic:cNvPicPr>
                            <a:picLocks noChangeAspect="1"/>
                          </pic:cNvPicPr>
                        </pic:nvPicPr>
                        <pic:blipFill>
                          <a:blip r:embed="rId43"/>
                          <a:stretch>
                            <a:fillRect/>
                          </a:stretch>
                        </pic:blipFill>
                        <pic:spPr>
                          <a:xfrm>
                            <a:off x="0" y="0"/>
                            <a:ext cx="723900" cy="390525"/>
                          </a:xfrm>
                          <a:prstGeom prst="rect">
                            <a:avLst/>
                          </a:prstGeom>
                          <a:noFill/>
                          <a:ln w="9525">
                            <a:noFill/>
                          </a:ln>
                        </pic:spPr>
                      </pic:pic>
                    </a:graphicData>
                  </a:graphic>
                </wp:anchor>
              </w:drawing>
            </w:r>
          </w:p>
        </w:tc>
      </w:tr>
      <w:tr w14:paraId="3A7F4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4" w:type="pct"/>
            <w:shd w:val="clear" w:color="auto" w:fill="auto"/>
            <w:vAlign w:val="center"/>
          </w:tcPr>
          <w:p w14:paraId="2B7ACA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47</w:t>
            </w:r>
          </w:p>
        </w:tc>
        <w:tc>
          <w:tcPr>
            <w:tcW w:w="574" w:type="pct"/>
            <w:shd w:val="clear" w:color="auto" w:fill="auto"/>
            <w:vAlign w:val="center"/>
          </w:tcPr>
          <w:p w14:paraId="0EF05C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5#静音轴流风机</w:t>
            </w:r>
          </w:p>
        </w:tc>
        <w:tc>
          <w:tcPr>
            <w:tcW w:w="805" w:type="pct"/>
            <w:shd w:val="clear" w:color="auto" w:fill="auto"/>
            <w:vAlign w:val="center"/>
          </w:tcPr>
          <w:p w14:paraId="3BACFE4C">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2"/>
                <w:szCs w:val="22"/>
                <w:u w:val="none"/>
              </w:rPr>
            </w:pPr>
          </w:p>
        </w:tc>
        <w:tc>
          <w:tcPr>
            <w:tcW w:w="2238" w:type="pct"/>
            <w:shd w:val="clear" w:color="auto" w:fill="auto"/>
            <w:vAlign w:val="center"/>
          </w:tcPr>
          <w:p w14:paraId="340D076C">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2"/>
                <w:szCs w:val="22"/>
                <w:u w:val="none"/>
              </w:rPr>
            </w:pPr>
          </w:p>
        </w:tc>
        <w:tc>
          <w:tcPr>
            <w:tcW w:w="377" w:type="pct"/>
            <w:shd w:val="clear" w:color="auto" w:fill="auto"/>
            <w:vAlign w:val="center"/>
          </w:tcPr>
          <w:p w14:paraId="1CB6D9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1台</w:t>
            </w:r>
          </w:p>
        </w:tc>
        <w:tc>
          <w:tcPr>
            <w:tcW w:w="700" w:type="pct"/>
            <w:shd w:val="clear" w:color="auto" w:fill="auto"/>
            <w:noWrap/>
            <w:vAlign w:val="center"/>
          </w:tcPr>
          <w:p w14:paraId="2920FA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706368" behindDoc="1" locked="0" layoutInCell="1" allowOverlap="1">
                  <wp:simplePos x="0" y="0"/>
                  <wp:positionH relativeFrom="column">
                    <wp:posOffset>443230</wp:posOffset>
                  </wp:positionH>
                  <wp:positionV relativeFrom="paragraph">
                    <wp:posOffset>-15240</wp:posOffset>
                  </wp:positionV>
                  <wp:extent cx="476250" cy="485775"/>
                  <wp:effectExtent l="0" t="0" r="11430" b="1905"/>
                  <wp:wrapTight wrapText="bothSides">
                    <wp:wrapPolygon>
                      <wp:start x="0" y="0"/>
                      <wp:lineTo x="0" y="21007"/>
                      <wp:lineTo x="20736" y="21007"/>
                      <wp:lineTo x="20736" y="0"/>
                      <wp:lineTo x="0" y="0"/>
                    </wp:wrapPolygon>
                  </wp:wrapTight>
                  <wp:docPr id="72" name="图片 46" descr="IMG_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46" descr="IMG_301"/>
                          <pic:cNvPicPr>
                            <a:picLocks noChangeAspect="1"/>
                          </pic:cNvPicPr>
                        </pic:nvPicPr>
                        <pic:blipFill>
                          <a:blip r:embed="rId44"/>
                          <a:stretch>
                            <a:fillRect/>
                          </a:stretch>
                        </pic:blipFill>
                        <pic:spPr>
                          <a:xfrm>
                            <a:off x="0" y="0"/>
                            <a:ext cx="476250" cy="485775"/>
                          </a:xfrm>
                          <a:prstGeom prst="rect">
                            <a:avLst/>
                          </a:prstGeom>
                          <a:noFill/>
                          <a:ln w="9525">
                            <a:noFill/>
                          </a:ln>
                        </pic:spPr>
                      </pic:pic>
                    </a:graphicData>
                  </a:graphic>
                </wp:anchor>
              </w:drawing>
            </w:r>
          </w:p>
        </w:tc>
      </w:tr>
      <w:tr w14:paraId="6B72C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5000" w:type="pct"/>
            <w:gridSpan w:val="6"/>
            <w:shd w:val="clear" w:color="auto" w:fill="auto"/>
            <w:vAlign w:val="center"/>
          </w:tcPr>
          <w:p w14:paraId="60EDD1F8">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教工餐厅自助取餐区</w:t>
            </w:r>
          </w:p>
        </w:tc>
      </w:tr>
      <w:tr w14:paraId="382EE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04" w:type="pct"/>
            <w:shd w:val="clear" w:color="auto" w:fill="auto"/>
            <w:vAlign w:val="center"/>
          </w:tcPr>
          <w:p w14:paraId="52D358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48</w:t>
            </w:r>
          </w:p>
        </w:tc>
        <w:tc>
          <w:tcPr>
            <w:tcW w:w="574" w:type="pct"/>
            <w:shd w:val="clear" w:color="auto" w:fill="auto"/>
            <w:vAlign w:val="center"/>
          </w:tcPr>
          <w:p w14:paraId="13F017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长方形餐炉/玻璃盖</w:t>
            </w:r>
          </w:p>
        </w:tc>
        <w:tc>
          <w:tcPr>
            <w:tcW w:w="805" w:type="pct"/>
            <w:shd w:val="clear" w:color="auto" w:fill="auto"/>
            <w:vAlign w:val="center"/>
          </w:tcPr>
          <w:p w14:paraId="5DDA3A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580×480×200</w:t>
            </w:r>
          </w:p>
        </w:tc>
        <w:tc>
          <w:tcPr>
            <w:tcW w:w="2238" w:type="pct"/>
            <w:shd w:val="clear" w:color="auto" w:fill="auto"/>
            <w:vAlign w:val="center"/>
          </w:tcPr>
          <w:p w14:paraId="2C2C27D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容量：18.3L；</w:t>
            </w:r>
          </w:p>
          <w:p w14:paraId="062C52A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功率：220V/500W。</w:t>
            </w:r>
          </w:p>
        </w:tc>
        <w:tc>
          <w:tcPr>
            <w:tcW w:w="377" w:type="pct"/>
            <w:shd w:val="clear" w:color="auto" w:fill="auto"/>
            <w:vAlign w:val="center"/>
          </w:tcPr>
          <w:p w14:paraId="1A9F0C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10套</w:t>
            </w:r>
          </w:p>
        </w:tc>
        <w:tc>
          <w:tcPr>
            <w:tcW w:w="700" w:type="pct"/>
            <w:shd w:val="clear" w:color="auto" w:fill="auto"/>
            <w:vAlign w:val="center"/>
          </w:tcPr>
          <w:p w14:paraId="4FD4B2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707392" behindDoc="1" locked="0" layoutInCell="1" allowOverlap="1">
                  <wp:simplePos x="0" y="0"/>
                  <wp:positionH relativeFrom="column">
                    <wp:posOffset>367030</wp:posOffset>
                  </wp:positionH>
                  <wp:positionV relativeFrom="paragraph">
                    <wp:posOffset>45720</wp:posOffset>
                  </wp:positionV>
                  <wp:extent cx="638175" cy="361950"/>
                  <wp:effectExtent l="0" t="0" r="1905" b="3810"/>
                  <wp:wrapTight wrapText="bothSides">
                    <wp:wrapPolygon>
                      <wp:start x="0" y="0"/>
                      <wp:lineTo x="0" y="20918"/>
                      <wp:lineTo x="21149" y="20918"/>
                      <wp:lineTo x="21149" y="0"/>
                      <wp:lineTo x="0" y="0"/>
                    </wp:wrapPolygon>
                  </wp:wrapTight>
                  <wp:docPr id="71" name="图片 47" descr="IMG_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47" descr="IMG_302"/>
                          <pic:cNvPicPr>
                            <a:picLocks noChangeAspect="1"/>
                          </pic:cNvPicPr>
                        </pic:nvPicPr>
                        <pic:blipFill>
                          <a:blip r:embed="rId45"/>
                          <a:stretch>
                            <a:fillRect/>
                          </a:stretch>
                        </pic:blipFill>
                        <pic:spPr>
                          <a:xfrm>
                            <a:off x="0" y="0"/>
                            <a:ext cx="638175" cy="361950"/>
                          </a:xfrm>
                          <a:prstGeom prst="rect">
                            <a:avLst/>
                          </a:prstGeom>
                          <a:noFill/>
                          <a:ln w="9525">
                            <a:noFill/>
                          </a:ln>
                        </pic:spPr>
                      </pic:pic>
                    </a:graphicData>
                  </a:graphic>
                </wp:anchor>
              </w:drawing>
            </w:r>
          </w:p>
        </w:tc>
      </w:tr>
      <w:tr w14:paraId="3EAA8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4" w:type="pct"/>
            <w:shd w:val="clear" w:color="auto" w:fill="auto"/>
            <w:vAlign w:val="center"/>
          </w:tcPr>
          <w:p w14:paraId="23315F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49</w:t>
            </w:r>
          </w:p>
        </w:tc>
        <w:tc>
          <w:tcPr>
            <w:tcW w:w="574" w:type="pct"/>
            <w:shd w:val="clear" w:color="auto" w:fill="auto"/>
            <w:vAlign w:val="center"/>
          </w:tcPr>
          <w:p w14:paraId="766656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全钢单连果汁鼎</w:t>
            </w:r>
          </w:p>
        </w:tc>
        <w:tc>
          <w:tcPr>
            <w:tcW w:w="805" w:type="pct"/>
            <w:shd w:val="clear" w:color="auto" w:fill="auto"/>
            <w:noWrap/>
            <w:vAlign w:val="center"/>
          </w:tcPr>
          <w:p w14:paraId="51D8233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p>
        </w:tc>
        <w:tc>
          <w:tcPr>
            <w:tcW w:w="2238" w:type="pct"/>
            <w:shd w:val="clear" w:color="auto" w:fill="auto"/>
            <w:noWrap/>
            <w:vAlign w:val="center"/>
          </w:tcPr>
          <w:p w14:paraId="2D0F3001">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2"/>
                <w:szCs w:val="22"/>
                <w:u w:val="none"/>
              </w:rPr>
            </w:pPr>
          </w:p>
        </w:tc>
        <w:tc>
          <w:tcPr>
            <w:tcW w:w="377" w:type="pct"/>
            <w:shd w:val="clear" w:color="auto" w:fill="auto"/>
            <w:noWrap/>
            <w:vAlign w:val="center"/>
          </w:tcPr>
          <w:p w14:paraId="7514C8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2台</w:t>
            </w:r>
          </w:p>
        </w:tc>
        <w:tc>
          <w:tcPr>
            <w:tcW w:w="700" w:type="pct"/>
            <w:shd w:val="clear" w:color="auto" w:fill="auto"/>
            <w:vAlign w:val="center"/>
          </w:tcPr>
          <w:p w14:paraId="379FC6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708416" behindDoc="1" locked="0" layoutInCell="1" allowOverlap="1">
                  <wp:simplePos x="0" y="0"/>
                  <wp:positionH relativeFrom="column">
                    <wp:posOffset>557530</wp:posOffset>
                  </wp:positionH>
                  <wp:positionV relativeFrom="paragraph">
                    <wp:posOffset>-45720</wp:posOffset>
                  </wp:positionV>
                  <wp:extent cx="247650" cy="542925"/>
                  <wp:effectExtent l="0" t="0" r="11430" b="5715"/>
                  <wp:wrapTight wrapText="bothSides">
                    <wp:wrapPolygon>
                      <wp:start x="0" y="0"/>
                      <wp:lineTo x="0" y="21221"/>
                      <wp:lineTo x="19938" y="21221"/>
                      <wp:lineTo x="19938" y="0"/>
                      <wp:lineTo x="0" y="0"/>
                    </wp:wrapPolygon>
                  </wp:wrapTight>
                  <wp:docPr id="70" name="图片 48" descr="IMG_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48" descr="IMG_303"/>
                          <pic:cNvPicPr>
                            <a:picLocks noChangeAspect="1"/>
                          </pic:cNvPicPr>
                        </pic:nvPicPr>
                        <pic:blipFill>
                          <a:blip r:embed="rId46"/>
                          <a:stretch>
                            <a:fillRect/>
                          </a:stretch>
                        </pic:blipFill>
                        <pic:spPr>
                          <a:xfrm>
                            <a:off x="0" y="0"/>
                            <a:ext cx="247650" cy="542925"/>
                          </a:xfrm>
                          <a:prstGeom prst="rect">
                            <a:avLst/>
                          </a:prstGeom>
                          <a:noFill/>
                          <a:ln w="9525">
                            <a:noFill/>
                          </a:ln>
                        </pic:spPr>
                      </pic:pic>
                    </a:graphicData>
                  </a:graphic>
                </wp:anchor>
              </w:drawing>
            </w:r>
          </w:p>
        </w:tc>
      </w:tr>
      <w:tr w14:paraId="70EE7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4" w:type="pct"/>
            <w:shd w:val="clear" w:color="auto" w:fill="auto"/>
            <w:vAlign w:val="center"/>
          </w:tcPr>
          <w:p w14:paraId="59C14A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50</w:t>
            </w:r>
          </w:p>
        </w:tc>
        <w:tc>
          <w:tcPr>
            <w:tcW w:w="574" w:type="pct"/>
            <w:shd w:val="clear" w:color="auto" w:fill="auto"/>
            <w:vAlign w:val="center"/>
          </w:tcPr>
          <w:p w14:paraId="1D89DF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暖饭、汤车</w:t>
            </w:r>
          </w:p>
        </w:tc>
        <w:tc>
          <w:tcPr>
            <w:tcW w:w="805" w:type="pct"/>
            <w:shd w:val="clear" w:color="auto" w:fill="auto"/>
            <w:vAlign w:val="center"/>
          </w:tcPr>
          <w:p w14:paraId="2ECBDD3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规格：600×600×800</w:t>
            </w:r>
          </w:p>
        </w:tc>
        <w:tc>
          <w:tcPr>
            <w:tcW w:w="2238" w:type="pct"/>
            <w:shd w:val="clear" w:color="auto" w:fill="auto"/>
            <w:vAlign w:val="center"/>
          </w:tcPr>
          <w:p w14:paraId="2987BB8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电量：2KW/1PH/220V；</w:t>
            </w:r>
          </w:p>
          <w:p w14:paraId="689D46B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说明：304#2B发纹贴塑不锈钢板制造；面板δ=1.2mm,水热式，恒温自动控制，配圆桶、四个万向脚轮。</w:t>
            </w:r>
          </w:p>
        </w:tc>
        <w:tc>
          <w:tcPr>
            <w:tcW w:w="377" w:type="pct"/>
            <w:shd w:val="clear" w:color="auto" w:fill="auto"/>
            <w:noWrap/>
            <w:vAlign w:val="center"/>
          </w:tcPr>
          <w:p w14:paraId="5414DD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2台</w:t>
            </w:r>
          </w:p>
        </w:tc>
        <w:tc>
          <w:tcPr>
            <w:tcW w:w="700" w:type="pct"/>
            <w:shd w:val="clear" w:color="auto" w:fill="auto"/>
            <w:vAlign w:val="center"/>
          </w:tcPr>
          <w:p w14:paraId="334276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709440" behindDoc="1" locked="0" layoutInCell="1" allowOverlap="1">
                  <wp:simplePos x="0" y="0"/>
                  <wp:positionH relativeFrom="column">
                    <wp:posOffset>443230</wp:posOffset>
                  </wp:positionH>
                  <wp:positionV relativeFrom="paragraph">
                    <wp:posOffset>129540</wp:posOffset>
                  </wp:positionV>
                  <wp:extent cx="485775" cy="419100"/>
                  <wp:effectExtent l="0" t="0" r="1905" b="7620"/>
                  <wp:wrapTight wrapText="bothSides">
                    <wp:wrapPolygon>
                      <wp:start x="0" y="0"/>
                      <wp:lineTo x="0" y="21207"/>
                      <wp:lineTo x="21007" y="21207"/>
                      <wp:lineTo x="21007" y="0"/>
                      <wp:lineTo x="0" y="0"/>
                    </wp:wrapPolygon>
                  </wp:wrapTight>
                  <wp:docPr id="69" name="图片 49" descr="IMG_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49" descr="IMG_304"/>
                          <pic:cNvPicPr>
                            <a:picLocks noChangeAspect="1"/>
                          </pic:cNvPicPr>
                        </pic:nvPicPr>
                        <pic:blipFill>
                          <a:blip r:embed="rId47"/>
                          <a:stretch>
                            <a:fillRect/>
                          </a:stretch>
                        </pic:blipFill>
                        <pic:spPr>
                          <a:xfrm>
                            <a:off x="0" y="0"/>
                            <a:ext cx="485775" cy="419100"/>
                          </a:xfrm>
                          <a:prstGeom prst="rect">
                            <a:avLst/>
                          </a:prstGeom>
                          <a:noFill/>
                          <a:ln w="9525">
                            <a:noFill/>
                          </a:ln>
                        </pic:spPr>
                      </pic:pic>
                    </a:graphicData>
                  </a:graphic>
                </wp:anchor>
              </w:drawing>
            </w:r>
          </w:p>
        </w:tc>
      </w:tr>
      <w:tr w14:paraId="57E44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5000" w:type="pct"/>
            <w:gridSpan w:val="6"/>
            <w:shd w:val="clear" w:color="auto" w:fill="auto"/>
            <w:vAlign w:val="center"/>
          </w:tcPr>
          <w:p w14:paraId="43DCD2A4">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教工餐厅洗碗间</w:t>
            </w:r>
          </w:p>
        </w:tc>
      </w:tr>
      <w:tr w14:paraId="1F4D4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4" w:type="pct"/>
            <w:shd w:val="clear" w:color="auto" w:fill="auto"/>
            <w:vAlign w:val="center"/>
          </w:tcPr>
          <w:p w14:paraId="0B065F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51</w:t>
            </w:r>
          </w:p>
        </w:tc>
        <w:tc>
          <w:tcPr>
            <w:tcW w:w="574" w:type="pct"/>
            <w:shd w:val="clear" w:color="auto" w:fill="auto"/>
            <w:vAlign w:val="center"/>
          </w:tcPr>
          <w:p w14:paraId="3B7E64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冷热水龙头</w:t>
            </w:r>
          </w:p>
        </w:tc>
        <w:tc>
          <w:tcPr>
            <w:tcW w:w="805" w:type="pct"/>
            <w:shd w:val="clear" w:color="auto" w:fill="auto"/>
            <w:vAlign w:val="center"/>
          </w:tcPr>
          <w:p w14:paraId="48DC882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p>
        </w:tc>
        <w:tc>
          <w:tcPr>
            <w:tcW w:w="2238" w:type="pct"/>
            <w:shd w:val="clear" w:color="auto" w:fill="auto"/>
            <w:vAlign w:val="center"/>
          </w:tcPr>
          <w:p w14:paraId="573DB5D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材质：100%优质62铜 高品质陶瓷阀芯</w:t>
            </w:r>
          </w:p>
          <w:p w14:paraId="2190627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总长：35cm（最高点到台面垂直距离）</w:t>
            </w:r>
          </w:p>
        </w:tc>
        <w:tc>
          <w:tcPr>
            <w:tcW w:w="377" w:type="pct"/>
            <w:shd w:val="clear" w:color="auto" w:fill="auto"/>
            <w:noWrap/>
            <w:vAlign w:val="center"/>
          </w:tcPr>
          <w:p w14:paraId="77D693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3个</w:t>
            </w:r>
          </w:p>
        </w:tc>
        <w:tc>
          <w:tcPr>
            <w:tcW w:w="700" w:type="pct"/>
            <w:shd w:val="clear" w:color="auto" w:fill="auto"/>
            <w:vAlign w:val="center"/>
          </w:tcPr>
          <w:p w14:paraId="274A0F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710464" behindDoc="1" locked="0" layoutInCell="1" allowOverlap="1">
                  <wp:simplePos x="0" y="0"/>
                  <wp:positionH relativeFrom="column">
                    <wp:posOffset>542290</wp:posOffset>
                  </wp:positionH>
                  <wp:positionV relativeFrom="paragraph">
                    <wp:posOffset>45720</wp:posOffset>
                  </wp:positionV>
                  <wp:extent cx="285750" cy="361950"/>
                  <wp:effectExtent l="0" t="0" r="3810" b="3810"/>
                  <wp:wrapTight wrapText="bothSides">
                    <wp:wrapPolygon>
                      <wp:start x="0" y="0"/>
                      <wp:lineTo x="0" y="20918"/>
                      <wp:lineTo x="20736" y="20918"/>
                      <wp:lineTo x="20736" y="0"/>
                      <wp:lineTo x="0" y="0"/>
                    </wp:wrapPolygon>
                  </wp:wrapTight>
                  <wp:docPr id="68" name="图片 50" descr="IMG_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50" descr="IMG_305"/>
                          <pic:cNvPicPr>
                            <a:picLocks noChangeAspect="1"/>
                          </pic:cNvPicPr>
                        </pic:nvPicPr>
                        <pic:blipFill>
                          <a:blip r:embed="rId22"/>
                          <a:stretch>
                            <a:fillRect/>
                          </a:stretch>
                        </pic:blipFill>
                        <pic:spPr>
                          <a:xfrm>
                            <a:off x="0" y="0"/>
                            <a:ext cx="285750" cy="361950"/>
                          </a:xfrm>
                          <a:prstGeom prst="rect">
                            <a:avLst/>
                          </a:prstGeom>
                          <a:noFill/>
                          <a:ln w="9525">
                            <a:noFill/>
                          </a:ln>
                        </pic:spPr>
                      </pic:pic>
                    </a:graphicData>
                  </a:graphic>
                </wp:anchor>
              </w:drawing>
            </w:r>
          </w:p>
        </w:tc>
      </w:tr>
      <w:tr w14:paraId="51CCF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04" w:type="pct"/>
            <w:shd w:val="clear" w:color="auto" w:fill="auto"/>
            <w:vAlign w:val="center"/>
          </w:tcPr>
          <w:p w14:paraId="4D540C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52</w:t>
            </w:r>
          </w:p>
        </w:tc>
        <w:tc>
          <w:tcPr>
            <w:tcW w:w="574" w:type="pct"/>
            <w:shd w:val="clear" w:color="auto" w:fill="auto"/>
            <w:vAlign w:val="center"/>
          </w:tcPr>
          <w:p w14:paraId="7C2B94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电击式灭蝇灯</w:t>
            </w:r>
          </w:p>
        </w:tc>
        <w:tc>
          <w:tcPr>
            <w:tcW w:w="805" w:type="pct"/>
            <w:shd w:val="clear" w:color="auto" w:fill="auto"/>
            <w:vAlign w:val="center"/>
          </w:tcPr>
          <w:p w14:paraId="608B677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p>
        </w:tc>
        <w:tc>
          <w:tcPr>
            <w:tcW w:w="2238" w:type="pct"/>
            <w:shd w:val="clear" w:color="auto" w:fill="auto"/>
            <w:vAlign w:val="center"/>
          </w:tcPr>
          <w:p w14:paraId="4B1E398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功率：220V/40W      采用半密封式收集器、可以安全地将被电击的蝇虫控制在收集器内、击伤的蝇虫也不至于飞溅机外、达到环保之目的</w:t>
            </w:r>
          </w:p>
        </w:tc>
        <w:tc>
          <w:tcPr>
            <w:tcW w:w="377" w:type="pct"/>
            <w:shd w:val="clear" w:color="auto" w:fill="auto"/>
            <w:noWrap/>
            <w:vAlign w:val="center"/>
          </w:tcPr>
          <w:p w14:paraId="0DC623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1台</w:t>
            </w:r>
          </w:p>
        </w:tc>
        <w:tc>
          <w:tcPr>
            <w:tcW w:w="700" w:type="pct"/>
            <w:shd w:val="clear" w:color="auto" w:fill="auto"/>
            <w:vAlign w:val="center"/>
          </w:tcPr>
          <w:p w14:paraId="56DA7B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711488" behindDoc="1" locked="0" layoutInCell="1" allowOverlap="1">
                  <wp:simplePos x="0" y="0"/>
                  <wp:positionH relativeFrom="column">
                    <wp:posOffset>382270</wp:posOffset>
                  </wp:positionH>
                  <wp:positionV relativeFrom="paragraph">
                    <wp:posOffset>182880</wp:posOffset>
                  </wp:positionV>
                  <wp:extent cx="600075" cy="314325"/>
                  <wp:effectExtent l="0" t="0" r="9525" b="5715"/>
                  <wp:wrapTight wrapText="bothSides">
                    <wp:wrapPolygon>
                      <wp:start x="0" y="0"/>
                      <wp:lineTo x="0" y="20945"/>
                      <wp:lineTo x="20846" y="20945"/>
                      <wp:lineTo x="20846" y="0"/>
                      <wp:lineTo x="0" y="0"/>
                    </wp:wrapPolygon>
                  </wp:wrapTight>
                  <wp:docPr id="38" name="图片 51" descr="IMG_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51" descr="IMG_306"/>
                          <pic:cNvPicPr>
                            <a:picLocks noChangeAspect="1"/>
                          </pic:cNvPicPr>
                        </pic:nvPicPr>
                        <pic:blipFill>
                          <a:blip r:embed="rId14"/>
                          <a:stretch>
                            <a:fillRect/>
                          </a:stretch>
                        </pic:blipFill>
                        <pic:spPr>
                          <a:xfrm>
                            <a:off x="0" y="0"/>
                            <a:ext cx="600075" cy="314325"/>
                          </a:xfrm>
                          <a:prstGeom prst="rect">
                            <a:avLst/>
                          </a:prstGeom>
                          <a:noFill/>
                          <a:ln w="9525">
                            <a:noFill/>
                          </a:ln>
                        </pic:spPr>
                      </pic:pic>
                    </a:graphicData>
                  </a:graphic>
                </wp:anchor>
              </w:drawing>
            </w:r>
          </w:p>
        </w:tc>
      </w:tr>
      <w:tr w14:paraId="4D3AC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5000" w:type="pct"/>
            <w:gridSpan w:val="6"/>
            <w:shd w:val="clear" w:color="auto" w:fill="auto"/>
            <w:vAlign w:val="center"/>
          </w:tcPr>
          <w:p w14:paraId="1FE24F3C">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学生餐厅售菜间(一)</w:t>
            </w:r>
          </w:p>
        </w:tc>
      </w:tr>
      <w:tr w14:paraId="6B8AC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04" w:type="pct"/>
            <w:shd w:val="clear" w:color="auto" w:fill="auto"/>
            <w:vAlign w:val="center"/>
          </w:tcPr>
          <w:p w14:paraId="68BA8D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53</w:t>
            </w:r>
          </w:p>
        </w:tc>
        <w:tc>
          <w:tcPr>
            <w:tcW w:w="574" w:type="pct"/>
            <w:shd w:val="clear" w:color="auto" w:fill="auto"/>
            <w:vAlign w:val="center"/>
          </w:tcPr>
          <w:p w14:paraId="03152C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洗手星盆</w:t>
            </w:r>
          </w:p>
        </w:tc>
        <w:tc>
          <w:tcPr>
            <w:tcW w:w="805" w:type="pct"/>
            <w:shd w:val="clear" w:color="auto" w:fill="auto"/>
            <w:vAlign w:val="center"/>
          </w:tcPr>
          <w:p w14:paraId="667606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规格：500×400×300</w:t>
            </w:r>
          </w:p>
        </w:tc>
        <w:tc>
          <w:tcPr>
            <w:tcW w:w="2238" w:type="pct"/>
            <w:shd w:val="clear" w:color="auto" w:fill="auto"/>
            <w:vAlign w:val="center"/>
          </w:tcPr>
          <w:p w14:paraId="7C10AB4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说明：304#2B发纹贴塑不锈钢板制造；骨架采用δ=1.2 Φ38不锈钢圆通，台面δ=1.2，星盆斗δ=1.0，配落水器、拦渣斗。</w:t>
            </w:r>
          </w:p>
        </w:tc>
        <w:tc>
          <w:tcPr>
            <w:tcW w:w="377" w:type="pct"/>
            <w:shd w:val="clear" w:color="auto" w:fill="auto"/>
            <w:noWrap/>
            <w:vAlign w:val="center"/>
          </w:tcPr>
          <w:p w14:paraId="0D2C44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1个</w:t>
            </w:r>
          </w:p>
        </w:tc>
        <w:tc>
          <w:tcPr>
            <w:tcW w:w="700" w:type="pct"/>
            <w:shd w:val="clear" w:color="auto" w:fill="auto"/>
            <w:vAlign w:val="center"/>
          </w:tcPr>
          <w:p w14:paraId="63A2CD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712512" behindDoc="1" locked="0" layoutInCell="1" allowOverlap="1">
                  <wp:simplePos x="0" y="0"/>
                  <wp:positionH relativeFrom="column">
                    <wp:posOffset>420370</wp:posOffset>
                  </wp:positionH>
                  <wp:positionV relativeFrom="paragraph">
                    <wp:posOffset>45720</wp:posOffset>
                  </wp:positionV>
                  <wp:extent cx="523875" cy="361950"/>
                  <wp:effectExtent l="0" t="0" r="9525" b="3810"/>
                  <wp:wrapTight wrapText="bothSides">
                    <wp:wrapPolygon>
                      <wp:start x="0" y="0"/>
                      <wp:lineTo x="0" y="20918"/>
                      <wp:lineTo x="20736" y="20918"/>
                      <wp:lineTo x="20736" y="0"/>
                      <wp:lineTo x="0" y="0"/>
                    </wp:wrapPolygon>
                  </wp:wrapTight>
                  <wp:docPr id="37" name="图片 52" descr="IMG_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52" descr="IMG_307"/>
                          <pic:cNvPicPr>
                            <a:picLocks noChangeAspect="1"/>
                          </pic:cNvPicPr>
                        </pic:nvPicPr>
                        <pic:blipFill>
                          <a:blip r:embed="rId35"/>
                          <a:stretch>
                            <a:fillRect/>
                          </a:stretch>
                        </pic:blipFill>
                        <pic:spPr>
                          <a:xfrm>
                            <a:off x="0" y="0"/>
                            <a:ext cx="523875" cy="361950"/>
                          </a:xfrm>
                          <a:prstGeom prst="rect">
                            <a:avLst/>
                          </a:prstGeom>
                          <a:noFill/>
                          <a:ln w="9525">
                            <a:noFill/>
                          </a:ln>
                        </pic:spPr>
                      </pic:pic>
                    </a:graphicData>
                  </a:graphic>
                </wp:anchor>
              </w:drawing>
            </w:r>
          </w:p>
        </w:tc>
      </w:tr>
      <w:tr w14:paraId="1CCD2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04" w:type="pct"/>
            <w:shd w:val="clear" w:color="auto" w:fill="auto"/>
            <w:vAlign w:val="center"/>
          </w:tcPr>
          <w:p w14:paraId="3E3923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54</w:t>
            </w:r>
          </w:p>
        </w:tc>
        <w:tc>
          <w:tcPr>
            <w:tcW w:w="574" w:type="pct"/>
            <w:shd w:val="clear" w:color="auto" w:fill="auto"/>
            <w:vAlign w:val="center"/>
          </w:tcPr>
          <w:p w14:paraId="2F3BDA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感应龙头</w:t>
            </w:r>
          </w:p>
        </w:tc>
        <w:tc>
          <w:tcPr>
            <w:tcW w:w="805" w:type="pct"/>
            <w:shd w:val="clear" w:color="auto" w:fill="auto"/>
            <w:vAlign w:val="center"/>
          </w:tcPr>
          <w:p w14:paraId="7F50403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p>
        </w:tc>
        <w:tc>
          <w:tcPr>
            <w:tcW w:w="2238" w:type="pct"/>
            <w:shd w:val="clear" w:color="auto" w:fill="auto"/>
            <w:vAlign w:val="center"/>
          </w:tcPr>
          <w:p w14:paraId="54F12F6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 xml:space="preserve">说明：1.工作电压：1.5V×4（四节五号干电池）或者220V  50/60HZ交流电；                                 </w:t>
            </w:r>
          </w:p>
          <w:p w14:paraId="0528BC3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 xml:space="preserve">2.工作水压：0.1-0.6MPa 可接冷热混水，出水温度可调；                          </w:t>
            </w:r>
          </w:p>
          <w:p w14:paraId="7147FDC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 xml:space="preserve">3.开孔径：25mm；                                </w:t>
            </w:r>
          </w:p>
          <w:p w14:paraId="21859C4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4.台式安装黄铜铸造水嘴，表面镀铬处理；</w:t>
            </w:r>
          </w:p>
          <w:p w14:paraId="1850719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5. 接水口口径为1/2"外螺纹；</w:t>
            </w:r>
          </w:p>
          <w:p w14:paraId="3026FAF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6.属节水产品，产品技术条件须符合CJ/T194/2014《非接触式给水器具》、 GB25501-2019《水嘴水效限定值及水效等级》标准要求并提供相应证书。                                                                                                7、产品符合中国环境标志产品认证实施规ECC-1057EL-A/0 的要求属环境标志产品，并提供相应证书复印件并加盖公章。</w:t>
            </w:r>
          </w:p>
          <w:p w14:paraId="02543CA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highlight w:val="yellow"/>
                <w:u w:val="none"/>
              </w:rPr>
              <w:t>▲</w:t>
            </w:r>
            <w:r>
              <w:rPr>
                <w:rFonts w:hint="eastAsia" w:ascii="宋体" w:hAnsi="宋体" w:eastAsia="宋体" w:cs="宋体"/>
                <w:i w:val="0"/>
                <w:iCs w:val="0"/>
                <w:color w:val="auto"/>
                <w:sz w:val="22"/>
                <w:szCs w:val="22"/>
                <w:highlight w:val="yellow"/>
                <w:u w:val="single"/>
              </w:rPr>
              <w:t>本产品属于政府强制采购节能产品，须提供参与实施政府采购节能（环境标志）产品认证机构出具的认证证书或证书发布平台的投标产品认证证书查询截图</w:t>
            </w:r>
            <w:r>
              <w:rPr>
                <w:rFonts w:hint="eastAsia" w:ascii="宋体" w:hAnsi="宋体" w:eastAsia="宋体" w:cs="宋体"/>
                <w:i w:val="0"/>
                <w:iCs w:val="0"/>
                <w:color w:val="auto"/>
                <w:sz w:val="22"/>
                <w:szCs w:val="22"/>
                <w:highlight w:val="yellow"/>
                <w:u w:val="none"/>
              </w:rPr>
              <w:t>（请在</w:t>
            </w:r>
            <w:r>
              <w:rPr>
                <w:rFonts w:hint="eastAsia" w:ascii="宋体" w:hAnsi="宋体" w:eastAsia="宋体" w:cs="宋体"/>
                <w:i w:val="0"/>
                <w:iCs w:val="0"/>
                <w:color w:val="auto"/>
                <w:sz w:val="22"/>
                <w:szCs w:val="22"/>
                <w:highlight w:val="yellow"/>
                <w:u w:val="none"/>
                <w:lang w:eastAsia="zh-CN"/>
              </w:rPr>
              <w:t>响应文件</w:t>
            </w:r>
            <w:r>
              <w:rPr>
                <w:rFonts w:hint="eastAsia" w:ascii="宋体" w:hAnsi="宋体" w:eastAsia="宋体" w:cs="宋体"/>
                <w:i w:val="0"/>
                <w:iCs w:val="0"/>
                <w:color w:val="auto"/>
                <w:sz w:val="22"/>
                <w:szCs w:val="22"/>
                <w:highlight w:val="yellow"/>
                <w:u w:val="none"/>
              </w:rPr>
              <w:t>“列入政府采购节能环保清单的证明资料”中体现）。</w:t>
            </w:r>
          </w:p>
        </w:tc>
        <w:tc>
          <w:tcPr>
            <w:tcW w:w="377" w:type="pct"/>
            <w:shd w:val="clear" w:color="auto" w:fill="auto"/>
            <w:noWrap/>
            <w:vAlign w:val="center"/>
          </w:tcPr>
          <w:p w14:paraId="3C51C4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1个</w:t>
            </w:r>
          </w:p>
        </w:tc>
        <w:tc>
          <w:tcPr>
            <w:tcW w:w="700" w:type="pct"/>
            <w:shd w:val="clear" w:color="auto" w:fill="auto"/>
            <w:vAlign w:val="center"/>
          </w:tcPr>
          <w:p w14:paraId="6D816E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713536" behindDoc="1" locked="0" layoutInCell="1" allowOverlap="1">
                  <wp:simplePos x="0" y="0"/>
                  <wp:positionH relativeFrom="column">
                    <wp:posOffset>420370</wp:posOffset>
                  </wp:positionH>
                  <wp:positionV relativeFrom="paragraph">
                    <wp:posOffset>1447800</wp:posOffset>
                  </wp:positionV>
                  <wp:extent cx="523875" cy="295275"/>
                  <wp:effectExtent l="0" t="0" r="9525" b="9525"/>
                  <wp:wrapTight wrapText="bothSides">
                    <wp:wrapPolygon>
                      <wp:start x="0" y="0"/>
                      <wp:lineTo x="0" y="20067"/>
                      <wp:lineTo x="20736" y="20067"/>
                      <wp:lineTo x="20736" y="0"/>
                      <wp:lineTo x="0" y="0"/>
                    </wp:wrapPolygon>
                  </wp:wrapTight>
                  <wp:docPr id="36" name="图片 53" descr="IMG_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53" descr="IMG_308"/>
                          <pic:cNvPicPr>
                            <a:picLocks noChangeAspect="1"/>
                          </pic:cNvPicPr>
                        </pic:nvPicPr>
                        <pic:blipFill>
                          <a:blip r:embed="rId36"/>
                          <a:stretch>
                            <a:fillRect/>
                          </a:stretch>
                        </pic:blipFill>
                        <pic:spPr>
                          <a:xfrm>
                            <a:off x="0" y="0"/>
                            <a:ext cx="523875" cy="295275"/>
                          </a:xfrm>
                          <a:prstGeom prst="rect">
                            <a:avLst/>
                          </a:prstGeom>
                          <a:noFill/>
                          <a:ln w="9525">
                            <a:noFill/>
                          </a:ln>
                        </pic:spPr>
                      </pic:pic>
                    </a:graphicData>
                  </a:graphic>
                </wp:anchor>
              </w:drawing>
            </w:r>
          </w:p>
        </w:tc>
      </w:tr>
      <w:tr w14:paraId="0774E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04" w:type="pct"/>
            <w:shd w:val="clear" w:color="auto" w:fill="auto"/>
            <w:vAlign w:val="center"/>
          </w:tcPr>
          <w:p w14:paraId="6FEFC1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55</w:t>
            </w:r>
          </w:p>
        </w:tc>
        <w:tc>
          <w:tcPr>
            <w:tcW w:w="574" w:type="pct"/>
            <w:shd w:val="clear" w:color="auto" w:fill="auto"/>
            <w:vAlign w:val="center"/>
          </w:tcPr>
          <w:p w14:paraId="5A46C7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干手机</w:t>
            </w:r>
          </w:p>
        </w:tc>
        <w:tc>
          <w:tcPr>
            <w:tcW w:w="805" w:type="pct"/>
            <w:shd w:val="clear" w:color="auto" w:fill="auto"/>
            <w:vAlign w:val="center"/>
          </w:tcPr>
          <w:p w14:paraId="32DC95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156×176×207</w:t>
            </w:r>
          </w:p>
        </w:tc>
        <w:tc>
          <w:tcPr>
            <w:tcW w:w="2238" w:type="pct"/>
            <w:shd w:val="clear" w:color="auto" w:fill="auto"/>
            <w:vAlign w:val="center"/>
          </w:tcPr>
          <w:p w14:paraId="234930E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红外线自动感应，伸手自动出风，风温均应、手感舒适，ABS工程塑料外壳。</w:t>
            </w:r>
          </w:p>
        </w:tc>
        <w:tc>
          <w:tcPr>
            <w:tcW w:w="377" w:type="pct"/>
            <w:shd w:val="clear" w:color="auto" w:fill="auto"/>
            <w:noWrap/>
            <w:vAlign w:val="center"/>
          </w:tcPr>
          <w:p w14:paraId="2D4877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1台</w:t>
            </w:r>
          </w:p>
        </w:tc>
        <w:tc>
          <w:tcPr>
            <w:tcW w:w="700" w:type="pct"/>
            <w:shd w:val="clear" w:color="auto" w:fill="auto"/>
            <w:noWrap/>
            <w:vAlign w:val="center"/>
          </w:tcPr>
          <w:p w14:paraId="0B3BBD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714560" behindDoc="1" locked="0" layoutInCell="1" allowOverlap="1">
                  <wp:simplePos x="0" y="0"/>
                  <wp:positionH relativeFrom="column">
                    <wp:posOffset>466090</wp:posOffset>
                  </wp:positionH>
                  <wp:positionV relativeFrom="paragraph">
                    <wp:posOffset>60960</wp:posOffset>
                  </wp:positionV>
                  <wp:extent cx="428625" cy="333375"/>
                  <wp:effectExtent l="0" t="0" r="13335" b="1905"/>
                  <wp:wrapTight wrapText="bothSides">
                    <wp:wrapPolygon>
                      <wp:start x="0" y="0"/>
                      <wp:lineTo x="0" y="20736"/>
                      <wp:lineTo x="20736" y="20736"/>
                      <wp:lineTo x="20736" y="0"/>
                      <wp:lineTo x="0" y="0"/>
                    </wp:wrapPolygon>
                  </wp:wrapTight>
                  <wp:docPr id="35" name="图片 54" descr="IMG_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54" descr="IMG_309"/>
                          <pic:cNvPicPr>
                            <a:picLocks noChangeAspect="1"/>
                          </pic:cNvPicPr>
                        </pic:nvPicPr>
                        <pic:blipFill>
                          <a:blip r:embed="rId18"/>
                          <a:stretch>
                            <a:fillRect/>
                          </a:stretch>
                        </pic:blipFill>
                        <pic:spPr>
                          <a:xfrm>
                            <a:off x="0" y="0"/>
                            <a:ext cx="428625" cy="333375"/>
                          </a:xfrm>
                          <a:prstGeom prst="rect">
                            <a:avLst/>
                          </a:prstGeom>
                          <a:noFill/>
                          <a:ln w="9525">
                            <a:noFill/>
                          </a:ln>
                        </pic:spPr>
                      </pic:pic>
                    </a:graphicData>
                  </a:graphic>
                </wp:anchor>
              </w:drawing>
            </w:r>
          </w:p>
        </w:tc>
      </w:tr>
      <w:tr w14:paraId="6FF78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04" w:type="pct"/>
            <w:shd w:val="clear" w:color="auto" w:fill="auto"/>
            <w:vAlign w:val="center"/>
          </w:tcPr>
          <w:p w14:paraId="55728A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56</w:t>
            </w:r>
          </w:p>
        </w:tc>
        <w:tc>
          <w:tcPr>
            <w:tcW w:w="574" w:type="pct"/>
            <w:shd w:val="clear" w:color="auto" w:fill="auto"/>
            <w:vAlign w:val="center"/>
          </w:tcPr>
          <w:p w14:paraId="4D4E13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冷热水龙头</w:t>
            </w:r>
          </w:p>
        </w:tc>
        <w:tc>
          <w:tcPr>
            <w:tcW w:w="805" w:type="pct"/>
            <w:shd w:val="clear" w:color="auto" w:fill="auto"/>
            <w:vAlign w:val="center"/>
          </w:tcPr>
          <w:p w14:paraId="3C6BF8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p>
        </w:tc>
        <w:tc>
          <w:tcPr>
            <w:tcW w:w="2238" w:type="pct"/>
            <w:shd w:val="clear" w:color="auto" w:fill="auto"/>
            <w:vAlign w:val="center"/>
          </w:tcPr>
          <w:p w14:paraId="38DB544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材质：100%优质62铜 高品质陶瓷阀芯；</w:t>
            </w:r>
          </w:p>
          <w:p w14:paraId="5012B14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总长：35cm（最高点到台面垂直距离）。</w:t>
            </w:r>
          </w:p>
        </w:tc>
        <w:tc>
          <w:tcPr>
            <w:tcW w:w="377" w:type="pct"/>
            <w:shd w:val="clear" w:color="auto" w:fill="auto"/>
            <w:noWrap/>
            <w:vAlign w:val="center"/>
          </w:tcPr>
          <w:p w14:paraId="12E9A6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2个</w:t>
            </w:r>
          </w:p>
        </w:tc>
        <w:tc>
          <w:tcPr>
            <w:tcW w:w="700" w:type="pct"/>
            <w:shd w:val="clear" w:color="auto" w:fill="auto"/>
            <w:vAlign w:val="center"/>
          </w:tcPr>
          <w:p w14:paraId="56B426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716608" behindDoc="1" locked="0" layoutInCell="1" allowOverlap="1">
                  <wp:simplePos x="0" y="0"/>
                  <wp:positionH relativeFrom="column">
                    <wp:posOffset>542290</wp:posOffset>
                  </wp:positionH>
                  <wp:positionV relativeFrom="paragraph">
                    <wp:posOffset>45720</wp:posOffset>
                  </wp:positionV>
                  <wp:extent cx="285750" cy="361950"/>
                  <wp:effectExtent l="0" t="0" r="3810" b="3810"/>
                  <wp:wrapTight wrapText="bothSides">
                    <wp:wrapPolygon>
                      <wp:start x="0" y="0"/>
                      <wp:lineTo x="0" y="20918"/>
                      <wp:lineTo x="20736" y="20918"/>
                      <wp:lineTo x="20736" y="0"/>
                      <wp:lineTo x="0" y="0"/>
                    </wp:wrapPolygon>
                  </wp:wrapTight>
                  <wp:docPr id="34" name="图片 55" descr="IMG_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55" descr="IMG_310"/>
                          <pic:cNvPicPr>
                            <a:picLocks noChangeAspect="1"/>
                          </pic:cNvPicPr>
                        </pic:nvPicPr>
                        <pic:blipFill>
                          <a:blip r:embed="rId22"/>
                          <a:stretch>
                            <a:fillRect/>
                          </a:stretch>
                        </pic:blipFill>
                        <pic:spPr>
                          <a:xfrm>
                            <a:off x="0" y="0"/>
                            <a:ext cx="285750" cy="361950"/>
                          </a:xfrm>
                          <a:prstGeom prst="rect">
                            <a:avLst/>
                          </a:prstGeom>
                          <a:noFill/>
                          <a:ln w="9525">
                            <a:noFill/>
                          </a:ln>
                        </pic:spPr>
                      </pic:pic>
                    </a:graphicData>
                  </a:graphic>
                </wp:anchor>
              </w:drawing>
            </w:r>
          </w:p>
        </w:tc>
      </w:tr>
      <w:tr w14:paraId="7293F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4" w:type="pct"/>
            <w:shd w:val="clear" w:color="auto" w:fill="auto"/>
            <w:vAlign w:val="center"/>
          </w:tcPr>
          <w:p w14:paraId="3EB91A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57</w:t>
            </w:r>
          </w:p>
        </w:tc>
        <w:tc>
          <w:tcPr>
            <w:tcW w:w="574" w:type="pct"/>
            <w:shd w:val="clear" w:color="auto" w:fill="auto"/>
            <w:vAlign w:val="center"/>
          </w:tcPr>
          <w:p w14:paraId="2B13A2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八格保温售菜台</w:t>
            </w:r>
          </w:p>
        </w:tc>
        <w:tc>
          <w:tcPr>
            <w:tcW w:w="805" w:type="pct"/>
            <w:shd w:val="clear" w:color="auto" w:fill="auto"/>
            <w:vAlign w:val="center"/>
          </w:tcPr>
          <w:p w14:paraId="5D97E7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规格：1500×1200×800</w:t>
            </w:r>
          </w:p>
        </w:tc>
        <w:tc>
          <w:tcPr>
            <w:tcW w:w="2238" w:type="pct"/>
            <w:shd w:val="clear" w:color="auto" w:fill="auto"/>
            <w:vAlign w:val="center"/>
          </w:tcPr>
          <w:p w14:paraId="4C9531B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电量：6KW/1PH/380V；</w:t>
            </w:r>
          </w:p>
          <w:p w14:paraId="2D9E046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说明：304#2B发纹贴塑不锈钢板制造；台面板δ=1.2；水热式。</w:t>
            </w:r>
          </w:p>
        </w:tc>
        <w:tc>
          <w:tcPr>
            <w:tcW w:w="377" w:type="pct"/>
            <w:shd w:val="clear" w:color="auto" w:fill="auto"/>
            <w:noWrap/>
            <w:vAlign w:val="center"/>
          </w:tcPr>
          <w:p w14:paraId="2590B8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4台</w:t>
            </w:r>
          </w:p>
        </w:tc>
        <w:tc>
          <w:tcPr>
            <w:tcW w:w="700" w:type="pct"/>
            <w:shd w:val="clear" w:color="auto" w:fill="auto"/>
            <w:vAlign w:val="center"/>
          </w:tcPr>
          <w:p w14:paraId="766D5F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715584" behindDoc="1" locked="0" layoutInCell="1" allowOverlap="1">
                  <wp:simplePos x="0" y="0"/>
                  <wp:positionH relativeFrom="column">
                    <wp:posOffset>420370</wp:posOffset>
                  </wp:positionH>
                  <wp:positionV relativeFrom="paragraph">
                    <wp:posOffset>7620</wp:posOffset>
                  </wp:positionV>
                  <wp:extent cx="523875" cy="438150"/>
                  <wp:effectExtent l="0" t="0" r="9525" b="3810"/>
                  <wp:wrapTight wrapText="bothSides">
                    <wp:wrapPolygon>
                      <wp:start x="0" y="0"/>
                      <wp:lineTo x="0" y="21037"/>
                      <wp:lineTo x="20736" y="21037"/>
                      <wp:lineTo x="20736" y="0"/>
                      <wp:lineTo x="0" y="0"/>
                    </wp:wrapPolygon>
                  </wp:wrapTight>
                  <wp:docPr id="33" name="图片 56" descr="IMG_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56" descr="IMG_311"/>
                          <pic:cNvPicPr>
                            <a:picLocks noChangeAspect="1"/>
                          </pic:cNvPicPr>
                        </pic:nvPicPr>
                        <pic:blipFill>
                          <a:blip r:embed="rId48"/>
                          <a:stretch>
                            <a:fillRect/>
                          </a:stretch>
                        </pic:blipFill>
                        <pic:spPr>
                          <a:xfrm>
                            <a:off x="0" y="0"/>
                            <a:ext cx="523875" cy="438150"/>
                          </a:xfrm>
                          <a:prstGeom prst="rect">
                            <a:avLst/>
                          </a:prstGeom>
                          <a:noFill/>
                          <a:ln w="9525">
                            <a:noFill/>
                          </a:ln>
                        </pic:spPr>
                      </pic:pic>
                    </a:graphicData>
                  </a:graphic>
                </wp:anchor>
              </w:drawing>
            </w:r>
          </w:p>
        </w:tc>
      </w:tr>
      <w:tr w14:paraId="46E48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04" w:type="pct"/>
            <w:shd w:val="clear" w:color="auto" w:fill="auto"/>
            <w:vAlign w:val="center"/>
          </w:tcPr>
          <w:p w14:paraId="55077D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58</w:t>
            </w:r>
          </w:p>
        </w:tc>
        <w:tc>
          <w:tcPr>
            <w:tcW w:w="574" w:type="pct"/>
            <w:shd w:val="clear" w:color="auto" w:fill="auto"/>
            <w:vAlign w:val="center"/>
          </w:tcPr>
          <w:p w14:paraId="13510A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份数盘连盖</w:t>
            </w:r>
          </w:p>
        </w:tc>
        <w:tc>
          <w:tcPr>
            <w:tcW w:w="805" w:type="pct"/>
            <w:shd w:val="clear" w:color="auto" w:fill="auto"/>
            <w:vAlign w:val="center"/>
          </w:tcPr>
          <w:p w14:paraId="0593E8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p>
        </w:tc>
        <w:tc>
          <w:tcPr>
            <w:tcW w:w="2238" w:type="pct"/>
            <w:shd w:val="clear" w:color="auto" w:fill="auto"/>
            <w:vAlign w:val="center"/>
          </w:tcPr>
          <w:p w14:paraId="6A4BE85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说明：304优质不锈钢制造，δ=0.8mm</w:t>
            </w:r>
          </w:p>
        </w:tc>
        <w:tc>
          <w:tcPr>
            <w:tcW w:w="377" w:type="pct"/>
            <w:shd w:val="clear" w:color="auto" w:fill="auto"/>
            <w:noWrap/>
            <w:vAlign w:val="center"/>
          </w:tcPr>
          <w:p w14:paraId="65ABA1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32个</w:t>
            </w:r>
          </w:p>
        </w:tc>
        <w:tc>
          <w:tcPr>
            <w:tcW w:w="700" w:type="pct"/>
            <w:shd w:val="clear" w:color="auto" w:fill="auto"/>
            <w:vAlign w:val="center"/>
          </w:tcPr>
          <w:p w14:paraId="353C4D98">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2"/>
                <w:szCs w:val="22"/>
                <w:u w:val="none"/>
              </w:rPr>
            </w:pPr>
          </w:p>
        </w:tc>
      </w:tr>
      <w:tr w14:paraId="35CB5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04" w:type="pct"/>
            <w:shd w:val="clear" w:color="auto" w:fill="auto"/>
            <w:vAlign w:val="center"/>
          </w:tcPr>
          <w:p w14:paraId="6FF368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59</w:t>
            </w:r>
          </w:p>
        </w:tc>
        <w:tc>
          <w:tcPr>
            <w:tcW w:w="574" w:type="pct"/>
            <w:shd w:val="clear" w:color="auto" w:fill="auto"/>
            <w:vAlign w:val="center"/>
          </w:tcPr>
          <w:p w14:paraId="1DB002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暖饭、汤车</w:t>
            </w:r>
          </w:p>
        </w:tc>
        <w:tc>
          <w:tcPr>
            <w:tcW w:w="805" w:type="pct"/>
            <w:shd w:val="clear" w:color="auto" w:fill="auto"/>
            <w:vAlign w:val="center"/>
          </w:tcPr>
          <w:p w14:paraId="63E83C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规格：600×600×800</w:t>
            </w:r>
          </w:p>
        </w:tc>
        <w:tc>
          <w:tcPr>
            <w:tcW w:w="2238" w:type="pct"/>
            <w:shd w:val="clear" w:color="auto" w:fill="auto"/>
            <w:vAlign w:val="center"/>
          </w:tcPr>
          <w:p w14:paraId="0AC8B2C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电量：2KW/1PH/220V；</w:t>
            </w:r>
          </w:p>
          <w:p w14:paraId="3E86744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说明：304#2B发纹贴塑不锈钢板制造；面板δ=1.2mm,水热式，恒温自动控制，配圆桶、四个万向脚轮。</w:t>
            </w:r>
          </w:p>
        </w:tc>
        <w:tc>
          <w:tcPr>
            <w:tcW w:w="377" w:type="pct"/>
            <w:shd w:val="clear" w:color="auto" w:fill="auto"/>
            <w:noWrap/>
            <w:vAlign w:val="center"/>
          </w:tcPr>
          <w:p w14:paraId="078EF7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2台</w:t>
            </w:r>
          </w:p>
        </w:tc>
        <w:tc>
          <w:tcPr>
            <w:tcW w:w="700" w:type="pct"/>
            <w:shd w:val="clear" w:color="auto" w:fill="auto"/>
            <w:vAlign w:val="center"/>
          </w:tcPr>
          <w:p w14:paraId="4F321E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717632" behindDoc="1" locked="0" layoutInCell="1" allowOverlap="1">
                  <wp:simplePos x="0" y="0"/>
                  <wp:positionH relativeFrom="column">
                    <wp:posOffset>443230</wp:posOffset>
                  </wp:positionH>
                  <wp:positionV relativeFrom="paragraph">
                    <wp:posOffset>129540</wp:posOffset>
                  </wp:positionV>
                  <wp:extent cx="485775" cy="419100"/>
                  <wp:effectExtent l="0" t="0" r="1905" b="7620"/>
                  <wp:wrapTight wrapText="bothSides">
                    <wp:wrapPolygon>
                      <wp:start x="0" y="0"/>
                      <wp:lineTo x="0" y="21207"/>
                      <wp:lineTo x="21007" y="21207"/>
                      <wp:lineTo x="21007" y="0"/>
                      <wp:lineTo x="0" y="0"/>
                    </wp:wrapPolygon>
                  </wp:wrapTight>
                  <wp:docPr id="32" name="图片 57" descr="IMG_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57" descr="IMG_312"/>
                          <pic:cNvPicPr>
                            <a:picLocks noChangeAspect="1"/>
                          </pic:cNvPicPr>
                        </pic:nvPicPr>
                        <pic:blipFill>
                          <a:blip r:embed="rId47"/>
                          <a:stretch>
                            <a:fillRect/>
                          </a:stretch>
                        </pic:blipFill>
                        <pic:spPr>
                          <a:xfrm>
                            <a:off x="0" y="0"/>
                            <a:ext cx="485775" cy="419100"/>
                          </a:xfrm>
                          <a:prstGeom prst="rect">
                            <a:avLst/>
                          </a:prstGeom>
                          <a:noFill/>
                          <a:ln w="9525">
                            <a:noFill/>
                          </a:ln>
                        </pic:spPr>
                      </pic:pic>
                    </a:graphicData>
                  </a:graphic>
                </wp:anchor>
              </w:drawing>
            </w:r>
          </w:p>
        </w:tc>
      </w:tr>
      <w:tr w14:paraId="79A0A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04" w:type="pct"/>
            <w:shd w:val="clear" w:color="auto" w:fill="auto"/>
            <w:vAlign w:val="center"/>
          </w:tcPr>
          <w:p w14:paraId="7393A0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60</w:t>
            </w:r>
          </w:p>
        </w:tc>
        <w:tc>
          <w:tcPr>
            <w:tcW w:w="574" w:type="pct"/>
            <w:shd w:val="clear" w:color="auto" w:fill="auto"/>
            <w:vAlign w:val="center"/>
          </w:tcPr>
          <w:p w14:paraId="6F4F4C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紫外线消毒灯</w:t>
            </w:r>
          </w:p>
        </w:tc>
        <w:tc>
          <w:tcPr>
            <w:tcW w:w="805" w:type="pct"/>
            <w:shd w:val="clear" w:color="auto" w:fill="auto"/>
            <w:vAlign w:val="center"/>
          </w:tcPr>
          <w:p w14:paraId="1676B3E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p>
          <w:p w14:paraId="51DD1EB1">
            <w:pPr>
              <w:rPr>
                <w:color w:val="auto"/>
              </w:rPr>
            </w:pPr>
          </w:p>
        </w:tc>
        <w:tc>
          <w:tcPr>
            <w:tcW w:w="2238" w:type="pct"/>
            <w:shd w:val="clear" w:color="auto" w:fill="auto"/>
            <w:vAlign w:val="center"/>
          </w:tcPr>
          <w:p w14:paraId="3BB715FC">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iCs w:val="0"/>
                <w:color w:val="auto"/>
                <w:sz w:val="22"/>
                <w:szCs w:val="22"/>
                <w:u w:val="none"/>
              </w:rPr>
            </w:pPr>
          </w:p>
        </w:tc>
        <w:tc>
          <w:tcPr>
            <w:tcW w:w="377" w:type="pct"/>
            <w:shd w:val="clear" w:color="auto" w:fill="auto"/>
            <w:noWrap/>
            <w:vAlign w:val="center"/>
          </w:tcPr>
          <w:p w14:paraId="757D30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4台</w:t>
            </w:r>
          </w:p>
        </w:tc>
        <w:tc>
          <w:tcPr>
            <w:tcW w:w="700" w:type="pct"/>
            <w:shd w:val="clear" w:color="auto" w:fill="auto"/>
            <w:noWrap/>
            <w:vAlign w:val="center"/>
          </w:tcPr>
          <w:p w14:paraId="5B3CA9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718656" behindDoc="1" locked="0" layoutInCell="1" allowOverlap="1">
                  <wp:simplePos x="0" y="0"/>
                  <wp:positionH relativeFrom="column">
                    <wp:posOffset>405130</wp:posOffset>
                  </wp:positionH>
                  <wp:positionV relativeFrom="paragraph">
                    <wp:posOffset>45720</wp:posOffset>
                  </wp:positionV>
                  <wp:extent cx="552450" cy="123825"/>
                  <wp:effectExtent l="0" t="0" r="11430" b="13335"/>
                  <wp:wrapTight wrapText="bothSides">
                    <wp:wrapPolygon>
                      <wp:start x="0" y="0"/>
                      <wp:lineTo x="0" y="18609"/>
                      <wp:lineTo x="20855" y="18609"/>
                      <wp:lineTo x="20855" y="0"/>
                      <wp:lineTo x="0" y="0"/>
                    </wp:wrapPolygon>
                  </wp:wrapTight>
                  <wp:docPr id="31" name="图片 58" descr="IMG_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58" descr="IMG_313"/>
                          <pic:cNvPicPr>
                            <a:picLocks noChangeAspect="1"/>
                          </pic:cNvPicPr>
                        </pic:nvPicPr>
                        <pic:blipFill>
                          <a:blip r:embed="rId37"/>
                          <a:stretch>
                            <a:fillRect/>
                          </a:stretch>
                        </pic:blipFill>
                        <pic:spPr>
                          <a:xfrm>
                            <a:off x="0" y="0"/>
                            <a:ext cx="552450" cy="123825"/>
                          </a:xfrm>
                          <a:prstGeom prst="rect">
                            <a:avLst/>
                          </a:prstGeom>
                          <a:noFill/>
                          <a:ln w="9525">
                            <a:noFill/>
                          </a:ln>
                        </pic:spPr>
                      </pic:pic>
                    </a:graphicData>
                  </a:graphic>
                </wp:anchor>
              </w:drawing>
            </w:r>
          </w:p>
        </w:tc>
      </w:tr>
      <w:tr w14:paraId="5B397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5000" w:type="pct"/>
            <w:gridSpan w:val="6"/>
            <w:shd w:val="clear" w:color="auto" w:fill="auto"/>
            <w:vAlign w:val="center"/>
          </w:tcPr>
          <w:p w14:paraId="6885ED6E">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消洗间(一)</w:t>
            </w:r>
          </w:p>
        </w:tc>
      </w:tr>
      <w:tr w14:paraId="090F7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04" w:type="pct"/>
            <w:shd w:val="clear" w:color="auto" w:fill="auto"/>
            <w:vAlign w:val="center"/>
          </w:tcPr>
          <w:p w14:paraId="7D941C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61</w:t>
            </w:r>
          </w:p>
        </w:tc>
        <w:tc>
          <w:tcPr>
            <w:tcW w:w="574" w:type="pct"/>
            <w:shd w:val="clear" w:color="auto" w:fill="auto"/>
            <w:vAlign w:val="center"/>
          </w:tcPr>
          <w:p w14:paraId="29F8ED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冷热水龙头</w:t>
            </w:r>
          </w:p>
        </w:tc>
        <w:tc>
          <w:tcPr>
            <w:tcW w:w="805" w:type="pct"/>
            <w:shd w:val="clear" w:color="auto" w:fill="auto"/>
            <w:vAlign w:val="center"/>
          </w:tcPr>
          <w:p w14:paraId="15699A4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p>
        </w:tc>
        <w:tc>
          <w:tcPr>
            <w:tcW w:w="2238" w:type="pct"/>
            <w:shd w:val="clear" w:color="auto" w:fill="auto"/>
            <w:vAlign w:val="center"/>
          </w:tcPr>
          <w:p w14:paraId="176E4B0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材质：100%优质62铜 高品质陶瓷阀芯；</w:t>
            </w:r>
          </w:p>
          <w:p w14:paraId="75CA875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总长：35cm（最高点到台面垂直距离）。</w:t>
            </w:r>
          </w:p>
        </w:tc>
        <w:tc>
          <w:tcPr>
            <w:tcW w:w="377" w:type="pct"/>
            <w:shd w:val="clear" w:color="auto" w:fill="auto"/>
            <w:noWrap/>
            <w:vAlign w:val="center"/>
          </w:tcPr>
          <w:p w14:paraId="7FD27E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2个</w:t>
            </w:r>
          </w:p>
        </w:tc>
        <w:tc>
          <w:tcPr>
            <w:tcW w:w="700" w:type="pct"/>
            <w:shd w:val="clear" w:color="auto" w:fill="auto"/>
            <w:vAlign w:val="center"/>
          </w:tcPr>
          <w:p w14:paraId="4F004D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719680" behindDoc="1" locked="0" layoutInCell="1" allowOverlap="1">
                  <wp:simplePos x="0" y="0"/>
                  <wp:positionH relativeFrom="column">
                    <wp:posOffset>542290</wp:posOffset>
                  </wp:positionH>
                  <wp:positionV relativeFrom="paragraph">
                    <wp:posOffset>45720</wp:posOffset>
                  </wp:positionV>
                  <wp:extent cx="285750" cy="361950"/>
                  <wp:effectExtent l="0" t="0" r="3810" b="3810"/>
                  <wp:wrapTight wrapText="bothSides">
                    <wp:wrapPolygon>
                      <wp:start x="0" y="0"/>
                      <wp:lineTo x="0" y="20918"/>
                      <wp:lineTo x="20736" y="20918"/>
                      <wp:lineTo x="20736" y="0"/>
                      <wp:lineTo x="0" y="0"/>
                    </wp:wrapPolygon>
                  </wp:wrapTight>
                  <wp:docPr id="30" name="图片 59" descr="IMG_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59" descr="IMG_314"/>
                          <pic:cNvPicPr>
                            <a:picLocks noChangeAspect="1"/>
                          </pic:cNvPicPr>
                        </pic:nvPicPr>
                        <pic:blipFill>
                          <a:blip r:embed="rId22"/>
                          <a:stretch>
                            <a:fillRect/>
                          </a:stretch>
                        </pic:blipFill>
                        <pic:spPr>
                          <a:xfrm>
                            <a:off x="0" y="0"/>
                            <a:ext cx="285750" cy="361950"/>
                          </a:xfrm>
                          <a:prstGeom prst="rect">
                            <a:avLst/>
                          </a:prstGeom>
                          <a:noFill/>
                          <a:ln w="9525">
                            <a:noFill/>
                          </a:ln>
                        </pic:spPr>
                      </pic:pic>
                    </a:graphicData>
                  </a:graphic>
                </wp:anchor>
              </w:drawing>
            </w:r>
          </w:p>
        </w:tc>
      </w:tr>
      <w:tr w14:paraId="09046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04" w:type="pct"/>
            <w:shd w:val="clear" w:color="auto" w:fill="auto"/>
            <w:vAlign w:val="center"/>
          </w:tcPr>
          <w:p w14:paraId="5FF961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62</w:t>
            </w:r>
          </w:p>
        </w:tc>
        <w:tc>
          <w:tcPr>
            <w:tcW w:w="574" w:type="pct"/>
            <w:shd w:val="clear" w:color="auto" w:fill="auto"/>
            <w:vAlign w:val="center"/>
          </w:tcPr>
          <w:p w14:paraId="526DB0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浸泡池</w:t>
            </w:r>
          </w:p>
        </w:tc>
        <w:tc>
          <w:tcPr>
            <w:tcW w:w="805" w:type="pct"/>
            <w:shd w:val="clear" w:color="auto" w:fill="auto"/>
            <w:vAlign w:val="center"/>
          </w:tcPr>
          <w:p w14:paraId="4EDD5E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规格：1500×800×800</w:t>
            </w:r>
          </w:p>
        </w:tc>
        <w:tc>
          <w:tcPr>
            <w:tcW w:w="2238" w:type="pct"/>
            <w:shd w:val="clear" w:color="auto" w:fill="auto"/>
            <w:vAlign w:val="center"/>
          </w:tcPr>
          <w:p w14:paraId="182551C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说明：304#2B发纹贴塑不锈钢板制造；骨架采用δ=1.2 Φ38不锈钢圆通，台面δ=1.2，星盆斗δ=1.0，配Φ38不锈钢可调节重力子弹脚，配落水器、拦渣斗。</w:t>
            </w:r>
          </w:p>
        </w:tc>
        <w:tc>
          <w:tcPr>
            <w:tcW w:w="377" w:type="pct"/>
            <w:shd w:val="clear" w:color="auto" w:fill="auto"/>
            <w:noWrap/>
            <w:vAlign w:val="center"/>
          </w:tcPr>
          <w:p w14:paraId="37698F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1台</w:t>
            </w:r>
          </w:p>
        </w:tc>
        <w:tc>
          <w:tcPr>
            <w:tcW w:w="700" w:type="pct"/>
            <w:shd w:val="clear" w:color="auto" w:fill="auto"/>
            <w:vAlign w:val="center"/>
          </w:tcPr>
          <w:p w14:paraId="6F1FB0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720704" behindDoc="1" locked="0" layoutInCell="1" allowOverlap="1">
                  <wp:simplePos x="0" y="0"/>
                  <wp:positionH relativeFrom="column">
                    <wp:posOffset>466090</wp:posOffset>
                  </wp:positionH>
                  <wp:positionV relativeFrom="paragraph">
                    <wp:posOffset>99060</wp:posOffset>
                  </wp:positionV>
                  <wp:extent cx="438150" cy="476250"/>
                  <wp:effectExtent l="0" t="0" r="3810" b="11430"/>
                  <wp:wrapTight wrapText="bothSides">
                    <wp:wrapPolygon>
                      <wp:start x="0" y="0"/>
                      <wp:lineTo x="0" y="20736"/>
                      <wp:lineTo x="21037" y="20736"/>
                      <wp:lineTo x="21037" y="0"/>
                      <wp:lineTo x="0" y="0"/>
                    </wp:wrapPolygon>
                  </wp:wrapTight>
                  <wp:docPr id="29" name="图片 60" descr="IMG_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60" descr="IMG_315"/>
                          <pic:cNvPicPr>
                            <a:picLocks noChangeAspect="1"/>
                          </pic:cNvPicPr>
                        </pic:nvPicPr>
                        <pic:blipFill>
                          <a:blip r:embed="rId49"/>
                          <a:stretch>
                            <a:fillRect/>
                          </a:stretch>
                        </pic:blipFill>
                        <pic:spPr>
                          <a:xfrm>
                            <a:off x="0" y="0"/>
                            <a:ext cx="438150" cy="476250"/>
                          </a:xfrm>
                          <a:prstGeom prst="rect">
                            <a:avLst/>
                          </a:prstGeom>
                          <a:noFill/>
                          <a:ln w="9525">
                            <a:noFill/>
                          </a:ln>
                        </pic:spPr>
                      </pic:pic>
                    </a:graphicData>
                  </a:graphic>
                </wp:anchor>
              </w:drawing>
            </w:r>
          </w:p>
        </w:tc>
      </w:tr>
      <w:tr w14:paraId="65E1D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4" w:type="pct"/>
            <w:shd w:val="clear" w:color="auto" w:fill="auto"/>
            <w:vAlign w:val="center"/>
          </w:tcPr>
          <w:p w14:paraId="3A7EE2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63</w:t>
            </w:r>
          </w:p>
        </w:tc>
        <w:tc>
          <w:tcPr>
            <w:tcW w:w="574" w:type="pct"/>
            <w:shd w:val="clear" w:color="auto" w:fill="auto"/>
            <w:vAlign w:val="center"/>
          </w:tcPr>
          <w:p w14:paraId="2C18FD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冷热水龙头</w:t>
            </w:r>
          </w:p>
        </w:tc>
        <w:tc>
          <w:tcPr>
            <w:tcW w:w="805" w:type="pct"/>
            <w:shd w:val="clear" w:color="auto" w:fill="auto"/>
            <w:vAlign w:val="center"/>
          </w:tcPr>
          <w:p w14:paraId="4ECB86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p>
        </w:tc>
        <w:tc>
          <w:tcPr>
            <w:tcW w:w="2238" w:type="pct"/>
            <w:shd w:val="clear" w:color="auto" w:fill="auto"/>
            <w:vAlign w:val="center"/>
          </w:tcPr>
          <w:p w14:paraId="0F53F0F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材质：100%优质62铜 高品质陶瓷阀芯；</w:t>
            </w:r>
          </w:p>
          <w:p w14:paraId="19382A9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总长：35cm（最高点到台面垂直距离）。</w:t>
            </w:r>
          </w:p>
        </w:tc>
        <w:tc>
          <w:tcPr>
            <w:tcW w:w="377" w:type="pct"/>
            <w:shd w:val="clear" w:color="auto" w:fill="auto"/>
            <w:noWrap/>
            <w:vAlign w:val="center"/>
          </w:tcPr>
          <w:p w14:paraId="1CE160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1个</w:t>
            </w:r>
          </w:p>
        </w:tc>
        <w:tc>
          <w:tcPr>
            <w:tcW w:w="700" w:type="pct"/>
            <w:shd w:val="clear" w:color="auto" w:fill="auto"/>
            <w:vAlign w:val="center"/>
          </w:tcPr>
          <w:p w14:paraId="009472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721728" behindDoc="1" locked="0" layoutInCell="1" allowOverlap="1">
                  <wp:simplePos x="0" y="0"/>
                  <wp:positionH relativeFrom="column">
                    <wp:posOffset>542290</wp:posOffset>
                  </wp:positionH>
                  <wp:positionV relativeFrom="paragraph">
                    <wp:posOffset>45720</wp:posOffset>
                  </wp:positionV>
                  <wp:extent cx="285750" cy="361950"/>
                  <wp:effectExtent l="0" t="0" r="3810" b="3810"/>
                  <wp:wrapTight wrapText="bothSides">
                    <wp:wrapPolygon>
                      <wp:start x="0" y="0"/>
                      <wp:lineTo x="0" y="20918"/>
                      <wp:lineTo x="20736" y="20918"/>
                      <wp:lineTo x="20736" y="0"/>
                      <wp:lineTo x="0" y="0"/>
                    </wp:wrapPolygon>
                  </wp:wrapTight>
                  <wp:docPr id="28" name="图片 61" descr="IMG_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61" descr="IMG_316"/>
                          <pic:cNvPicPr>
                            <a:picLocks noChangeAspect="1"/>
                          </pic:cNvPicPr>
                        </pic:nvPicPr>
                        <pic:blipFill>
                          <a:blip r:embed="rId22"/>
                          <a:stretch>
                            <a:fillRect/>
                          </a:stretch>
                        </pic:blipFill>
                        <pic:spPr>
                          <a:xfrm>
                            <a:off x="0" y="0"/>
                            <a:ext cx="285750" cy="361950"/>
                          </a:xfrm>
                          <a:prstGeom prst="rect">
                            <a:avLst/>
                          </a:prstGeom>
                          <a:noFill/>
                          <a:ln w="9525">
                            <a:noFill/>
                          </a:ln>
                        </pic:spPr>
                      </pic:pic>
                    </a:graphicData>
                  </a:graphic>
                </wp:anchor>
              </w:drawing>
            </w:r>
          </w:p>
        </w:tc>
      </w:tr>
      <w:tr w14:paraId="611AB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4" w:type="pct"/>
            <w:shd w:val="clear" w:color="auto" w:fill="auto"/>
            <w:vAlign w:val="center"/>
          </w:tcPr>
          <w:p w14:paraId="2A4121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64</w:t>
            </w:r>
          </w:p>
        </w:tc>
        <w:tc>
          <w:tcPr>
            <w:tcW w:w="574" w:type="pct"/>
            <w:shd w:val="clear" w:color="auto" w:fill="auto"/>
            <w:vAlign w:val="center"/>
          </w:tcPr>
          <w:p w14:paraId="014CC5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牛角烟罩(m²)</w:t>
            </w:r>
          </w:p>
        </w:tc>
        <w:tc>
          <w:tcPr>
            <w:tcW w:w="805" w:type="pct"/>
            <w:shd w:val="clear" w:color="auto" w:fill="auto"/>
            <w:vAlign w:val="center"/>
          </w:tcPr>
          <w:p w14:paraId="31430E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规格：800×500×H×2</w:t>
            </w:r>
          </w:p>
        </w:tc>
        <w:tc>
          <w:tcPr>
            <w:tcW w:w="2238" w:type="pct"/>
            <w:shd w:val="clear" w:color="auto" w:fill="auto"/>
            <w:vAlign w:val="center"/>
          </w:tcPr>
          <w:p w14:paraId="56E905F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说明：304#2B发纹贴塑不锈钢板制造；δ=1.0mm。</w:t>
            </w:r>
          </w:p>
        </w:tc>
        <w:tc>
          <w:tcPr>
            <w:tcW w:w="377" w:type="pct"/>
            <w:shd w:val="clear" w:color="auto" w:fill="auto"/>
            <w:noWrap/>
            <w:vAlign w:val="center"/>
          </w:tcPr>
          <w:p w14:paraId="4431E7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0.8m²</w:t>
            </w:r>
          </w:p>
        </w:tc>
        <w:tc>
          <w:tcPr>
            <w:tcW w:w="700" w:type="pct"/>
            <w:shd w:val="clear" w:color="auto" w:fill="auto"/>
            <w:noWrap/>
            <w:vAlign w:val="center"/>
          </w:tcPr>
          <w:p w14:paraId="18F71F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722752" behindDoc="1" locked="0" layoutInCell="1" allowOverlap="1">
                  <wp:simplePos x="0" y="0"/>
                  <wp:positionH relativeFrom="column">
                    <wp:posOffset>420370</wp:posOffset>
                  </wp:positionH>
                  <wp:positionV relativeFrom="paragraph">
                    <wp:posOffset>-53340</wp:posOffset>
                  </wp:positionV>
                  <wp:extent cx="523875" cy="333375"/>
                  <wp:effectExtent l="0" t="0" r="9525" b="1905"/>
                  <wp:wrapTight wrapText="bothSides">
                    <wp:wrapPolygon>
                      <wp:start x="0" y="0"/>
                      <wp:lineTo x="0" y="20736"/>
                      <wp:lineTo x="20736" y="20736"/>
                      <wp:lineTo x="20736" y="0"/>
                      <wp:lineTo x="0" y="0"/>
                    </wp:wrapPolygon>
                  </wp:wrapTight>
                  <wp:docPr id="27" name="图片 62" descr="IMG_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62" descr="IMG_317"/>
                          <pic:cNvPicPr>
                            <a:picLocks noChangeAspect="1"/>
                          </pic:cNvPicPr>
                        </pic:nvPicPr>
                        <pic:blipFill>
                          <a:blip r:embed="rId50"/>
                          <a:stretch>
                            <a:fillRect/>
                          </a:stretch>
                        </pic:blipFill>
                        <pic:spPr>
                          <a:xfrm>
                            <a:off x="0" y="0"/>
                            <a:ext cx="523875" cy="333375"/>
                          </a:xfrm>
                          <a:prstGeom prst="rect">
                            <a:avLst/>
                          </a:prstGeom>
                          <a:noFill/>
                          <a:ln w="9525">
                            <a:noFill/>
                          </a:ln>
                        </pic:spPr>
                      </pic:pic>
                    </a:graphicData>
                  </a:graphic>
                </wp:anchor>
              </w:drawing>
            </w:r>
          </w:p>
        </w:tc>
      </w:tr>
      <w:tr w14:paraId="2CA48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04" w:type="pct"/>
            <w:shd w:val="clear" w:color="auto" w:fill="auto"/>
            <w:vAlign w:val="center"/>
          </w:tcPr>
          <w:p w14:paraId="6A1EE9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65</w:t>
            </w:r>
          </w:p>
        </w:tc>
        <w:tc>
          <w:tcPr>
            <w:tcW w:w="574" w:type="pct"/>
            <w:shd w:val="clear" w:color="auto" w:fill="auto"/>
            <w:vAlign w:val="center"/>
          </w:tcPr>
          <w:p w14:paraId="40C2FA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双孔残菜回收台柜</w:t>
            </w:r>
          </w:p>
        </w:tc>
        <w:tc>
          <w:tcPr>
            <w:tcW w:w="805" w:type="pct"/>
            <w:shd w:val="clear" w:color="auto" w:fill="auto"/>
            <w:vAlign w:val="center"/>
          </w:tcPr>
          <w:p w14:paraId="433165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规格：1800×800×800</w:t>
            </w:r>
          </w:p>
        </w:tc>
        <w:tc>
          <w:tcPr>
            <w:tcW w:w="2238" w:type="pct"/>
            <w:shd w:val="clear" w:color="auto" w:fill="auto"/>
            <w:vAlign w:val="center"/>
          </w:tcPr>
          <w:p w14:paraId="7C1E425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说明：选用304#2B发纹贴塑不锈钢板制作，台面δ=1.2，四周围板δ=0.8、圆角模压成型，不锈钢加强筋，配不锈钢推车、不锈钢重力脚。</w:t>
            </w:r>
          </w:p>
        </w:tc>
        <w:tc>
          <w:tcPr>
            <w:tcW w:w="377" w:type="pct"/>
            <w:shd w:val="clear" w:color="auto" w:fill="auto"/>
            <w:noWrap/>
            <w:vAlign w:val="center"/>
          </w:tcPr>
          <w:p w14:paraId="0036B6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1台</w:t>
            </w:r>
          </w:p>
        </w:tc>
        <w:tc>
          <w:tcPr>
            <w:tcW w:w="700" w:type="pct"/>
            <w:shd w:val="clear" w:color="auto" w:fill="auto"/>
            <w:vAlign w:val="center"/>
          </w:tcPr>
          <w:p w14:paraId="00DC23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723776" behindDoc="1" locked="0" layoutInCell="1" allowOverlap="1">
                  <wp:simplePos x="0" y="0"/>
                  <wp:positionH relativeFrom="column">
                    <wp:posOffset>405130</wp:posOffset>
                  </wp:positionH>
                  <wp:positionV relativeFrom="paragraph">
                    <wp:posOffset>152400</wp:posOffset>
                  </wp:positionV>
                  <wp:extent cx="552450" cy="371475"/>
                  <wp:effectExtent l="0" t="0" r="11430" b="9525"/>
                  <wp:wrapTight wrapText="bothSides">
                    <wp:wrapPolygon>
                      <wp:start x="0" y="0"/>
                      <wp:lineTo x="0" y="20382"/>
                      <wp:lineTo x="20855" y="20382"/>
                      <wp:lineTo x="20855" y="0"/>
                      <wp:lineTo x="0" y="0"/>
                    </wp:wrapPolygon>
                  </wp:wrapTight>
                  <wp:docPr id="26" name="图片 63" descr="IMG_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63" descr="IMG_318"/>
                          <pic:cNvPicPr>
                            <a:picLocks noChangeAspect="1"/>
                          </pic:cNvPicPr>
                        </pic:nvPicPr>
                        <pic:blipFill>
                          <a:blip r:embed="rId51"/>
                          <a:stretch>
                            <a:fillRect/>
                          </a:stretch>
                        </pic:blipFill>
                        <pic:spPr>
                          <a:xfrm>
                            <a:off x="0" y="0"/>
                            <a:ext cx="552450" cy="371475"/>
                          </a:xfrm>
                          <a:prstGeom prst="rect">
                            <a:avLst/>
                          </a:prstGeom>
                          <a:noFill/>
                          <a:ln w="9525">
                            <a:noFill/>
                          </a:ln>
                        </pic:spPr>
                      </pic:pic>
                    </a:graphicData>
                  </a:graphic>
                </wp:anchor>
              </w:drawing>
            </w:r>
          </w:p>
        </w:tc>
      </w:tr>
      <w:tr w14:paraId="5E9F4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4" w:type="pct"/>
            <w:shd w:val="clear" w:color="auto" w:fill="auto"/>
            <w:vAlign w:val="center"/>
          </w:tcPr>
          <w:p w14:paraId="702012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66</w:t>
            </w:r>
          </w:p>
        </w:tc>
        <w:tc>
          <w:tcPr>
            <w:tcW w:w="574" w:type="pct"/>
            <w:shd w:val="clear" w:color="auto" w:fill="auto"/>
            <w:vAlign w:val="center"/>
          </w:tcPr>
          <w:p w14:paraId="2FCCC1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5#静音轴流风机</w:t>
            </w:r>
          </w:p>
        </w:tc>
        <w:tc>
          <w:tcPr>
            <w:tcW w:w="805" w:type="pct"/>
            <w:shd w:val="clear" w:color="auto" w:fill="auto"/>
            <w:vAlign w:val="center"/>
          </w:tcPr>
          <w:p w14:paraId="0C3945C8">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2"/>
                <w:szCs w:val="22"/>
                <w:u w:val="none"/>
              </w:rPr>
            </w:pPr>
          </w:p>
          <w:p w14:paraId="601D3313">
            <w:pPr>
              <w:rPr>
                <w:color w:val="auto"/>
              </w:rPr>
            </w:pPr>
          </w:p>
        </w:tc>
        <w:tc>
          <w:tcPr>
            <w:tcW w:w="2238" w:type="pct"/>
            <w:shd w:val="clear" w:color="auto" w:fill="auto"/>
            <w:vAlign w:val="center"/>
          </w:tcPr>
          <w:p w14:paraId="7EB3C4DD">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2"/>
                <w:szCs w:val="22"/>
                <w:u w:val="none"/>
              </w:rPr>
            </w:pPr>
          </w:p>
        </w:tc>
        <w:tc>
          <w:tcPr>
            <w:tcW w:w="377" w:type="pct"/>
            <w:shd w:val="clear" w:color="auto" w:fill="auto"/>
            <w:vAlign w:val="center"/>
          </w:tcPr>
          <w:p w14:paraId="2855CF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1台</w:t>
            </w:r>
          </w:p>
        </w:tc>
        <w:tc>
          <w:tcPr>
            <w:tcW w:w="700" w:type="pct"/>
            <w:shd w:val="clear" w:color="auto" w:fill="auto"/>
            <w:noWrap/>
            <w:vAlign w:val="center"/>
          </w:tcPr>
          <w:p w14:paraId="4B4DD8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724800" behindDoc="1" locked="0" layoutInCell="1" allowOverlap="1">
                  <wp:simplePos x="0" y="0"/>
                  <wp:positionH relativeFrom="column">
                    <wp:posOffset>443230</wp:posOffset>
                  </wp:positionH>
                  <wp:positionV relativeFrom="paragraph">
                    <wp:posOffset>-129540</wp:posOffset>
                  </wp:positionV>
                  <wp:extent cx="476250" cy="485775"/>
                  <wp:effectExtent l="0" t="0" r="11430" b="1905"/>
                  <wp:wrapTight wrapText="bothSides">
                    <wp:wrapPolygon>
                      <wp:start x="0" y="0"/>
                      <wp:lineTo x="0" y="21007"/>
                      <wp:lineTo x="20736" y="21007"/>
                      <wp:lineTo x="20736" y="0"/>
                      <wp:lineTo x="0" y="0"/>
                    </wp:wrapPolygon>
                  </wp:wrapTight>
                  <wp:docPr id="25" name="图片 64" descr="IMG_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64" descr="IMG_319"/>
                          <pic:cNvPicPr>
                            <a:picLocks noChangeAspect="1"/>
                          </pic:cNvPicPr>
                        </pic:nvPicPr>
                        <pic:blipFill>
                          <a:blip r:embed="rId44"/>
                          <a:stretch>
                            <a:fillRect/>
                          </a:stretch>
                        </pic:blipFill>
                        <pic:spPr>
                          <a:xfrm>
                            <a:off x="0" y="0"/>
                            <a:ext cx="476250" cy="485775"/>
                          </a:xfrm>
                          <a:prstGeom prst="rect">
                            <a:avLst/>
                          </a:prstGeom>
                          <a:noFill/>
                          <a:ln w="9525">
                            <a:noFill/>
                          </a:ln>
                        </pic:spPr>
                      </pic:pic>
                    </a:graphicData>
                  </a:graphic>
                </wp:anchor>
              </w:drawing>
            </w:r>
          </w:p>
        </w:tc>
      </w:tr>
      <w:tr w14:paraId="5BAC3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04" w:type="pct"/>
            <w:shd w:val="clear" w:color="auto" w:fill="auto"/>
            <w:vAlign w:val="center"/>
          </w:tcPr>
          <w:p w14:paraId="2D21BF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67</w:t>
            </w:r>
          </w:p>
        </w:tc>
        <w:tc>
          <w:tcPr>
            <w:tcW w:w="574" w:type="pct"/>
            <w:shd w:val="clear" w:color="auto" w:fill="auto"/>
            <w:vAlign w:val="center"/>
          </w:tcPr>
          <w:p w14:paraId="220FE8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电击式灭蝇灯</w:t>
            </w:r>
          </w:p>
        </w:tc>
        <w:tc>
          <w:tcPr>
            <w:tcW w:w="805" w:type="pct"/>
            <w:shd w:val="clear" w:color="auto" w:fill="auto"/>
            <w:vAlign w:val="center"/>
          </w:tcPr>
          <w:p w14:paraId="4A0DE5D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p>
        </w:tc>
        <w:tc>
          <w:tcPr>
            <w:tcW w:w="2238" w:type="pct"/>
            <w:shd w:val="clear" w:color="auto" w:fill="auto"/>
            <w:vAlign w:val="center"/>
          </w:tcPr>
          <w:p w14:paraId="304B714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功率：220V/40W      采用半密封式收集器、可以安全地将被电击的蝇虫控制在收集器内、击伤的蝇虫也不至于飞溅机外、达到环保之目的</w:t>
            </w:r>
          </w:p>
        </w:tc>
        <w:tc>
          <w:tcPr>
            <w:tcW w:w="377" w:type="pct"/>
            <w:shd w:val="clear" w:color="auto" w:fill="auto"/>
            <w:noWrap/>
            <w:vAlign w:val="center"/>
          </w:tcPr>
          <w:p w14:paraId="2A5C90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1台</w:t>
            </w:r>
          </w:p>
        </w:tc>
        <w:tc>
          <w:tcPr>
            <w:tcW w:w="700" w:type="pct"/>
            <w:shd w:val="clear" w:color="auto" w:fill="auto"/>
            <w:vAlign w:val="center"/>
          </w:tcPr>
          <w:p w14:paraId="441607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725824" behindDoc="1" locked="0" layoutInCell="1" allowOverlap="1">
                  <wp:simplePos x="0" y="0"/>
                  <wp:positionH relativeFrom="column">
                    <wp:posOffset>382270</wp:posOffset>
                  </wp:positionH>
                  <wp:positionV relativeFrom="paragraph">
                    <wp:posOffset>182880</wp:posOffset>
                  </wp:positionV>
                  <wp:extent cx="600075" cy="314325"/>
                  <wp:effectExtent l="0" t="0" r="9525" b="5715"/>
                  <wp:wrapTight wrapText="bothSides">
                    <wp:wrapPolygon>
                      <wp:start x="0" y="0"/>
                      <wp:lineTo x="0" y="20945"/>
                      <wp:lineTo x="20846" y="20945"/>
                      <wp:lineTo x="20846" y="0"/>
                      <wp:lineTo x="0" y="0"/>
                    </wp:wrapPolygon>
                  </wp:wrapTight>
                  <wp:docPr id="24" name="图片 65" descr="IMG_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65" descr="IMG_320"/>
                          <pic:cNvPicPr>
                            <a:picLocks noChangeAspect="1"/>
                          </pic:cNvPicPr>
                        </pic:nvPicPr>
                        <pic:blipFill>
                          <a:blip r:embed="rId14"/>
                          <a:stretch>
                            <a:fillRect/>
                          </a:stretch>
                        </pic:blipFill>
                        <pic:spPr>
                          <a:xfrm>
                            <a:off x="0" y="0"/>
                            <a:ext cx="600075" cy="314325"/>
                          </a:xfrm>
                          <a:prstGeom prst="rect">
                            <a:avLst/>
                          </a:prstGeom>
                          <a:noFill/>
                          <a:ln w="9525">
                            <a:noFill/>
                          </a:ln>
                        </pic:spPr>
                      </pic:pic>
                    </a:graphicData>
                  </a:graphic>
                </wp:anchor>
              </w:drawing>
            </w:r>
          </w:p>
        </w:tc>
      </w:tr>
      <w:tr w14:paraId="1AC65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6"/>
            <w:shd w:val="clear" w:color="auto" w:fill="auto"/>
            <w:vAlign w:val="center"/>
          </w:tcPr>
          <w:p w14:paraId="3AE67F7B">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学生餐厅售菜间(二)</w:t>
            </w:r>
          </w:p>
        </w:tc>
      </w:tr>
      <w:tr w14:paraId="6625E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04" w:type="pct"/>
            <w:shd w:val="clear" w:color="auto" w:fill="auto"/>
            <w:vAlign w:val="center"/>
          </w:tcPr>
          <w:p w14:paraId="4261CD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68</w:t>
            </w:r>
          </w:p>
        </w:tc>
        <w:tc>
          <w:tcPr>
            <w:tcW w:w="574" w:type="pct"/>
            <w:shd w:val="clear" w:color="auto" w:fill="auto"/>
            <w:vAlign w:val="center"/>
          </w:tcPr>
          <w:p w14:paraId="7120AC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洗手星盆</w:t>
            </w:r>
          </w:p>
        </w:tc>
        <w:tc>
          <w:tcPr>
            <w:tcW w:w="805" w:type="pct"/>
            <w:shd w:val="clear" w:color="auto" w:fill="auto"/>
            <w:vAlign w:val="center"/>
          </w:tcPr>
          <w:p w14:paraId="5B53B7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规格：500×400×300</w:t>
            </w:r>
          </w:p>
        </w:tc>
        <w:tc>
          <w:tcPr>
            <w:tcW w:w="2238" w:type="pct"/>
            <w:shd w:val="clear" w:color="auto" w:fill="auto"/>
            <w:vAlign w:val="center"/>
          </w:tcPr>
          <w:p w14:paraId="53874AC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说明：304#2B发纹贴塑不锈钢板制造；骨架采用δ=1.2 Φ38不锈钢圆通，台面δ=1.2，星盆斗δ=1.0，配落水器、拦渣斗。</w:t>
            </w:r>
          </w:p>
        </w:tc>
        <w:tc>
          <w:tcPr>
            <w:tcW w:w="377" w:type="pct"/>
            <w:shd w:val="clear" w:color="auto" w:fill="auto"/>
            <w:noWrap/>
            <w:vAlign w:val="center"/>
          </w:tcPr>
          <w:p w14:paraId="7994AF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1个</w:t>
            </w:r>
          </w:p>
        </w:tc>
        <w:tc>
          <w:tcPr>
            <w:tcW w:w="700" w:type="pct"/>
            <w:shd w:val="clear" w:color="auto" w:fill="auto"/>
            <w:vAlign w:val="center"/>
          </w:tcPr>
          <w:p w14:paraId="680E04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726848" behindDoc="1" locked="0" layoutInCell="1" allowOverlap="1">
                  <wp:simplePos x="0" y="0"/>
                  <wp:positionH relativeFrom="column">
                    <wp:posOffset>420370</wp:posOffset>
                  </wp:positionH>
                  <wp:positionV relativeFrom="paragraph">
                    <wp:posOffset>45720</wp:posOffset>
                  </wp:positionV>
                  <wp:extent cx="523875" cy="361950"/>
                  <wp:effectExtent l="0" t="0" r="9525" b="3810"/>
                  <wp:wrapTight wrapText="bothSides">
                    <wp:wrapPolygon>
                      <wp:start x="0" y="0"/>
                      <wp:lineTo x="0" y="20918"/>
                      <wp:lineTo x="20736" y="20918"/>
                      <wp:lineTo x="20736" y="0"/>
                      <wp:lineTo x="0" y="0"/>
                    </wp:wrapPolygon>
                  </wp:wrapTight>
                  <wp:docPr id="23" name="图片 66" descr="IMG_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66" descr="IMG_321"/>
                          <pic:cNvPicPr>
                            <a:picLocks noChangeAspect="1"/>
                          </pic:cNvPicPr>
                        </pic:nvPicPr>
                        <pic:blipFill>
                          <a:blip r:embed="rId35"/>
                          <a:stretch>
                            <a:fillRect/>
                          </a:stretch>
                        </pic:blipFill>
                        <pic:spPr>
                          <a:xfrm>
                            <a:off x="0" y="0"/>
                            <a:ext cx="523875" cy="361950"/>
                          </a:xfrm>
                          <a:prstGeom prst="rect">
                            <a:avLst/>
                          </a:prstGeom>
                          <a:noFill/>
                          <a:ln w="9525">
                            <a:noFill/>
                          </a:ln>
                        </pic:spPr>
                      </pic:pic>
                    </a:graphicData>
                  </a:graphic>
                </wp:anchor>
              </w:drawing>
            </w:r>
          </w:p>
        </w:tc>
      </w:tr>
      <w:tr w14:paraId="53E16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04" w:type="pct"/>
            <w:shd w:val="clear" w:color="auto" w:fill="auto"/>
            <w:vAlign w:val="center"/>
          </w:tcPr>
          <w:p w14:paraId="029DF4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69</w:t>
            </w:r>
          </w:p>
        </w:tc>
        <w:tc>
          <w:tcPr>
            <w:tcW w:w="574" w:type="pct"/>
            <w:shd w:val="clear" w:color="auto" w:fill="auto"/>
            <w:vAlign w:val="center"/>
          </w:tcPr>
          <w:p w14:paraId="1F9228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感应龙头</w:t>
            </w:r>
          </w:p>
        </w:tc>
        <w:tc>
          <w:tcPr>
            <w:tcW w:w="805" w:type="pct"/>
            <w:shd w:val="clear" w:color="auto" w:fill="auto"/>
            <w:vAlign w:val="center"/>
          </w:tcPr>
          <w:p w14:paraId="2019CA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p>
        </w:tc>
        <w:tc>
          <w:tcPr>
            <w:tcW w:w="2238" w:type="pct"/>
            <w:shd w:val="clear" w:color="auto" w:fill="auto"/>
            <w:vAlign w:val="center"/>
          </w:tcPr>
          <w:p w14:paraId="142374D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 xml:space="preserve">说明：1.工作电压：1.5V×4（四节五号干电池）或者220V  50/60HZ交流电；                                 </w:t>
            </w:r>
          </w:p>
          <w:p w14:paraId="13A5843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 xml:space="preserve">2.工作水压：0.1-0.6MPa 可接冷热混水，出水温度可调；                          </w:t>
            </w:r>
          </w:p>
          <w:p w14:paraId="5EBA147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 xml:space="preserve">3.开孔径：25mm；                                </w:t>
            </w:r>
          </w:p>
          <w:p w14:paraId="75A3734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4.台式安装黄铜铸造水嘴，表面镀铬处理；</w:t>
            </w:r>
          </w:p>
          <w:p w14:paraId="66DDA09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5. 接水口口径为1/2"外螺纹；</w:t>
            </w:r>
          </w:p>
          <w:p w14:paraId="402C6DC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6.属节水产品，产品技术条件须符合CJ/T194/2014《非接触式给水器具》、 GB25501-2019《水嘴水效限定值及水效等级》标准要求并提供相应证书。                                                                                                7、产品符合中国环境标志产品认证实施规ECC-1057EL-A/0 的要求属环境标志产品，并提供相应证书复印件并加盖公章。</w:t>
            </w:r>
          </w:p>
          <w:p w14:paraId="459B3A1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highlight w:val="yellow"/>
                <w:u w:val="none"/>
              </w:rPr>
              <w:t>▲</w:t>
            </w:r>
            <w:r>
              <w:rPr>
                <w:rFonts w:hint="eastAsia" w:ascii="宋体" w:hAnsi="宋体" w:eastAsia="宋体" w:cs="宋体"/>
                <w:i w:val="0"/>
                <w:iCs w:val="0"/>
                <w:color w:val="auto"/>
                <w:sz w:val="22"/>
                <w:szCs w:val="22"/>
                <w:highlight w:val="yellow"/>
                <w:u w:val="single"/>
              </w:rPr>
              <w:t>本产品属于政府强制采购节能产品，须提供参与实施政府采购节能（环境标志）产品认证机构出具的认证证书或证书发布平台的投标产品认证证书查询截图</w:t>
            </w:r>
            <w:r>
              <w:rPr>
                <w:rFonts w:hint="eastAsia" w:ascii="宋体" w:hAnsi="宋体" w:eastAsia="宋体" w:cs="宋体"/>
                <w:i w:val="0"/>
                <w:iCs w:val="0"/>
                <w:color w:val="auto"/>
                <w:sz w:val="22"/>
                <w:szCs w:val="22"/>
                <w:highlight w:val="yellow"/>
                <w:u w:val="none"/>
              </w:rPr>
              <w:t>（请在</w:t>
            </w:r>
            <w:r>
              <w:rPr>
                <w:rFonts w:hint="eastAsia" w:ascii="宋体" w:hAnsi="宋体" w:eastAsia="宋体" w:cs="宋体"/>
                <w:i w:val="0"/>
                <w:iCs w:val="0"/>
                <w:color w:val="auto"/>
                <w:sz w:val="22"/>
                <w:szCs w:val="22"/>
                <w:highlight w:val="yellow"/>
                <w:u w:val="none"/>
                <w:lang w:eastAsia="zh-CN"/>
              </w:rPr>
              <w:t>响应文件</w:t>
            </w:r>
            <w:r>
              <w:rPr>
                <w:rFonts w:hint="eastAsia" w:ascii="宋体" w:hAnsi="宋体" w:eastAsia="宋体" w:cs="宋体"/>
                <w:i w:val="0"/>
                <w:iCs w:val="0"/>
                <w:color w:val="auto"/>
                <w:sz w:val="22"/>
                <w:szCs w:val="22"/>
                <w:highlight w:val="yellow"/>
                <w:u w:val="none"/>
              </w:rPr>
              <w:t>“列入政府采购节能环保清单的证明资料”中体现）。</w:t>
            </w:r>
          </w:p>
        </w:tc>
        <w:tc>
          <w:tcPr>
            <w:tcW w:w="377" w:type="pct"/>
            <w:shd w:val="clear" w:color="auto" w:fill="auto"/>
            <w:noWrap/>
            <w:vAlign w:val="center"/>
          </w:tcPr>
          <w:p w14:paraId="507587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1个</w:t>
            </w:r>
          </w:p>
        </w:tc>
        <w:tc>
          <w:tcPr>
            <w:tcW w:w="700" w:type="pct"/>
            <w:shd w:val="clear" w:color="auto" w:fill="auto"/>
            <w:vAlign w:val="center"/>
          </w:tcPr>
          <w:p w14:paraId="78CC61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727872" behindDoc="1" locked="0" layoutInCell="1" allowOverlap="1">
                  <wp:simplePos x="0" y="0"/>
                  <wp:positionH relativeFrom="column">
                    <wp:posOffset>420370</wp:posOffset>
                  </wp:positionH>
                  <wp:positionV relativeFrom="paragraph">
                    <wp:posOffset>1562100</wp:posOffset>
                  </wp:positionV>
                  <wp:extent cx="523875" cy="295275"/>
                  <wp:effectExtent l="0" t="0" r="9525" b="9525"/>
                  <wp:wrapTight wrapText="bothSides">
                    <wp:wrapPolygon>
                      <wp:start x="0" y="0"/>
                      <wp:lineTo x="0" y="20067"/>
                      <wp:lineTo x="20736" y="20067"/>
                      <wp:lineTo x="20736" y="0"/>
                      <wp:lineTo x="0" y="0"/>
                    </wp:wrapPolygon>
                  </wp:wrapTight>
                  <wp:docPr id="22" name="图片 67" descr="IMG_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67" descr="IMG_322"/>
                          <pic:cNvPicPr>
                            <a:picLocks noChangeAspect="1"/>
                          </pic:cNvPicPr>
                        </pic:nvPicPr>
                        <pic:blipFill>
                          <a:blip r:embed="rId36"/>
                          <a:stretch>
                            <a:fillRect/>
                          </a:stretch>
                        </pic:blipFill>
                        <pic:spPr>
                          <a:xfrm>
                            <a:off x="0" y="0"/>
                            <a:ext cx="523875" cy="295275"/>
                          </a:xfrm>
                          <a:prstGeom prst="rect">
                            <a:avLst/>
                          </a:prstGeom>
                          <a:noFill/>
                          <a:ln w="9525">
                            <a:noFill/>
                          </a:ln>
                        </pic:spPr>
                      </pic:pic>
                    </a:graphicData>
                  </a:graphic>
                </wp:anchor>
              </w:drawing>
            </w:r>
          </w:p>
        </w:tc>
      </w:tr>
      <w:tr w14:paraId="18BF8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04" w:type="pct"/>
            <w:shd w:val="clear" w:color="auto" w:fill="auto"/>
            <w:vAlign w:val="center"/>
          </w:tcPr>
          <w:p w14:paraId="70C2C1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70</w:t>
            </w:r>
          </w:p>
        </w:tc>
        <w:tc>
          <w:tcPr>
            <w:tcW w:w="574" w:type="pct"/>
            <w:shd w:val="clear" w:color="auto" w:fill="auto"/>
            <w:vAlign w:val="center"/>
          </w:tcPr>
          <w:p w14:paraId="24438E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干手机</w:t>
            </w:r>
          </w:p>
        </w:tc>
        <w:tc>
          <w:tcPr>
            <w:tcW w:w="805" w:type="pct"/>
            <w:shd w:val="clear" w:color="auto" w:fill="auto"/>
            <w:vAlign w:val="center"/>
          </w:tcPr>
          <w:p w14:paraId="0C7011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156×176×207</w:t>
            </w:r>
          </w:p>
        </w:tc>
        <w:tc>
          <w:tcPr>
            <w:tcW w:w="2238" w:type="pct"/>
            <w:shd w:val="clear" w:color="auto" w:fill="auto"/>
            <w:vAlign w:val="center"/>
          </w:tcPr>
          <w:p w14:paraId="76ABC78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红外线自动感应，伸手自动出风，风温均应、手感舒适，ABS工程塑料外壳。</w:t>
            </w:r>
          </w:p>
        </w:tc>
        <w:tc>
          <w:tcPr>
            <w:tcW w:w="377" w:type="pct"/>
            <w:shd w:val="clear" w:color="auto" w:fill="auto"/>
            <w:noWrap/>
            <w:vAlign w:val="center"/>
          </w:tcPr>
          <w:p w14:paraId="1DF4FA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1台</w:t>
            </w:r>
          </w:p>
        </w:tc>
        <w:tc>
          <w:tcPr>
            <w:tcW w:w="700" w:type="pct"/>
            <w:shd w:val="clear" w:color="auto" w:fill="auto"/>
            <w:noWrap/>
            <w:vAlign w:val="center"/>
          </w:tcPr>
          <w:p w14:paraId="347A08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728896" behindDoc="1" locked="0" layoutInCell="1" allowOverlap="1">
                  <wp:simplePos x="0" y="0"/>
                  <wp:positionH relativeFrom="column">
                    <wp:posOffset>466090</wp:posOffset>
                  </wp:positionH>
                  <wp:positionV relativeFrom="paragraph">
                    <wp:posOffset>60960</wp:posOffset>
                  </wp:positionV>
                  <wp:extent cx="428625" cy="333375"/>
                  <wp:effectExtent l="0" t="0" r="13335" b="1905"/>
                  <wp:wrapTight wrapText="bothSides">
                    <wp:wrapPolygon>
                      <wp:start x="0" y="0"/>
                      <wp:lineTo x="0" y="20736"/>
                      <wp:lineTo x="20736" y="20736"/>
                      <wp:lineTo x="20736" y="0"/>
                      <wp:lineTo x="0" y="0"/>
                    </wp:wrapPolygon>
                  </wp:wrapTight>
                  <wp:docPr id="17" name="图片 68" descr="IMG_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8" descr="IMG_323"/>
                          <pic:cNvPicPr>
                            <a:picLocks noChangeAspect="1"/>
                          </pic:cNvPicPr>
                        </pic:nvPicPr>
                        <pic:blipFill>
                          <a:blip r:embed="rId18"/>
                          <a:stretch>
                            <a:fillRect/>
                          </a:stretch>
                        </pic:blipFill>
                        <pic:spPr>
                          <a:xfrm>
                            <a:off x="0" y="0"/>
                            <a:ext cx="428625" cy="333375"/>
                          </a:xfrm>
                          <a:prstGeom prst="rect">
                            <a:avLst/>
                          </a:prstGeom>
                          <a:noFill/>
                          <a:ln w="9525">
                            <a:noFill/>
                          </a:ln>
                        </pic:spPr>
                      </pic:pic>
                    </a:graphicData>
                  </a:graphic>
                </wp:anchor>
              </w:drawing>
            </w:r>
          </w:p>
        </w:tc>
      </w:tr>
      <w:tr w14:paraId="7B0FB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04" w:type="pct"/>
            <w:shd w:val="clear" w:color="auto" w:fill="auto"/>
            <w:vAlign w:val="center"/>
          </w:tcPr>
          <w:p w14:paraId="3EC266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71</w:t>
            </w:r>
          </w:p>
        </w:tc>
        <w:tc>
          <w:tcPr>
            <w:tcW w:w="574" w:type="pct"/>
            <w:shd w:val="clear" w:color="auto" w:fill="auto"/>
            <w:vAlign w:val="center"/>
          </w:tcPr>
          <w:p w14:paraId="3C30CB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冷热水龙头</w:t>
            </w:r>
          </w:p>
        </w:tc>
        <w:tc>
          <w:tcPr>
            <w:tcW w:w="805" w:type="pct"/>
            <w:shd w:val="clear" w:color="auto" w:fill="auto"/>
            <w:vAlign w:val="center"/>
          </w:tcPr>
          <w:p w14:paraId="7F9F939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p>
        </w:tc>
        <w:tc>
          <w:tcPr>
            <w:tcW w:w="2238" w:type="pct"/>
            <w:shd w:val="clear" w:color="auto" w:fill="auto"/>
            <w:vAlign w:val="center"/>
          </w:tcPr>
          <w:p w14:paraId="13F7649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材质：100%优质62铜 高品质陶瓷阀芯；</w:t>
            </w:r>
          </w:p>
          <w:p w14:paraId="0BEE2F8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总长：35cm（最高点到台面垂直距离）。</w:t>
            </w:r>
          </w:p>
        </w:tc>
        <w:tc>
          <w:tcPr>
            <w:tcW w:w="377" w:type="pct"/>
            <w:shd w:val="clear" w:color="auto" w:fill="auto"/>
            <w:noWrap/>
            <w:vAlign w:val="center"/>
          </w:tcPr>
          <w:p w14:paraId="4B8699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2个</w:t>
            </w:r>
          </w:p>
        </w:tc>
        <w:tc>
          <w:tcPr>
            <w:tcW w:w="700" w:type="pct"/>
            <w:shd w:val="clear" w:color="auto" w:fill="auto"/>
            <w:vAlign w:val="center"/>
          </w:tcPr>
          <w:p w14:paraId="113E34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729920" behindDoc="1" locked="0" layoutInCell="1" allowOverlap="1">
                  <wp:simplePos x="0" y="0"/>
                  <wp:positionH relativeFrom="column">
                    <wp:posOffset>542290</wp:posOffset>
                  </wp:positionH>
                  <wp:positionV relativeFrom="paragraph">
                    <wp:posOffset>-68580</wp:posOffset>
                  </wp:positionV>
                  <wp:extent cx="285750" cy="361950"/>
                  <wp:effectExtent l="0" t="0" r="3810" b="3810"/>
                  <wp:wrapTight wrapText="bothSides">
                    <wp:wrapPolygon>
                      <wp:start x="0" y="0"/>
                      <wp:lineTo x="0" y="20918"/>
                      <wp:lineTo x="20736" y="20918"/>
                      <wp:lineTo x="20736" y="0"/>
                      <wp:lineTo x="0" y="0"/>
                    </wp:wrapPolygon>
                  </wp:wrapTight>
                  <wp:docPr id="15" name="图片 69" descr="IMG_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9" descr="IMG_324"/>
                          <pic:cNvPicPr>
                            <a:picLocks noChangeAspect="1"/>
                          </pic:cNvPicPr>
                        </pic:nvPicPr>
                        <pic:blipFill>
                          <a:blip r:embed="rId22"/>
                          <a:stretch>
                            <a:fillRect/>
                          </a:stretch>
                        </pic:blipFill>
                        <pic:spPr>
                          <a:xfrm>
                            <a:off x="0" y="0"/>
                            <a:ext cx="285750" cy="361950"/>
                          </a:xfrm>
                          <a:prstGeom prst="rect">
                            <a:avLst/>
                          </a:prstGeom>
                          <a:noFill/>
                          <a:ln w="9525">
                            <a:noFill/>
                          </a:ln>
                        </pic:spPr>
                      </pic:pic>
                    </a:graphicData>
                  </a:graphic>
                </wp:anchor>
              </w:drawing>
            </w:r>
          </w:p>
        </w:tc>
      </w:tr>
      <w:tr w14:paraId="7E898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4" w:type="pct"/>
            <w:shd w:val="clear" w:color="auto" w:fill="auto"/>
            <w:vAlign w:val="center"/>
          </w:tcPr>
          <w:p w14:paraId="08C5B4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72</w:t>
            </w:r>
          </w:p>
        </w:tc>
        <w:tc>
          <w:tcPr>
            <w:tcW w:w="574" w:type="pct"/>
            <w:shd w:val="clear" w:color="auto" w:fill="auto"/>
            <w:vAlign w:val="center"/>
          </w:tcPr>
          <w:p w14:paraId="41491E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八格保温售菜台</w:t>
            </w:r>
          </w:p>
        </w:tc>
        <w:tc>
          <w:tcPr>
            <w:tcW w:w="805" w:type="pct"/>
            <w:shd w:val="clear" w:color="auto" w:fill="auto"/>
            <w:vAlign w:val="center"/>
          </w:tcPr>
          <w:p w14:paraId="7A7785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规格：1500×1200×800</w:t>
            </w:r>
          </w:p>
        </w:tc>
        <w:tc>
          <w:tcPr>
            <w:tcW w:w="2238" w:type="pct"/>
            <w:shd w:val="clear" w:color="auto" w:fill="auto"/>
            <w:vAlign w:val="center"/>
          </w:tcPr>
          <w:p w14:paraId="7256834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电量：6KW/1PH/380V；</w:t>
            </w:r>
          </w:p>
          <w:p w14:paraId="07A3B6D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说明：304#2B发纹贴塑不锈钢板制造；台面板δ=1.2；水热式。</w:t>
            </w:r>
          </w:p>
        </w:tc>
        <w:tc>
          <w:tcPr>
            <w:tcW w:w="377" w:type="pct"/>
            <w:shd w:val="clear" w:color="auto" w:fill="auto"/>
            <w:noWrap/>
            <w:vAlign w:val="center"/>
          </w:tcPr>
          <w:p w14:paraId="4963FC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2台</w:t>
            </w:r>
          </w:p>
        </w:tc>
        <w:tc>
          <w:tcPr>
            <w:tcW w:w="700" w:type="pct"/>
            <w:shd w:val="clear" w:color="auto" w:fill="auto"/>
            <w:vAlign w:val="center"/>
          </w:tcPr>
          <w:p w14:paraId="2452B2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730944" behindDoc="1" locked="0" layoutInCell="1" allowOverlap="1">
                  <wp:simplePos x="0" y="0"/>
                  <wp:positionH relativeFrom="column">
                    <wp:posOffset>420370</wp:posOffset>
                  </wp:positionH>
                  <wp:positionV relativeFrom="paragraph">
                    <wp:posOffset>7620</wp:posOffset>
                  </wp:positionV>
                  <wp:extent cx="523875" cy="438150"/>
                  <wp:effectExtent l="0" t="0" r="9525" b="3810"/>
                  <wp:wrapTight wrapText="bothSides">
                    <wp:wrapPolygon>
                      <wp:start x="0" y="0"/>
                      <wp:lineTo x="0" y="21037"/>
                      <wp:lineTo x="20736" y="21037"/>
                      <wp:lineTo x="20736" y="0"/>
                      <wp:lineTo x="0" y="0"/>
                    </wp:wrapPolygon>
                  </wp:wrapTight>
                  <wp:docPr id="16" name="图片 70" descr="IMG_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0" descr="IMG_325"/>
                          <pic:cNvPicPr>
                            <a:picLocks noChangeAspect="1"/>
                          </pic:cNvPicPr>
                        </pic:nvPicPr>
                        <pic:blipFill>
                          <a:blip r:embed="rId48"/>
                          <a:stretch>
                            <a:fillRect/>
                          </a:stretch>
                        </pic:blipFill>
                        <pic:spPr>
                          <a:xfrm>
                            <a:off x="0" y="0"/>
                            <a:ext cx="523875" cy="438150"/>
                          </a:xfrm>
                          <a:prstGeom prst="rect">
                            <a:avLst/>
                          </a:prstGeom>
                          <a:noFill/>
                          <a:ln w="9525">
                            <a:noFill/>
                          </a:ln>
                        </pic:spPr>
                      </pic:pic>
                    </a:graphicData>
                  </a:graphic>
                </wp:anchor>
              </w:drawing>
            </w:r>
          </w:p>
        </w:tc>
      </w:tr>
      <w:tr w14:paraId="16E99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04" w:type="pct"/>
            <w:shd w:val="clear" w:color="auto" w:fill="auto"/>
            <w:vAlign w:val="center"/>
          </w:tcPr>
          <w:p w14:paraId="35464C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73</w:t>
            </w:r>
          </w:p>
        </w:tc>
        <w:tc>
          <w:tcPr>
            <w:tcW w:w="574" w:type="pct"/>
            <w:shd w:val="clear" w:color="auto" w:fill="auto"/>
            <w:vAlign w:val="center"/>
          </w:tcPr>
          <w:p w14:paraId="20C138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份数盘连盖</w:t>
            </w:r>
          </w:p>
        </w:tc>
        <w:tc>
          <w:tcPr>
            <w:tcW w:w="805" w:type="pct"/>
            <w:shd w:val="clear" w:color="auto" w:fill="auto"/>
            <w:vAlign w:val="center"/>
          </w:tcPr>
          <w:p w14:paraId="108291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p>
        </w:tc>
        <w:tc>
          <w:tcPr>
            <w:tcW w:w="2238" w:type="pct"/>
            <w:shd w:val="clear" w:color="auto" w:fill="auto"/>
            <w:vAlign w:val="center"/>
          </w:tcPr>
          <w:p w14:paraId="7A66EEA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说明：304优质不锈钢制造，δ=0.8mm</w:t>
            </w:r>
          </w:p>
        </w:tc>
        <w:tc>
          <w:tcPr>
            <w:tcW w:w="377" w:type="pct"/>
            <w:shd w:val="clear" w:color="auto" w:fill="auto"/>
            <w:noWrap/>
            <w:vAlign w:val="center"/>
          </w:tcPr>
          <w:p w14:paraId="737066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8个</w:t>
            </w:r>
          </w:p>
        </w:tc>
        <w:tc>
          <w:tcPr>
            <w:tcW w:w="700" w:type="pct"/>
            <w:shd w:val="clear" w:color="auto" w:fill="auto"/>
            <w:vAlign w:val="center"/>
          </w:tcPr>
          <w:p w14:paraId="3A3485D5">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2"/>
                <w:szCs w:val="22"/>
                <w:u w:val="none"/>
              </w:rPr>
            </w:pPr>
          </w:p>
        </w:tc>
      </w:tr>
      <w:tr w14:paraId="247B1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04" w:type="pct"/>
            <w:shd w:val="clear" w:color="auto" w:fill="auto"/>
            <w:vAlign w:val="center"/>
          </w:tcPr>
          <w:p w14:paraId="386497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74</w:t>
            </w:r>
          </w:p>
        </w:tc>
        <w:tc>
          <w:tcPr>
            <w:tcW w:w="574" w:type="pct"/>
            <w:shd w:val="clear" w:color="auto" w:fill="auto"/>
            <w:vAlign w:val="center"/>
          </w:tcPr>
          <w:p w14:paraId="006581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暖饭、汤车</w:t>
            </w:r>
          </w:p>
        </w:tc>
        <w:tc>
          <w:tcPr>
            <w:tcW w:w="805" w:type="pct"/>
            <w:shd w:val="clear" w:color="auto" w:fill="auto"/>
            <w:vAlign w:val="center"/>
          </w:tcPr>
          <w:p w14:paraId="5796BA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规格：600×600×800</w:t>
            </w:r>
          </w:p>
        </w:tc>
        <w:tc>
          <w:tcPr>
            <w:tcW w:w="2238" w:type="pct"/>
            <w:shd w:val="clear" w:color="auto" w:fill="auto"/>
            <w:vAlign w:val="center"/>
          </w:tcPr>
          <w:p w14:paraId="012DD54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电量：2KW/1PH/220V；</w:t>
            </w:r>
          </w:p>
          <w:p w14:paraId="3277DF2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说明：304#2B发纹贴塑不锈钢板制造；面板δ=1.2mm,水热式，恒温自动控制，配圆桶、四个万向脚轮。</w:t>
            </w:r>
          </w:p>
        </w:tc>
        <w:tc>
          <w:tcPr>
            <w:tcW w:w="377" w:type="pct"/>
            <w:shd w:val="clear" w:color="auto" w:fill="auto"/>
            <w:noWrap/>
            <w:vAlign w:val="center"/>
          </w:tcPr>
          <w:p w14:paraId="4DF380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2台</w:t>
            </w:r>
          </w:p>
        </w:tc>
        <w:tc>
          <w:tcPr>
            <w:tcW w:w="700" w:type="pct"/>
            <w:shd w:val="clear" w:color="auto" w:fill="auto"/>
            <w:vAlign w:val="center"/>
          </w:tcPr>
          <w:p w14:paraId="7B5524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731968" behindDoc="1" locked="0" layoutInCell="1" allowOverlap="1">
                  <wp:simplePos x="0" y="0"/>
                  <wp:positionH relativeFrom="column">
                    <wp:posOffset>443230</wp:posOffset>
                  </wp:positionH>
                  <wp:positionV relativeFrom="paragraph">
                    <wp:posOffset>129540</wp:posOffset>
                  </wp:positionV>
                  <wp:extent cx="485775" cy="419100"/>
                  <wp:effectExtent l="0" t="0" r="1905" b="7620"/>
                  <wp:wrapTight wrapText="bothSides">
                    <wp:wrapPolygon>
                      <wp:start x="0" y="0"/>
                      <wp:lineTo x="0" y="21207"/>
                      <wp:lineTo x="21007" y="21207"/>
                      <wp:lineTo x="21007" y="0"/>
                      <wp:lineTo x="0" y="0"/>
                    </wp:wrapPolygon>
                  </wp:wrapTight>
                  <wp:docPr id="5" name="图片 71" descr="IMG_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1" descr="IMG_326"/>
                          <pic:cNvPicPr>
                            <a:picLocks noChangeAspect="1"/>
                          </pic:cNvPicPr>
                        </pic:nvPicPr>
                        <pic:blipFill>
                          <a:blip r:embed="rId47"/>
                          <a:stretch>
                            <a:fillRect/>
                          </a:stretch>
                        </pic:blipFill>
                        <pic:spPr>
                          <a:xfrm>
                            <a:off x="0" y="0"/>
                            <a:ext cx="485775" cy="419100"/>
                          </a:xfrm>
                          <a:prstGeom prst="rect">
                            <a:avLst/>
                          </a:prstGeom>
                          <a:noFill/>
                          <a:ln w="9525">
                            <a:noFill/>
                          </a:ln>
                        </pic:spPr>
                      </pic:pic>
                    </a:graphicData>
                  </a:graphic>
                </wp:anchor>
              </w:drawing>
            </w:r>
          </w:p>
        </w:tc>
      </w:tr>
      <w:tr w14:paraId="075D7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4" w:type="pct"/>
            <w:shd w:val="clear" w:color="auto" w:fill="auto"/>
            <w:vAlign w:val="center"/>
          </w:tcPr>
          <w:p w14:paraId="5D520D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75</w:t>
            </w:r>
          </w:p>
        </w:tc>
        <w:tc>
          <w:tcPr>
            <w:tcW w:w="574" w:type="pct"/>
            <w:shd w:val="clear" w:color="auto" w:fill="auto"/>
            <w:vAlign w:val="center"/>
          </w:tcPr>
          <w:p w14:paraId="304A5C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紫外线消毒灯</w:t>
            </w:r>
          </w:p>
        </w:tc>
        <w:tc>
          <w:tcPr>
            <w:tcW w:w="805" w:type="pct"/>
            <w:shd w:val="clear" w:color="auto" w:fill="auto"/>
            <w:vAlign w:val="center"/>
          </w:tcPr>
          <w:p w14:paraId="3E7A87C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p>
        </w:tc>
        <w:tc>
          <w:tcPr>
            <w:tcW w:w="2238" w:type="pct"/>
            <w:shd w:val="clear" w:color="auto" w:fill="auto"/>
            <w:vAlign w:val="center"/>
          </w:tcPr>
          <w:p w14:paraId="6CE07AA3">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iCs w:val="0"/>
                <w:color w:val="auto"/>
                <w:sz w:val="22"/>
                <w:szCs w:val="22"/>
                <w:u w:val="none"/>
              </w:rPr>
            </w:pPr>
          </w:p>
        </w:tc>
        <w:tc>
          <w:tcPr>
            <w:tcW w:w="377" w:type="pct"/>
            <w:shd w:val="clear" w:color="auto" w:fill="auto"/>
            <w:noWrap/>
            <w:vAlign w:val="center"/>
          </w:tcPr>
          <w:p w14:paraId="32DDE6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2台</w:t>
            </w:r>
          </w:p>
        </w:tc>
        <w:tc>
          <w:tcPr>
            <w:tcW w:w="700" w:type="pct"/>
            <w:shd w:val="clear" w:color="auto" w:fill="auto"/>
            <w:noWrap/>
            <w:vAlign w:val="center"/>
          </w:tcPr>
          <w:p w14:paraId="6FDFD6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732992" behindDoc="1" locked="0" layoutInCell="1" allowOverlap="1">
                  <wp:simplePos x="0" y="0"/>
                  <wp:positionH relativeFrom="column">
                    <wp:posOffset>405130</wp:posOffset>
                  </wp:positionH>
                  <wp:positionV relativeFrom="paragraph">
                    <wp:posOffset>45720</wp:posOffset>
                  </wp:positionV>
                  <wp:extent cx="552450" cy="123825"/>
                  <wp:effectExtent l="0" t="0" r="11430" b="13335"/>
                  <wp:wrapTight wrapText="bothSides">
                    <wp:wrapPolygon>
                      <wp:start x="0" y="0"/>
                      <wp:lineTo x="0" y="18609"/>
                      <wp:lineTo x="20855" y="18609"/>
                      <wp:lineTo x="20855" y="0"/>
                      <wp:lineTo x="0" y="0"/>
                    </wp:wrapPolygon>
                  </wp:wrapTight>
                  <wp:docPr id="4" name="图片 72" descr="IMG_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2" descr="IMG_327"/>
                          <pic:cNvPicPr>
                            <a:picLocks noChangeAspect="1"/>
                          </pic:cNvPicPr>
                        </pic:nvPicPr>
                        <pic:blipFill>
                          <a:blip r:embed="rId37"/>
                          <a:stretch>
                            <a:fillRect/>
                          </a:stretch>
                        </pic:blipFill>
                        <pic:spPr>
                          <a:xfrm>
                            <a:off x="0" y="0"/>
                            <a:ext cx="552450" cy="123825"/>
                          </a:xfrm>
                          <a:prstGeom prst="rect">
                            <a:avLst/>
                          </a:prstGeom>
                          <a:noFill/>
                          <a:ln w="9525">
                            <a:noFill/>
                          </a:ln>
                        </pic:spPr>
                      </pic:pic>
                    </a:graphicData>
                  </a:graphic>
                </wp:anchor>
              </w:drawing>
            </w:r>
          </w:p>
        </w:tc>
      </w:tr>
      <w:tr w14:paraId="6D63A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5000" w:type="pct"/>
            <w:gridSpan w:val="6"/>
            <w:shd w:val="clear" w:color="auto" w:fill="auto"/>
            <w:vAlign w:val="center"/>
          </w:tcPr>
          <w:p w14:paraId="0F23D70D">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消洗间(二)</w:t>
            </w:r>
          </w:p>
        </w:tc>
      </w:tr>
      <w:tr w14:paraId="005BF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04" w:type="pct"/>
            <w:shd w:val="clear" w:color="auto" w:fill="auto"/>
            <w:vAlign w:val="center"/>
          </w:tcPr>
          <w:p w14:paraId="1F8264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76</w:t>
            </w:r>
          </w:p>
        </w:tc>
        <w:tc>
          <w:tcPr>
            <w:tcW w:w="574" w:type="pct"/>
            <w:shd w:val="clear" w:color="auto" w:fill="auto"/>
            <w:vAlign w:val="center"/>
          </w:tcPr>
          <w:p w14:paraId="06F806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冷热水龙头</w:t>
            </w:r>
          </w:p>
        </w:tc>
        <w:tc>
          <w:tcPr>
            <w:tcW w:w="805" w:type="pct"/>
            <w:shd w:val="clear" w:color="auto" w:fill="auto"/>
            <w:vAlign w:val="center"/>
          </w:tcPr>
          <w:p w14:paraId="793658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p>
        </w:tc>
        <w:tc>
          <w:tcPr>
            <w:tcW w:w="2238" w:type="pct"/>
            <w:shd w:val="clear" w:color="auto" w:fill="auto"/>
            <w:vAlign w:val="center"/>
          </w:tcPr>
          <w:p w14:paraId="7DE7C2A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材质：100%优质62铜 高品质陶瓷阀芯；</w:t>
            </w:r>
          </w:p>
          <w:p w14:paraId="36DEC71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总长：35cm（最高点到台面垂直距离）。</w:t>
            </w:r>
          </w:p>
        </w:tc>
        <w:tc>
          <w:tcPr>
            <w:tcW w:w="377" w:type="pct"/>
            <w:shd w:val="clear" w:color="auto" w:fill="auto"/>
            <w:noWrap/>
            <w:vAlign w:val="center"/>
          </w:tcPr>
          <w:p w14:paraId="1CEF94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2个</w:t>
            </w:r>
          </w:p>
        </w:tc>
        <w:tc>
          <w:tcPr>
            <w:tcW w:w="700" w:type="pct"/>
            <w:shd w:val="clear" w:color="auto" w:fill="auto"/>
            <w:vAlign w:val="center"/>
          </w:tcPr>
          <w:p w14:paraId="512A46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734016" behindDoc="1" locked="0" layoutInCell="1" allowOverlap="1">
                  <wp:simplePos x="0" y="0"/>
                  <wp:positionH relativeFrom="column">
                    <wp:posOffset>542290</wp:posOffset>
                  </wp:positionH>
                  <wp:positionV relativeFrom="paragraph">
                    <wp:posOffset>45720</wp:posOffset>
                  </wp:positionV>
                  <wp:extent cx="285750" cy="361950"/>
                  <wp:effectExtent l="0" t="0" r="3810" b="3810"/>
                  <wp:wrapTight wrapText="bothSides">
                    <wp:wrapPolygon>
                      <wp:start x="0" y="0"/>
                      <wp:lineTo x="0" y="20918"/>
                      <wp:lineTo x="20736" y="20918"/>
                      <wp:lineTo x="20736" y="0"/>
                      <wp:lineTo x="0" y="0"/>
                    </wp:wrapPolygon>
                  </wp:wrapTight>
                  <wp:docPr id="6" name="图片 73" descr="IMG_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3" descr="IMG_328"/>
                          <pic:cNvPicPr>
                            <a:picLocks noChangeAspect="1"/>
                          </pic:cNvPicPr>
                        </pic:nvPicPr>
                        <pic:blipFill>
                          <a:blip r:embed="rId22"/>
                          <a:stretch>
                            <a:fillRect/>
                          </a:stretch>
                        </pic:blipFill>
                        <pic:spPr>
                          <a:xfrm>
                            <a:off x="0" y="0"/>
                            <a:ext cx="285750" cy="361950"/>
                          </a:xfrm>
                          <a:prstGeom prst="rect">
                            <a:avLst/>
                          </a:prstGeom>
                          <a:noFill/>
                          <a:ln w="9525">
                            <a:noFill/>
                          </a:ln>
                        </pic:spPr>
                      </pic:pic>
                    </a:graphicData>
                  </a:graphic>
                </wp:anchor>
              </w:drawing>
            </w:r>
          </w:p>
        </w:tc>
      </w:tr>
      <w:tr w14:paraId="35D5C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5" w:hRule="atLeast"/>
          <w:jc w:val="center"/>
        </w:trPr>
        <w:tc>
          <w:tcPr>
            <w:tcW w:w="304" w:type="pct"/>
            <w:shd w:val="clear" w:color="auto" w:fill="auto"/>
            <w:vAlign w:val="center"/>
          </w:tcPr>
          <w:p w14:paraId="38F472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77</w:t>
            </w:r>
          </w:p>
        </w:tc>
        <w:tc>
          <w:tcPr>
            <w:tcW w:w="574" w:type="pct"/>
            <w:shd w:val="clear" w:color="auto" w:fill="auto"/>
            <w:vAlign w:val="center"/>
          </w:tcPr>
          <w:p w14:paraId="4DD7C9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浸泡池</w:t>
            </w:r>
          </w:p>
        </w:tc>
        <w:tc>
          <w:tcPr>
            <w:tcW w:w="805" w:type="pct"/>
            <w:shd w:val="clear" w:color="auto" w:fill="auto"/>
            <w:vAlign w:val="center"/>
          </w:tcPr>
          <w:p w14:paraId="562D1D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规格：1500×800×800</w:t>
            </w:r>
          </w:p>
        </w:tc>
        <w:tc>
          <w:tcPr>
            <w:tcW w:w="2238" w:type="pct"/>
            <w:shd w:val="clear" w:color="auto" w:fill="auto"/>
            <w:vAlign w:val="center"/>
          </w:tcPr>
          <w:p w14:paraId="40A232D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说明：304#2B发纹贴塑不锈钢板制造；骨架采用δ=1.2 Φ38不锈钢圆通，台面δ=1.2，星盆斗δ=1.0，配Φ38不锈钢可调节重力子弹脚，配落水器、拦渣斗。</w:t>
            </w:r>
          </w:p>
        </w:tc>
        <w:tc>
          <w:tcPr>
            <w:tcW w:w="377" w:type="pct"/>
            <w:shd w:val="clear" w:color="auto" w:fill="auto"/>
            <w:noWrap/>
            <w:vAlign w:val="center"/>
          </w:tcPr>
          <w:p w14:paraId="23C6BC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1台</w:t>
            </w:r>
          </w:p>
        </w:tc>
        <w:tc>
          <w:tcPr>
            <w:tcW w:w="700" w:type="pct"/>
            <w:shd w:val="clear" w:color="auto" w:fill="auto"/>
            <w:vAlign w:val="center"/>
          </w:tcPr>
          <w:p w14:paraId="7FB9DE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735040" behindDoc="1" locked="0" layoutInCell="1" allowOverlap="1">
                  <wp:simplePos x="0" y="0"/>
                  <wp:positionH relativeFrom="column">
                    <wp:posOffset>466090</wp:posOffset>
                  </wp:positionH>
                  <wp:positionV relativeFrom="paragraph">
                    <wp:posOffset>99060</wp:posOffset>
                  </wp:positionV>
                  <wp:extent cx="438150" cy="476250"/>
                  <wp:effectExtent l="0" t="0" r="3810" b="11430"/>
                  <wp:wrapTight wrapText="bothSides">
                    <wp:wrapPolygon>
                      <wp:start x="0" y="0"/>
                      <wp:lineTo x="0" y="20736"/>
                      <wp:lineTo x="21037" y="20736"/>
                      <wp:lineTo x="21037" y="0"/>
                      <wp:lineTo x="0" y="0"/>
                    </wp:wrapPolygon>
                  </wp:wrapTight>
                  <wp:docPr id="7" name="图片 74" descr="IMG_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4" descr="IMG_329"/>
                          <pic:cNvPicPr>
                            <a:picLocks noChangeAspect="1"/>
                          </pic:cNvPicPr>
                        </pic:nvPicPr>
                        <pic:blipFill>
                          <a:blip r:embed="rId49"/>
                          <a:stretch>
                            <a:fillRect/>
                          </a:stretch>
                        </pic:blipFill>
                        <pic:spPr>
                          <a:xfrm>
                            <a:off x="0" y="0"/>
                            <a:ext cx="438150" cy="476250"/>
                          </a:xfrm>
                          <a:prstGeom prst="rect">
                            <a:avLst/>
                          </a:prstGeom>
                          <a:noFill/>
                          <a:ln w="9525">
                            <a:noFill/>
                          </a:ln>
                        </pic:spPr>
                      </pic:pic>
                    </a:graphicData>
                  </a:graphic>
                </wp:anchor>
              </w:drawing>
            </w:r>
          </w:p>
        </w:tc>
      </w:tr>
      <w:tr w14:paraId="5DBFD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4" w:type="pct"/>
            <w:shd w:val="clear" w:color="auto" w:fill="auto"/>
            <w:vAlign w:val="center"/>
          </w:tcPr>
          <w:p w14:paraId="0B69C4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78</w:t>
            </w:r>
          </w:p>
        </w:tc>
        <w:tc>
          <w:tcPr>
            <w:tcW w:w="574" w:type="pct"/>
            <w:shd w:val="clear" w:color="auto" w:fill="auto"/>
            <w:vAlign w:val="center"/>
          </w:tcPr>
          <w:p w14:paraId="41D2DB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冷热水龙头</w:t>
            </w:r>
          </w:p>
        </w:tc>
        <w:tc>
          <w:tcPr>
            <w:tcW w:w="805" w:type="pct"/>
            <w:shd w:val="clear" w:color="auto" w:fill="auto"/>
            <w:vAlign w:val="center"/>
          </w:tcPr>
          <w:p w14:paraId="74F8AA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p>
        </w:tc>
        <w:tc>
          <w:tcPr>
            <w:tcW w:w="2238" w:type="pct"/>
            <w:shd w:val="clear" w:color="auto" w:fill="auto"/>
            <w:vAlign w:val="center"/>
          </w:tcPr>
          <w:p w14:paraId="38D2095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材质：100%优质62铜 高品质陶瓷阀芯；</w:t>
            </w:r>
          </w:p>
          <w:p w14:paraId="0D46D6F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总长：35cm（最高点到台面垂直距离）。</w:t>
            </w:r>
          </w:p>
        </w:tc>
        <w:tc>
          <w:tcPr>
            <w:tcW w:w="377" w:type="pct"/>
            <w:shd w:val="clear" w:color="auto" w:fill="auto"/>
            <w:noWrap/>
            <w:vAlign w:val="center"/>
          </w:tcPr>
          <w:p w14:paraId="1BA46F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1个</w:t>
            </w:r>
          </w:p>
        </w:tc>
        <w:tc>
          <w:tcPr>
            <w:tcW w:w="700" w:type="pct"/>
            <w:shd w:val="clear" w:color="auto" w:fill="auto"/>
            <w:vAlign w:val="center"/>
          </w:tcPr>
          <w:p w14:paraId="4E2DC6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736064" behindDoc="1" locked="0" layoutInCell="1" allowOverlap="1">
                  <wp:simplePos x="0" y="0"/>
                  <wp:positionH relativeFrom="column">
                    <wp:posOffset>542290</wp:posOffset>
                  </wp:positionH>
                  <wp:positionV relativeFrom="paragraph">
                    <wp:posOffset>45720</wp:posOffset>
                  </wp:positionV>
                  <wp:extent cx="285750" cy="361950"/>
                  <wp:effectExtent l="0" t="0" r="3810" b="3810"/>
                  <wp:wrapTight wrapText="bothSides">
                    <wp:wrapPolygon>
                      <wp:start x="0" y="0"/>
                      <wp:lineTo x="0" y="20918"/>
                      <wp:lineTo x="20736" y="20918"/>
                      <wp:lineTo x="20736" y="0"/>
                      <wp:lineTo x="0" y="0"/>
                    </wp:wrapPolygon>
                  </wp:wrapTight>
                  <wp:docPr id="8" name="图片 75" descr="IMG_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5" descr="IMG_330"/>
                          <pic:cNvPicPr>
                            <a:picLocks noChangeAspect="1"/>
                          </pic:cNvPicPr>
                        </pic:nvPicPr>
                        <pic:blipFill>
                          <a:blip r:embed="rId22"/>
                          <a:stretch>
                            <a:fillRect/>
                          </a:stretch>
                        </pic:blipFill>
                        <pic:spPr>
                          <a:xfrm>
                            <a:off x="0" y="0"/>
                            <a:ext cx="285750" cy="361950"/>
                          </a:xfrm>
                          <a:prstGeom prst="rect">
                            <a:avLst/>
                          </a:prstGeom>
                          <a:noFill/>
                          <a:ln w="9525">
                            <a:noFill/>
                          </a:ln>
                        </pic:spPr>
                      </pic:pic>
                    </a:graphicData>
                  </a:graphic>
                </wp:anchor>
              </w:drawing>
            </w:r>
          </w:p>
        </w:tc>
      </w:tr>
      <w:tr w14:paraId="333FC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04" w:type="pct"/>
            <w:shd w:val="clear" w:color="auto" w:fill="auto"/>
            <w:vAlign w:val="center"/>
          </w:tcPr>
          <w:p w14:paraId="3F3648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79</w:t>
            </w:r>
          </w:p>
        </w:tc>
        <w:tc>
          <w:tcPr>
            <w:tcW w:w="574" w:type="pct"/>
            <w:shd w:val="clear" w:color="auto" w:fill="auto"/>
            <w:vAlign w:val="center"/>
          </w:tcPr>
          <w:p w14:paraId="47DADA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牛角烟罩(m²)</w:t>
            </w:r>
          </w:p>
        </w:tc>
        <w:tc>
          <w:tcPr>
            <w:tcW w:w="805" w:type="pct"/>
            <w:shd w:val="clear" w:color="auto" w:fill="auto"/>
            <w:vAlign w:val="center"/>
          </w:tcPr>
          <w:p w14:paraId="4C5407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规格：800×500×H×2</w:t>
            </w:r>
          </w:p>
        </w:tc>
        <w:tc>
          <w:tcPr>
            <w:tcW w:w="2238" w:type="pct"/>
            <w:shd w:val="clear" w:color="auto" w:fill="auto"/>
            <w:vAlign w:val="center"/>
          </w:tcPr>
          <w:p w14:paraId="541C0C9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说明：304#2B发纹贴塑不锈钢板制造；δ=1.0mm。</w:t>
            </w:r>
          </w:p>
        </w:tc>
        <w:tc>
          <w:tcPr>
            <w:tcW w:w="377" w:type="pct"/>
            <w:shd w:val="clear" w:color="auto" w:fill="auto"/>
            <w:noWrap/>
            <w:vAlign w:val="center"/>
          </w:tcPr>
          <w:p w14:paraId="0F99C8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0.8m²</w:t>
            </w:r>
          </w:p>
        </w:tc>
        <w:tc>
          <w:tcPr>
            <w:tcW w:w="700" w:type="pct"/>
            <w:shd w:val="clear" w:color="auto" w:fill="auto"/>
            <w:noWrap/>
            <w:vAlign w:val="center"/>
          </w:tcPr>
          <w:p w14:paraId="65D0F3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737088" behindDoc="1" locked="0" layoutInCell="1" allowOverlap="1">
                  <wp:simplePos x="0" y="0"/>
                  <wp:positionH relativeFrom="column">
                    <wp:posOffset>420370</wp:posOffset>
                  </wp:positionH>
                  <wp:positionV relativeFrom="paragraph">
                    <wp:posOffset>-53340</wp:posOffset>
                  </wp:positionV>
                  <wp:extent cx="523875" cy="333375"/>
                  <wp:effectExtent l="0" t="0" r="9525" b="1905"/>
                  <wp:wrapTight wrapText="bothSides">
                    <wp:wrapPolygon>
                      <wp:start x="0" y="0"/>
                      <wp:lineTo x="0" y="20736"/>
                      <wp:lineTo x="20736" y="20736"/>
                      <wp:lineTo x="20736" y="0"/>
                      <wp:lineTo x="0" y="0"/>
                    </wp:wrapPolygon>
                  </wp:wrapTight>
                  <wp:docPr id="9" name="图片 76" descr="IMG_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6" descr="IMG_331"/>
                          <pic:cNvPicPr>
                            <a:picLocks noChangeAspect="1"/>
                          </pic:cNvPicPr>
                        </pic:nvPicPr>
                        <pic:blipFill>
                          <a:blip r:embed="rId50"/>
                          <a:stretch>
                            <a:fillRect/>
                          </a:stretch>
                        </pic:blipFill>
                        <pic:spPr>
                          <a:xfrm>
                            <a:off x="0" y="0"/>
                            <a:ext cx="523875" cy="333375"/>
                          </a:xfrm>
                          <a:prstGeom prst="rect">
                            <a:avLst/>
                          </a:prstGeom>
                          <a:noFill/>
                          <a:ln w="9525">
                            <a:noFill/>
                          </a:ln>
                        </pic:spPr>
                      </pic:pic>
                    </a:graphicData>
                  </a:graphic>
                </wp:anchor>
              </w:drawing>
            </w:r>
          </w:p>
        </w:tc>
      </w:tr>
      <w:tr w14:paraId="7B8E1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04" w:type="pct"/>
            <w:shd w:val="clear" w:color="auto" w:fill="auto"/>
            <w:vAlign w:val="center"/>
          </w:tcPr>
          <w:p w14:paraId="17DD0F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80</w:t>
            </w:r>
          </w:p>
        </w:tc>
        <w:tc>
          <w:tcPr>
            <w:tcW w:w="574" w:type="pct"/>
            <w:shd w:val="clear" w:color="auto" w:fill="auto"/>
            <w:vAlign w:val="center"/>
          </w:tcPr>
          <w:p w14:paraId="5D54AE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双孔残菜回收台柜</w:t>
            </w:r>
          </w:p>
        </w:tc>
        <w:tc>
          <w:tcPr>
            <w:tcW w:w="805" w:type="pct"/>
            <w:shd w:val="clear" w:color="auto" w:fill="auto"/>
            <w:vAlign w:val="center"/>
          </w:tcPr>
          <w:p w14:paraId="0B53D1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规格：1800×800×800</w:t>
            </w:r>
          </w:p>
        </w:tc>
        <w:tc>
          <w:tcPr>
            <w:tcW w:w="2238" w:type="pct"/>
            <w:shd w:val="clear" w:color="auto" w:fill="auto"/>
            <w:vAlign w:val="center"/>
          </w:tcPr>
          <w:p w14:paraId="0B3476D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说明：选用304#2B发纹贴塑不锈钢板制作，台面δ=1.2，四周围板δ=0.8、圆角模压成型，不锈钢加强筋，配不锈钢推车、不锈钢重力脚。</w:t>
            </w:r>
          </w:p>
        </w:tc>
        <w:tc>
          <w:tcPr>
            <w:tcW w:w="377" w:type="pct"/>
            <w:shd w:val="clear" w:color="auto" w:fill="auto"/>
            <w:noWrap/>
            <w:vAlign w:val="center"/>
          </w:tcPr>
          <w:p w14:paraId="2D93FD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1台</w:t>
            </w:r>
          </w:p>
        </w:tc>
        <w:tc>
          <w:tcPr>
            <w:tcW w:w="700" w:type="pct"/>
            <w:shd w:val="clear" w:color="auto" w:fill="auto"/>
            <w:vAlign w:val="center"/>
          </w:tcPr>
          <w:p w14:paraId="28379A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738112" behindDoc="1" locked="0" layoutInCell="1" allowOverlap="1">
                  <wp:simplePos x="0" y="0"/>
                  <wp:positionH relativeFrom="column">
                    <wp:posOffset>405130</wp:posOffset>
                  </wp:positionH>
                  <wp:positionV relativeFrom="paragraph">
                    <wp:posOffset>152400</wp:posOffset>
                  </wp:positionV>
                  <wp:extent cx="552450" cy="371475"/>
                  <wp:effectExtent l="0" t="0" r="11430" b="9525"/>
                  <wp:wrapTight wrapText="bothSides">
                    <wp:wrapPolygon>
                      <wp:start x="0" y="0"/>
                      <wp:lineTo x="0" y="20382"/>
                      <wp:lineTo x="20855" y="20382"/>
                      <wp:lineTo x="20855" y="0"/>
                      <wp:lineTo x="0" y="0"/>
                    </wp:wrapPolygon>
                  </wp:wrapTight>
                  <wp:docPr id="10" name="图片 77" descr="IMG_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7" descr="IMG_332"/>
                          <pic:cNvPicPr>
                            <a:picLocks noChangeAspect="1"/>
                          </pic:cNvPicPr>
                        </pic:nvPicPr>
                        <pic:blipFill>
                          <a:blip r:embed="rId51"/>
                          <a:stretch>
                            <a:fillRect/>
                          </a:stretch>
                        </pic:blipFill>
                        <pic:spPr>
                          <a:xfrm>
                            <a:off x="0" y="0"/>
                            <a:ext cx="552450" cy="371475"/>
                          </a:xfrm>
                          <a:prstGeom prst="rect">
                            <a:avLst/>
                          </a:prstGeom>
                          <a:noFill/>
                          <a:ln w="9525">
                            <a:noFill/>
                          </a:ln>
                        </pic:spPr>
                      </pic:pic>
                    </a:graphicData>
                  </a:graphic>
                </wp:anchor>
              </w:drawing>
            </w:r>
          </w:p>
        </w:tc>
      </w:tr>
      <w:tr w14:paraId="7DAE9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04" w:type="pct"/>
            <w:shd w:val="clear" w:color="auto" w:fill="auto"/>
            <w:vAlign w:val="center"/>
          </w:tcPr>
          <w:p w14:paraId="18C803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81</w:t>
            </w:r>
          </w:p>
        </w:tc>
        <w:tc>
          <w:tcPr>
            <w:tcW w:w="574" w:type="pct"/>
            <w:shd w:val="clear" w:color="auto" w:fill="auto"/>
            <w:vAlign w:val="center"/>
          </w:tcPr>
          <w:p w14:paraId="4C36EB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5#静音轴流风机</w:t>
            </w:r>
          </w:p>
        </w:tc>
        <w:tc>
          <w:tcPr>
            <w:tcW w:w="805" w:type="pct"/>
            <w:shd w:val="clear" w:color="auto" w:fill="auto"/>
            <w:vAlign w:val="center"/>
          </w:tcPr>
          <w:p w14:paraId="6C5973D8">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2"/>
                <w:szCs w:val="22"/>
                <w:u w:val="none"/>
              </w:rPr>
            </w:pPr>
          </w:p>
        </w:tc>
        <w:tc>
          <w:tcPr>
            <w:tcW w:w="2238" w:type="pct"/>
            <w:shd w:val="clear" w:color="auto" w:fill="auto"/>
            <w:vAlign w:val="center"/>
          </w:tcPr>
          <w:p w14:paraId="7930F94B">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2"/>
                <w:szCs w:val="22"/>
                <w:u w:val="none"/>
              </w:rPr>
            </w:pPr>
          </w:p>
        </w:tc>
        <w:tc>
          <w:tcPr>
            <w:tcW w:w="377" w:type="pct"/>
            <w:shd w:val="clear" w:color="auto" w:fill="auto"/>
            <w:vAlign w:val="center"/>
          </w:tcPr>
          <w:p w14:paraId="0D282F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1台</w:t>
            </w:r>
          </w:p>
        </w:tc>
        <w:tc>
          <w:tcPr>
            <w:tcW w:w="700" w:type="pct"/>
            <w:shd w:val="clear" w:color="auto" w:fill="auto"/>
            <w:noWrap/>
            <w:vAlign w:val="center"/>
          </w:tcPr>
          <w:p w14:paraId="67E868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739136" behindDoc="1" locked="0" layoutInCell="1" allowOverlap="1">
                  <wp:simplePos x="0" y="0"/>
                  <wp:positionH relativeFrom="column">
                    <wp:posOffset>443230</wp:posOffset>
                  </wp:positionH>
                  <wp:positionV relativeFrom="paragraph">
                    <wp:posOffset>-15240</wp:posOffset>
                  </wp:positionV>
                  <wp:extent cx="476250" cy="485775"/>
                  <wp:effectExtent l="0" t="0" r="11430" b="1905"/>
                  <wp:wrapTight wrapText="bothSides">
                    <wp:wrapPolygon>
                      <wp:start x="0" y="0"/>
                      <wp:lineTo x="0" y="21007"/>
                      <wp:lineTo x="20736" y="21007"/>
                      <wp:lineTo x="20736" y="0"/>
                      <wp:lineTo x="0" y="0"/>
                    </wp:wrapPolygon>
                  </wp:wrapTight>
                  <wp:docPr id="11" name="图片 78" descr="IMG_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8" descr="IMG_333"/>
                          <pic:cNvPicPr>
                            <a:picLocks noChangeAspect="1"/>
                          </pic:cNvPicPr>
                        </pic:nvPicPr>
                        <pic:blipFill>
                          <a:blip r:embed="rId44"/>
                          <a:stretch>
                            <a:fillRect/>
                          </a:stretch>
                        </pic:blipFill>
                        <pic:spPr>
                          <a:xfrm>
                            <a:off x="0" y="0"/>
                            <a:ext cx="476250" cy="485775"/>
                          </a:xfrm>
                          <a:prstGeom prst="rect">
                            <a:avLst/>
                          </a:prstGeom>
                          <a:noFill/>
                          <a:ln w="9525">
                            <a:noFill/>
                          </a:ln>
                        </pic:spPr>
                      </pic:pic>
                    </a:graphicData>
                  </a:graphic>
                </wp:anchor>
              </w:drawing>
            </w:r>
          </w:p>
        </w:tc>
      </w:tr>
      <w:tr w14:paraId="1CB46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4" w:type="pct"/>
            <w:shd w:val="clear" w:color="auto" w:fill="auto"/>
            <w:vAlign w:val="center"/>
          </w:tcPr>
          <w:p w14:paraId="0EA6D3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82</w:t>
            </w:r>
          </w:p>
        </w:tc>
        <w:tc>
          <w:tcPr>
            <w:tcW w:w="574" w:type="pct"/>
            <w:shd w:val="clear" w:color="auto" w:fill="auto"/>
            <w:vAlign w:val="center"/>
          </w:tcPr>
          <w:p w14:paraId="384A72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电击式灭蝇灯</w:t>
            </w:r>
          </w:p>
        </w:tc>
        <w:tc>
          <w:tcPr>
            <w:tcW w:w="805" w:type="pct"/>
            <w:shd w:val="clear" w:color="auto" w:fill="auto"/>
            <w:vAlign w:val="center"/>
          </w:tcPr>
          <w:p w14:paraId="0C3AB2A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p>
        </w:tc>
        <w:tc>
          <w:tcPr>
            <w:tcW w:w="2238" w:type="pct"/>
            <w:shd w:val="clear" w:color="auto" w:fill="auto"/>
            <w:vAlign w:val="center"/>
          </w:tcPr>
          <w:p w14:paraId="76A72F6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功率：220V/40W；采用半密封式收集器、可以安全地将被电击的蝇虫控制在收集器内、击伤的蝇虫也不至于飞溅机外、达到环保之目的。</w:t>
            </w:r>
          </w:p>
        </w:tc>
        <w:tc>
          <w:tcPr>
            <w:tcW w:w="377" w:type="pct"/>
            <w:shd w:val="clear" w:color="auto" w:fill="auto"/>
            <w:noWrap/>
            <w:vAlign w:val="center"/>
          </w:tcPr>
          <w:p w14:paraId="2A63C6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1台</w:t>
            </w:r>
          </w:p>
        </w:tc>
        <w:tc>
          <w:tcPr>
            <w:tcW w:w="700" w:type="pct"/>
            <w:shd w:val="clear" w:color="auto" w:fill="auto"/>
            <w:vAlign w:val="center"/>
          </w:tcPr>
          <w:p w14:paraId="10252E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740160" behindDoc="1" locked="0" layoutInCell="1" allowOverlap="1">
                  <wp:simplePos x="0" y="0"/>
                  <wp:positionH relativeFrom="column">
                    <wp:posOffset>382270</wp:posOffset>
                  </wp:positionH>
                  <wp:positionV relativeFrom="paragraph">
                    <wp:posOffset>68580</wp:posOffset>
                  </wp:positionV>
                  <wp:extent cx="600075" cy="314325"/>
                  <wp:effectExtent l="0" t="0" r="9525" b="5715"/>
                  <wp:wrapTight wrapText="bothSides">
                    <wp:wrapPolygon>
                      <wp:start x="0" y="0"/>
                      <wp:lineTo x="0" y="20945"/>
                      <wp:lineTo x="20846" y="20945"/>
                      <wp:lineTo x="20846" y="0"/>
                      <wp:lineTo x="0" y="0"/>
                    </wp:wrapPolygon>
                  </wp:wrapTight>
                  <wp:docPr id="1" name="图片 79" descr="IMG_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9" descr="IMG_334"/>
                          <pic:cNvPicPr>
                            <a:picLocks noChangeAspect="1"/>
                          </pic:cNvPicPr>
                        </pic:nvPicPr>
                        <pic:blipFill>
                          <a:blip r:embed="rId14"/>
                          <a:stretch>
                            <a:fillRect/>
                          </a:stretch>
                        </pic:blipFill>
                        <pic:spPr>
                          <a:xfrm>
                            <a:off x="0" y="0"/>
                            <a:ext cx="600075" cy="314325"/>
                          </a:xfrm>
                          <a:prstGeom prst="rect">
                            <a:avLst/>
                          </a:prstGeom>
                          <a:noFill/>
                          <a:ln w="9525">
                            <a:noFill/>
                          </a:ln>
                        </pic:spPr>
                      </pic:pic>
                    </a:graphicData>
                  </a:graphic>
                </wp:anchor>
              </w:drawing>
            </w:r>
          </w:p>
        </w:tc>
      </w:tr>
      <w:tr w14:paraId="50C48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6"/>
            <w:shd w:val="clear" w:color="auto" w:fill="auto"/>
            <w:vAlign w:val="center"/>
          </w:tcPr>
          <w:p w14:paraId="210B7B03">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其他</w:t>
            </w:r>
          </w:p>
        </w:tc>
      </w:tr>
      <w:tr w14:paraId="6A930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04" w:type="pct"/>
            <w:shd w:val="clear" w:color="auto" w:fill="auto"/>
            <w:vAlign w:val="center"/>
          </w:tcPr>
          <w:p w14:paraId="3E2F26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83</w:t>
            </w:r>
          </w:p>
        </w:tc>
        <w:tc>
          <w:tcPr>
            <w:tcW w:w="574" w:type="pct"/>
            <w:shd w:val="clear" w:color="auto" w:fill="auto"/>
            <w:vAlign w:val="center"/>
          </w:tcPr>
          <w:p w14:paraId="2CED37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风幕机</w:t>
            </w:r>
          </w:p>
        </w:tc>
        <w:tc>
          <w:tcPr>
            <w:tcW w:w="805" w:type="pct"/>
            <w:shd w:val="clear" w:color="auto" w:fill="auto"/>
            <w:vAlign w:val="center"/>
          </w:tcPr>
          <w:p w14:paraId="1FBC72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1500×160×210</w:t>
            </w:r>
          </w:p>
        </w:tc>
        <w:tc>
          <w:tcPr>
            <w:tcW w:w="2238" w:type="pct"/>
            <w:shd w:val="clear" w:color="auto" w:fill="auto"/>
            <w:vAlign w:val="center"/>
          </w:tcPr>
          <w:p w14:paraId="3D8BFA0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说明：离心式风幕机产生高速的气流，将室内外分成两个独立的温度区域，坚持室内空调及净化空气的效果，节省电能的同时并令空气循环，有效隔离灰尘、烟气、臭气、和昆虫等微生物；</w:t>
            </w:r>
          </w:p>
          <w:p w14:paraId="21E0994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功率：600W/220V；</w:t>
            </w:r>
          </w:p>
          <w:p w14:paraId="3A9E9A8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风量：17m/s；</w:t>
            </w:r>
          </w:p>
          <w:p w14:paraId="76D8A20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适合门高：2.5-3.5m；</w:t>
            </w:r>
          </w:p>
          <w:p w14:paraId="41B4583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规格：L=1500W。</w:t>
            </w:r>
          </w:p>
        </w:tc>
        <w:tc>
          <w:tcPr>
            <w:tcW w:w="377" w:type="pct"/>
            <w:shd w:val="clear" w:color="auto" w:fill="auto"/>
            <w:vAlign w:val="center"/>
          </w:tcPr>
          <w:p w14:paraId="0B5F7F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4台</w:t>
            </w:r>
          </w:p>
        </w:tc>
        <w:tc>
          <w:tcPr>
            <w:tcW w:w="700" w:type="pct"/>
            <w:shd w:val="clear" w:color="auto" w:fill="auto"/>
            <w:vAlign w:val="center"/>
          </w:tcPr>
          <w:p w14:paraId="19E7C3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741184" behindDoc="1" locked="0" layoutInCell="1" allowOverlap="1">
                  <wp:simplePos x="0" y="0"/>
                  <wp:positionH relativeFrom="column">
                    <wp:posOffset>275590</wp:posOffset>
                  </wp:positionH>
                  <wp:positionV relativeFrom="paragraph">
                    <wp:posOffset>594360</wp:posOffset>
                  </wp:positionV>
                  <wp:extent cx="819150" cy="409575"/>
                  <wp:effectExtent l="0" t="0" r="3810" b="1905"/>
                  <wp:wrapTight wrapText="bothSides">
                    <wp:wrapPolygon>
                      <wp:start x="0" y="0"/>
                      <wp:lineTo x="0" y="20897"/>
                      <wp:lineTo x="21299" y="20897"/>
                      <wp:lineTo x="21299" y="0"/>
                      <wp:lineTo x="0" y="0"/>
                    </wp:wrapPolygon>
                  </wp:wrapTight>
                  <wp:docPr id="13" name="图片 80" descr="IMG_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0" descr="IMG_335"/>
                          <pic:cNvPicPr>
                            <a:picLocks noChangeAspect="1"/>
                          </pic:cNvPicPr>
                        </pic:nvPicPr>
                        <pic:blipFill>
                          <a:blip r:embed="rId52"/>
                          <a:stretch>
                            <a:fillRect/>
                          </a:stretch>
                        </pic:blipFill>
                        <pic:spPr>
                          <a:xfrm>
                            <a:off x="0" y="0"/>
                            <a:ext cx="819150" cy="409575"/>
                          </a:xfrm>
                          <a:prstGeom prst="rect">
                            <a:avLst/>
                          </a:prstGeom>
                          <a:noFill/>
                          <a:ln w="9525">
                            <a:noFill/>
                          </a:ln>
                        </pic:spPr>
                      </pic:pic>
                    </a:graphicData>
                  </a:graphic>
                </wp:anchor>
              </w:drawing>
            </w:r>
          </w:p>
        </w:tc>
      </w:tr>
      <w:tr w14:paraId="6DFD9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04" w:type="pct"/>
            <w:shd w:val="clear" w:color="auto" w:fill="auto"/>
            <w:vAlign w:val="center"/>
          </w:tcPr>
          <w:p w14:paraId="4AB9B5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84</w:t>
            </w:r>
          </w:p>
        </w:tc>
        <w:tc>
          <w:tcPr>
            <w:tcW w:w="574" w:type="pct"/>
            <w:shd w:val="clear" w:color="auto" w:fill="auto"/>
            <w:vAlign w:val="center"/>
          </w:tcPr>
          <w:p w14:paraId="7EB111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风幕机</w:t>
            </w:r>
          </w:p>
        </w:tc>
        <w:tc>
          <w:tcPr>
            <w:tcW w:w="805" w:type="pct"/>
            <w:shd w:val="clear" w:color="auto" w:fill="auto"/>
            <w:vAlign w:val="center"/>
          </w:tcPr>
          <w:p w14:paraId="214508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1200×160×210</w:t>
            </w:r>
          </w:p>
        </w:tc>
        <w:tc>
          <w:tcPr>
            <w:tcW w:w="2238" w:type="pct"/>
            <w:shd w:val="clear" w:color="auto" w:fill="auto"/>
            <w:vAlign w:val="center"/>
          </w:tcPr>
          <w:p w14:paraId="3AD90B9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说明：离心式风幕机产生高速的气流，将室内外分成两个独立的温度区域，坚持室内空调及净化空气的效果，节省电能的同时并令空气循环，有效隔离灰尘、烟气、臭气、和昆虫等微生物；</w:t>
            </w:r>
          </w:p>
          <w:p w14:paraId="51016AE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功率：400W/220V；</w:t>
            </w:r>
          </w:p>
          <w:p w14:paraId="289A802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风量：17m/s；</w:t>
            </w:r>
          </w:p>
          <w:p w14:paraId="7093208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适合门高：2.5-3.5m；</w:t>
            </w:r>
          </w:p>
          <w:p w14:paraId="03823F6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规格：L=1200W。</w:t>
            </w:r>
          </w:p>
        </w:tc>
        <w:tc>
          <w:tcPr>
            <w:tcW w:w="377" w:type="pct"/>
            <w:shd w:val="clear" w:color="auto" w:fill="auto"/>
            <w:vAlign w:val="center"/>
          </w:tcPr>
          <w:p w14:paraId="64D11C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1台</w:t>
            </w:r>
          </w:p>
        </w:tc>
        <w:tc>
          <w:tcPr>
            <w:tcW w:w="700" w:type="pct"/>
            <w:shd w:val="clear" w:color="auto" w:fill="auto"/>
            <w:vAlign w:val="center"/>
          </w:tcPr>
          <w:p w14:paraId="397073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742208" behindDoc="1" locked="0" layoutInCell="1" allowOverlap="1">
                  <wp:simplePos x="0" y="0"/>
                  <wp:positionH relativeFrom="column">
                    <wp:posOffset>275590</wp:posOffset>
                  </wp:positionH>
                  <wp:positionV relativeFrom="paragraph">
                    <wp:posOffset>594360</wp:posOffset>
                  </wp:positionV>
                  <wp:extent cx="819150" cy="409575"/>
                  <wp:effectExtent l="0" t="0" r="3810" b="1905"/>
                  <wp:wrapTight wrapText="bothSides">
                    <wp:wrapPolygon>
                      <wp:start x="0" y="0"/>
                      <wp:lineTo x="0" y="20897"/>
                      <wp:lineTo x="21299" y="20897"/>
                      <wp:lineTo x="21299" y="0"/>
                      <wp:lineTo x="0" y="0"/>
                    </wp:wrapPolygon>
                  </wp:wrapTight>
                  <wp:docPr id="2" name="图片 81" descr="IMG_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1" descr="IMG_336"/>
                          <pic:cNvPicPr>
                            <a:picLocks noChangeAspect="1"/>
                          </pic:cNvPicPr>
                        </pic:nvPicPr>
                        <pic:blipFill>
                          <a:blip r:embed="rId52"/>
                          <a:stretch>
                            <a:fillRect/>
                          </a:stretch>
                        </pic:blipFill>
                        <pic:spPr>
                          <a:xfrm>
                            <a:off x="0" y="0"/>
                            <a:ext cx="819150" cy="409575"/>
                          </a:xfrm>
                          <a:prstGeom prst="rect">
                            <a:avLst/>
                          </a:prstGeom>
                          <a:noFill/>
                          <a:ln w="9525">
                            <a:noFill/>
                          </a:ln>
                        </pic:spPr>
                      </pic:pic>
                    </a:graphicData>
                  </a:graphic>
                </wp:anchor>
              </w:drawing>
            </w:r>
          </w:p>
        </w:tc>
      </w:tr>
      <w:tr w14:paraId="7FB10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04" w:type="pct"/>
            <w:shd w:val="clear" w:color="auto" w:fill="auto"/>
            <w:vAlign w:val="center"/>
          </w:tcPr>
          <w:p w14:paraId="133CD4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85</w:t>
            </w:r>
          </w:p>
        </w:tc>
        <w:tc>
          <w:tcPr>
            <w:tcW w:w="574" w:type="pct"/>
            <w:shd w:val="clear" w:color="auto" w:fill="auto"/>
            <w:vAlign w:val="center"/>
          </w:tcPr>
          <w:p w14:paraId="3D7B8F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风幕机</w:t>
            </w:r>
          </w:p>
        </w:tc>
        <w:tc>
          <w:tcPr>
            <w:tcW w:w="805" w:type="pct"/>
            <w:shd w:val="clear" w:color="auto" w:fill="auto"/>
            <w:vAlign w:val="center"/>
          </w:tcPr>
          <w:p w14:paraId="078F06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900×160×210</w:t>
            </w:r>
          </w:p>
        </w:tc>
        <w:tc>
          <w:tcPr>
            <w:tcW w:w="2238" w:type="pct"/>
            <w:shd w:val="clear" w:color="auto" w:fill="auto"/>
            <w:vAlign w:val="center"/>
          </w:tcPr>
          <w:p w14:paraId="293464E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说明：离心式风幕机产生高速的气流，将室内外分成两个独立的温度区域，坚持室内空调及净化空气的效果，节省电能的同时并令空气循环，有效隔离灰尘、烟气、臭气、和昆虫等微生物；</w:t>
            </w:r>
          </w:p>
          <w:p w14:paraId="353C808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功率：400W/220V；</w:t>
            </w:r>
          </w:p>
          <w:p w14:paraId="6F2C8EB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风量：17m/s；</w:t>
            </w:r>
          </w:p>
          <w:p w14:paraId="4397FBC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适合门高：2.5-3.5m；</w:t>
            </w:r>
          </w:p>
          <w:p w14:paraId="4C13874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规格：L=1200W。</w:t>
            </w:r>
          </w:p>
        </w:tc>
        <w:tc>
          <w:tcPr>
            <w:tcW w:w="377" w:type="pct"/>
            <w:shd w:val="clear" w:color="auto" w:fill="auto"/>
            <w:vAlign w:val="center"/>
          </w:tcPr>
          <w:p w14:paraId="6D846F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4台</w:t>
            </w:r>
          </w:p>
        </w:tc>
        <w:tc>
          <w:tcPr>
            <w:tcW w:w="700" w:type="pct"/>
            <w:shd w:val="clear" w:color="auto" w:fill="auto"/>
            <w:vAlign w:val="center"/>
          </w:tcPr>
          <w:p w14:paraId="0947B4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743232" behindDoc="1" locked="0" layoutInCell="1" allowOverlap="1">
                  <wp:simplePos x="0" y="0"/>
                  <wp:positionH relativeFrom="column">
                    <wp:posOffset>275590</wp:posOffset>
                  </wp:positionH>
                  <wp:positionV relativeFrom="paragraph">
                    <wp:posOffset>594360</wp:posOffset>
                  </wp:positionV>
                  <wp:extent cx="819150" cy="409575"/>
                  <wp:effectExtent l="0" t="0" r="3810" b="1905"/>
                  <wp:wrapTight wrapText="bothSides">
                    <wp:wrapPolygon>
                      <wp:start x="0" y="0"/>
                      <wp:lineTo x="0" y="20897"/>
                      <wp:lineTo x="21299" y="20897"/>
                      <wp:lineTo x="21299" y="0"/>
                      <wp:lineTo x="0" y="0"/>
                    </wp:wrapPolygon>
                  </wp:wrapTight>
                  <wp:docPr id="14" name="图片 82" descr="IMG_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2" descr="IMG_337"/>
                          <pic:cNvPicPr>
                            <a:picLocks noChangeAspect="1"/>
                          </pic:cNvPicPr>
                        </pic:nvPicPr>
                        <pic:blipFill>
                          <a:blip r:embed="rId52"/>
                          <a:stretch>
                            <a:fillRect/>
                          </a:stretch>
                        </pic:blipFill>
                        <pic:spPr>
                          <a:xfrm>
                            <a:off x="0" y="0"/>
                            <a:ext cx="819150" cy="409575"/>
                          </a:xfrm>
                          <a:prstGeom prst="rect">
                            <a:avLst/>
                          </a:prstGeom>
                          <a:noFill/>
                          <a:ln w="9525">
                            <a:noFill/>
                          </a:ln>
                        </pic:spPr>
                      </pic:pic>
                    </a:graphicData>
                  </a:graphic>
                </wp:anchor>
              </w:drawing>
            </w:r>
          </w:p>
        </w:tc>
      </w:tr>
      <w:tr w14:paraId="0D2C1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6"/>
            <w:shd w:val="clear" w:color="auto" w:fill="auto"/>
            <w:vAlign w:val="center"/>
          </w:tcPr>
          <w:p w14:paraId="7B7CB811">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排烟系统</w:t>
            </w:r>
          </w:p>
        </w:tc>
      </w:tr>
      <w:tr w14:paraId="2CBF5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6" w:hRule="atLeast"/>
          <w:jc w:val="center"/>
        </w:trPr>
        <w:tc>
          <w:tcPr>
            <w:tcW w:w="304" w:type="pct"/>
            <w:shd w:val="clear" w:color="auto" w:fill="auto"/>
            <w:vAlign w:val="center"/>
          </w:tcPr>
          <w:p w14:paraId="652EFE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86</w:t>
            </w:r>
          </w:p>
        </w:tc>
        <w:tc>
          <w:tcPr>
            <w:tcW w:w="574" w:type="pct"/>
            <w:shd w:val="clear" w:color="auto" w:fill="auto"/>
            <w:vAlign w:val="center"/>
          </w:tcPr>
          <w:p w14:paraId="66C214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风管(m²)</w:t>
            </w:r>
          </w:p>
        </w:tc>
        <w:tc>
          <w:tcPr>
            <w:tcW w:w="805" w:type="pct"/>
            <w:shd w:val="clear" w:color="auto" w:fill="auto"/>
            <w:vAlign w:val="center"/>
          </w:tcPr>
          <w:p w14:paraId="663EAFC8">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iCs w:val="0"/>
                <w:color w:val="auto"/>
                <w:sz w:val="22"/>
                <w:szCs w:val="22"/>
                <w:u w:val="none"/>
              </w:rPr>
            </w:pPr>
          </w:p>
        </w:tc>
        <w:tc>
          <w:tcPr>
            <w:tcW w:w="2238" w:type="pct"/>
            <w:shd w:val="clear" w:color="auto" w:fill="auto"/>
            <w:vAlign w:val="center"/>
          </w:tcPr>
          <w:p w14:paraId="3A5435C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说明：201发纹贴塑不锈钢板制造，δ=0.8mm,按展开面积计算，配套法兰4x4角铁。</w:t>
            </w:r>
          </w:p>
        </w:tc>
        <w:tc>
          <w:tcPr>
            <w:tcW w:w="377" w:type="pct"/>
            <w:shd w:val="clear" w:color="auto" w:fill="auto"/>
            <w:noWrap/>
            <w:vAlign w:val="center"/>
          </w:tcPr>
          <w:p w14:paraId="023157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510m²</w:t>
            </w:r>
          </w:p>
        </w:tc>
        <w:tc>
          <w:tcPr>
            <w:tcW w:w="700" w:type="pct"/>
            <w:shd w:val="clear" w:color="auto" w:fill="auto"/>
            <w:vAlign w:val="center"/>
          </w:tcPr>
          <w:p w14:paraId="69C9E6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744256" behindDoc="1" locked="0" layoutInCell="1" allowOverlap="1">
                  <wp:simplePos x="0" y="0"/>
                  <wp:positionH relativeFrom="column">
                    <wp:posOffset>389890</wp:posOffset>
                  </wp:positionH>
                  <wp:positionV relativeFrom="paragraph">
                    <wp:posOffset>46355</wp:posOffset>
                  </wp:positionV>
                  <wp:extent cx="581025" cy="381000"/>
                  <wp:effectExtent l="0" t="0" r="13335" b="0"/>
                  <wp:wrapTight wrapText="bothSides">
                    <wp:wrapPolygon>
                      <wp:start x="0" y="0"/>
                      <wp:lineTo x="0" y="20736"/>
                      <wp:lineTo x="20963" y="20736"/>
                      <wp:lineTo x="20963" y="0"/>
                      <wp:lineTo x="0" y="0"/>
                    </wp:wrapPolygon>
                  </wp:wrapTight>
                  <wp:docPr id="3" name="图片 83" descr="IMG_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3" descr="IMG_338"/>
                          <pic:cNvPicPr>
                            <a:picLocks noChangeAspect="1"/>
                          </pic:cNvPicPr>
                        </pic:nvPicPr>
                        <pic:blipFill>
                          <a:blip r:embed="rId53"/>
                          <a:stretch>
                            <a:fillRect/>
                          </a:stretch>
                        </pic:blipFill>
                        <pic:spPr>
                          <a:xfrm>
                            <a:off x="0" y="0"/>
                            <a:ext cx="581025" cy="381000"/>
                          </a:xfrm>
                          <a:prstGeom prst="rect">
                            <a:avLst/>
                          </a:prstGeom>
                          <a:noFill/>
                          <a:ln w="9525">
                            <a:noFill/>
                          </a:ln>
                        </pic:spPr>
                      </pic:pic>
                    </a:graphicData>
                  </a:graphic>
                </wp:anchor>
              </w:drawing>
            </w:r>
          </w:p>
        </w:tc>
      </w:tr>
      <w:tr w14:paraId="0976C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4" w:type="pct"/>
            <w:shd w:val="clear" w:color="auto" w:fill="auto"/>
            <w:vAlign w:val="center"/>
          </w:tcPr>
          <w:p w14:paraId="778C28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87</w:t>
            </w:r>
          </w:p>
        </w:tc>
        <w:tc>
          <w:tcPr>
            <w:tcW w:w="574" w:type="pct"/>
            <w:shd w:val="clear" w:color="auto" w:fill="auto"/>
            <w:vAlign w:val="center"/>
          </w:tcPr>
          <w:p w14:paraId="522546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双层静音风柜</w:t>
            </w:r>
          </w:p>
        </w:tc>
        <w:tc>
          <w:tcPr>
            <w:tcW w:w="805" w:type="pct"/>
            <w:shd w:val="clear" w:color="auto" w:fill="auto"/>
            <w:vAlign w:val="center"/>
          </w:tcPr>
          <w:p w14:paraId="0DF56F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风量：23000-28000m³/h；</w:t>
            </w:r>
          </w:p>
        </w:tc>
        <w:tc>
          <w:tcPr>
            <w:tcW w:w="2238" w:type="pct"/>
            <w:shd w:val="clear" w:color="auto" w:fill="auto"/>
            <w:vAlign w:val="center"/>
          </w:tcPr>
          <w:p w14:paraId="45BA486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电量：11KW/380V</w:t>
            </w:r>
          </w:p>
        </w:tc>
        <w:tc>
          <w:tcPr>
            <w:tcW w:w="377" w:type="pct"/>
            <w:shd w:val="clear" w:color="auto" w:fill="auto"/>
            <w:noWrap/>
            <w:vAlign w:val="center"/>
          </w:tcPr>
          <w:p w14:paraId="086337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1台</w:t>
            </w:r>
          </w:p>
        </w:tc>
        <w:tc>
          <w:tcPr>
            <w:tcW w:w="700" w:type="pct"/>
            <w:shd w:val="clear" w:color="auto" w:fill="auto"/>
            <w:vAlign w:val="center"/>
          </w:tcPr>
          <w:p w14:paraId="1AF843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745280" behindDoc="1" locked="0" layoutInCell="1" allowOverlap="1">
                  <wp:simplePos x="0" y="0"/>
                  <wp:positionH relativeFrom="column">
                    <wp:posOffset>488950</wp:posOffset>
                  </wp:positionH>
                  <wp:positionV relativeFrom="paragraph">
                    <wp:posOffset>30480</wp:posOffset>
                  </wp:positionV>
                  <wp:extent cx="390525" cy="390525"/>
                  <wp:effectExtent l="0" t="0" r="5715" b="5715"/>
                  <wp:wrapTight wrapText="bothSides">
                    <wp:wrapPolygon>
                      <wp:start x="0" y="0"/>
                      <wp:lineTo x="0" y="21073"/>
                      <wp:lineTo x="21073" y="21073"/>
                      <wp:lineTo x="21073" y="0"/>
                      <wp:lineTo x="0" y="0"/>
                    </wp:wrapPolygon>
                  </wp:wrapTight>
                  <wp:docPr id="12" name="图片 84" descr="IMG_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4" descr="IMG_339"/>
                          <pic:cNvPicPr>
                            <a:picLocks noChangeAspect="1"/>
                          </pic:cNvPicPr>
                        </pic:nvPicPr>
                        <pic:blipFill>
                          <a:blip r:embed="rId54"/>
                          <a:stretch>
                            <a:fillRect/>
                          </a:stretch>
                        </pic:blipFill>
                        <pic:spPr>
                          <a:xfrm>
                            <a:off x="0" y="0"/>
                            <a:ext cx="390525" cy="390525"/>
                          </a:xfrm>
                          <a:prstGeom prst="rect">
                            <a:avLst/>
                          </a:prstGeom>
                          <a:noFill/>
                          <a:ln w="9525">
                            <a:noFill/>
                          </a:ln>
                        </pic:spPr>
                      </pic:pic>
                    </a:graphicData>
                  </a:graphic>
                </wp:anchor>
              </w:drawing>
            </w:r>
          </w:p>
        </w:tc>
      </w:tr>
      <w:tr w14:paraId="3DEFC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04" w:type="pct"/>
            <w:shd w:val="clear" w:color="auto" w:fill="auto"/>
            <w:vAlign w:val="center"/>
          </w:tcPr>
          <w:p w14:paraId="7F04C3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88</w:t>
            </w:r>
          </w:p>
        </w:tc>
        <w:tc>
          <w:tcPr>
            <w:tcW w:w="574" w:type="pct"/>
            <w:shd w:val="clear" w:color="auto" w:fill="auto"/>
            <w:vAlign w:val="center"/>
          </w:tcPr>
          <w:p w14:paraId="478D95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双层静音风柜</w:t>
            </w:r>
          </w:p>
        </w:tc>
        <w:tc>
          <w:tcPr>
            <w:tcW w:w="805" w:type="pct"/>
            <w:shd w:val="clear" w:color="auto" w:fill="auto"/>
            <w:vAlign w:val="center"/>
          </w:tcPr>
          <w:p w14:paraId="7983A6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风量：32000-43000m³/h；</w:t>
            </w:r>
          </w:p>
        </w:tc>
        <w:tc>
          <w:tcPr>
            <w:tcW w:w="2238" w:type="pct"/>
            <w:shd w:val="clear" w:color="auto" w:fill="auto"/>
            <w:vAlign w:val="center"/>
          </w:tcPr>
          <w:p w14:paraId="1F854D3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电量：15KW/380V</w:t>
            </w:r>
          </w:p>
        </w:tc>
        <w:tc>
          <w:tcPr>
            <w:tcW w:w="377" w:type="pct"/>
            <w:shd w:val="clear" w:color="auto" w:fill="auto"/>
            <w:noWrap/>
            <w:vAlign w:val="center"/>
          </w:tcPr>
          <w:p w14:paraId="1BFFFE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1台</w:t>
            </w:r>
          </w:p>
        </w:tc>
        <w:tc>
          <w:tcPr>
            <w:tcW w:w="700" w:type="pct"/>
            <w:shd w:val="clear" w:color="auto" w:fill="auto"/>
            <w:vAlign w:val="center"/>
          </w:tcPr>
          <w:p w14:paraId="6F01B1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746304" behindDoc="1" locked="0" layoutInCell="1" allowOverlap="1">
                  <wp:simplePos x="0" y="0"/>
                  <wp:positionH relativeFrom="column">
                    <wp:posOffset>488950</wp:posOffset>
                  </wp:positionH>
                  <wp:positionV relativeFrom="paragraph">
                    <wp:posOffset>30480</wp:posOffset>
                  </wp:positionV>
                  <wp:extent cx="390525" cy="390525"/>
                  <wp:effectExtent l="0" t="0" r="5715" b="5715"/>
                  <wp:wrapTight wrapText="bothSides">
                    <wp:wrapPolygon>
                      <wp:start x="0" y="0"/>
                      <wp:lineTo x="0" y="21073"/>
                      <wp:lineTo x="21073" y="21073"/>
                      <wp:lineTo x="21073" y="0"/>
                      <wp:lineTo x="0" y="0"/>
                    </wp:wrapPolygon>
                  </wp:wrapTight>
                  <wp:docPr id="19" name="图片 85" descr="IMG_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85" descr="IMG_340"/>
                          <pic:cNvPicPr>
                            <a:picLocks noChangeAspect="1"/>
                          </pic:cNvPicPr>
                        </pic:nvPicPr>
                        <pic:blipFill>
                          <a:blip r:embed="rId54"/>
                          <a:stretch>
                            <a:fillRect/>
                          </a:stretch>
                        </pic:blipFill>
                        <pic:spPr>
                          <a:xfrm>
                            <a:off x="0" y="0"/>
                            <a:ext cx="390525" cy="390525"/>
                          </a:xfrm>
                          <a:prstGeom prst="rect">
                            <a:avLst/>
                          </a:prstGeom>
                          <a:noFill/>
                          <a:ln w="9525">
                            <a:noFill/>
                          </a:ln>
                        </pic:spPr>
                      </pic:pic>
                    </a:graphicData>
                  </a:graphic>
                </wp:anchor>
              </w:drawing>
            </w:r>
          </w:p>
        </w:tc>
      </w:tr>
      <w:tr w14:paraId="7CF16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4" w:type="pct"/>
            <w:shd w:val="clear" w:color="auto" w:fill="auto"/>
            <w:vAlign w:val="center"/>
          </w:tcPr>
          <w:p w14:paraId="328493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89</w:t>
            </w:r>
          </w:p>
        </w:tc>
        <w:tc>
          <w:tcPr>
            <w:tcW w:w="574" w:type="pct"/>
            <w:shd w:val="clear" w:color="auto" w:fill="auto"/>
            <w:vAlign w:val="center"/>
          </w:tcPr>
          <w:p w14:paraId="238564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降压启动装置</w:t>
            </w:r>
          </w:p>
        </w:tc>
        <w:tc>
          <w:tcPr>
            <w:tcW w:w="805" w:type="pct"/>
            <w:shd w:val="clear" w:color="auto" w:fill="auto"/>
            <w:vAlign w:val="center"/>
          </w:tcPr>
          <w:p w14:paraId="3CE5C580">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iCs w:val="0"/>
                <w:color w:val="auto"/>
                <w:sz w:val="22"/>
                <w:szCs w:val="22"/>
                <w:u w:val="none"/>
              </w:rPr>
            </w:pPr>
          </w:p>
        </w:tc>
        <w:tc>
          <w:tcPr>
            <w:tcW w:w="2238" w:type="pct"/>
            <w:shd w:val="clear" w:color="auto" w:fill="auto"/>
            <w:vAlign w:val="center"/>
          </w:tcPr>
          <w:p w14:paraId="3F04162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说明：配11KW功率的风柜，缺相保护装置，高低压保护，过载保护装置。</w:t>
            </w:r>
          </w:p>
        </w:tc>
        <w:tc>
          <w:tcPr>
            <w:tcW w:w="377" w:type="pct"/>
            <w:shd w:val="clear" w:color="auto" w:fill="auto"/>
            <w:noWrap/>
            <w:vAlign w:val="center"/>
          </w:tcPr>
          <w:p w14:paraId="5F7EDD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1台</w:t>
            </w:r>
          </w:p>
        </w:tc>
        <w:tc>
          <w:tcPr>
            <w:tcW w:w="700" w:type="pct"/>
            <w:shd w:val="clear" w:color="auto" w:fill="auto"/>
            <w:vAlign w:val="center"/>
          </w:tcPr>
          <w:p w14:paraId="072EA7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747328" behindDoc="1" locked="0" layoutInCell="1" allowOverlap="1">
                  <wp:simplePos x="0" y="0"/>
                  <wp:positionH relativeFrom="column">
                    <wp:posOffset>534670</wp:posOffset>
                  </wp:positionH>
                  <wp:positionV relativeFrom="paragraph">
                    <wp:posOffset>22860</wp:posOffset>
                  </wp:positionV>
                  <wp:extent cx="295275" cy="400050"/>
                  <wp:effectExtent l="0" t="0" r="9525" b="11430"/>
                  <wp:wrapTight wrapText="bothSides">
                    <wp:wrapPolygon>
                      <wp:start x="0" y="0"/>
                      <wp:lineTo x="0" y="20571"/>
                      <wp:lineTo x="20067" y="20571"/>
                      <wp:lineTo x="20067" y="0"/>
                      <wp:lineTo x="0" y="0"/>
                    </wp:wrapPolygon>
                  </wp:wrapTight>
                  <wp:docPr id="18" name="图片 86" descr="IMG_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86" descr="IMG_341"/>
                          <pic:cNvPicPr>
                            <a:picLocks noChangeAspect="1"/>
                          </pic:cNvPicPr>
                        </pic:nvPicPr>
                        <pic:blipFill>
                          <a:blip r:embed="rId55"/>
                          <a:stretch>
                            <a:fillRect/>
                          </a:stretch>
                        </pic:blipFill>
                        <pic:spPr>
                          <a:xfrm>
                            <a:off x="0" y="0"/>
                            <a:ext cx="295275" cy="400050"/>
                          </a:xfrm>
                          <a:prstGeom prst="rect">
                            <a:avLst/>
                          </a:prstGeom>
                          <a:noFill/>
                          <a:ln w="9525">
                            <a:noFill/>
                          </a:ln>
                        </pic:spPr>
                      </pic:pic>
                    </a:graphicData>
                  </a:graphic>
                </wp:anchor>
              </w:drawing>
            </w:r>
          </w:p>
        </w:tc>
      </w:tr>
      <w:tr w14:paraId="3ADDB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4" w:type="pct"/>
            <w:shd w:val="clear" w:color="auto" w:fill="auto"/>
            <w:vAlign w:val="center"/>
          </w:tcPr>
          <w:p w14:paraId="188CE0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90</w:t>
            </w:r>
          </w:p>
        </w:tc>
        <w:tc>
          <w:tcPr>
            <w:tcW w:w="574" w:type="pct"/>
            <w:shd w:val="clear" w:color="auto" w:fill="auto"/>
            <w:vAlign w:val="center"/>
          </w:tcPr>
          <w:p w14:paraId="0741A1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降压启动装置</w:t>
            </w:r>
          </w:p>
        </w:tc>
        <w:tc>
          <w:tcPr>
            <w:tcW w:w="805" w:type="pct"/>
            <w:shd w:val="clear" w:color="auto" w:fill="auto"/>
            <w:vAlign w:val="center"/>
          </w:tcPr>
          <w:p w14:paraId="77687F83">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iCs w:val="0"/>
                <w:color w:val="auto"/>
                <w:sz w:val="22"/>
                <w:szCs w:val="22"/>
                <w:u w:val="none"/>
              </w:rPr>
            </w:pPr>
          </w:p>
        </w:tc>
        <w:tc>
          <w:tcPr>
            <w:tcW w:w="2238" w:type="pct"/>
            <w:shd w:val="clear" w:color="auto" w:fill="auto"/>
            <w:vAlign w:val="center"/>
          </w:tcPr>
          <w:p w14:paraId="2405737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说明：配15KW功率的风柜，缺相保护装置，高低压保护，过载保护装置。</w:t>
            </w:r>
          </w:p>
        </w:tc>
        <w:tc>
          <w:tcPr>
            <w:tcW w:w="377" w:type="pct"/>
            <w:shd w:val="clear" w:color="auto" w:fill="auto"/>
            <w:noWrap/>
            <w:vAlign w:val="center"/>
          </w:tcPr>
          <w:p w14:paraId="13AB6F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1台</w:t>
            </w:r>
          </w:p>
        </w:tc>
        <w:tc>
          <w:tcPr>
            <w:tcW w:w="700" w:type="pct"/>
            <w:shd w:val="clear" w:color="auto" w:fill="auto"/>
            <w:vAlign w:val="center"/>
          </w:tcPr>
          <w:p w14:paraId="59513A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748352" behindDoc="1" locked="0" layoutInCell="1" allowOverlap="1">
                  <wp:simplePos x="0" y="0"/>
                  <wp:positionH relativeFrom="column">
                    <wp:posOffset>534670</wp:posOffset>
                  </wp:positionH>
                  <wp:positionV relativeFrom="paragraph">
                    <wp:posOffset>22860</wp:posOffset>
                  </wp:positionV>
                  <wp:extent cx="295275" cy="400050"/>
                  <wp:effectExtent l="0" t="0" r="9525" b="11430"/>
                  <wp:wrapTight wrapText="bothSides">
                    <wp:wrapPolygon>
                      <wp:start x="0" y="0"/>
                      <wp:lineTo x="0" y="20571"/>
                      <wp:lineTo x="20067" y="20571"/>
                      <wp:lineTo x="20067" y="0"/>
                      <wp:lineTo x="0" y="0"/>
                    </wp:wrapPolygon>
                  </wp:wrapTight>
                  <wp:docPr id="21" name="图片 87" descr="IMG_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87" descr="IMG_342"/>
                          <pic:cNvPicPr>
                            <a:picLocks noChangeAspect="1"/>
                          </pic:cNvPicPr>
                        </pic:nvPicPr>
                        <pic:blipFill>
                          <a:blip r:embed="rId55"/>
                          <a:stretch>
                            <a:fillRect/>
                          </a:stretch>
                        </pic:blipFill>
                        <pic:spPr>
                          <a:xfrm>
                            <a:off x="0" y="0"/>
                            <a:ext cx="295275" cy="400050"/>
                          </a:xfrm>
                          <a:prstGeom prst="rect">
                            <a:avLst/>
                          </a:prstGeom>
                          <a:noFill/>
                          <a:ln w="9525">
                            <a:noFill/>
                          </a:ln>
                        </pic:spPr>
                      </pic:pic>
                    </a:graphicData>
                  </a:graphic>
                </wp:anchor>
              </w:drawing>
            </w:r>
          </w:p>
        </w:tc>
      </w:tr>
      <w:tr w14:paraId="25767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4" w:type="pct"/>
            <w:shd w:val="clear" w:color="auto" w:fill="auto"/>
            <w:vAlign w:val="center"/>
          </w:tcPr>
          <w:p w14:paraId="31F5BB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91</w:t>
            </w:r>
          </w:p>
        </w:tc>
        <w:tc>
          <w:tcPr>
            <w:tcW w:w="574" w:type="pct"/>
            <w:shd w:val="clear" w:color="auto" w:fill="auto"/>
            <w:vAlign w:val="center"/>
          </w:tcPr>
          <w:p w14:paraId="332042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风柜支架</w:t>
            </w:r>
          </w:p>
        </w:tc>
        <w:tc>
          <w:tcPr>
            <w:tcW w:w="805" w:type="pct"/>
            <w:shd w:val="clear" w:color="auto" w:fill="auto"/>
            <w:vAlign w:val="center"/>
          </w:tcPr>
          <w:p w14:paraId="65D82FFB">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iCs w:val="0"/>
                <w:color w:val="auto"/>
                <w:sz w:val="22"/>
                <w:szCs w:val="22"/>
                <w:u w:val="none"/>
              </w:rPr>
            </w:pPr>
          </w:p>
        </w:tc>
        <w:tc>
          <w:tcPr>
            <w:tcW w:w="2238" w:type="pct"/>
            <w:shd w:val="clear" w:color="auto" w:fill="auto"/>
            <w:vAlign w:val="center"/>
          </w:tcPr>
          <w:p w14:paraId="7B3E9AB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说明：8#A3钢制作</w:t>
            </w:r>
          </w:p>
        </w:tc>
        <w:tc>
          <w:tcPr>
            <w:tcW w:w="377" w:type="pct"/>
            <w:shd w:val="clear" w:color="auto" w:fill="auto"/>
            <w:noWrap/>
            <w:vAlign w:val="center"/>
          </w:tcPr>
          <w:p w14:paraId="496B71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2个</w:t>
            </w:r>
          </w:p>
        </w:tc>
        <w:tc>
          <w:tcPr>
            <w:tcW w:w="700" w:type="pct"/>
            <w:shd w:val="clear" w:color="auto" w:fill="auto"/>
            <w:vAlign w:val="center"/>
          </w:tcPr>
          <w:p w14:paraId="19B6C3B3">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2"/>
                <w:szCs w:val="22"/>
                <w:u w:val="none"/>
              </w:rPr>
            </w:pPr>
          </w:p>
        </w:tc>
      </w:tr>
      <w:tr w14:paraId="37B8D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4" w:type="pct"/>
            <w:shd w:val="clear" w:color="auto" w:fill="auto"/>
            <w:vAlign w:val="center"/>
          </w:tcPr>
          <w:p w14:paraId="070C6A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92</w:t>
            </w:r>
          </w:p>
        </w:tc>
        <w:tc>
          <w:tcPr>
            <w:tcW w:w="574" w:type="pct"/>
            <w:shd w:val="clear" w:color="auto" w:fill="auto"/>
            <w:vAlign w:val="center"/>
          </w:tcPr>
          <w:p w14:paraId="3D74C2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吊式减震器</w:t>
            </w:r>
          </w:p>
        </w:tc>
        <w:tc>
          <w:tcPr>
            <w:tcW w:w="805" w:type="pct"/>
            <w:shd w:val="clear" w:color="auto" w:fill="auto"/>
            <w:vAlign w:val="center"/>
          </w:tcPr>
          <w:p w14:paraId="717B8AC4">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iCs w:val="0"/>
                <w:color w:val="auto"/>
                <w:sz w:val="22"/>
                <w:szCs w:val="22"/>
                <w:u w:val="none"/>
              </w:rPr>
            </w:pPr>
          </w:p>
          <w:p w14:paraId="66AEBEDF">
            <w:pPr>
              <w:rPr>
                <w:color w:val="auto"/>
              </w:rPr>
            </w:pPr>
          </w:p>
        </w:tc>
        <w:tc>
          <w:tcPr>
            <w:tcW w:w="2238" w:type="pct"/>
            <w:shd w:val="clear" w:color="auto" w:fill="auto"/>
            <w:vAlign w:val="center"/>
          </w:tcPr>
          <w:p w14:paraId="6B68AB21">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iCs w:val="0"/>
                <w:color w:val="auto"/>
                <w:sz w:val="22"/>
                <w:szCs w:val="22"/>
                <w:u w:val="none"/>
              </w:rPr>
            </w:pPr>
          </w:p>
        </w:tc>
        <w:tc>
          <w:tcPr>
            <w:tcW w:w="377" w:type="pct"/>
            <w:shd w:val="clear" w:color="auto" w:fill="auto"/>
            <w:noWrap/>
            <w:vAlign w:val="center"/>
          </w:tcPr>
          <w:p w14:paraId="1AF4DC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8个</w:t>
            </w:r>
          </w:p>
        </w:tc>
        <w:tc>
          <w:tcPr>
            <w:tcW w:w="700" w:type="pct"/>
            <w:shd w:val="clear" w:color="auto" w:fill="auto"/>
            <w:vAlign w:val="center"/>
          </w:tcPr>
          <w:p w14:paraId="2F6B22BB">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2"/>
                <w:szCs w:val="22"/>
                <w:u w:val="none"/>
              </w:rPr>
            </w:pPr>
          </w:p>
        </w:tc>
      </w:tr>
      <w:tr w14:paraId="7E1DF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04" w:type="pct"/>
            <w:shd w:val="clear" w:color="auto" w:fill="auto"/>
            <w:vAlign w:val="center"/>
          </w:tcPr>
          <w:p w14:paraId="521019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93</w:t>
            </w:r>
          </w:p>
        </w:tc>
        <w:tc>
          <w:tcPr>
            <w:tcW w:w="574" w:type="pct"/>
            <w:shd w:val="clear" w:color="auto" w:fill="auto"/>
            <w:vAlign w:val="center"/>
          </w:tcPr>
          <w:p w14:paraId="081924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防火阀</w:t>
            </w:r>
          </w:p>
        </w:tc>
        <w:tc>
          <w:tcPr>
            <w:tcW w:w="805" w:type="pct"/>
            <w:shd w:val="clear" w:color="auto" w:fill="auto"/>
            <w:vAlign w:val="center"/>
          </w:tcPr>
          <w:p w14:paraId="2D053042">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iCs w:val="0"/>
                <w:color w:val="auto"/>
                <w:sz w:val="22"/>
                <w:szCs w:val="22"/>
                <w:u w:val="none"/>
              </w:rPr>
            </w:pPr>
          </w:p>
        </w:tc>
        <w:tc>
          <w:tcPr>
            <w:tcW w:w="2238" w:type="pct"/>
            <w:shd w:val="clear" w:color="auto" w:fill="auto"/>
            <w:vAlign w:val="center"/>
          </w:tcPr>
          <w:p w14:paraId="7526D5C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说明：熔断器动作温度150℃；</w:t>
            </w:r>
          </w:p>
        </w:tc>
        <w:tc>
          <w:tcPr>
            <w:tcW w:w="377" w:type="pct"/>
            <w:shd w:val="clear" w:color="auto" w:fill="auto"/>
            <w:noWrap/>
            <w:vAlign w:val="center"/>
          </w:tcPr>
          <w:p w14:paraId="16C423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4个</w:t>
            </w:r>
          </w:p>
        </w:tc>
        <w:tc>
          <w:tcPr>
            <w:tcW w:w="700" w:type="pct"/>
            <w:shd w:val="clear" w:color="auto" w:fill="auto"/>
            <w:vAlign w:val="center"/>
          </w:tcPr>
          <w:p w14:paraId="09D07E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171450</wp:posOffset>
                  </wp:positionH>
                  <wp:positionV relativeFrom="paragraph">
                    <wp:posOffset>257175</wp:posOffset>
                  </wp:positionV>
                  <wp:extent cx="457200" cy="0"/>
                  <wp:effectExtent l="0" t="0" r="0" b="0"/>
                  <wp:wrapNone/>
                  <wp:docPr id="20" name="Picture_2"/>
                  <wp:cNvGraphicFramePr/>
                  <a:graphic xmlns:a="http://schemas.openxmlformats.org/drawingml/2006/main">
                    <a:graphicData uri="http://schemas.openxmlformats.org/drawingml/2006/picture">
                      <pic:pic xmlns:pic="http://schemas.openxmlformats.org/drawingml/2006/picture">
                        <pic:nvPicPr>
                          <pic:cNvPr id="20" name="Picture_2"/>
                          <pic:cNvPicPr/>
                        </pic:nvPicPr>
                        <pic:blipFill>
                          <a:blip r:embed="rId56"/>
                          <a:stretch>
                            <a:fillRect/>
                          </a:stretch>
                        </pic:blipFill>
                        <pic:spPr>
                          <a:xfrm>
                            <a:off x="0" y="0"/>
                            <a:ext cx="457200" cy="0"/>
                          </a:xfrm>
                          <a:prstGeom prst="rect">
                            <a:avLst/>
                          </a:prstGeom>
                          <a:noFill/>
                          <a:ln>
                            <a:noFill/>
                          </a:ln>
                        </pic:spPr>
                      </pic:pic>
                    </a:graphicData>
                  </a:graphic>
                </wp:anchor>
              </w:drawing>
            </w:r>
          </w:p>
        </w:tc>
      </w:tr>
      <w:tr w14:paraId="14084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6" w:hRule="atLeast"/>
          <w:jc w:val="center"/>
        </w:trPr>
        <w:tc>
          <w:tcPr>
            <w:tcW w:w="304" w:type="pct"/>
            <w:shd w:val="clear" w:color="auto" w:fill="auto"/>
            <w:vAlign w:val="center"/>
          </w:tcPr>
          <w:p w14:paraId="2E7AA6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94</w:t>
            </w:r>
          </w:p>
        </w:tc>
        <w:tc>
          <w:tcPr>
            <w:tcW w:w="574" w:type="pct"/>
            <w:shd w:val="clear" w:color="auto" w:fill="auto"/>
            <w:vAlign w:val="center"/>
          </w:tcPr>
          <w:p w14:paraId="307570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原有设备的移位、安装、维修</w:t>
            </w:r>
          </w:p>
        </w:tc>
        <w:tc>
          <w:tcPr>
            <w:tcW w:w="805" w:type="pct"/>
            <w:shd w:val="clear" w:color="auto" w:fill="auto"/>
            <w:vAlign w:val="center"/>
          </w:tcPr>
          <w:p w14:paraId="589DCDEF">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iCs w:val="0"/>
                <w:color w:val="auto"/>
                <w:sz w:val="22"/>
                <w:szCs w:val="22"/>
                <w:u w:val="none"/>
              </w:rPr>
            </w:pPr>
          </w:p>
        </w:tc>
        <w:tc>
          <w:tcPr>
            <w:tcW w:w="2238" w:type="pct"/>
            <w:shd w:val="clear" w:color="auto" w:fill="auto"/>
            <w:vAlign w:val="center"/>
          </w:tcPr>
          <w:p w14:paraId="48D52D6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包含了老设备拆除、移位、安装等维修费用</w:t>
            </w:r>
          </w:p>
        </w:tc>
        <w:tc>
          <w:tcPr>
            <w:tcW w:w="377" w:type="pct"/>
            <w:shd w:val="clear" w:color="auto" w:fill="auto"/>
            <w:noWrap/>
            <w:vAlign w:val="center"/>
          </w:tcPr>
          <w:p w14:paraId="6F11AB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1项</w:t>
            </w:r>
          </w:p>
        </w:tc>
        <w:tc>
          <w:tcPr>
            <w:tcW w:w="700" w:type="pct"/>
            <w:shd w:val="clear" w:color="auto" w:fill="auto"/>
            <w:vAlign w:val="center"/>
          </w:tcPr>
          <w:p w14:paraId="2C4BAE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2"/>
                <w:szCs w:val="22"/>
                <w:u w:val="none"/>
                <w:bdr w:val="single" w:color="000000" w:sz="4" w:space="0"/>
                <w:lang w:val="en-US" w:eastAsia="zh-CN" w:bidi="ar"/>
              </w:rPr>
            </w:pPr>
          </w:p>
        </w:tc>
      </w:tr>
      <w:tr w14:paraId="01558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000" w:type="pct"/>
            <w:gridSpan w:val="6"/>
            <w:shd w:val="clear" w:color="auto" w:fill="auto"/>
            <w:vAlign w:val="center"/>
          </w:tcPr>
          <w:p w14:paraId="11E1187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u w:val="none"/>
                <w:bdr w:val="single" w:color="000000" w:sz="4" w:space="0"/>
                <w:lang w:val="en-US" w:eastAsia="zh-CN" w:bidi="ar"/>
              </w:rPr>
            </w:pPr>
            <w:r>
              <w:rPr>
                <w:rFonts w:hint="eastAsia" w:ascii="宋体" w:hAnsi="宋体" w:eastAsia="宋体" w:cs="宋体"/>
                <w:i w:val="0"/>
                <w:iCs w:val="0"/>
                <w:color w:val="auto"/>
                <w:kern w:val="0"/>
                <w:sz w:val="22"/>
                <w:szCs w:val="22"/>
                <w:u w:val="none"/>
                <w:lang w:val="en-US" w:eastAsia="zh-CN" w:bidi="ar"/>
              </w:rPr>
              <w:t>厨房附属改造工程</w:t>
            </w:r>
          </w:p>
        </w:tc>
      </w:tr>
      <w:tr w14:paraId="6D872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304" w:type="pct"/>
            <w:shd w:val="clear" w:color="auto" w:fill="auto"/>
            <w:vAlign w:val="center"/>
          </w:tcPr>
          <w:p w14:paraId="401FB4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95</w:t>
            </w:r>
          </w:p>
        </w:tc>
        <w:tc>
          <w:tcPr>
            <w:tcW w:w="574" w:type="pct"/>
            <w:shd w:val="clear" w:color="auto" w:fill="auto"/>
            <w:vAlign w:val="center"/>
          </w:tcPr>
          <w:p w14:paraId="38E0D1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厨房附属改造工程</w:t>
            </w:r>
          </w:p>
        </w:tc>
        <w:tc>
          <w:tcPr>
            <w:tcW w:w="805" w:type="pct"/>
            <w:shd w:val="clear" w:color="auto" w:fill="auto"/>
            <w:vAlign w:val="center"/>
          </w:tcPr>
          <w:p w14:paraId="6C086684">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iCs w:val="0"/>
                <w:color w:val="auto"/>
                <w:sz w:val="22"/>
                <w:szCs w:val="22"/>
                <w:u w:val="none"/>
              </w:rPr>
            </w:pPr>
          </w:p>
        </w:tc>
        <w:tc>
          <w:tcPr>
            <w:tcW w:w="2238" w:type="pct"/>
            <w:shd w:val="clear" w:color="auto" w:fill="auto"/>
            <w:vAlign w:val="center"/>
          </w:tcPr>
          <w:p w14:paraId="30794BF2">
            <w:pPr>
              <w:pStyle w:val="146"/>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ascii="宋体" w:hAnsi="宋体"/>
                <w:bCs/>
                <w:color w:val="auto"/>
                <w:sz w:val="22"/>
                <w:szCs w:val="22"/>
              </w:rPr>
            </w:pPr>
            <w:r>
              <w:rPr>
                <w:rFonts w:hint="eastAsia" w:ascii="宋体" w:hAnsi="宋体"/>
                <w:bCs/>
                <w:color w:val="auto"/>
                <w:sz w:val="22"/>
                <w:szCs w:val="22"/>
                <w:lang w:val="en-US" w:eastAsia="zh-CN"/>
              </w:rPr>
              <w:t>一</w:t>
            </w:r>
            <w:r>
              <w:rPr>
                <w:rFonts w:hint="eastAsia" w:ascii="宋体" w:hAnsi="宋体"/>
                <w:bCs/>
                <w:color w:val="auto"/>
                <w:sz w:val="22"/>
                <w:szCs w:val="22"/>
              </w:rPr>
              <w:t>、工程技术规范</w:t>
            </w:r>
          </w:p>
          <w:p w14:paraId="2BCE9E20">
            <w:pPr>
              <w:pStyle w:val="146"/>
              <w:keepNext w:val="0"/>
              <w:keepLines w:val="0"/>
              <w:pageBreakBefore w:val="0"/>
              <w:widowControl w:val="0"/>
              <w:kinsoku/>
              <w:wordWrap/>
              <w:overflowPunct/>
              <w:topLinePunct w:val="0"/>
              <w:autoSpaceDE/>
              <w:autoSpaceDN/>
              <w:bidi w:val="0"/>
              <w:adjustRightInd w:val="0"/>
              <w:snapToGrid w:val="0"/>
              <w:spacing w:line="360" w:lineRule="exact"/>
              <w:ind w:firstLine="440"/>
              <w:textAlignment w:val="auto"/>
              <w:rPr>
                <w:rFonts w:ascii="宋体" w:hAnsi="宋体"/>
                <w:b w:val="0"/>
                <w:color w:val="auto"/>
                <w:sz w:val="22"/>
                <w:szCs w:val="22"/>
              </w:rPr>
            </w:pPr>
            <w:r>
              <w:rPr>
                <w:rFonts w:hint="eastAsia" w:ascii="宋体" w:hAnsi="宋体"/>
                <w:b w:val="0"/>
                <w:color w:val="auto"/>
                <w:sz w:val="22"/>
                <w:szCs w:val="22"/>
              </w:rPr>
              <w:t>依据设计施工图纸和</w:t>
            </w:r>
            <w:r>
              <w:rPr>
                <w:rFonts w:hint="eastAsia" w:ascii="宋体" w:hAnsi="宋体"/>
                <w:b w:val="0"/>
                <w:color w:val="auto"/>
                <w:sz w:val="22"/>
                <w:szCs w:val="22"/>
                <w:lang w:val="en-US" w:eastAsia="zh-CN"/>
              </w:rPr>
              <w:t>工程量清单</w:t>
            </w:r>
            <w:r>
              <w:rPr>
                <w:rFonts w:hint="eastAsia" w:ascii="宋体" w:hAnsi="宋体"/>
                <w:b w:val="0"/>
                <w:color w:val="auto"/>
                <w:sz w:val="22"/>
                <w:szCs w:val="22"/>
              </w:rPr>
              <w:t>，本工程项目的材料、设备、施工必须达到现行中华人民共和国及省、市、行业的一切有关法规、规范的要求。</w:t>
            </w:r>
          </w:p>
          <w:p w14:paraId="4D5D4999">
            <w:pPr>
              <w:pStyle w:val="146"/>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ascii="宋体" w:hAnsi="宋体"/>
                <w:bCs/>
                <w:color w:val="auto"/>
                <w:sz w:val="22"/>
                <w:szCs w:val="22"/>
              </w:rPr>
            </w:pPr>
            <w:bookmarkStart w:id="225" w:name="_Toc153951947"/>
            <w:r>
              <w:rPr>
                <w:rFonts w:hint="eastAsia" w:ascii="宋体" w:hAnsi="宋体"/>
                <w:bCs/>
                <w:color w:val="auto"/>
                <w:sz w:val="22"/>
                <w:szCs w:val="22"/>
                <w:lang w:val="en-US" w:eastAsia="zh-CN"/>
              </w:rPr>
              <w:t>二</w:t>
            </w:r>
            <w:r>
              <w:rPr>
                <w:rFonts w:hint="eastAsia" w:ascii="宋体" w:hAnsi="宋体"/>
                <w:bCs/>
                <w:color w:val="auto"/>
                <w:sz w:val="22"/>
                <w:szCs w:val="22"/>
              </w:rPr>
              <w:t>、工程质量要求</w:t>
            </w:r>
            <w:bookmarkEnd w:id="225"/>
          </w:p>
          <w:p w14:paraId="5038377C">
            <w:pPr>
              <w:pStyle w:val="146"/>
              <w:keepNext w:val="0"/>
              <w:keepLines w:val="0"/>
              <w:pageBreakBefore w:val="0"/>
              <w:widowControl w:val="0"/>
              <w:kinsoku/>
              <w:wordWrap/>
              <w:overflowPunct/>
              <w:topLinePunct w:val="0"/>
              <w:autoSpaceDE/>
              <w:autoSpaceDN/>
              <w:bidi w:val="0"/>
              <w:adjustRightInd w:val="0"/>
              <w:snapToGrid w:val="0"/>
              <w:spacing w:line="360" w:lineRule="exact"/>
              <w:ind w:firstLine="440"/>
              <w:textAlignment w:val="auto"/>
              <w:rPr>
                <w:rFonts w:ascii="宋体" w:hAnsi="宋体"/>
                <w:b w:val="0"/>
                <w:color w:val="auto"/>
                <w:sz w:val="22"/>
                <w:szCs w:val="22"/>
              </w:rPr>
            </w:pPr>
            <w:r>
              <w:rPr>
                <w:rFonts w:hint="eastAsia" w:ascii="宋体" w:hAnsi="宋体"/>
                <w:b w:val="0"/>
                <w:color w:val="auto"/>
                <w:sz w:val="22"/>
                <w:szCs w:val="22"/>
              </w:rPr>
              <w:t>1、本工程质量等级要求为</w:t>
            </w:r>
            <w:r>
              <w:rPr>
                <w:rFonts w:hint="eastAsia" w:ascii="宋体" w:hAnsi="宋体"/>
                <w:b w:val="0"/>
                <w:color w:val="auto"/>
                <w:sz w:val="22"/>
                <w:szCs w:val="22"/>
                <w:u w:val="single"/>
              </w:rPr>
              <w:t>合格</w:t>
            </w:r>
            <w:r>
              <w:rPr>
                <w:rFonts w:hint="eastAsia" w:ascii="宋体" w:hAnsi="宋体"/>
                <w:b w:val="0"/>
                <w:color w:val="auto"/>
                <w:sz w:val="22"/>
                <w:szCs w:val="22"/>
              </w:rPr>
              <w:t>。</w:t>
            </w:r>
          </w:p>
          <w:p w14:paraId="35CBF0CB">
            <w:pPr>
              <w:pStyle w:val="146"/>
              <w:keepNext w:val="0"/>
              <w:keepLines w:val="0"/>
              <w:pageBreakBefore w:val="0"/>
              <w:widowControl w:val="0"/>
              <w:kinsoku/>
              <w:wordWrap/>
              <w:overflowPunct/>
              <w:topLinePunct w:val="0"/>
              <w:autoSpaceDE/>
              <w:autoSpaceDN/>
              <w:bidi w:val="0"/>
              <w:adjustRightInd w:val="0"/>
              <w:snapToGrid w:val="0"/>
              <w:spacing w:line="360" w:lineRule="exact"/>
              <w:ind w:firstLine="440"/>
              <w:textAlignment w:val="auto"/>
              <w:rPr>
                <w:rFonts w:ascii="宋体" w:hAnsi="宋体"/>
                <w:b w:val="0"/>
                <w:color w:val="auto"/>
                <w:sz w:val="22"/>
                <w:szCs w:val="22"/>
              </w:rPr>
            </w:pPr>
            <w:r>
              <w:rPr>
                <w:rFonts w:hint="eastAsia" w:ascii="宋体" w:hAnsi="宋体"/>
                <w:b w:val="0"/>
                <w:color w:val="auto"/>
                <w:sz w:val="22"/>
                <w:szCs w:val="22"/>
              </w:rPr>
              <w:t>2、承包人必须严格按合同条款、施工图纸及设计说明文件、施工验收规范、国家和省市的有关质量验收标准，精心组织施工，确保工程质量达到国家合格验收标准。供应商应详细编制施工方案，详细叙述关键部位的质量保证措施。</w:t>
            </w:r>
          </w:p>
          <w:p w14:paraId="1D376F49">
            <w:pPr>
              <w:pStyle w:val="146"/>
              <w:keepNext w:val="0"/>
              <w:keepLines w:val="0"/>
              <w:pageBreakBefore w:val="0"/>
              <w:widowControl w:val="0"/>
              <w:kinsoku/>
              <w:wordWrap/>
              <w:overflowPunct/>
              <w:topLinePunct w:val="0"/>
              <w:autoSpaceDE/>
              <w:autoSpaceDN/>
              <w:bidi w:val="0"/>
              <w:adjustRightInd w:val="0"/>
              <w:snapToGrid w:val="0"/>
              <w:spacing w:line="360" w:lineRule="exact"/>
              <w:ind w:firstLine="440"/>
              <w:textAlignment w:val="auto"/>
              <w:rPr>
                <w:rFonts w:hint="eastAsia" w:ascii="宋体" w:hAnsi="宋体"/>
                <w:b w:val="0"/>
                <w:color w:val="auto"/>
                <w:sz w:val="22"/>
                <w:szCs w:val="22"/>
              </w:rPr>
            </w:pPr>
            <w:r>
              <w:rPr>
                <w:rFonts w:hint="eastAsia" w:ascii="宋体" w:hAnsi="宋体"/>
                <w:b w:val="0"/>
                <w:color w:val="auto"/>
                <w:sz w:val="22"/>
                <w:szCs w:val="22"/>
              </w:rPr>
              <w:t>3、本工程质保期</w:t>
            </w:r>
            <w:r>
              <w:rPr>
                <w:rFonts w:hint="eastAsia" w:ascii="宋体" w:hAnsi="宋体"/>
                <w:color w:val="auto"/>
                <w:sz w:val="22"/>
                <w:szCs w:val="22"/>
                <w:u w:val="single"/>
              </w:rPr>
              <w:t>按</w:t>
            </w:r>
            <w:r>
              <w:rPr>
                <w:rFonts w:hint="eastAsia" w:ascii="宋体" w:hAnsi="宋体"/>
                <w:b w:val="0"/>
                <w:color w:val="auto"/>
                <w:sz w:val="22"/>
                <w:szCs w:val="22"/>
              </w:rPr>
              <w:t>《建筑工程质量管理条例》和《房屋建筑工程质量保修办法》执行。</w:t>
            </w:r>
          </w:p>
          <w:p w14:paraId="10DAA31E">
            <w:pPr>
              <w:pStyle w:val="146"/>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eastAsia" w:ascii="宋体" w:hAnsi="宋体" w:eastAsia="宋体"/>
                <w:bCs/>
                <w:color w:val="auto"/>
                <w:sz w:val="22"/>
                <w:szCs w:val="22"/>
                <w:lang w:val="en-US" w:eastAsia="zh-CN"/>
              </w:rPr>
            </w:pPr>
            <w:r>
              <w:rPr>
                <w:rFonts w:hint="eastAsia" w:ascii="宋体" w:hAnsi="宋体" w:eastAsia="宋体"/>
                <w:bCs/>
                <w:color w:val="auto"/>
                <w:sz w:val="22"/>
                <w:szCs w:val="22"/>
                <w:lang w:val="en-US" w:eastAsia="zh-CN"/>
              </w:rPr>
              <w:t>三、招标控制价</w:t>
            </w:r>
          </w:p>
          <w:p w14:paraId="73625C65">
            <w:pPr>
              <w:pStyle w:val="146"/>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default" w:ascii="宋体" w:hAnsi="宋体" w:eastAsia="宋体"/>
                <w:b w:val="0"/>
                <w:color w:val="auto"/>
                <w:sz w:val="22"/>
                <w:szCs w:val="22"/>
                <w:lang w:val="en-US" w:eastAsia="zh-CN"/>
              </w:rPr>
            </w:pPr>
            <w:r>
              <w:rPr>
                <w:rFonts w:hint="eastAsia" w:ascii="宋体" w:hAnsi="宋体" w:eastAsia="宋体"/>
                <w:bCs/>
                <w:color w:val="auto"/>
                <w:sz w:val="22"/>
                <w:szCs w:val="22"/>
                <w:lang w:val="en-US" w:eastAsia="zh-CN"/>
              </w:rPr>
              <w:t>1、▲</w:t>
            </w:r>
            <w:r>
              <w:rPr>
                <w:rFonts w:hint="eastAsia" w:ascii="宋体" w:hAnsi="宋体" w:cs="宋体"/>
                <w:color w:val="auto"/>
                <w:kern w:val="0"/>
                <w:sz w:val="22"/>
                <w:szCs w:val="22"/>
                <w:u w:val="single"/>
              </w:rPr>
              <w:t>本</w:t>
            </w:r>
            <w:r>
              <w:rPr>
                <w:rFonts w:hint="eastAsia" w:ascii="宋体" w:hAnsi="宋体" w:cs="宋体"/>
                <w:color w:val="auto"/>
                <w:kern w:val="0"/>
                <w:sz w:val="22"/>
                <w:szCs w:val="22"/>
                <w:u w:val="single"/>
                <w:lang w:val="en-US" w:eastAsia="zh-CN"/>
              </w:rPr>
              <w:t>分</w:t>
            </w:r>
            <w:r>
              <w:rPr>
                <w:rFonts w:hint="eastAsia" w:ascii="宋体" w:hAnsi="宋体" w:cs="宋体"/>
                <w:color w:val="auto"/>
                <w:kern w:val="0"/>
                <w:sz w:val="22"/>
                <w:szCs w:val="22"/>
                <w:u w:val="single"/>
              </w:rPr>
              <w:t>项</w:t>
            </w:r>
            <w:r>
              <w:rPr>
                <w:rFonts w:hint="eastAsia" w:ascii="宋体" w:hAnsi="宋体" w:cs="宋体"/>
                <w:color w:val="auto"/>
                <w:kern w:val="0"/>
                <w:sz w:val="22"/>
                <w:szCs w:val="22"/>
                <w:u w:val="single"/>
                <w:lang w:val="en-US" w:eastAsia="zh-CN"/>
              </w:rPr>
              <w:t>改造</w:t>
            </w:r>
            <w:r>
              <w:rPr>
                <w:rFonts w:hint="eastAsia" w:ascii="宋体" w:hAnsi="宋体"/>
                <w:color w:val="auto"/>
                <w:sz w:val="22"/>
                <w:szCs w:val="22"/>
                <w:u w:val="single"/>
              </w:rPr>
              <w:t>招标控制价为</w:t>
            </w:r>
            <w:r>
              <w:rPr>
                <w:rFonts w:hint="eastAsia" w:ascii="宋体" w:hAnsi="宋体" w:cs="宋体"/>
                <w:b/>
                <w:color w:val="auto"/>
                <w:kern w:val="0"/>
                <w:sz w:val="22"/>
                <w:szCs w:val="22"/>
                <w:u w:val="single"/>
              </w:rPr>
              <w:t>人民币</w:t>
            </w:r>
            <w:r>
              <w:rPr>
                <w:rFonts w:hint="eastAsia" w:ascii="宋体" w:hAnsi="宋体" w:cs="宋体"/>
                <w:b/>
                <w:color w:val="auto"/>
                <w:kern w:val="0"/>
                <w:sz w:val="22"/>
                <w:szCs w:val="22"/>
                <w:u w:val="single"/>
                <w:lang w:val="en-US" w:eastAsia="zh-CN"/>
              </w:rPr>
              <w:t>叁拾柒万玖仟捌佰</w:t>
            </w:r>
            <w:r>
              <w:rPr>
                <w:rFonts w:hint="eastAsia" w:ascii="宋体" w:hAnsi="宋体" w:cs="宋体"/>
                <w:b/>
                <w:color w:val="auto"/>
                <w:kern w:val="0"/>
                <w:sz w:val="22"/>
                <w:szCs w:val="22"/>
                <w:u w:val="single"/>
              </w:rPr>
              <w:t>元整元整（￥379800</w:t>
            </w:r>
            <w:r>
              <w:rPr>
                <w:rFonts w:ascii="宋体" w:hAnsi="宋体" w:cs="宋体"/>
                <w:b/>
                <w:color w:val="auto"/>
                <w:kern w:val="0"/>
                <w:sz w:val="22"/>
                <w:szCs w:val="22"/>
                <w:u w:val="single"/>
              </w:rPr>
              <w:t>.00</w:t>
            </w:r>
            <w:r>
              <w:rPr>
                <w:rFonts w:hint="eastAsia" w:ascii="宋体" w:hAnsi="宋体" w:cs="宋体"/>
                <w:b/>
                <w:color w:val="auto"/>
                <w:kern w:val="0"/>
                <w:sz w:val="22"/>
                <w:szCs w:val="22"/>
                <w:u w:val="single"/>
              </w:rPr>
              <w:t>元</w:t>
            </w:r>
            <w:r>
              <w:rPr>
                <w:rFonts w:hint="eastAsia" w:ascii="宋体" w:hAnsi="宋体" w:cs="宋体"/>
                <w:color w:val="auto"/>
                <w:kern w:val="0"/>
                <w:sz w:val="22"/>
                <w:szCs w:val="22"/>
                <w:u w:val="single"/>
              </w:rPr>
              <w:t>），磋商供应商的</w:t>
            </w:r>
            <w:r>
              <w:rPr>
                <w:rFonts w:hint="eastAsia" w:ascii="宋体" w:hAnsi="宋体" w:cs="宋体"/>
                <w:color w:val="auto"/>
                <w:kern w:val="0"/>
                <w:sz w:val="22"/>
                <w:szCs w:val="22"/>
                <w:u w:val="single"/>
                <w:lang w:val="en-US" w:eastAsia="zh-CN"/>
              </w:rPr>
              <w:t>分项</w:t>
            </w:r>
            <w:r>
              <w:rPr>
                <w:rFonts w:hint="eastAsia" w:ascii="宋体" w:hAnsi="宋体" w:cs="宋体"/>
                <w:color w:val="auto"/>
                <w:kern w:val="0"/>
                <w:sz w:val="22"/>
                <w:szCs w:val="22"/>
                <w:u w:val="single"/>
              </w:rPr>
              <w:t>报价超过招标控制价的，按无效标处理</w:t>
            </w:r>
            <w:r>
              <w:rPr>
                <w:rFonts w:hint="eastAsia" w:ascii="宋体" w:hAnsi="宋体" w:cs="宋体"/>
                <w:color w:val="auto"/>
                <w:kern w:val="0"/>
                <w:sz w:val="22"/>
                <w:szCs w:val="22"/>
              </w:rPr>
              <w:t>。</w:t>
            </w:r>
          </w:p>
        </w:tc>
        <w:tc>
          <w:tcPr>
            <w:tcW w:w="377" w:type="pct"/>
            <w:shd w:val="clear" w:color="auto" w:fill="auto"/>
            <w:noWrap/>
            <w:vAlign w:val="center"/>
          </w:tcPr>
          <w:p w14:paraId="6B1E11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1项</w:t>
            </w:r>
          </w:p>
        </w:tc>
        <w:tc>
          <w:tcPr>
            <w:tcW w:w="700" w:type="pct"/>
            <w:shd w:val="clear" w:color="auto" w:fill="auto"/>
            <w:vAlign w:val="center"/>
          </w:tcPr>
          <w:p w14:paraId="2F7F03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kern w:val="0"/>
                <w:sz w:val="22"/>
                <w:szCs w:val="22"/>
                <w:u w:val="none"/>
                <w:bdr w:val="single" w:color="000000" w:sz="4" w:space="0"/>
                <w:lang w:val="en-US" w:eastAsia="zh-CN" w:bidi="ar"/>
              </w:rPr>
            </w:pPr>
            <w:r>
              <w:rPr>
                <w:rFonts w:hint="eastAsia" w:ascii="宋体" w:hAnsi="宋体" w:cs="宋体"/>
                <w:i w:val="0"/>
                <w:iCs w:val="0"/>
                <w:color w:val="auto"/>
                <w:kern w:val="0"/>
                <w:sz w:val="22"/>
                <w:szCs w:val="22"/>
                <w:u w:val="none"/>
                <w:bdr w:val="single" w:color="000000" w:sz="4" w:space="0"/>
                <w:shd w:val="clear" w:color="FFFFFF" w:fill="D9D9D9"/>
                <w:lang w:val="en-US" w:eastAsia="zh-CN" w:bidi="ar"/>
              </w:rPr>
              <w:t>工程量清单和施工图作为磋商文件的附件，以电子版形式提供下载</w:t>
            </w:r>
          </w:p>
        </w:tc>
      </w:tr>
    </w:tbl>
    <w:p w14:paraId="1F9B1E6F">
      <w:pPr>
        <w:pStyle w:val="37"/>
        <w:rPr>
          <w:color w:val="auto"/>
        </w:rPr>
        <w:sectPr>
          <w:pgSz w:w="16838" w:h="11906" w:orient="landscape"/>
          <w:pgMar w:top="1134" w:right="1134" w:bottom="1134" w:left="1134" w:header="851" w:footer="992" w:gutter="0"/>
          <w:cols w:space="720" w:num="1"/>
          <w:docGrid w:linePitch="312" w:charSpace="0"/>
        </w:sectPr>
      </w:pPr>
    </w:p>
    <w:p w14:paraId="7F5E45A5">
      <w:pPr>
        <w:spacing w:line="440" w:lineRule="exact"/>
        <w:rPr>
          <w:rFonts w:ascii="宋体" w:hAnsi="宋体" w:cs="宋体"/>
          <w:b/>
          <w:color w:val="auto"/>
          <w:sz w:val="22"/>
          <w:szCs w:val="22"/>
        </w:rPr>
      </w:pPr>
      <w:r>
        <w:rPr>
          <w:rFonts w:hint="eastAsia" w:ascii="宋体" w:hAnsi="宋体" w:cs="宋体"/>
          <w:b/>
          <w:color w:val="auto"/>
          <w:sz w:val="22"/>
          <w:szCs w:val="22"/>
          <w:lang w:val="en-US" w:eastAsia="zh-CN"/>
        </w:rPr>
        <w:t>3</w:t>
      </w:r>
      <w:r>
        <w:rPr>
          <w:rFonts w:hint="eastAsia" w:ascii="宋体" w:hAnsi="宋体" w:cs="宋体"/>
          <w:b/>
          <w:color w:val="auto"/>
          <w:sz w:val="22"/>
          <w:szCs w:val="22"/>
        </w:rPr>
        <w:t xml:space="preserve">.  </w:t>
      </w:r>
      <w:r>
        <w:rPr>
          <w:rFonts w:hint="eastAsia" w:ascii="宋体" w:hAnsi="宋体" w:cs="宋体"/>
          <w:b/>
          <w:bCs/>
          <w:color w:val="auto"/>
          <w:sz w:val="22"/>
          <w:szCs w:val="28"/>
        </w:rPr>
        <w:t>商务要求（技术参数里另有注明的以技术参数为准）</w:t>
      </w:r>
    </w:p>
    <w:tbl>
      <w:tblPr>
        <w:tblStyle w:val="38"/>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50"/>
        <w:gridCol w:w="8202"/>
      </w:tblGrid>
      <w:tr w14:paraId="47406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12D1D86">
            <w:pPr>
              <w:spacing w:line="360" w:lineRule="exact"/>
              <w:jc w:val="center"/>
              <w:rPr>
                <w:rFonts w:ascii="宋体" w:hAnsi="宋体" w:cs="宋体"/>
                <w:b/>
                <w:bCs/>
                <w:color w:val="auto"/>
                <w:sz w:val="22"/>
                <w:szCs w:val="22"/>
              </w:rPr>
            </w:pPr>
            <w:bookmarkStart w:id="226" w:name="_Hlk51759376"/>
            <w:r>
              <w:rPr>
                <w:rFonts w:hint="eastAsia" w:ascii="宋体" w:hAnsi="宋体" w:cs="宋体"/>
                <w:b/>
                <w:color w:val="auto"/>
                <w:sz w:val="22"/>
                <w:szCs w:val="22"/>
                <w:u w:val="single"/>
              </w:rPr>
              <w:t>▲</w:t>
            </w:r>
            <w:r>
              <w:rPr>
                <w:rFonts w:hint="eastAsia" w:ascii="宋体" w:hAnsi="宋体" w:cs="宋体"/>
                <w:b/>
                <w:bCs/>
                <w:color w:val="auto"/>
                <w:sz w:val="22"/>
                <w:szCs w:val="22"/>
                <w:u w:val="single"/>
              </w:rPr>
              <w:t>支付方式</w:t>
            </w:r>
          </w:p>
        </w:tc>
        <w:tc>
          <w:tcPr>
            <w:tcW w:w="416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B90D1A4">
            <w:pPr>
              <w:widowControl/>
              <w:spacing w:line="360" w:lineRule="exact"/>
              <w:jc w:val="left"/>
              <w:rPr>
                <w:rFonts w:hint="eastAsia" w:ascii="宋体" w:hAnsi="宋体" w:cs="宋体"/>
                <w:color w:val="auto"/>
                <w:sz w:val="22"/>
                <w:szCs w:val="22"/>
                <w:u w:val="single"/>
                <w:lang w:val="zh-CN"/>
              </w:rPr>
            </w:pPr>
            <w:r>
              <w:rPr>
                <w:rFonts w:hint="eastAsia" w:ascii="宋体" w:hAnsi="宋体" w:cs="宋体"/>
                <w:color w:val="auto"/>
                <w:sz w:val="22"/>
                <w:szCs w:val="22"/>
                <w:u w:val="single"/>
                <w:lang w:val="en-US" w:eastAsia="zh-CN"/>
              </w:rPr>
              <w:t>1、</w:t>
            </w:r>
            <w:r>
              <w:rPr>
                <w:rFonts w:hint="eastAsia" w:ascii="宋体" w:hAnsi="宋体" w:cs="宋体"/>
                <w:color w:val="auto"/>
                <w:sz w:val="22"/>
                <w:szCs w:val="22"/>
                <w:u w:val="single"/>
                <w:lang w:val="zh-CN"/>
              </w:rPr>
              <w:t xml:space="preserve">履约保证金 </w:t>
            </w:r>
          </w:p>
          <w:p w14:paraId="6E8DD88F">
            <w:pPr>
              <w:widowControl/>
              <w:spacing w:line="360" w:lineRule="exact"/>
              <w:jc w:val="left"/>
              <w:rPr>
                <w:rFonts w:hint="eastAsia" w:ascii="宋体" w:hAnsi="宋体" w:cs="宋体"/>
                <w:color w:val="auto"/>
                <w:sz w:val="22"/>
                <w:szCs w:val="22"/>
                <w:u w:val="single"/>
                <w:lang w:val="zh-CN" w:eastAsia="zh-CN"/>
              </w:rPr>
            </w:pPr>
            <w:r>
              <w:rPr>
                <w:rFonts w:hint="eastAsia" w:ascii="宋体" w:hAnsi="宋体" w:cs="宋体"/>
                <w:color w:val="auto"/>
                <w:sz w:val="22"/>
                <w:szCs w:val="22"/>
                <w:u w:val="single"/>
                <w:lang w:val="zh-CN"/>
              </w:rPr>
              <w:t>乙方在合同签订后</w:t>
            </w:r>
            <w:r>
              <w:rPr>
                <w:rFonts w:hint="eastAsia" w:ascii="宋体" w:hAnsi="宋体" w:cs="宋体"/>
                <w:color w:val="auto"/>
                <w:sz w:val="22"/>
                <w:szCs w:val="22"/>
                <w:u w:val="single"/>
                <w:lang w:val="zh-CN" w:eastAsia="zh-CN"/>
              </w:rPr>
              <w:t>7</w:t>
            </w:r>
            <w:r>
              <w:rPr>
                <w:rFonts w:hint="eastAsia" w:ascii="宋体" w:hAnsi="宋体" w:cs="宋体"/>
                <w:color w:val="auto"/>
                <w:sz w:val="22"/>
                <w:szCs w:val="22"/>
                <w:u w:val="single"/>
                <w:lang w:val="zh-CN"/>
              </w:rPr>
              <w:t>个工作日内，支付给甲方合同金额</w:t>
            </w:r>
            <w:r>
              <w:rPr>
                <w:rFonts w:hint="eastAsia" w:ascii="宋体" w:hAnsi="宋体" w:cs="宋体"/>
                <w:color w:val="auto"/>
                <w:sz w:val="22"/>
                <w:szCs w:val="22"/>
                <w:u w:val="single"/>
                <w:lang w:val="zh-CN" w:eastAsia="zh-CN"/>
              </w:rPr>
              <w:t>1</w:t>
            </w:r>
            <w:r>
              <w:rPr>
                <w:rFonts w:hint="eastAsia" w:ascii="宋体" w:hAnsi="宋体" w:cs="宋体"/>
                <w:color w:val="auto"/>
                <w:sz w:val="22"/>
                <w:szCs w:val="22"/>
                <w:u w:val="single"/>
                <w:lang w:val="zh-CN"/>
              </w:rPr>
              <w:t xml:space="preserve"> %作为履约保证金（接受支票、汇票、本票、履约保函等多种非现金形式）。在合同履行期内乙方违约的，在履约保证金内先扣除乙方应承担的违约金。乙方没有违约或扣除违约金后有剩余的，履约保证金在乙方履约验收合格后</w:t>
            </w:r>
            <w:r>
              <w:rPr>
                <w:rFonts w:hint="eastAsia" w:ascii="宋体" w:hAnsi="宋体" w:cs="宋体"/>
                <w:color w:val="auto"/>
                <w:sz w:val="22"/>
                <w:szCs w:val="22"/>
                <w:u w:val="single"/>
                <w:lang w:val="zh-CN" w:eastAsia="zh-CN"/>
              </w:rPr>
              <w:t>5</w:t>
            </w:r>
            <w:r>
              <w:rPr>
                <w:rFonts w:hint="eastAsia" w:ascii="宋体" w:hAnsi="宋体" w:cs="宋体"/>
                <w:color w:val="auto"/>
                <w:sz w:val="22"/>
                <w:szCs w:val="22"/>
                <w:u w:val="single"/>
                <w:lang w:val="zh-CN"/>
              </w:rPr>
              <w:t>个工作日内无息返还。</w:t>
            </w:r>
          </w:p>
          <w:p w14:paraId="462A12CC">
            <w:pPr>
              <w:widowControl/>
              <w:spacing w:line="360" w:lineRule="exact"/>
              <w:jc w:val="left"/>
              <w:rPr>
                <w:rFonts w:hint="eastAsia" w:ascii="宋体" w:hAnsi="宋体" w:cs="宋体"/>
                <w:color w:val="auto"/>
                <w:sz w:val="22"/>
                <w:szCs w:val="22"/>
                <w:u w:val="single"/>
                <w:lang w:val="zh-CN"/>
              </w:rPr>
            </w:pPr>
            <w:r>
              <w:rPr>
                <w:rFonts w:hint="eastAsia" w:ascii="宋体" w:hAnsi="宋体" w:cs="宋体"/>
                <w:color w:val="auto"/>
                <w:sz w:val="22"/>
                <w:szCs w:val="22"/>
                <w:u w:val="single"/>
                <w:lang w:val="en-US" w:eastAsia="zh-CN"/>
              </w:rPr>
              <w:t>2、</w:t>
            </w:r>
            <w:r>
              <w:rPr>
                <w:rFonts w:hint="eastAsia" w:ascii="宋体" w:hAnsi="宋体" w:cs="宋体"/>
                <w:color w:val="auto"/>
                <w:sz w:val="22"/>
                <w:szCs w:val="22"/>
                <w:u w:val="single"/>
                <w:lang w:val="zh-CN"/>
              </w:rPr>
              <w:t>合同价款支付方式</w:t>
            </w:r>
          </w:p>
          <w:p w14:paraId="22BFDF0F">
            <w:pPr>
              <w:widowControl/>
              <w:spacing w:line="360" w:lineRule="exact"/>
              <w:jc w:val="left"/>
              <w:rPr>
                <w:rFonts w:ascii="宋体" w:hAnsi="宋体" w:cs="宋体"/>
                <w:color w:val="auto"/>
                <w:sz w:val="22"/>
                <w:szCs w:val="22"/>
                <w:u w:val="single"/>
                <w:lang w:val="zh-CN"/>
              </w:rPr>
            </w:pPr>
            <w:r>
              <w:rPr>
                <w:rFonts w:hint="eastAsia" w:ascii="宋体" w:hAnsi="宋体" w:cs="宋体"/>
                <w:color w:val="auto"/>
                <w:sz w:val="22"/>
                <w:szCs w:val="22"/>
                <w:u w:val="single"/>
                <w:lang w:val="zh-CN"/>
              </w:rPr>
              <w:t>合同签订后</w:t>
            </w:r>
            <w:r>
              <w:rPr>
                <w:rFonts w:hint="eastAsia" w:ascii="宋体" w:hAnsi="宋体" w:cs="宋体"/>
                <w:color w:val="auto"/>
                <w:sz w:val="22"/>
                <w:szCs w:val="22"/>
                <w:u w:val="single"/>
                <w:lang w:val="zh-CN" w:eastAsia="zh-CN"/>
              </w:rPr>
              <w:t>7</w:t>
            </w:r>
            <w:r>
              <w:rPr>
                <w:rFonts w:hint="eastAsia" w:ascii="宋体" w:hAnsi="宋体" w:cs="宋体"/>
                <w:color w:val="auto"/>
                <w:sz w:val="22"/>
                <w:szCs w:val="22"/>
                <w:u w:val="single"/>
                <w:lang w:val="zh-CN"/>
              </w:rPr>
              <w:t>个工作日内，甲方</w:t>
            </w:r>
            <w:r>
              <w:rPr>
                <w:rFonts w:hint="eastAsia" w:ascii="宋体" w:hAnsi="宋体" w:cs="宋体"/>
                <w:color w:val="auto"/>
                <w:sz w:val="22"/>
                <w:szCs w:val="22"/>
                <w:u w:val="single"/>
                <w:lang w:val="zh-CN" w:eastAsia="zh-CN"/>
              </w:rPr>
              <w:t>待财政资金下达后</w:t>
            </w:r>
            <w:r>
              <w:rPr>
                <w:rFonts w:hint="eastAsia" w:ascii="宋体" w:hAnsi="宋体" w:cs="宋体"/>
                <w:color w:val="auto"/>
                <w:sz w:val="22"/>
                <w:szCs w:val="22"/>
                <w:u w:val="single"/>
                <w:lang w:val="zh-CN"/>
              </w:rPr>
              <w:t>向乙方支付合同总价的40%作为预付款；全部设备</w:t>
            </w:r>
            <w:r>
              <w:rPr>
                <w:rFonts w:hint="eastAsia" w:ascii="宋体" w:hAnsi="宋体" w:cs="宋体"/>
                <w:color w:val="auto"/>
                <w:sz w:val="22"/>
                <w:szCs w:val="22"/>
                <w:u w:val="single"/>
                <w:lang w:val="zh-CN" w:eastAsia="zh-CN"/>
              </w:rPr>
              <w:t>供货安装完成</w:t>
            </w:r>
            <w:r>
              <w:rPr>
                <w:rFonts w:hint="eastAsia" w:ascii="宋体" w:hAnsi="宋体" w:cs="宋体"/>
                <w:color w:val="auto"/>
                <w:sz w:val="22"/>
                <w:szCs w:val="22"/>
                <w:u w:val="single"/>
                <w:lang w:val="zh-CN"/>
              </w:rPr>
              <w:t>交付使用后</w:t>
            </w:r>
            <w:r>
              <w:rPr>
                <w:rFonts w:hint="eastAsia" w:ascii="宋体" w:hAnsi="宋体" w:cs="宋体"/>
                <w:color w:val="auto"/>
                <w:sz w:val="22"/>
                <w:szCs w:val="22"/>
                <w:u w:val="single"/>
                <w:lang w:val="zh-CN" w:eastAsia="zh-CN"/>
              </w:rPr>
              <w:t>并且厨房附属改造工程竣工后7</w:t>
            </w:r>
            <w:r>
              <w:rPr>
                <w:rFonts w:hint="eastAsia" w:ascii="宋体" w:hAnsi="宋体" w:cs="宋体"/>
                <w:color w:val="auto"/>
                <w:sz w:val="22"/>
                <w:szCs w:val="22"/>
                <w:u w:val="single"/>
                <w:lang w:val="zh-CN"/>
              </w:rPr>
              <w:t>个工作日内，甲方向乙方支付合同总价的50%；全部设备验收合格且收到乙方开具的全额正式发票后7个工作日内，甲方向乙方支付剩余合同总价的10%</w:t>
            </w:r>
            <w:r>
              <w:rPr>
                <w:rFonts w:hint="eastAsia" w:ascii="宋体" w:hAnsi="宋体" w:cs="宋体"/>
                <w:color w:val="auto"/>
                <w:sz w:val="22"/>
                <w:szCs w:val="22"/>
                <w:u w:val="single"/>
                <w:lang w:val="zh-CN" w:eastAsia="zh-CN"/>
              </w:rPr>
              <w:t>（其中厨房附属改造工程根据</w:t>
            </w:r>
            <w:r>
              <w:rPr>
                <w:rFonts w:hint="eastAsia" w:ascii="宋体" w:hAnsi="宋体" w:cs="宋体"/>
                <w:color w:val="auto"/>
                <w:sz w:val="22"/>
                <w:szCs w:val="22"/>
                <w:u w:val="single"/>
                <w:lang w:val="zh-CN"/>
              </w:rPr>
              <w:t>最终第三方审价的结算价</w:t>
            </w:r>
            <w:r>
              <w:rPr>
                <w:rFonts w:hint="eastAsia" w:ascii="宋体" w:hAnsi="宋体" w:cs="宋体"/>
                <w:color w:val="auto"/>
                <w:sz w:val="22"/>
                <w:szCs w:val="22"/>
                <w:u w:val="single"/>
                <w:lang w:val="zh-CN" w:eastAsia="zh-CN"/>
              </w:rPr>
              <w:t>支付）</w:t>
            </w:r>
            <w:r>
              <w:rPr>
                <w:rFonts w:hint="eastAsia" w:ascii="宋体" w:hAnsi="宋体" w:cs="宋体"/>
                <w:color w:val="auto"/>
                <w:sz w:val="22"/>
                <w:szCs w:val="22"/>
                <w:u w:val="single"/>
                <w:lang w:val="zh-CN"/>
              </w:rPr>
              <w:t>。</w:t>
            </w:r>
          </w:p>
        </w:tc>
      </w:tr>
      <w:tr w14:paraId="47A513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BBA2A0A">
            <w:pPr>
              <w:spacing w:line="360" w:lineRule="exact"/>
              <w:jc w:val="center"/>
              <w:rPr>
                <w:rFonts w:ascii="宋体" w:hAnsi="宋体" w:cs="宋体"/>
                <w:b/>
                <w:bCs/>
                <w:color w:val="auto"/>
                <w:sz w:val="22"/>
                <w:szCs w:val="22"/>
              </w:rPr>
            </w:pPr>
            <w:r>
              <w:rPr>
                <w:rFonts w:hint="eastAsia" w:ascii="宋体" w:hAnsi="宋体" w:cs="宋体"/>
                <w:b/>
                <w:color w:val="auto"/>
                <w:sz w:val="22"/>
                <w:szCs w:val="22"/>
                <w:u w:val="single"/>
              </w:rPr>
              <w:t>▲</w:t>
            </w:r>
            <w:r>
              <w:rPr>
                <w:rFonts w:hint="eastAsia" w:ascii="宋体" w:hAnsi="宋体" w:cs="宋体"/>
                <w:b/>
                <w:bCs/>
                <w:color w:val="auto"/>
                <w:sz w:val="22"/>
                <w:szCs w:val="22"/>
                <w:u w:val="single"/>
              </w:rPr>
              <w:t>质保期</w:t>
            </w:r>
          </w:p>
        </w:tc>
        <w:tc>
          <w:tcPr>
            <w:tcW w:w="416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9E5FB37">
            <w:pPr>
              <w:spacing w:line="440" w:lineRule="exact"/>
              <w:jc w:val="left"/>
              <w:rPr>
                <w:rFonts w:ascii="宋体" w:hAnsi="宋体" w:cs="宋体"/>
                <w:color w:val="auto"/>
                <w:sz w:val="22"/>
                <w:szCs w:val="22"/>
              </w:rPr>
            </w:pPr>
            <w:r>
              <w:rPr>
                <w:rFonts w:hint="eastAsia" w:ascii="宋体" w:hAnsi="宋体" w:cs="宋体"/>
                <w:b/>
                <w:color w:val="auto"/>
                <w:sz w:val="22"/>
                <w:szCs w:val="22"/>
              </w:rPr>
              <w:t>本项目所有电器类产品应提供自货物验收合格并交付使用后</w:t>
            </w:r>
            <w:r>
              <w:rPr>
                <w:rFonts w:hint="eastAsia" w:ascii="宋体" w:hAnsi="宋体" w:cs="宋体"/>
                <w:b/>
                <w:color w:val="auto"/>
                <w:sz w:val="22"/>
                <w:szCs w:val="22"/>
                <w:u w:val="single"/>
              </w:rPr>
              <w:t>3年（36个月）的现场免费质保期</w:t>
            </w:r>
            <w:r>
              <w:rPr>
                <w:rFonts w:hint="eastAsia" w:ascii="宋体" w:hAnsi="宋体" w:cs="宋体"/>
                <w:b/>
                <w:color w:val="auto"/>
                <w:sz w:val="22"/>
                <w:szCs w:val="22"/>
              </w:rPr>
              <w:t>，所有不锈钢类厂制品应提供自货物验收合格并交付使用后</w:t>
            </w:r>
            <w:r>
              <w:rPr>
                <w:rFonts w:hint="eastAsia" w:ascii="宋体" w:hAnsi="宋体" w:cs="宋体"/>
                <w:b/>
                <w:color w:val="auto"/>
                <w:sz w:val="22"/>
                <w:szCs w:val="22"/>
                <w:u w:val="single"/>
              </w:rPr>
              <w:t>5年（60个月）的现场免费质保期，</w:t>
            </w:r>
            <w:r>
              <w:rPr>
                <w:rFonts w:hint="eastAsia" w:ascii="宋体" w:hAnsi="宋体" w:cs="宋体"/>
                <w:b/>
                <w:color w:val="auto"/>
                <w:sz w:val="22"/>
                <w:szCs w:val="22"/>
              </w:rPr>
              <w:t>如厂商本身承诺的产品质保期高于此要求的则按照厂商承诺执行。在质量保证期内，</w:t>
            </w:r>
            <w:r>
              <w:rPr>
                <w:rFonts w:hint="eastAsia" w:ascii="宋体" w:hAnsi="宋体" w:cs="宋体"/>
                <w:b/>
                <w:color w:val="auto"/>
                <w:sz w:val="22"/>
                <w:szCs w:val="22"/>
                <w:lang w:eastAsia="zh-CN"/>
              </w:rPr>
              <w:t>成交供应商</w:t>
            </w:r>
            <w:r>
              <w:rPr>
                <w:rFonts w:hint="eastAsia" w:ascii="宋体" w:hAnsi="宋体" w:cs="宋体"/>
                <w:b/>
                <w:color w:val="auto"/>
                <w:sz w:val="22"/>
                <w:szCs w:val="22"/>
              </w:rPr>
              <w:t>对由于产品设计、工艺、材料、配套件的缺陷而造成的任何产品质量问题或故障负责，如发生人身伤害事故，由采购人和技术监督部门及</w:t>
            </w:r>
            <w:r>
              <w:rPr>
                <w:rFonts w:hint="eastAsia" w:ascii="宋体" w:hAnsi="宋体" w:cs="宋体"/>
                <w:b/>
                <w:color w:val="auto"/>
                <w:sz w:val="22"/>
                <w:szCs w:val="22"/>
                <w:lang w:eastAsia="zh-CN"/>
              </w:rPr>
              <w:t>成交供应商</w:t>
            </w:r>
            <w:r>
              <w:rPr>
                <w:rFonts w:hint="eastAsia" w:ascii="宋体" w:hAnsi="宋体" w:cs="宋体"/>
                <w:b/>
                <w:color w:val="auto"/>
                <w:sz w:val="22"/>
                <w:szCs w:val="22"/>
              </w:rPr>
              <w:t>共同调查、检验，如属器材质量问题所致，则按事故等级由</w:t>
            </w:r>
            <w:r>
              <w:rPr>
                <w:rFonts w:hint="eastAsia" w:ascii="宋体" w:hAnsi="宋体" w:cs="宋体"/>
                <w:b/>
                <w:color w:val="auto"/>
                <w:sz w:val="22"/>
                <w:szCs w:val="22"/>
                <w:lang w:eastAsia="zh-CN"/>
              </w:rPr>
              <w:t>成交供应商</w:t>
            </w:r>
            <w:r>
              <w:rPr>
                <w:rFonts w:hint="eastAsia" w:ascii="宋体" w:hAnsi="宋体" w:cs="宋体"/>
                <w:b/>
                <w:color w:val="auto"/>
                <w:sz w:val="22"/>
                <w:szCs w:val="22"/>
              </w:rPr>
              <w:t>赔偿损失。</w:t>
            </w:r>
          </w:p>
        </w:tc>
      </w:tr>
      <w:tr w14:paraId="61AF05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D1B982B">
            <w:pPr>
              <w:spacing w:line="360" w:lineRule="exact"/>
              <w:jc w:val="center"/>
              <w:rPr>
                <w:rFonts w:ascii="宋体" w:hAnsi="宋体" w:cs="宋体"/>
                <w:b/>
                <w:bCs/>
                <w:color w:val="auto"/>
                <w:sz w:val="22"/>
                <w:szCs w:val="22"/>
              </w:rPr>
            </w:pPr>
            <w:r>
              <w:rPr>
                <w:rFonts w:hint="eastAsia" w:ascii="宋体" w:hAnsi="宋体" w:cs="宋体"/>
                <w:b/>
                <w:bCs/>
                <w:color w:val="auto"/>
                <w:sz w:val="22"/>
                <w:szCs w:val="22"/>
              </w:rPr>
              <w:t>交付时间</w:t>
            </w:r>
          </w:p>
        </w:tc>
        <w:tc>
          <w:tcPr>
            <w:tcW w:w="416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4B1EDA5">
            <w:pPr>
              <w:pStyle w:val="13"/>
              <w:spacing w:line="360" w:lineRule="exact"/>
              <w:rPr>
                <w:rFonts w:ascii="宋体" w:hAnsi="宋体" w:cs="宋体"/>
                <w:color w:val="auto"/>
                <w:sz w:val="22"/>
                <w:szCs w:val="22"/>
              </w:rPr>
            </w:pPr>
            <w:r>
              <w:rPr>
                <w:rFonts w:hint="eastAsia" w:ascii="宋体" w:hAnsi="宋体"/>
                <w:color w:val="auto"/>
                <w:sz w:val="22"/>
                <w:szCs w:val="22"/>
              </w:rPr>
              <w:t>合同签订后</w:t>
            </w:r>
            <w:r>
              <w:rPr>
                <w:rFonts w:hint="eastAsia" w:ascii="宋体" w:hAnsi="宋体"/>
                <w:color w:val="auto"/>
                <w:sz w:val="22"/>
                <w:szCs w:val="22"/>
                <w:lang w:eastAsia="zh-CN"/>
              </w:rPr>
              <w:t>40天</w:t>
            </w:r>
            <w:r>
              <w:rPr>
                <w:rFonts w:hint="eastAsia" w:ascii="宋体" w:hAnsi="宋体"/>
                <w:color w:val="auto"/>
                <w:sz w:val="22"/>
                <w:szCs w:val="22"/>
              </w:rPr>
              <w:t>内</w:t>
            </w:r>
            <w:r>
              <w:rPr>
                <w:rFonts w:hint="eastAsia" w:ascii="宋体" w:hAnsi="宋体"/>
                <w:color w:val="auto"/>
                <w:sz w:val="22"/>
                <w:szCs w:val="22"/>
                <w:lang w:val="en-US" w:eastAsia="zh-CN"/>
              </w:rPr>
              <w:t>完成附属工程施工、</w:t>
            </w:r>
            <w:r>
              <w:rPr>
                <w:rFonts w:hint="eastAsia" w:ascii="宋体" w:hAnsi="宋体"/>
                <w:color w:val="auto"/>
                <w:sz w:val="22"/>
                <w:szCs w:val="22"/>
              </w:rPr>
              <w:t>所有货物交付至采购人使用</w:t>
            </w:r>
            <w:r>
              <w:rPr>
                <w:rFonts w:hint="eastAsia" w:ascii="宋体" w:hAnsi="宋体"/>
                <w:color w:val="auto"/>
                <w:sz w:val="22"/>
                <w:szCs w:val="22"/>
                <w:lang w:eastAsia="zh-CN"/>
              </w:rPr>
              <w:t>、</w:t>
            </w:r>
            <w:r>
              <w:rPr>
                <w:rFonts w:hint="eastAsia" w:ascii="宋体" w:hAnsi="宋体"/>
                <w:color w:val="auto"/>
                <w:sz w:val="22"/>
                <w:szCs w:val="22"/>
              </w:rPr>
              <w:t>安装调试</w:t>
            </w:r>
            <w:r>
              <w:rPr>
                <w:rFonts w:hint="eastAsia" w:ascii="宋体" w:hAnsi="宋体"/>
                <w:color w:val="auto"/>
                <w:sz w:val="22"/>
                <w:szCs w:val="22"/>
                <w:lang w:val="en-US" w:eastAsia="zh-CN"/>
              </w:rPr>
              <w:t>完毕</w:t>
            </w:r>
            <w:r>
              <w:rPr>
                <w:rFonts w:hint="eastAsia" w:ascii="宋体" w:hAnsi="宋体"/>
                <w:color w:val="auto"/>
                <w:sz w:val="22"/>
                <w:szCs w:val="22"/>
              </w:rPr>
              <w:t>，提交一份完整的验收单或验收报告，由采购人进行验收</w:t>
            </w:r>
            <w:r>
              <w:rPr>
                <w:rFonts w:hint="eastAsia" w:ascii="宋体" w:hAnsi="宋体" w:cs="宋体"/>
                <w:color w:val="auto"/>
                <w:sz w:val="22"/>
                <w:szCs w:val="22"/>
              </w:rPr>
              <w:t>。</w:t>
            </w:r>
          </w:p>
        </w:tc>
      </w:tr>
      <w:tr w14:paraId="75140C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4FA6DAA">
            <w:pPr>
              <w:spacing w:line="360" w:lineRule="exact"/>
              <w:jc w:val="center"/>
              <w:rPr>
                <w:rFonts w:ascii="宋体" w:hAnsi="宋体" w:cs="宋体"/>
                <w:b/>
                <w:bCs/>
                <w:color w:val="auto"/>
                <w:sz w:val="22"/>
                <w:szCs w:val="22"/>
              </w:rPr>
            </w:pPr>
            <w:r>
              <w:rPr>
                <w:rFonts w:hint="eastAsia" w:ascii="宋体" w:hAnsi="宋体" w:cs="宋体"/>
                <w:b/>
                <w:bCs/>
                <w:color w:val="auto"/>
                <w:sz w:val="22"/>
                <w:szCs w:val="22"/>
              </w:rPr>
              <w:t>交付地点</w:t>
            </w:r>
          </w:p>
        </w:tc>
        <w:tc>
          <w:tcPr>
            <w:tcW w:w="416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C717806">
            <w:pPr>
              <w:pStyle w:val="13"/>
              <w:spacing w:line="360" w:lineRule="exact"/>
              <w:rPr>
                <w:rFonts w:ascii="宋体" w:hAnsi="宋体" w:cs="宋体"/>
                <w:color w:val="auto"/>
                <w:sz w:val="22"/>
                <w:szCs w:val="22"/>
              </w:rPr>
            </w:pPr>
            <w:r>
              <w:rPr>
                <w:rFonts w:hint="eastAsia" w:ascii="宋体" w:hAnsi="宋体" w:cs="宋体"/>
                <w:color w:val="auto"/>
                <w:sz w:val="22"/>
                <w:szCs w:val="22"/>
              </w:rPr>
              <w:t>采购人指定地点。</w:t>
            </w:r>
          </w:p>
        </w:tc>
      </w:tr>
      <w:tr w14:paraId="65B583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CD0683B">
            <w:pPr>
              <w:spacing w:line="360" w:lineRule="exact"/>
              <w:jc w:val="center"/>
              <w:rPr>
                <w:rFonts w:ascii="宋体" w:hAnsi="宋体" w:cs="宋体"/>
                <w:b/>
                <w:bCs/>
                <w:color w:val="auto"/>
                <w:sz w:val="22"/>
                <w:szCs w:val="22"/>
              </w:rPr>
            </w:pPr>
            <w:r>
              <w:rPr>
                <w:rFonts w:hint="eastAsia" w:ascii="宋体" w:hAnsi="宋体" w:cs="宋体"/>
                <w:b/>
                <w:bCs/>
                <w:color w:val="auto"/>
                <w:sz w:val="22"/>
                <w:szCs w:val="22"/>
              </w:rPr>
              <w:t>服务标准</w:t>
            </w:r>
          </w:p>
        </w:tc>
        <w:tc>
          <w:tcPr>
            <w:tcW w:w="416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AAC713D">
            <w:pPr>
              <w:spacing w:line="360" w:lineRule="exact"/>
              <w:rPr>
                <w:rFonts w:ascii="宋体" w:hAnsi="宋体" w:cs="宋体"/>
                <w:color w:val="auto"/>
                <w:sz w:val="22"/>
                <w:szCs w:val="22"/>
              </w:rPr>
            </w:pPr>
            <w:r>
              <w:rPr>
                <w:rFonts w:hint="eastAsia" w:ascii="宋体" w:hAnsi="宋体" w:cs="宋体"/>
                <w:color w:val="auto"/>
                <w:sz w:val="22"/>
                <w:szCs w:val="22"/>
              </w:rPr>
              <w:t>1.质保期内，所有故障维护服务均为上门(远程)服务。</w:t>
            </w:r>
            <w:r>
              <w:rPr>
                <w:rFonts w:hint="eastAsia" w:ascii="宋体" w:hAnsi="宋体" w:cs="宋体"/>
                <w:color w:val="auto"/>
                <w:sz w:val="22"/>
                <w:szCs w:val="22"/>
                <w:lang w:eastAsia="zh-CN"/>
              </w:rPr>
              <w:t>磋商供应商</w:t>
            </w:r>
            <w:r>
              <w:rPr>
                <w:rFonts w:hint="eastAsia" w:ascii="宋体" w:hAnsi="宋体" w:cs="宋体"/>
                <w:color w:val="auto"/>
                <w:sz w:val="22"/>
                <w:szCs w:val="22"/>
              </w:rPr>
              <w:t>须对整个系统至少提供5年免费的升级更新以及其他的支持服务，并提供永久性7*24小时技术支持，包括各种软件系统故障及对各种突发事件采取应急措施等，服务响应时间为1小时。</w:t>
            </w:r>
          </w:p>
          <w:p w14:paraId="3EEF9483">
            <w:pPr>
              <w:spacing w:line="360" w:lineRule="exact"/>
              <w:rPr>
                <w:rFonts w:ascii="宋体" w:hAnsi="宋体" w:cs="宋体"/>
                <w:color w:val="auto"/>
                <w:sz w:val="22"/>
                <w:szCs w:val="22"/>
              </w:rPr>
            </w:pPr>
            <w:r>
              <w:rPr>
                <w:rFonts w:hint="eastAsia" w:ascii="宋体" w:hAnsi="宋体" w:cs="宋体"/>
                <w:color w:val="auto"/>
                <w:sz w:val="22"/>
                <w:szCs w:val="22"/>
              </w:rPr>
              <w:t>2.超过保修期的软件实行终身维护，维护只收成本费，提供所有软件备份，提供不少于5年的软件免费升级。</w:t>
            </w:r>
          </w:p>
        </w:tc>
      </w:tr>
      <w:tr w14:paraId="4096B3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BC8C50A">
            <w:pPr>
              <w:spacing w:line="360" w:lineRule="exact"/>
              <w:jc w:val="center"/>
              <w:rPr>
                <w:rFonts w:ascii="宋体" w:hAnsi="宋体" w:cs="宋体"/>
                <w:b/>
                <w:bCs/>
                <w:color w:val="auto"/>
                <w:sz w:val="22"/>
                <w:szCs w:val="22"/>
              </w:rPr>
            </w:pPr>
            <w:r>
              <w:rPr>
                <w:rFonts w:hint="eastAsia" w:ascii="宋体" w:hAnsi="宋体" w:cs="宋体"/>
                <w:b/>
                <w:bCs/>
                <w:color w:val="auto"/>
                <w:sz w:val="22"/>
                <w:szCs w:val="22"/>
              </w:rPr>
              <w:t>服务效率</w:t>
            </w:r>
          </w:p>
        </w:tc>
        <w:tc>
          <w:tcPr>
            <w:tcW w:w="416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C0CE147">
            <w:pPr>
              <w:spacing w:line="360" w:lineRule="exact"/>
              <w:rPr>
                <w:rFonts w:ascii="宋体" w:hAnsi="宋体" w:cs="宋体"/>
                <w:color w:val="auto"/>
                <w:sz w:val="22"/>
                <w:szCs w:val="22"/>
              </w:rPr>
            </w:pPr>
            <w:r>
              <w:rPr>
                <w:rFonts w:hint="eastAsia" w:ascii="宋体" w:hAnsi="宋体" w:cs="宋体"/>
                <w:color w:val="auto"/>
                <w:sz w:val="22"/>
                <w:szCs w:val="22"/>
                <w:lang w:eastAsia="zh-CN"/>
              </w:rPr>
              <w:t>磋商供应商</w:t>
            </w:r>
            <w:r>
              <w:rPr>
                <w:rFonts w:hint="eastAsia" w:ascii="宋体" w:hAnsi="宋体" w:cs="宋体"/>
                <w:color w:val="auto"/>
                <w:sz w:val="22"/>
                <w:szCs w:val="22"/>
              </w:rPr>
              <w:t>须通过电话提供解决方案，或者利用远程维护方式解决问题。若不能在2小时内解决故障问题或采购人需要</w:t>
            </w:r>
            <w:r>
              <w:rPr>
                <w:rFonts w:hint="eastAsia" w:ascii="宋体" w:hAnsi="宋体" w:cs="宋体"/>
                <w:color w:val="auto"/>
                <w:sz w:val="22"/>
                <w:szCs w:val="22"/>
                <w:lang w:eastAsia="zh-CN"/>
              </w:rPr>
              <w:t>磋商供应商</w:t>
            </w:r>
            <w:r>
              <w:rPr>
                <w:rFonts w:hint="eastAsia" w:ascii="宋体" w:hAnsi="宋体" w:cs="宋体"/>
                <w:color w:val="auto"/>
                <w:sz w:val="22"/>
                <w:szCs w:val="22"/>
              </w:rPr>
              <w:t>现场服务的，须在</w:t>
            </w:r>
            <w:r>
              <w:rPr>
                <w:rFonts w:hint="eastAsia" w:ascii="宋体" w:hAnsi="宋体" w:cs="宋体"/>
                <w:color w:val="auto"/>
                <w:sz w:val="22"/>
                <w:szCs w:val="22"/>
                <w:lang w:val="en-US" w:eastAsia="zh-CN"/>
              </w:rPr>
              <w:t>24</w:t>
            </w:r>
            <w:r>
              <w:rPr>
                <w:rFonts w:hint="eastAsia" w:ascii="宋体" w:hAnsi="宋体" w:cs="宋体"/>
                <w:color w:val="auto"/>
                <w:sz w:val="22"/>
                <w:szCs w:val="22"/>
              </w:rPr>
              <w:t>小时内赶到现场解决。</w:t>
            </w:r>
          </w:p>
        </w:tc>
      </w:tr>
      <w:tr w14:paraId="675575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76EBD39">
            <w:pPr>
              <w:widowControl/>
              <w:adjustRightInd w:val="0"/>
              <w:snapToGrid w:val="0"/>
              <w:spacing w:line="400" w:lineRule="exact"/>
              <w:jc w:val="center"/>
              <w:rPr>
                <w:rFonts w:ascii="宋体" w:hAnsi="宋体" w:cs="宋体"/>
                <w:b/>
                <w:bCs/>
                <w:color w:val="auto"/>
                <w:sz w:val="22"/>
                <w:szCs w:val="22"/>
              </w:rPr>
            </w:pPr>
            <w:r>
              <w:rPr>
                <w:rFonts w:hint="eastAsia" w:ascii="宋体" w:hAnsi="宋体" w:cs="宋体"/>
                <w:b/>
                <w:bCs/>
                <w:color w:val="auto"/>
                <w:sz w:val="22"/>
                <w:szCs w:val="22"/>
              </w:rPr>
              <w:t>验收标准</w:t>
            </w:r>
          </w:p>
        </w:tc>
        <w:tc>
          <w:tcPr>
            <w:tcW w:w="416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2CDF510">
            <w:pPr>
              <w:spacing w:line="400" w:lineRule="exact"/>
              <w:rPr>
                <w:rFonts w:ascii="宋体" w:hAnsi="宋体"/>
                <w:color w:val="auto"/>
                <w:sz w:val="22"/>
                <w:szCs w:val="22"/>
              </w:rPr>
            </w:pPr>
            <w:r>
              <w:rPr>
                <w:rFonts w:hint="eastAsia" w:ascii="宋体" w:hAnsi="宋体"/>
                <w:color w:val="auto"/>
                <w:sz w:val="22"/>
                <w:szCs w:val="22"/>
              </w:rPr>
              <w:t>1.合同履约验收参照《温州市政府采购履约验收办法》(温财采[2020]6号)相关规定。</w:t>
            </w:r>
          </w:p>
          <w:p w14:paraId="47D9D95E">
            <w:pPr>
              <w:spacing w:line="400" w:lineRule="exact"/>
              <w:rPr>
                <w:rFonts w:ascii="宋体" w:hAnsi="宋体"/>
                <w:color w:val="auto"/>
                <w:sz w:val="22"/>
                <w:szCs w:val="22"/>
              </w:rPr>
            </w:pPr>
            <w:r>
              <w:rPr>
                <w:rFonts w:hint="eastAsia" w:ascii="宋体" w:hAnsi="宋体"/>
                <w:color w:val="auto"/>
                <w:sz w:val="22"/>
                <w:szCs w:val="22"/>
              </w:rPr>
              <w:t>2.合同履约达到验收条件时，供应商按照合同约定向采购人书面发起验收申请，采购人或者其委托的采购代理机构（以下简称验收组织机构）在收到供应商验收申请五个工作日内启动项目验收，并书面通知供应商。技术复杂、专业性强或者重大民生、金额较大的项目验收准备时间，经政府采购合同双方当事人协商，可适当延长。</w:t>
            </w:r>
          </w:p>
          <w:p w14:paraId="22F96368">
            <w:pPr>
              <w:spacing w:line="400" w:lineRule="exact"/>
              <w:rPr>
                <w:rFonts w:ascii="宋体" w:hAnsi="宋体"/>
                <w:color w:val="auto"/>
                <w:sz w:val="22"/>
                <w:szCs w:val="22"/>
              </w:rPr>
            </w:pPr>
            <w:r>
              <w:rPr>
                <w:rFonts w:hint="eastAsia" w:ascii="宋体" w:hAnsi="宋体"/>
                <w:color w:val="auto"/>
                <w:sz w:val="22"/>
                <w:szCs w:val="22"/>
              </w:rPr>
              <w:t>3.验收组织机构可以邀请参加项目采购活动的其他供应商或第三方专业机构及专家参与验收。验收组织机构应当按照</w:t>
            </w:r>
            <w:r>
              <w:rPr>
                <w:rFonts w:hint="eastAsia" w:ascii="宋体" w:hAnsi="宋体"/>
                <w:color w:val="auto"/>
                <w:sz w:val="22"/>
                <w:szCs w:val="22"/>
                <w:lang w:eastAsia="zh-CN"/>
              </w:rPr>
              <w:t>磋商文件</w:t>
            </w:r>
            <w:r>
              <w:rPr>
                <w:rFonts w:hint="eastAsia" w:ascii="宋体" w:hAnsi="宋体"/>
                <w:color w:val="auto"/>
                <w:sz w:val="22"/>
                <w:szCs w:val="22"/>
              </w:rPr>
              <w:t>、响应文件、采购合同、封存样品（如有）等约定的质量、数量、技术指标或者服务要求设置验收指标及其标准。未约定的，应当符合国家强制性规定、政策要求、安全标准、行业或企业有关标准等。</w:t>
            </w:r>
          </w:p>
          <w:p w14:paraId="5A34CB35">
            <w:pPr>
              <w:pStyle w:val="13"/>
              <w:widowControl/>
              <w:adjustRightInd w:val="0"/>
              <w:snapToGrid w:val="0"/>
              <w:spacing w:line="400" w:lineRule="exact"/>
              <w:rPr>
                <w:rFonts w:ascii="宋体" w:hAnsi="宋体" w:cs="宋体"/>
                <w:color w:val="auto"/>
                <w:sz w:val="22"/>
                <w:szCs w:val="22"/>
              </w:rPr>
            </w:pPr>
            <w:r>
              <w:rPr>
                <w:rFonts w:hint="eastAsia" w:ascii="宋体" w:hAnsi="宋体"/>
                <w:color w:val="auto"/>
                <w:sz w:val="22"/>
                <w:szCs w:val="22"/>
              </w:rPr>
              <w:t>4.验收费用由</w:t>
            </w:r>
            <w:r>
              <w:rPr>
                <w:rFonts w:hint="eastAsia" w:ascii="宋体" w:hAnsi="宋体"/>
                <w:color w:val="auto"/>
                <w:sz w:val="22"/>
                <w:szCs w:val="22"/>
                <w:lang w:eastAsia="zh-CN"/>
              </w:rPr>
              <w:t>成交供应商</w:t>
            </w:r>
            <w:r>
              <w:rPr>
                <w:rFonts w:hint="eastAsia" w:ascii="宋体" w:hAnsi="宋体"/>
                <w:color w:val="auto"/>
                <w:sz w:val="22"/>
                <w:szCs w:val="22"/>
              </w:rPr>
              <w:t>承担。</w:t>
            </w:r>
          </w:p>
        </w:tc>
      </w:tr>
      <w:tr w14:paraId="76F97A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E5ACB9F">
            <w:pPr>
              <w:widowControl/>
              <w:adjustRightInd w:val="0"/>
              <w:snapToGrid w:val="0"/>
              <w:spacing w:line="400" w:lineRule="exact"/>
              <w:jc w:val="center"/>
              <w:rPr>
                <w:rFonts w:ascii="宋体" w:hAnsi="宋体" w:cs="宋体"/>
                <w:b/>
                <w:bCs/>
                <w:color w:val="auto"/>
                <w:sz w:val="22"/>
                <w:szCs w:val="22"/>
              </w:rPr>
            </w:pPr>
            <w:r>
              <w:rPr>
                <w:rFonts w:hint="eastAsia" w:ascii="宋体" w:hAnsi="宋体" w:cs="宋体"/>
                <w:b/>
                <w:bCs/>
                <w:color w:val="auto"/>
                <w:sz w:val="22"/>
                <w:szCs w:val="22"/>
              </w:rPr>
              <w:t>其他技术、服务要求</w:t>
            </w:r>
          </w:p>
        </w:tc>
        <w:tc>
          <w:tcPr>
            <w:tcW w:w="416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B6F38D3">
            <w:pPr>
              <w:pStyle w:val="13"/>
              <w:widowControl/>
              <w:adjustRightInd w:val="0"/>
              <w:snapToGrid w:val="0"/>
              <w:spacing w:line="400" w:lineRule="exact"/>
              <w:rPr>
                <w:rFonts w:ascii="宋体" w:hAnsi="宋体" w:cs="宋体"/>
                <w:color w:val="auto"/>
                <w:sz w:val="22"/>
                <w:szCs w:val="22"/>
              </w:rPr>
            </w:pPr>
            <w:r>
              <w:rPr>
                <w:rFonts w:hint="eastAsia" w:ascii="宋体" w:hAnsi="宋体" w:cs="宋体"/>
                <w:color w:val="auto"/>
                <w:sz w:val="22"/>
                <w:szCs w:val="22"/>
              </w:rPr>
              <w:t>1.培训：</w:t>
            </w:r>
          </w:p>
          <w:p w14:paraId="5AA5FBBB">
            <w:pPr>
              <w:pStyle w:val="13"/>
              <w:widowControl/>
              <w:adjustRightInd w:val="0"/>
              <w:snapToGrid w:val="0"/>
              <w:spacing w:line="400" w:lineRule="exact"/>
              <w:rPr>
                <w:rFonts w:ascii="宋体" w:hAnsi="宋体" w:cs="宋体"/>
                <w:color w:val="auto"/>
                <w:sz w:val="22"/>
                <w:szCs w:val="22"/>
              </w:rPr>
            </w:pPr>
            <w:r>
              <w:rPr>
                <w:rFonts w:hint="eastAsia" w:ascii="宋体" w:hAnsi="宋体" w:cs="宋体"/>
                <w:color w:val="auto"/>
                <w:sz w:val="22"/>
                <w:szCs w:val="22"/>
              </w:rPr>
              <w:t>1.1 对采购人的操作人员、维修人员每年定期免费进行培训。</w:t>
            </w:r>
          </w:p>
          <w:p w14:paraId="7868188D">
            <w:pPr>
              <w:pStyle w:val="13"/>
              <w:widowControl/>
              <w:adjustRightInd w:val="0"/>
              <w:snapToGrid w:val="0"/>
              <w:spacing w:line="400" w:lineRule="exact"/>
              <w:rPr>
                <w:rFonts w:ascii="宋体" w:hAnsi="宋体" w:cs="宋体"/>
                <w:color w:val="auto"/>
                <w:sz w:val="22"/>
                <w:szCs w:val="22"/>
              </w:rPr>
            </w:pPr>
            <w:r>
              <w:rPr>
                <w:rFonts w:hint="eastAsia" w:ascii="宋体" w:hAnsi="宋体" w:cs="宋体"/>
                <w:color w:val="auto"/>
                <w:sz w:val="22"/>
                <w:szCs w:val="22"/>
              </w:rPr>
              <w:t>1.2 提供完整详细的实施、培训和运维计划方案，并得到采购人的批准。实施过程严格按照批准后的计划进行，如有变更需再次得到采购人的批准。</w:t>
            </w:r>
          </w:p>
          <w:p w14:paraId="53C9C92C">
            <w:pPr>
              <w:pStyle w:val="13"/>
              <w:widowControl/>
              <w:adjustRightInd w:val="0"/>
              <w:snapToGrid w:val="0"/>
              <w:spacing w:line="400" w:lineRule="exact"/>
              <w:rPr>
                <w:rFonts w:ascii="宋体" w:hAnsi="宋体" w:cs="宋体"/>
                <w:color w:val="auto"/>
                <w:sz w:val="22"/>
                <w:szCs w:val="22"/>
              </w:rPr>
            </w:pPr>
            <w:r>
              <w:rPr>
                <w:rFonts w:hint="eastAsia" w:ascii="宋体" w:hAnsi="宋体" w:cs="宋体"/>
                <w:color w:val="auto"/>
                <w:sz w:val="22"/>
                <w:szCs w:val="22"/>
              </w:rPr>
              <w:t xml:space="preserve">1.3 </w:t>
            </w:r>
            <w:r>
              <w:rPr>
                <w:rFonts w:hint="eastAsia" w:ascii="宋体" w:hAnsi="宋体" w:cs="宋体"/>
                <w:color w:val="auto"/>
                <w:sz w:val="22"/>
                <w:szCs w:val="22"/>
                <w:lang w:eastAsia="zh-CN"/>
              </w:rPr>
              <w:t>成交供应商</w:t>
            </w:r>
            <w:r>
              <w:rPr>
                <w:rFonts w:hint="eastAsia" w:ascii="宋体" w:hAnsi="宋体" w:cs="宋体"/>
                <w:color w:val="auto"/>
                <w:sz w:val="22"/>
                <w:szCs w:val="22"/>
              </w:rPr>
              <w:t>应根据项目实施的计划、进度和需要，及时对采购人操作人员进行培训，使其基本掌握应用系统的目标和功能，能够独立完成其操作对象。</w:t>
            </w:r>
            <w:r>
              <w:rPr>
                <w:rFonts w:hint="eastAsia" w:ascii="宋体" w:hAnsi="宋体" w:cs="宋体"/>
                <w:color w:val="auto"/>
                <w:sz w:val="22"/>
                <w:szCs w:val="22"/>
                <w:lang w:eastAsia="zh-CN"/>
              </w:rPr>
              <w:t>成交供应商</w:t>
            </w:r>
            <w:r>
              <w:rPr>
                <w:rFonts w:hint="eastAsia" w:ascii="宋体" w:hAnsi="宋体" w:cs="宋体"/>
                <w:color w:val="auto"/>
                <w:sz w:val="22"/>
                <w:szCs w:val="22"/>
              </w:rPr>
              <w:t>应无条件对采购人操作人员提供培训，学会为止，培训费用包含在报价中，采购人无需另行自费。</w:t>
            </w:r>
          </w:p>
          <w:p w14:paraId="6C5613E4">
            <w:pPr>
              <w:pStyle w:val="13"/>
              <w:widowControl/>
              <w:adjustRightInd w:val="0"/>
              <w:snapToGrid w:val="0"/>
              <w:spacing w:line="400" w:lineRule="exact"/>
              <w:rPr>
                <w:rFonts w:ascii="宋体" w:hAnsi="宋体" w:cs="宋体"/>
                <w:color w:val="auto"/>
                <w:sz w:val="22"/>
                <w:szCs w:val="22"/>
              </w:rPr>
            </w:pPr>
            <w:r>
              <w:rPr>
                <w:rFonts w:hint="eastAsia" w:ascii="宋体" w:hAnsi="宋体" w:cs="宋体"/>
                <w:color w:val="auto"/>
                <w:sz w:val="22"/>
                <w:szCs w:val="22"/>
              </w:rPr>
              <w:t>2.技术支持：</w:t>
            </w:r>
          </w:p>
          <w:p w14:paraId="342819D4">
            <w:pPr>
              <w:pStyle w:val="13"/>
              <w:widowControl/>
              <w:adjustRightInd w:val="0"/>
              <w:snapToGrid w:val="0"/>
              <w:spacing w:line="400" w:lineRule="exact"/>
              <w:rPr>
                <w:rFonts w:ascii="宋体" w:hAnsi="宋体" w:cs="宋体"/>
                <w:color w:val="auto"/>
                <w:sz w:val="22"/>
                <w:szCs w:val="22"/>
              </w:rPr>
            </w:pPr>
            <w:r>
              <w:rPr>
                <w:rFonts w:hint="eastAsia" w:ascii="宋体" w:hAnsi="宋体" w:cs="宋体"/>
                <w:color w:val="auto"/>
                <w:sz w:val="22"/>
                <w:szCs w:val="22"/>
                <w:lang w:eastAsia="zh-CN"/>
              </w:rPr>
              <w:t>成交供应商</w:t>
            </w:r>
            <w:r>
              <w:rPr>
                <w:rFonts w:hint="eastAsia" w:ascii="宋体" w:hAnsi="宋体" w:cs="宋体"/>
                <w:color w:val="auto"/>
                <w:sz w:val="22"/>
                <w:szCs w:val="22"/>
              </w:rPr>
              <w:t>应及时免费提供合同货物软件的升级，免费提供合同货物新功能和应用的资料。</w:t>
            </w:r>
          </w:p>
          <w:p w14:paraId="477DFA3C">
            <w:pPr>
              <w:pStyle w:val="13"/>
              <w:widowControl/>
              <w:adjustRightInd w:val="0"/>
              <w:snapToGrid w:val="0"/>
              <w:spacing w:line="400" w:lineRule="exact"/>
              <w:rPr>
                <w:rFonts w:ascii="宋体" w:hAnsi="宋体" w:cs="宋体"/>
                <w:color w:val="auto"/>
                <w:sz w:val="22"/>
                <w:szCs w:val="22"/>
              </w:rPr>
            </w:pPr>
            <w:r>
              <w:rPr>
                <w:rFonts w:hint="eastAsia" w:ascii="宋体" w:hAnsi="宋体" w:cs="宋体"/>
                <w:color w:val="auto"/>
                <w:sz w:val="22"/>
                <w:szCs w:val="22"/>
              </w:rPr>
              <w:t>3.安装调试（若需要安装调试）：</w:t>
            </w:r>
          </w:p>
          <w:p w14:paraId="58BDF0EF">
            <w:pPr>
              <w:pStyle w:val="13"/>
              <w:widowControl/>
              <w:adjustRightInd w:val="0"/>
              <w:snapToGrid w:val="0"/>
              <w:spacing w:line="400" w:lineRule="exact"/>
              <w:rPr>
                <w:rFonts w:ascii="宋体" w:hAnsi="宋体" w:cs="宋体"/>
                <w:color w:val="auto"/>
                <w:sz w:val="22"/>
                <w:szCs w:val="22"/>
              </w:rPr>
            </w:pPr>
            <w:r>
              <w:rPr>
                <w:rFonts w:hint="eastAsia" w:ascii="宋体" w:hAnsi="宋体" w:cs="宋体"/>
                <w:color w:val="auto"/>
                <w:sz w:val="22"/>
                <w:szCs w:val="22"/>
              </w:rPr>
              <w:t>3.1 安装地点：采购人指定地点。</w:t>
            </w:r>
          </w:p>
          <w:p w14:paraId="0B82597D">
            <w:pPr>
              <w:pStyle w:val="13"/>
              <w:widowControl/>
              <w:adjustRightInd w:val="0"/>
              <w:snapToGrid w:val="0"/>
              <w:spacing w:line="400" w:lineRule="exact"/>
              <w:rPr>
                <w:rFonts w:ascii="宋体" w:hAnsi="宋体" w:cs="宋体"/>
                <w:color w:val="auto"/>
                <w:sz w:val="22"/>
                <w:szCs w:val="22"/>
              </w:rPr>
            </w:pPr>
            <w:r>
              <w:rPr>
                <w:rFonts w:hint="eastAsia" w:ascii="宋体" w:hAnsi="宋体" w:cs="宋体"/>
                <w:color w:val="auto"/>
                <w:sz w:val="22"/>
                <w:szCs w:val="22"/>
              </w:rPr>
              <w:t>3.2 安装完成时间：接到采购人通知后在规定时间内完成安装和调试，如在规定的时间内由于</w:t>
            </w:r>
            <w:r>
              <w:rPr>
                <w:rFonts w:hint="eastAsia" w:ascii="宋体" w:hAnsi="宋体" w:cs="宋体"/>
                <w:color w:val="auto"/>
                <w:sz w:val="22"/>
                <w:szCs w:val="22"/>
                <w:lang w:eastAsia="zh-CN"/>
              </w:rPr>
              <w:t>成交供应商</w:t>
            </w:r>
            <w:r>
              <w:rPr>
                <w:rFonts w:hint="eastAsia" w:ascii="宋体" w:hAnsi="宋体" w:cs="宋体"/>
                <w:color w:val="auto"/>
                <w:sz w:val="22"/>
                <w:szCs w:val="22"/>
              </w:rPr>
              <w:t>的原因不能完成安装和调试，</w:t>
            </w:r>
            <w:r>
              <w:rPr>
                <w:rFonts w:hint="eastAsia" w:ascii="宋体" w:hAnsi="宋体" w:cs="宋体"/>
                <w:color w:val="auto"/>
                <w:sz w:val="22"/>
                <w:szCs w:val="22"/>
                <w:lang w:eastAsia="zh-CN"/>
              </w:rPr>
              <w:t>成交供应商</w:t>
            </w:r>
            <w:r>
              <w:rPr>
                <w:rFonts w:hint="eastAsia" w:ascii="宋体" w:hAnsi="宋体" w:cs="宋体"/>
                <w:color w:val="auto"/>
                <w:sz w:val="22"/>
                <w:szCs w:val="22"/>
              </w:rPr>
              <w:t>应承担由此给采购人造成的损失。</w:t>
            </w:r>
          </w:p>
          <w:p w14:paraId="2245CCCC">
            <w:pPr>
              <w:pStyle w:val="13"/>
              <w:widowControl/>
              <w:adjustRightInd w:val="0"/>
              <w:snapToGrid w:val="0"/>
              <w:spacing w:line="400" w:lineRule="exact"/>
              <w:rPr>
                <w:rFonts w:ascii="宋体" w:hAnsi="宋体" w:cs="宋体"/>
                <w:color w:val="auto"/>
                <w:sz w:val="22"/>
                <w:szCs w:val="22"/>
              </w:rPr>
            </w:pPr>
            <w:r>
              <w:rPr>
                <w:rFonts w:hint="eastAsia" w:ascii="宋体" w:hAnsi="宋体" w:cs="宋体"/>
                <w:color w:val="auto"/>
                <w:sz w:val="22"/>
                <w:szCs w:val="22"/>
              </w:rPr>
              <w:t>3.3 安装标准：符合我国国家有关技术规范要求和技术标准，所有的软件和硬件必须保证同时安装到位。</w:t>
            </w:r>
          </w:p>
          <w:p w14:paraId="3C0114AA">
            <w:pPr>
              <w:pStyle w:val="13"/>
              <w:widowControl/>
              <w:adjustRightInd w:val="0"/>
              <w:snapToGrid w:val="0"/>
              <w:spacing w:line="400" w:lineRule="exact"/>
              <w:rPr>
                <w:rFonts w:ascii="宋体" w:hAnsi="宋体" w:cs="宋体"/>
                <w:color w:val="auto"/>
                <w:sz w:val="22"/>
                <w:szCs w:val="22"/>
              </w:rPr>
            </w:pPr>
            <w:r>
              <w:rPr>
                <w:rFonts w:hint="eastAsia" w:ascii="宋体" w:hAnsi="宋体" w:cs="宋体"/>
                <w:color w:val="auto"/>
                <w:sz w:val="22"/>
                <w:szCs w:val="22"/>
              </w:rPr>
              <w:t xml:space="preserve">3.4 </w:t>
            </w:r>
            <w:r>
              <w:rPr>
                <w:rFonts w:hint="eastAsia" w:ascii="宋体" w:hAnsi="宋体" w:cs="宋体"/>
                <w:color w:val="auto"/>
                <w:sz w:val="22"/>
                <w:szCs w:val="22"/>
                <w:lang w:eastAsia="zh-CN"/>
              </w:rPr>
              <w:t>成交供应商</w:t>
            </w:r>
            <w:r>
              <w:rPr>
                <w:rFonts w:hint="eastAsia" w:ascii="宋体" w:hAnsi="宋体" w:cs="宋体"/>
                <w:color w:val="auto"/>
                <w:sz w:val="22"/>
                <w:szCs w:val="22"/>
              </w:rPr>
              <w:t>免费提供合同货物的安装服务。</w:t>
            </w:r>
          </w:p>
          <w:p w14:paraId="7B41D441">
            <w:pPr>
              <w:pStyle w:val="13"/>
              <w:widowControl/>
              <w:adjustRightInd w:val="0"/>
              <w:snapToGrid w:val="0"/>
              <w:spacing w:line="400" w:lineRule="exact"/>
              <w:rPr>
                <w:rFonts w:ascii="宋体" w:hAnsi="宋体"/>
                <w:color w:val="auto"/>
                <w:sz w:val="22"/>
                <w:szCs w:val="22"/>
              </w:rPr>
            </w:pPr>
            <w:r>
              <w:rPr>
                <w:rFonts w:hint="eastAsia" w:ascii="宋体" w:hAnsi="宋体" w:cs="宋体"/>
                <w:color w:val="auto"/>
                <w:sz w:val="22"/>
                <w:szCs w:val="22"/>
              </w:rPr>
              <w:t>3.5 供应商在响应文件中应提供安装调试计划、对安装场地和环境的要求。</w:t>
            </w:r>
          </w:p>
        </w:tc>
      </w:tr>
      <w:tr w14:paraId="17D874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27AE050">
            <w:pPr>
              <w:widowControl/>
              <w:adjustRightInd w:val="0"/>
              <w:snapToGrid w:val="0"/>
              <w:spacing w:line="400" w:lineRule="exact"/>
              <w:jc w:val="center"/>
              <w:rPr>
                <w:rFonts w:ascii="宋体" w:hAnsi="宋体" w:cs="宋体"/>
                <w:b/>
                <w:bCs/>
                <w:color w:val="auto"/>
                <w:sz w:val="22"/>
                <w:szCs w:val="22"/>
              </w:rPr>
            </w:pPr>
            <w:r>
              <w:rPr>
                <w:rFonts w:hint="eastAsia" w:ascii="宋体" w:hAnsi="宋体" w:cs="宋体"/>
                <w:b/>
                <w:bCs/>
                <w:color w:val="auto"/>
                <w:sz w:val="22"/>
                <w:szCs w:val="22"/>
              </w:rPr>
              <w:t>其他说明</w:t>
            </w:r>
          </w:p>
        </w:tc>
        <w:tc>
          <w:tcPr>
            <w:tcW w:w="416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F529FD5">
            <w:pPr>
              <w:pStyle w:val="13"/>
              <w:widowControl/>
              <w:adjustRightInd w:val="0"/>
              <w:snapToGrid w:val="0"/>
              <w:spacing w:line="400" w:lineRule="exact"/>
              <w:rPr>
                <w:rFonts w:ascii="宋体" w:hAnsi="宋体" w:cs="宋体"/>
                <w:color w:val="auto"/>
                <w:sz w:val="22"/>
                <w:szCs w:val="22"/>
              </w:rPr>
            </w:pPr>
          </w:p>
        </w:tc>
      </w:tr>
      <w:bookmarkEnd w:id="226"/>
    </w:tbl>
    <w:p w14:paraId="69C9C18C">
      <w:pPr>
        <w:keepNext w:val="0"/>
        <w:keepLines w:val="0"/>
        <w:pageBreakBefore w:val="0"/>
        <w:widowControl/>
        <w:tabs>
          <w:tab w:val="left" w:pos="709"/>
        </w:tabs>
        <w:kinsoku/>
        <w:wordWrap/>
        <w:overflowPunct/>
        <w:topLinePunct w:val="0"/>
        <w:autoSpaceDE w:val="0"/>
        <w:autoSpaceDN w:val="0"/>
        <w:bidi w:val="0"/>
        <w:adjustRightInd w:val="0"/>
        <w:spacing w:line="440" w:lineRule="exact"/>
        <w:textAlignment w:val="bottom"/>
        <w:rPr>
          <w:rFonts w:hint="eastAsia" w:ascii="宋体" w:hAnsi="宋体" w:eastAsia="宋体" w:cs="宋体"/>
          <w:color w:val="auto"/>
          <w:sz w:val="22"/>
          <w:szCs w:val="22"/>
        </w:rPr>
      </w:pPr>
    </w:p>
    <w:p w14:paraId="17136543">
      <w:pPr>
        <w:keepNext w:val="0"/>
        <w:keepLines w:val="0"/>
        <w:pageBreakBefore w:val="0"/>
        <w:kinsoku/>
        <w:wordWrap/>
        <w:overflowPunct/>
        <w:topLinePunct w:val="0"/>
        <w:bidi w:val="0"/>
        <w:spacing w:line="440" w:lineRule="exact"/>
        <w:rPr>
          <w:rFonts w:hint="eastAsia" w:ascii="宋体" w:hAnsi="宋体" w:eastAsia="宋体" w:cs="宋体"/>
          <w:b/>
          <w:color w:val="auto"/>
          <w:sz w:val="22"/>
          <w:szCs w:val="22"/>
        </w:rPr>
      </w:pPr>
    </w:p>
    <w:p w14:paraId="02D5E2AB">
      <w:pPr>
        <w:keepNext w:val="0"/>
        <w:keepLines w:val="0"/>
        <w:pageBreakBefore w:val="0"/>
        <w:kinsoku/>
        <w:wordWrap/>
        <w:overflowPunct/>
        <w:topLinePunct w:val="0"/>
        <w:bidi w:val="0"/>
        <w:spacing w:line="440" w:lineRule="exact"/>
        <w:rPr>
          <w:rFonts w:hint="eastAsia" w:ascii="宋体" w:hAnsi="宋体" w:eastAsia="宋体" w:cs="宋体"/>
          <w:b/>
          <w:bCs/>
          <w:color w:val="auto"/>
          <w:kern w:val="44"/>
          <w:sz w:val="22"/>
          <w:szCs w:val="22"/>
        </w:rPr>
      </w:pPr>
      <w:r>
        <w:rPr>
          <w:rFonts w:hint="eastAsia" w:ascii="宋体" w:hAnsi="宋体" w:eastAsia="宋体" w:cs="宋体"/>
          <w:b/>
          <w:bCs/>
          <w:color w:val="auto"/>
          <w:kern w:val="44"/>
          <w:sz w:val="22"/>
          <w:szCs w:val="22"/>
        </w:rPr>
        <w:br w:type="page"/>
      </w:r>
    </w:p>
    <w:p w14:paraId="44F7773C">
      <w:pPr>
        <w:pStyle w:val="13"/>
        <w:spacing w:line="360" w:lineRule="auto"/>
        <w:jc w:val="center"/>
        <w:outlineLvl w:val="0"/>
        <w:rPr>
          <w:rFonts w:ascii="宋体" w:hAnsi="宋体"/>
          <w:color w:val="auto"/>
          <w:sz w:val="24"/>
        </w:rPr>
      </w:pPr>
      <w:bookmarkStart w:id="227" w:name="_Toc21690"/>
      <w:r>
        <w:rPr>
          <w:rFonts w:hint="eastAsia" w:ascii="黑体" w:hAnsi="黑体" w:eastAsia="黑体"/>
          <w:b/>
          <w:bCs/>
          <w:color w:val="auto"/>
          <w:kern w:val="44"/>
          <w:sz w:val="36"/>
          <w:szCs w:val="36"/>
        </w:rPr>
        <w:t>第六部分   磋商原则及方法</w:t>
      </w:r>
      <w:bookmarkEnd w:id="216"/>
      <w:bookmarkEnd w:id="217"/>
      <w:bookmarkEnd w:id="218"/>
      <w:bookmarkEnd w:id="219"/>
      <w:bookmarkEnd w:id="227"/>
    </w:p>
    <w:p w14:paraId="5B55E771">
      <w:pPr>
        <w:spacing w:line="440" w:lineRule="exact"/>
        <w:ind w:left="548" w:leftChars="261"/>
        <w:rPr>
          <w:rFonts w:ascii="宋体" w:hAnsi="宋体"/>
          <w:color w:val="auto"/>
          <w:sz w:val="22"/>
          <w:szCs w:val="22"/>
        </w:rPr>
      </w:pPr>
      <w:r>
        <w:rPr>
          <w:rFonts w:hint="eastAsia" w:ascii="宋体" w:hAnsi="宋体"/>
          <w:color w:val="auto"/>
          <w:sz w:val="22"/>
          <w:szCs w:val="22"/>
        </w:rPr>
        <w:t>根据《中华人民共和国政府采购法》、</w:t>
      </w:r>
      <w:r>
        <w:rPr>
          <w:rFonts w:ascii="宋体" w:hAnsi="宋体" w:cs="宋体"/>
          <w:color w:val="auto"/>
          <w:kern w:val="0"/>
          <w:sz w:val="22"/>
          <w:szCs w:val="22"/>
        </w:rPr>
        <w:t>《政府采购竞争性磋商采购方式管理暂行办法</w:t>
      </w:r>
      <w:r>
        <w:rPr>
          <w:rFonts w:hint="eastAsia" w:ascii="宋体" w:hAnsi="宋体" w:cs="宋体"/>
          <w:color w:val="auto"/>
          <w:kern w:val="0"/>
          <w:sz w:val="22"/>
          <w:szCs w:val="22"/>
        </w:rPr>
        <w:t>》</w:t>
      </w:r>
      <w:r>
        <w:rPr>
          <w:rFonts w:hint="eastAsia" w:ascii="宋体" w:hAnsi="宋体"/>
          <w:color w:val="auto"/>
          <w:sz w:val="22"/>
          <w:szCs w:val="22"/>
        </w:rPr>
        <w:t>等法律、法规制定本磋商原则和方法。</w:t>
      </w:r>
    </w:p>
    <w:p w14:paraId="75FC9519">
      <w:pPr>
        <w:spacing w:line="440" w:lineRule="exact"/>
        <w:rPr>
          <w:rFonts w:ascii="宋体" w:hAnsi="宋体"/>
          <w:b/>
          <w:color w:val="auto"/>
          <w:sz w:val="22"/>
          <w:szCs w:val="22"/>
        </w:rPr>
      </w:pPr>
      <w:r>
        <w:rPr>
          <w:rFonts w:hint="eastAsia" w:ascii="宋体" w:hAnsi="宋体"/>
          <w:b/>
          <w:color w:val="auto"/>
          <w:sz w:val="22"/>
          <w:szCs w:val="22"/>
        </w:rPr>
        <w:t>一、 总  则</w:t>
      </w:r>
    </w:p>
    <w:p w14:paraId="1DF151BF">
      <w:pPr>
        <w:spacing w:line="440" w:lineRule="exact"/>
        <w:ind w:left="548" w:leftChars="261"/>
        <w:rPr>
          <w:rFonts w:ascii="宋体" w:hAnsi="宋体"/>
          <w:color w:val="auto"/>
          <w:sz w:val="22"/>
          <w:szCs w:val="22"/>
        </w:rPr>
      </w:pPr>
      <w:r>
        <w:rPr>
          <w:rFonts w:hint="eastAsia" w:ascii="宋体" w:hAnsi="宋体"/>
          <w:color w:val="auto"/>
          <w:sz w:val="22"/>
          <w:szCs w:val="22"/>
        </w:rPr>
        <w:t>评审工作遵循“公平、公正、科学、择优”原则和“诚实、信誉、效率”的服务原则。最大限度的保护采购人权益，严格按照磋商文件的要求，对响应文件进行综合评审。磋商供应商不得以任何方式干扰政府采购工作的进行，一经发现其响应文件将被拒绝。</w:t>
      </w:r>
    </w:p>
    <w:p w14:paraId="55C117B1">
      <w:pPr>
        <w:spacing w:line="440" w:lineRule="exact"/>
        <w:rPr>
          <w:rFonts w:ascii="宋体" w:hAnsi="宋体"/>
          <w:b/>
          <w:color w:val="auto"/>
          <w:sz w:val="22"/>
          <w:szCs w:val="22"/>
        </w:rPr>
      </w:pPr>
      <w:r>
        <w:rPr>
          <w:rFonts w:hint="eastAsia" w:ascii="宋体" w:hAnsi="宋体"/>
          <w:b/>
          <w:color w:val="auto"/>
          <w:sz w:val="22"/>
          <w:szCs w:val="22"/>
        </w:rPr>
        <w:t>二、 磋商程序</w:t>
      </w:r>
    </w:p>
    <w:p w14:paraId="560F2D5A">
      <w:pPr>
        <w:spacing w:line="440" w:lineRule="exact"/>
        <w:ind w:left="550" w:hanging="550" w:hangingChars="250"/>
        <w:rPr>
          <w:rFonts w:ascii="宋体" w:hAnsi="宋体" w:cs="宋体"/>
          <w:color w:val="auto"/>
          <w:sz w:val="22"/>
          <w:szCs w:val="22"/>
        </w:rPr>
      </w:pPr>
      <w:r>
        <w:rPr>
          <w:rFonts w:ascii="宋体" w:hAnsi="宋体" w:cs="宋体"/>
          <w:color w:val="auto"/>
          <w:sz w:val="22"/>
          <w:szCs w:val="22"/>
        </w:rPr>
        <w:t xml:space="preserve">1.   </w:t>
      </w:r>
      <w:r>
        <w:rPr>
          <w:rFonts w:hint="eastAsia" w:ascii="宋体" w:hAnsi="宋体" w:cs="宋体"/>
          <w:color w:val="auto"/>
          <w:sz w:val="22"/>
          <w:szCs w:val="22"/>
        </w:rPr>
        <w:t>采购代理机构签收、开始解密磋商响应文件；</w:t>
      </w:r>
    </w:p>
    <w:p w14:paraId="0221470E">
      <w:pPr>
        <w:spacing w:line="440" w:lineRule="exact"/>
        <w:ind w:left="550" w:hanging="550" w:hangingChars="250"/>
        <w:rPr>
          <w:rFonts w:ascii="宋体" w:hAnsi="宋体" w:cs="宋体"/>
          <w:color w:val="auto"/>
          <w:sz w:val="22"/>
          <w:szCs w:val="22"/>
        </w:rPr>
      </w:pPr>
      <w:r>
        <w:rPr>
          <w:rFonts w:ascii="宋体" w:hAnsi="宋体" w:cs="宋体"/>
          <w:color w:val="auto"/>
          <w:sz w:val="22"/>
          <w:szCs w:val="22"/>
        </w:rPr>
        <w:t xml:space="preserve">2.   </w:t>
      </w:r>
      <w:r>
        <w:rPr>
          <w:rFonts w:hint="eastAsia" w:ascii="宋体" w:hAnsi="宋体" w:cs="宋体"/>
          <w:color w:val="auto"/>
          <w:sz w:val="22"/>
          <w:szCs w:val="22"/>
        </w:rPr>
        <w:t>磋商供应商解密磋商响应文件；</w:t>
      </w:r>
    </w:p>
    <w:p w14:paraId="0DD94931">
      <w:pPr>
        <w:spacing w:line="440" w:lineRule="exact"/>
        <w:rPr>
          <w:rFonts w:ascii="宋体" w:hAnsi="宋体" w:cs="宋体"/>
          <w:color w:val="auto"/>
          <w:sz w:val="22"/>
          <w:szCs w:val="22"/>
        </w:rPr>
      </w:pPr>
      <w:r>
        <w:rPr>
          <w:rFonts w:ascii="宋体" w:hAnsi="宋体" w:cs="宋体"/>
          <w:color w:val="auto"/>
          <w:sz w:val="22"/>
          <w:szCs w:val="22"/>
        </w:rPr>
        <w:t xml:space="preserve">3.   </w:t>
      </w:r>
      <w:r>
        <w:rPr>
          <w:rFonts w:hint="eastAsia" w:ascii="宋体" w:hAnsi="宋体" w:cs="宋体"/>
          <w:color w:val="auto"/>
          <w:sz w:val="22"/>
          <w:szCs w:val="22"/>
        </w:rPr>
        <w:t>采购代理机构结束解密磋商响应文件；</w:t>
      </w:r>
    </w:p>
    <w:p w14:paraId="5C1A73D8">
      <w:pPr>
        <w:spacing w:line="440" w:lineRule="exact"/>
        <w:rPr>
          <w:rFonts w:ascii="宋体" w:hAnsi="宋体" w:cs="宋体"/>
          <w:color w:val="auto"/>
          <w:sz w:val="22"/>
          <w:szCs w:val="22"/>
        </w:rPr>
      </w:pPr>
      <w:r>
        <w:rPr>
          <w:rFonts w:ascii="宋体" w:hAnsi="宋体" w:cs="宋体"/>
          <w:color w:val="auto"/>
          <w:sz w:val="22"/>
          <w:szCs w:val="22"/>
        </w:rPr>
        <w:t xml:space="preserve">4.   </w:t>
      </w:r>
      <w:r>
        <w:rPr>
          <w:rFonts w:hint="eastAsia" w:ascii="宋体" w:hAnsi="宋体" w:cs="宋体"/>
          <w:color w:val="auto"/>
          <w:sz w:val="22"/>
          <w:szCs w:val="22"/>
        </w:rPr>
        <w:t>采购代理机构或采购人在线资格性审查；</w:t>
      </w:r>
    </w:p>
    <w:p w14:paraId="2F306554">
      <w:pPr>
        <w:spacing w:line="440" w:lineRule="exact"/>
        <w:rPr>
          <w:rFonts w:ascii="宋体" w:hAnsi="宋体" w:cs="宋体"/>
          <w:color w:val="auto"/>
          <w:sz w:val="22"/>
          <w:szCs w:val="22"/>
        </w:rPr>
      </w:pPr>
      <w:r>
        <w:rPr>
          <w:rFonts w:hint="eastAsia" w:ascii="宋体" w:hAnsi="宋体" w:cs="宋体"/>
          <w:color w:val="auto"/>
          <w:sz w:val="22"/>
          <w:szCs w:val="22"/>
        </w:rPr>
        <w:t>5.   磋商小组在线符合性审查；</w:t>
      </w:r>
    </w:p>
    <w:p w14:paraId="256F3FCB">
      <w:pPr>
        <w:spacing w:line="440" w:lineRule="exact"/>
        <w:ind w:left="440" w:hanging="440" w:hangingChars="200"/>
        <w:rPr>
          <w:rFonts w:ascii="宋体" w:hAnsi="宋体"/>
          <w:color w:val="auto"/>
          <w:sz w:val="22"/>
          <w:szCs w:val="22"/>
        </w:rPr>
      </w:pPr>
      <w:r>
        <w:rPr>
          <w:rFonts w:hint="eastAsia" w:ascii="宋体" w:hAnsi="宋体"/>
          <w:color w:val="auto"/>
          <w:sz w:val="22"/>
          <w:szCs w:val="22"/>
        </w:rPr>
        <w:t xml:space="preserve">6.   </w:t>
      </w:r>
      <w:r>
        <w:rPr>
          <w:rFonts w:hint="eastAsia" w:ascii="宋体" w:hAnsi="宋体" w:cs="宋体"/>
          <w:color w:val="auto"/>
          <w:sz w:val="22"/>
          <w:szCs w:val="22"/>
        </w:rPr>
        <w:t>开启第二轮报价；</w:t>
      </w:r>
      <w:r>
        <w:rPr>
          <w:rFonts w:ascii="宋体" w:hAnsi="宋体"/>
          <w:color w:val="auto"/>
          <w:sz w:val="22"/>
          <w:szCs w:val="22"/>
        </w:rPr>
        <w:t xml:space="preserve"> </w:t>
      </w:r>
    </w:p>
    <w:p w14:paraId="256CDAC6">
      <w:pPr>
        <w:spacing w:line="440" w:lineRule="exact"/>
        <w:rPr>
          <w:rFonts w:ascii="宋体" w:hAnsi="宋体" w:cs="宋体"/>
          <w:color w:val="auto"/>
          <w:sz w:val="22"/>
          <w:szCs w:val="22"/>
        </w:rPr>
      </w:pPr>
      <w:r>
        <w:rPr>
          <w:rFonts w:hint="eastAsia" w:ascii="宋体" w:hAnsi="宋体" w:cs="宋体"/>
          <w:color w:val="auto"/>
          <w:sz w:val="22"/>
          <w:szCs w:val="22"/>
        </w:rPr>
        <w:t>7</w:t>
      </w:r>
      <w:r>
        <w:rPr>
          <w:rFonts w:ascii="宋体" w:hAnsi="宋体" w:cs="宋体"/>
          <w:color w:val="auto"/>
          <w:sz w:val="22"/>
          <w:szCs w:val="22"/>
        </w:rPr>
        <w:t xml:space="preserve">.   </w:t>
      </w:r>
      <w:r>
        <w:rPr>
          <w:rFonts w:hint="eastAsia" w:ascii="宋体" w:hAnsi="宋体"/>
          <w:color w:val="auto"/>
          <w:sz w:val="22"/>
          <w:szCs w:val="22"/>
        </w:rPr>
        <w:t>接着按照统一的标准与供应商进行在线磋商；（如需要）</w:t>
      </w:r>
      <w:r>
        <w:rPr>
          <w:rFonts w:hint="eastAsia" w:ascii="宋体" w:hAnsi="宋体" w:cs="宋体"/>
          <w:color w:val="auto"/>
          <w:sz w:val="22"/>
          <w:szCs w:val="22"/>
        </w:rPr>
        <w:t>；</w:t>
      </w:r>
      <w:r>
        <w:rPr>
          <w:rFonts w:ascii="宋体" w:hAnsi="宋体" w:cs="宋体"/>
          <w:color w:val="auto"/>
          <w:sz w:val="22"/>
          <w:szCs w:val="22"/>
        </w:rPr>
        <w:t xml:space="preserve"> </w:t>
      </w:r>
    </w:p>
    <w:p w14:paraId="6CD71BA3">
      <w:pPr>
        <w:spacing w:line="440" w:lineRule="exact"/>
        <w:rPr>
          <w:rFonts w:ascii="宋体" w:hAnsi="宋体" w:cs="宋体"/>
          <w:color w:val="auto"/>
          <w:sz w:val="22"/>
          <w:szCs w:val="22"/>
        </w:rPr>
      </w:pPr>
      <w:r>
        <w:rPr>
          <w:rFonts w:hint="eastAsia" w:ascii="宋体" w:hAnsi="宋体" w:cs="宋体"/>
          <w:color w:val="auto"/>
          <w:sz w:val="22"/>
          <w:szCs w:val="22"/>
        </w:rPr>
        <w:t>8</w:t>
      </w:r>
      <w:r>
        <w:rPr>
          <w:rFonts w:ascii="宋体" w:hAnsi="宋体" w:cs="宋体"/>
          <w:color w:val="auto"/>
          <w:sz w:val="22"/>
          <w:szCs w:val="22"/>
        </w:rPr>
        <w:t xml:space="preserve">.   </w:t>
      </w:r>
      <w:r>
        <w:rPr>
          <w:rFonts w:hint="eastAsia" w:ascii="宋体" w:hAnsi="宋体" w:cs="宋体"/>
          <w:color w:val="auto"/>
          <w:sz w:val="22"/>
          <w:szCs w:val="22"/>
        </w:rPr>
        <w:t>磋商小组对磋商响应文件进行评审；</w:t>
      </w:r>
    </w:p>
    <w:p w14:paraId="3739A320">
      <w:pPr>
        <w:spacing w:line="440" w:lineRule="exact"/>
        <w:rPr>
          <w:rFonts w:ascii="宋体" w:hAnsi="宋体" w:cs="宋体"/>
          <w:color w:val="auto"/>
          <w:sz w:val="22"/>
          <w:szCs w:val="22"/>
        </w:rPr>
      </w:pPr>
      <w:r>
        <w:rPr>
          <w:rFonts w:hint="eastAsia" w:ascii="宋体" w:hAnsi="宋体" w:cs="宋体"/>
          <w:color w:val="auto"/>
          <w:sz w:val="22"/>
          <w:szCs w:val="22"/>
        </w:rPr>
        <w:t>9</w:t>
      </w:r>
      <w:r>
        <w:rPr>
          <w:rFonts w:ascii="宋体" w:hAnsi="宋体" w:cs="宋体"/>
          <w:color w:val="auto"/>
          <w:sz w:val="22"/>
          <w:szCs w:val="22"/>
        </w:rPr>
        <w:t xml:space="preserve">.  </w:t>
      </w:r>
      <w:r>
        <w:rPr>
          <w:rFonts w:hint="eastAsia" w:ascii="宋体" w:hAnsi="宋体" w:cs="宋体"/>
          <w:color w:val="auto"/>
          <w:sz w:val="22"/>
          <w:szCs w:val="22"/>
        </w:rPr>
        <w:t xml:space="preserve"> 在系统上公布评审结果。</w:t>
      </w:r>
    </w:p>
    <w:p w14:paraId="56DEBBFC">
      <w:pPr>
        <w:spacing w:line="440" w:lineRule="exact"/>
        <w:ind w:left="548" w:leftChars="261"/>
        <w:rPr>
          <w:rFonts w:ascii="宋体" w:hAnsi="宋体" w:cs="宋体"/>
          <w:color w:val="auto"/>
          <w:sz w:val="22"/>
          <w:szCs w:val="22"/>
        </w:rPr>
      </w:pPr>
      <w:r>
        <w:rPr>
          <w:rFonts w:hint="eastAsia" w:ascii="宋体" w:hAnsi="宋体" w:cs="宋体"/>
          <w:color w:val="auto"/>
          <w:sz w:val="22"/>
          <w:szCs w:val="22"/>
        </w:rPr>
        <w:t>特别说明：政采云公司如对电子化开标及评审程序有调整的，按调整后的程序操作。</w:t>
      </w:r>
    </w:p>
    <w:p w14:paraId="3AAAAB63">
      <w:pPr>
        <w:spacing w:line="440" w:lineRule="exact"/>
        <w:rPr>
          <w:rFonts w:ascii="宋体" w:hAnsi="宋体"/>
          <w:b/>
          <w:color w:val="auto"/>
          <w:sz w:val="22"/>
          <w:szCs w:val="22"/>
        </w:rPr>
      </w:pPr>
      <w:r>
        <w:rPr>
          <w:rFonts w:hint="eastAsia" w:ascii="宋体" w:hAnsi="宋体"/>
          <w:b/>
          <w:color w:val="auto"/>
          <w:sz w:val="22"/>
          <w:szCs w:val="22"/>
        </w:rPr>
        <w:t>三、 评审办法</w:t>
      </w:r>
    </w:p>
    <w:p w14:paraId="6B8EF3DE">
      <w:pPr>
        <w:spacing w:line="440" w:lineRule="exact"/>
        <w:ind w:left="550" w:hanging="550" w:hangingChars="250"/>
        <w:rPr>
          <w:rFonts w:ascii="宋体" w:hAnsi="宋体"/>
          <w:color w:val="auto"/>
          <w:sz w:val="22"/>
          <w:szCs w:val="22"/>
        </w:rPr>
      </w:pPr>
      <w:r>
        <w:rPr>
          <w:rFonts w:ascii="宋体" w:hAnsi="宋体"/>
          <w:color w:val="auto"/>
          <w:sz w:val="22"/>
          <w:szCs w:val="22"/>
        </w:rPr>
        <w:t>1</w:t>
      </w:r>
      <w:r>
        <w:rPr>
          <w:rFonts w:hint="eastAsia" w:ascii="宋体" w:hAnsi="宋体"/>
          <w:color w:val="auto"/>
          <w:sz w:val="22"/>
          <w:szCs w:val="22"/>
        </w:rPr>
        <w:t>.   本次评审采用综合评分法，总分100分，其中商务技术</w:t>
      </w:r>
      <w:r>
        <w:rPr>
          <w:rFonts w:hint="eastAsia" w:ascii="宋体" w:hAnsi="宋体"/>
          <w:color w:val="auto"/>
          <w:sz w:val="22"/>
          <w:szCs w:val="22"/>
          <w:lang w:val="en-US" w:eastAsia="zh-CN"/>
        </w:rPr>
        <w:t>65</w:t>
      </w:r>
      <w:r>
        <w:rPr>
          <w:rFonts w:hint="eastAsia" w:ascii="宋体" w:hAnsi="宋体"/>
          <w:color w:val="auto"/>
          <w:sz w:val="22"/>
          <w:szCs w:val="22"/>
        </w:rPr>
        <w:t>分（商务技术权值</w:t>
      </w:r>
      <w:r>
        <w:rPr>
          <w:rFonts w:hint="eastAsia" w:ascii="宋体" w:hAnsi="宋体"/>
          <w:color w:val="auto"/>
          <w:sz w:val="22"/>
          <w:szCs w:val="22"/>
          <w:lang w:val="en-US" w:eastAsia="zh-CN"/>
        </w:rPr>
        <w:t>65</w:t>
      </w:r>
      <w:r>
        <w:rPr>
          <w:rFonts w:hint="eastAsia" w:ascii="宋体" w:hAnsi="宋体"/>
          <w:color w:val="auto"/>
          <w:sz w:val="22"/>
          <w:szCs w:val="22"/>
        </w:rPr>
        <w:t>%），价格</w:t>
      </w:r>
      <w:r>
        <w:rPr>
          <w:rFonts w:hint="eastAsia" w:ascii="宋体" w:hAnsi="宋体"/>
          <w:color w:val="auto"/>
          <w:sz w:val="22"/>
          <w:szCs w:val="22"/>
          <w:lang w:val="en-US" w:eastAsia="zh-CN"/>
        </w:rPr>
        <w:t>35</w:t>
      </w:r>
      <w:r>
        <w:rPr>
          <w:rFonts w:hint="eastAsia" w:ascii="宋体" w:hAnsi="宋体"/>
          <w:color w:val="auto"/>
          <w:sz w:val="22"/>
          <w:szCs w:val="22"/>
        </w:rPr>
        <w:t>分（价格权值</w:t>
      </w:r>
      <w:r>
        <w:rPr>
          <w:rFonts w:hint="eastAsia" w:ascii="宋体" w:hAnsi="宋体"/>
          <w:color w:val="auto"/>
          <w:sz w:val="22"/>
          <w:szCs w:val="22"/>
          <w:lang w:val="en-US" w:eastAsia="zh-CN"/>
        </w:rPr>
        <w:t>35</w:t>
      </w:r>
      <w:r>
        <w:rPr>
          <w:rFonts w:hint="eastAsia" w:ascii="宋体" w:hAnsi="宋体"/>
          <w:color w:val="auto"/>
          <w:sz w:val="22"/>
          <w:szCs w:val="22"/>
        </w:rPr>
        <w:t>%）。即最大限度地满足竞争性磋商文件实质性要求前提下，按照竞争性磋商文件中规定的各项评分内容评审后，以评审总得分最高的磋商供应商，作为成交候选供应商。</w:t>
      </w:r>
    </w:p>
    <w:p w14:paraId="3F94AD7E">
      <w:pPr>
        <w:spacing w:line="440" w:lineRule="exact"/>
        <w:ind w:left="552" w:hanging="552" w:hangingChars="250"/>
        <w:rPr>
          <w:rFonts w:ascii="宋体" w:hAnsi="宋体"/>
          <w:b/>
          <w:color w:val="auto"/>
          <w:sz w:val="22"/>
          <w:szCs w:val="22"/>
        </w:rPr>
      </w:pPr>
      <w:r>
        <w:rPr>
          <w:rFonts w:hint="eastAsia" w:ascii="宋体" w:hAnsi="宋体"/>
          <w:b/>
          <w:color w:val="auto"/>
          <w:sz w:val="22"/>
          <w:szCs w:val="22"/>
        </w:rPr>
        <w:t>四、 评分细则</w:t>
      </w:r>
    </w:p>
    <w:p w14:paraId="4642B1E6">
      <w:pPr>
        <w:spacing w:line="440" w:lineRule="exact"/>
        <w:rPr>
          <w:rFonts w:ascii="宋体" w:hAnsi="宋体"/>
          <w:color w:val="auto"/>
          <w:sz w:val="22"/>
          <w:szCs w:val="22"/>
        </w:rPr>
      </w:pPr>
      <w:r>
        <w:rPr>
          <w:rFonts w:hint="eastAsia" w:ascii="宋体" w:hAnsi="宋体"/>
          <w:color w:val="auto"/>
          <w:sz w:val="22"/>
          <w:szCs w:val="22"/>
        </w:rPr>
        <w:t>1.   商务技术分的评定（</w:t>
      </w:r>
      <w:r>
        <w:rPr>
          <w:rFonts w:hint="eastAsia" w:ascii="宋体" w:hAnsi="宋体"/>
          <w:color w:val="auto"/>
          <w:sz w:val="22"/>
          <w:szCs w:val="22"/>
          <w:lang w:val="en-US" w:eastAsia="zh-CN"/>
        </w:rPr>
        <w:t>65</w:t>
      </w:r>
      <w:r>
        <w:rPr>
          <w:rFonts w:hint="eastAsia" w:ascii="宋体" w:hAnsi="宋体"/>
          <w:color w:val="auto"/>
          <w:sz w:val="22"/>
          <w:szCs w:val="22"/>
        </w:rPr>
        <w:t>分）</w:t>
      </w:r>
    </w:p>
    <w:p w14:paraId="1728652D">
      <w:pPr>
        <w:spacing w:line="440" w:lineRule="exact"/>
        <w:ind w:left="548" w:leftChars="261"/>
        <w:rPr>
          <w:rFonts w:ascii="宋体" w:hAnsi="宋体"/>
          <w:color w:val="auto"/>
          <w:sz w:val="22"/>
          <w:szCs w:val="22"/>
        </w:rPr>
      </w:pPr>
      <w:r>
        <w:rPr>
          <w:rFonts w:hint="eastAsia" w:ascii="宋体" w:hAnsi="宋体"/>
          <w:color w:val="auto"/>
          <w:sz w:val="22"/>
          <w:szCs w:val="22"/>
        </w:rPr>
        <w:t>各磋商小组成员按下列评分内容进行评定，每人一份评分计算表，由磋商小组成员各自评定独立打分并记实名。如某张评分表的一项评分内容分值超过规定的范围，则该评分表无效。磋商小组成员对磋商供应商的各项评分内容评分的合计分的算术平均值为该磋商供应商商务技术的最终得分（四舍五入，保留小数点后二位）。</w:t>
      </w:r>
    </w:p>
    <w:p w14:paraId="2159B02C">
      <w:pPr>
        <w:spacing w:line="360" w:lineRule="exact"/>
        <w:rPr>
          <w:rFonts w:ascii="宋体" w:hAnsi="宋体" w:cs="宋体"/>
          <w:b/>
          <w:color w:val="auto"/>
          <w:sz w:val="22"/>
          <w:szCs w:val="22"/>
        </w:rPr>
      </w:pPr>
      <w:r>
        <w:rPr>
          <w:rFonts w:hint="eastAsia" w:ascii="宋体" w:hAnsi="宋体" w:cs="宋体"/>
          <w:b/>
          <w:color w:val="auto"/>
          <w:sz w:val="22"/>
          <w:szCs w:val="22"/>
        </w:rPr>
        <w:t>商务技术</w:t>
      </w:r>
      <w:r>
        <w:rPr>
          <w:rFonts w:hint="eastAsia" w:ascii="宋体" w:hAnsi="宋体" w:cs="宋体"/>
          <w:b/>
          <w:color w:val="auto"/>
          <w:sz w:val="22"/>
          <w:szCs w:val="22"/>
          <w:lang w:val="en-US" w:eastAsia="zh-CN"/>
        </w:rPr>
        <w:t>65</w:t>
      </w:r>
      <w:r>
        <w:rPr>
          <w:rFonts w:hint="eastAsia" w:ascii="宋体" w:hAnsi="宋体" w:cs="宋体"/>
          <w:b/>
          <w:color w:val="auto"/>
          <w:sz w:val="22"/>
          <w:szCs w:val="22"/>
        </w:rPr>
        <w:t>分</w:t>
      </w:r>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1495"/>
        <w:gridCol w:w="840"/>
        <w:gridCol w:w="6681"/>
      </w:tblGrid>
      <w:tr w14:paraId="0E586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5" w:type="pct"/>
            <w:noWrap w:val="0"/>
            <w:vAlign w:val="center"/>
          </w:tcPr>
          <w:p w14:paraId="6C09919A">
            <w:pPr>
              <w:keepNext w:val="0"/>
              <w:keepLines w:val="0"/>
              <w:pageBreakBefore w:val="0"/>
              <w:kinsoku/>
              <w:wordWrap/>
              <w:overflowPunct/>
              <w:topLinePunct w:val="0"/>
              <w:autoSpaceDE/>
              <w:autoSpaceDN/>
              <w:bidi w:val="0"/>
              <w:spacing w:beforeAutospacing="0" w:afterAutospacing="0" w:line="400" w:lineRule="exact"/>
              <w:ind w:right="3"/>
              <w:jc w:val="center"/>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sz w:val="22"/>
                <w:szCs w:val="22"/>
                <w:highlight w:val="none"/>
              </w:rPr>
              <w:t>序号</w:t>
            </w:r>
          </w:p>
        </w:tc>
        <w:tc>
          <w:tcPr>
            <w:tcW w:w="758" w:type="pct"/>
            <w:noWrap w:val="0"/>
            <w:vAlign w:val="center"/>
          </w:tcPr>
          <w:p w14:paraId="217192A9">
            <w:pPr>
              <w:keepNext w:val="0"/>
              <w:keepLines w:val="0"/>
              <w:pageBreakBefore w:val="0"/>
              <w:kinsoku/>
              <w:wordWrap/>
              <w:overflowPunct/>
              <w:topLinePunct w:val="0"/>
              <w:autoSpaceDE/>
              <w:autoSpaceDN/>
              <w:bidi w:val="0"/>
              <w:spacing w:beforeAutospacing="0" w:afterAutospacing="0" w:line="400" w:lineRule="exact"/>
              <w:ind w:left="-103" w:leftChars="-49" w:right="-108"/>
              <w:jc w:val="center"/>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snapToGrid w:val="0"/>
                <w:color w:val="auto"/>
                <w:sz w:val="22"/>
                <w:szCs w:val="22"/>
                <w:highlight w:val="none"/>
              </w:rPr>
              <w:t>评分内容</w:t>
            </w:r>
          </w:p>
        </w:tc>
        <w:tc>
          <w:tcPr>
            <w:tcW w:w="426" w:type="pct"/>
            <w:noWrap w:val="0"/>
            <w:vAlign w:val="center"/>
          </w:tcPr>
          <w:p w14:paraId="0AA50951">
            <w:pPr>
              <w:keepNext w:val="0"/>
              <w:keepLines w:val="0"/>
              <w:pageBreakBefore w:val="0"/>
              <w:kinsoku/>
              <w:wordWrap/>
              <w:overflowPunct/>
              <w:topLinePunct w:val="0"/>
              <w:autoSpaceDE/>
              <w:autoSpaceDN/>
              <w:bidi w:val="0"/>
              <w:spacing w:beforeAutospacing="0" w:afterAutospacing="0" w:line="400" w:lineRule="exact"/>
              <w:ind w:left="-103" w:leftChars="-49" w:right="-108"/>
              <w:jc w:val="center"/>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sz w:val="22"/>
                <w:szCs w:val="22"/>
                <w:highlight w:val="none"/>
              </w:rPr>
              <w:t>分值</w:t>
            </w:r>
          </w:p>
        </w:tc>
        <w:tc>
          <w:tcPr>
            <w:tcW w:w="3388" w:type="pct"/>
            <w:noWrap w:val="0"/>
            <w:vAlign w:val="center"/>
          </w:tcPr>
          <w:p w14:paraId="7126F42B">
            <w:pPr>
              <w:keepNext w:val="0"/>
              <w:keepLines w:val="0"/>
              <w:pageBreakBefore w:val="0"/>
              <w:kinsoku/>
              <w:wordWrap/>
              <w:overflowPunct/>
              <w:topLinePunct w:val="0"/>
              <w:autoSpaceDE/>
              <w:autoSpaceDN/>
              <w:bidi w:val="0"/>
              <w:spacing w:beforeAutospacing="0" w:afterAutospacing="0" w:line="400" w:lineRule="exact"/>
              <w:ind w:left="331" w:right="6" w:hanging="331" w:hangingChars="150"/>
              <w:jc w:val="center"/>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sz w:val="22"/>
                <w:szCs w:val="22"/>
                <w:highlight w:val="none"/>
              </w:rPr>
              <w:t>评审标准</w:t>
            </w:r>
          </w:p>
        </w:tc>
      </w:tr>
      <w:tr w14:paraId="2366F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5" w:type="pct"/>
            <w:noWrap w:val="0"/>
            <w:vAlign w:val="center"/>
          </w:tcPr>
          <w:p w14:paraId="283AC413">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bCs/>
                <w:color w:val="auto"/>
                <w:sz w:val="22"/>
                <w:szCs w:val="22"/>
                <w:highlight w:val="none"/>
              </w:rPr>
              <w:t>1</w:t>
            </w:r>
          </w:p>
        </w:tc>
        <w:tc>
          <w:tcPr>
            <w:tcW w:w="758" w:type="pct"/>
            <w:noWrap w:val="0"/>
            <w:vAlign w:val="center"/>
          </w:tcPr>
          <w:p w14:paraId="6E223756">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bCs/>
                <w:color w:val="auto"/>
                <w:sz w:val="22"/>
                <w:szCs w:val="22"/>
                <w:highlight w:val="none"/>
              </w:rPr>
              <w:t>供应商业绩</w:t>
            </w:r>
          </w:p>
        </w:tc>
        <w:tc>
          <w:tcPr>
            <w:tcW w:w="426" w:type="pct"/>
            <w:noWrap w:val="0"/>
            <w:vAlign w:val="center"/>
          </w:tcPr>
          <w:p w14:paraId="12672C14">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2分</w:t>
            </w:r>
          </w:p>
        </w:tc>
        <w:tc>
          <w:tcPr>
            <w:tcW w:w="3388" w:type="pct"/>
            <w:noWrap w:val="0"/>
            <w:vAlign w:val="center"/>
          </w:tcPr>
          <w:p w14:paraId="50B0631A">
            <w:pPr>
              <w:keepNext w:val="0"/>
              <w:keepLines w:val="0"/>
              <w:pageBreakBefore w:val="0"/>
              <w:kinsoku/>
              <w:wordWrap/>
              <w:overflowPunct/>
              <w:topLinePunct w:val="0"/>
              <w:autoSpaceDE/>
              <w:autoSpaceDN/>
              <w:bidi w:val="0"/>
              <w:spacing w:beforeAutospacing="0" w:afterAutospacing="0"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根据供应商提供2022年1月1日至今同类项目业绩：每提供1个业绩得</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分，最高得2分。</w:t>
            </w:r>
          </w:p>
          <w:p w14:paraId="682C6C4E">
            <w:pPr>
              <w:keepNext w:val="0"/>
              <w:keepLines w:val="0"/>
              <w:pageBreakBefore w:val="0"/>
              <w:kinsoku/>
              <w:wordWrap/>
              <w:overflowPunct/>
              <w:topLinePunct w:val="0"/>
              <w:autoSpaceDE/>
              <w:autoSpaceDN/>
              <w:bidi w:val="0"/>
              <w:spacing w:beforeAutospacing="0" w:afterAutospacing="0" w:line="400" w:lineRule="exac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（同时提供合同</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中标通知书及发票，</w:t>
            </w:r>
            <w:r>
              <w:rPr>
                <w:rFonts w:hint="eastAsia" w:ascii="宋体" w:hAnsi="宋体" w:eastAsia="宋体" w:cs="宋体"/>
                <w:color w:val="auto"/>
                <w:sz w:val="22"/>
                <w:szCs w:val="22"/>
                <w:highlight w:val="none"/>
                <w:lang w:val="en-US" w:eastAsia="zh-CN"/>
              </w:rPr>
              <w:t>三者</w:t>
            </w:r>
            <w:r>
              <w:rPr>
                <w:rFonts w:hint="eastAsia" w:ascii="宋体" w:hAnsi="宋体" w:eastAsia="宋体" w:cs="宋体"/>
                <w:color w:val="auto"/>
                <w:sz w:val="22"/>
                <w:szCs w:val="22"/>
                <w:highlight w:val="none"/>
              </w:rPr>
              <w:t>缺一不得分，扫描件加盖电子签章，以上业绩以合同签订时间为准）</w:t>
            </w:r>
          </w:p>
        </w:tc>
      </w:tr>
      <w:tr w14:paraId="25C7F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5" w:type="pct"/>
            <w:noWrap w:val="0"/>
            <w:vAlign w:val="center"/>
          </w:tcPr>
          <w:p w14:paraId="34AF34ED">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bCs/>
                <w:color w:val="auto"/>
                <w:sz w:val="22"/>
                <w:szCs w:val="22"/>
                <w:highlight w:val="none"/>
              </w:rPr>
              <w:t>2</w:t>
            </w:r>
          </w:p>
        </w:tc>
        <w:tc>
          <w:tcPr>
            <w:tcW w:w="758" w:type="pct"/>
            <w:noWrap w:val="0"/>
            <w:vAlign w:val="center"/>
          </w:tcPr>
          <w:p w14:paraId="3E366FE5">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磋商应商</w:t>
            </w:r>
            <w:r>
              <w:rPr>
                <w:rFonts w:hint="eastAsia" w:ascii="宋体" w:hAnsi="宋体" w:eastAsia="宋体" w:cs="宋体"/>
                <w:color w:val="auto"/>
                <w:sz w:val="22"/>
                <w:szCs w:val="22"/>
                <w:highlight w:val="none"/>
              </w:rPr>
              <w:t>企业</w:t>
            </w:r>
            <w:r>
              <w:rPr>
                <w:rFonts w:hint="eastAsia" w:ascii="宋体" w:hAnsi="宋体" w:cs="宋体"/>
                <w:color w:val="auto"/>
                <w:sz w:val="22"/>
                <w:szCs w:val="22"/>
                <w:highlight w:val="none"/>
                <w:lang w:val="en-US" w:eastAsia="zh-CN"/>
              </w:rPr>
              <w:t>认证</w:t>
            </w:r>
          </w:p>
        </w:tc>
        <w:tc>
          <w:tcPr>
            <w:tcW w:w="426" w:type="pct"/>
            <w:noWrap w:val="0"/>
            <w:vAlign w:val="center"/>
          </w:tcPr>
          <w:p w14:paraId="46F6CA0A">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strike/>
                <w:color w:val="auto"/>
                <w:sz w:val="22"/>
                <w:szCs w:val="22"/>
                <w:highlight w:val="none"/>
              </w:rPr>
            </w:pPr>
            <w:r>
              <w:rPr>
                <w:rFonts w:hint="eastAsia" w:ascii="宋体" w:hAnsi="宋体" w:eastAsia="宋体" w:cs="宋体"/>
                <w:bCs/>
                <w:color w:val="auto"/>
                <w:sz w:val="22"/>
                <w:szCs w:val="22"/>
                <w:highlight w:val="none"/>
              </w:rPr>
              <w:t>3分</w:t>
            </w:r>
          </w:p>
        </w:tc>
        <w:tc>
          <w:tcPr>
            <w:tcW w:w="3388" w:type="pct"/>
            <w:noWrap w:val="0"/>
            <w:vAlign w:val="center"/>
          </w:tcPr>
          <w:p w14:paraId="61BEC1A9">
            <w:pPr>
              <w:keepNext w:val="0"/>
              <w:keepLines w:val="0"/>
              <w:pageBreakBefore w:val="0"/>
              <w:kinsoku/>
              <w:wordWrap/>
              <w:overflowPunct/>
              <w:topLinePunct w:val="0"/>
              <w:autoSpaceDE/>
              <w:autoSpaceDN/>
              <w:bidi w:val="0"/>
              <w:spacing w:beforeAutospacing="0" w:afterAutospacing="0"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具备有效的环境管理体系认证证书、质量管理体系认证证书、职业健康安全管理系认证证书，每具备一个证书得1分。</w:t>
            </w:r>
          </w:p>
          <w:p w14:paraId="114C12BB">
            <w:pPr>
              <w:keepNext w:val="0"/>
              <w:keepLines w:val="0"/>
              <w:pageBreakBefore w:val="0"/>
              <w:kinsoku/>
              <w:wordWrap/>
              <w:overflowPunct/>
              <w:topLinePunct w:val="0"/>
              <w:autoSpaceDE/>
              <w:autoSpaceDN/>
              <w:bidi w:val="0"/>
              <w:spacing w:beforeAutospacing="0" w:afterAutospacing="0" w:line="400" w:lineRule="exact"/>
              <w:textAlignment w:val="auto"/>
              <w:rPr>
                <w:rFonts w:hint="eastAsia" w:ascii="宋体" w:hAnsi="宋体" w:eastAsia="宋体" w:cs="宋体"/>
                <w:color w:val="auto"/>
                <w:kern w:val="0"/>
                <w:sz w:val="22"/>
                <w:szCs w:val="22"/>
                <w:highlight w:val="none"/>
              </w:rPr>
            </w:pPr>
            <w:r>
              <w:rPr>
                <w:rFonts w:hint="eastAsia" w:ascii="宋体" w:hAnsi="宋体" w:eastAsia="宋体" w:cs="宋体"/>
                <w:b/>
                <w:bCs/>
                <w:color w:val="auto"/>
                <w:sz w:val="22"/>
                <w:szCs w:val="22"/>
                <w:highlight w:val="none"/>
                <w:lang w:val="zh-CN"/>
              </w:rPr>
              <w:t>注</w:t>
            </w: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lang w:val="zh-CN"/>
              </w:rPr>
              <w:t>须提供</w:t>
            </w:r>
            <w:r>
              <w:rPr>
                <w:rFonts w:hint="eastAsia" w:ascii="宋体" w:hAnsi="宋体" w:eastAsia="宋体" w:cs="宋体"/>
                <w:b/>
                <w:bCs/>
                <w:color w:val="auto"/>
                <w:sz w:val="22"/>
                <w:szCs w:val="22"/>
                <w:highlight w:val="none"/>
              </w:rPr>
              <w:t>以上</w:t>
            </w:r>
            <w:r>
              <w:rPr>
                <w:rFonts w:hint="eastAsia" w:ascii="宋体" w:hAnsi="宋体" w:eastAsia="宋体" w:cs="宋体"/>
                <w:b/>
                <w:bCs/>
                <w:color w:val="auto"/>
                <w:sz w:val="22"/>
                <w:szCs w:val="22"/>
                <w:highlight w:val="none"/>
                <w:lang w:val="zh-CN"/>
              </w:rPr>
              <w:t>有效期内证书原件扫描件及国家认证认可监督管理委员会</w:t>
            </w:r>
            <w:r>
              <w:rPr>
                <w:rFonts w:hint="eastAsia" w:ascii="宋体" w:hAnsi="宋体" w:eastAsia="宋体" w:cs="宋体"/>
                <w:b/>
                <w:bCs/>
                <w:color w:val="auto"/>
                <w:sz w:val="22"/>
                <w:szCs w:val="22"/>
                <w:highlight w:val="none"/>
              </w:rPr>
              <w:t>http://cx.cnca.cn/</w:t>
            </w:r>
            <w:r>
              <w:rPr>
                <w:rFonts w:hint="eastAsia" w:ascii="宋体" w:hAnsi="宋体" w:eastAsia="宋体" w:cs="宋体"/>
                <w:b/>
                <w:bCs/>
                <w:color w:val="auto"/>
                <w:sz w:val="22"/>
                <w:szCs w:val="22"/>
                <w:highlight w:val="none"/>
                <w:lang w:val="zh-CN"/>
              </w:rPr>
              <w:t>查询截图并加盖投标单位公章</w:t>
            </w: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lang w:val="zh-CN"/>
              </w:rPr>
              <w:t>否则不得分。</w:t>
            </w:r>
          </w:p>
        </w:tc>
      </w:tr>
      <w:tr w14:paraId="7F1D4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5" w:type="pct"/>
            <w:noWrap w:val="0"/>
            <w:vAlign w:val="center"/>
          </w:tcPr>
          <w:p w14:paraId="217022C1">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3</w:t>
            </w:r>
          </w:p>
        </w:tc>
        <w:tc>
          <w:tcPr>
            <w:tcW w:w="758" w:type="pct"/>
            <w:noWrap w:val="0"/>
            <w:vAlign w:val="center"/>
          </w:tcPr>
          <w:p w14:paraId="2272C212">
            <w:pPr>
              <w:keepNext w:val="0"/>
              <w:keepLines w:val="0"/>
              <w:pageBreakBefore w:val="0"/>
              <w:kinsoku/>
              <w:wordWrap/>
              <w:overflowPunct/>
              <w:topLinePunct w:val="0"/>
              <w:autoSpaceDE/>
              <w:autoSpaceDN/>
              <w:bidi w:val="0"/>
              <w:spacing w:beforeAutospacing="0" w:afterAutospacing="0" w:line="400" w:lineRule="exac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产品的技术规格、性能、质量水平的符合性</w:t>
            </w:r>
          </w:p>
        </w:tc>
        <w:tc>
          <w:tcPr>
            <w:tcW w:w="426" w:type="pct"/>
            <w:noWrap w:val="0"/>
            <w:vAlign w:val="center"/>
          </w:tcPr>
          <w:p w14:paraId="2B3F2D59">
            <w:pPr>
              <w:keepNext w:val="0"/>
              <w:keepLines w:val="0"/>
              <w:pageBreakBefore w:val="0"/>
              <w:kinsoku/>
              <w:wordWrap/>
              <w:overflowPunct/>
              <w:topLinePunct w:val="0"/>
              <w:autoSpaceDE/>
              <w:autoSpaceDN/>
              <w:bidi w:val="0"/>
              <w:spacing w:beforeAutospacing="0" w:afterAutospacing="0"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分</w:t>
            </w:r>
          </w:p>
        </w:tc>
        <w:tc>
          <w:tcPr>
            <w:tcW w:w="3388" w:type="pct"/>
            <w:noWrap w:val="0"/>
            <w:vAlign w:val="center"/>
          </w:tcPr>
          <w:p w14:paraId="7487AF76">
            <w:pPr>
              <w:keepNext w:val="0"/>
              <w:keepLines w:val="0"/>
              <w:pageBreakBefore w:val="0"/>
              <w:kinsoku/>
              <w:wordWrap/>
              <w:overflowPunct/>
              <w:topLinePunct w:val="0"/>
              <w:autoSpaceDE/>
              <w:autoSpaceDN/>
              <w:bidi w:val="0"/>
              <w:spacing w:beforeAutospacing="0" w:afterAutospacing="0" w:line="400" w:lineRule="exact"/>
              <w:textAlignment w:val="auto"/>
              <w:rPr>
                <w:rFonts w:hint="eastAsia" w:ascii="宋体" w:hAnsi="宋体" w:eastAsia="宋体" w:cs="宋体"/>
                <w:color w:val="auto"/>
                <w:kern w:val="0"/>
                <w:sz w:val="22"/>
                <w:szCs w:val="22"/>
                <w:highlight w:val="none"/>
              </w:rPr>
            </w:pPr>
            <w:r>
              <w:rPr>
                <w:rFonts w:hint="eastAsia" w:ascii="宋体" w:hAnsi="宋体" w:cs="宋体"/>
                <w:color w:val="auto"/>
                <w:sz w:val="22"/>
                <w:szCs w:val="22"/>
                <w:highlight w:val="none"/>
                <w:lang w:val="en-US" w:eastAsia="zh-CN"/>
              </w:rPr>
              <w:t>提供的产品</w:t>
            </w:r>
            <w:r>
              <w:rPr>
                <w:rFonts w:hint="eastAsia" w:ascii="宋体" w:hAnsi="宋体" w:eastAsia="宋体" w:cs="宋体"/>
                <w:color w:val="auto"/>
                <w:sz w:val="22"/>
                <w:szCs w:val="22"/>
                <w:highlight w:val="none"/>
              </w:rPr>
              <w:t>全部满足</w:t>
            </w:r>
            <w:r>
              <w:rPr>
                <w:rFonts w:hint="eastAsia" w:ascii="宋体" w:hAnsi="宋体" w:cs="宋体"/>
                <w:color w:val="auto"/>
                <w:sz w:val="22"/>
                <w:szCs w:val="22"/>
                <w:highlight w:val="none"/>
                <w:lang w:val="en-US" w:eastAsia="zh-CN"/>
              </w:rPr>
              <w:t>磋商</w:t>
            </w:r>
            <w:r>
              <w:rPr>
                <w:rFonts w:hint="eastAsia" w:ascii="宋体" w:hAnsi="宋体" w:eastAsia="宋体" w:cs="宋体"/>
                <w:color w:val="auto"/>
                <w:sz w:val="22"/>
                <w:szCs w:val="22"/>
                <w:highlight w:val="none"/>
              </w:rPr>
              <w:t>文件明确的功能、性能和技术指标要求，得2</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分；产品功能、性能和技术指标不满足或负偏离的每项扣1分，标注“★”为重要参数，需提供证明材料，标注“★”参数低于采购需求（负偏离）的或不提供证明材料的，每项扣</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 xml:space="preserve">分，扣完为止。 </w:t>
            </w:r>
          </w:p>
        </w:tc>
      </w:tr>
      <w:tr w14:paraId="256C7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5" w:type="pct"/>
            <w:noWrap w:val="0"/>
            <w:vAlign w:val="center"/>
          </w:tcPr>
          <w:p w14:paraId="67D76D0E">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4</w:t>
            </w:r>
          </w:p>
        </w:tc>
        <w:tc>
          <w:tcPr>
            <w:tcW w:w="758" w:type="pct"/>
            <w:noWrap w:val="0"/>
            <w:vAlign w:val="center"/>
          </w:tcPr>
          <w:p w14:paraId="25A3D8ED">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bCs/>
                <w:color w:val="auto"/>
                <w:sz w:val="22"/>
                <w:szCs w:val="22"/>
                <w:highlight w:val="none"/>
              </w:rPr>
              <w:t>不锈钢原材料的检测及保障</w:t>
            </w:r>
          </w:p>
        </w:tc>
        <w:tc>
          <w:tcPr>
            <w:tcW w:w="426" w:type="pct"/>
            <w:noWrap w:val="0"/>
            <w:vAlign w:val="center"/>
          </w:tcPr>
          <w:p w14:paraId="38D4E1E7">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bCs/>
                <w:color w:val="auto"/>
                <w:sz w:val="22"/>
                <w:szCs w:val="22"/>
                <w:highlight w:val="none"/>
              </w:rPr>
              <w:t>5分</w:t>
            </w:r>
          </w:p>
        </w:tc>
        <w:tc>
          <w:tcPr>
            <w:tcW w:w="3388" w:type="pct"/>
            <w:noWrap w:val="0"/>
            <w:vAlign w:val="center"/>
          </w:tcPr>
          <w:p w14:paraId="74E0AD15">
            <w:pPr>
              <w:keepNext w:val="0"/>
              <w:keepLines w:val="0"/>
              <w:pageBreakBefore w:val="0"/>
              <w:kinsoku/>
              <w:wordWrap/>
              <w:overflowPunct/>
              <w:topLinePunct w:val="0"/>
              <w:autoSpaceDE/>
              <w:autoSpaceDN/>
              <w:bidi w:val="0"/>
              <w:spacing w:beforeAutospacing="0" w:afterAutospacing="0" w:line="400" w:lineRule="exact"/>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lang w:eastAsia="zh-CN"/>
              </w:rPr>
              <w:t>磋商供应商</w:t>
            </w:r>
            <w:r>
              <w:rPr>
                <w:rFonts w:hint="eastAsia" w:ascii="宋体" w:hAnsi="宋体" w:eastAsia="宋体" w:cs="宋体"/>
                <w:color w:val="auto"/>
                <w:sz w:val="22"/>
                <w:szCs w:val="22"/>
                <w:highlight w:val="none"/>
              </w:rPr>
              <w:t>具有相关检测资质机构出具的304不锈钢板、不锈钢圆管、不锈钢方管检测合格报告，同时符合GB/T 11170-2008《不锈钢 多元素含量的测定 火花放电原子发射光谱法（常规法》、GB 31604.49-2016《食品安全国家标准 食品接触材料及制品 砷、镉、铬、铅的测定和砷、镉、铬、镍、铅、锑、锌迁移量的测定》、GB/T 10125-2021《人造气氛腐蚀试验盐雾试验》（190小时及以上）、GB/T6461-2002《金属基体上金属和其他无机覆盖层经腐蚀试验后的试样和试件的评级》、GB/T 4334-2020不锈钢板需在铜-硫酸铜-1硫酸溶液《微沸)中弯曲成180°、10%显微镜观察弯曲式样外表面无裂纹，每提供一份得1分，最高得3分。不提供不得分</w:t>
            </w:r>
            <w:r>
              <w:rPr>
                <w:rFonts w:hint="eastAsia" w:ascii="宋体" w:hAnsi="宋体" w:eastAsia="宋体" w:cs="宋体"/>
                <w:color w:val="auto"/>
                <w:sz w:val="22"/>
                <w:szCs w:val="22"/>
                <w:highlight w:val="none"/>
                <w:lang w:eastAsia="zh-CN"/>
              </w:rPr>
              <w:t>。</w:t>
            </w:r>
          </w:p>
          <w:p w14:paraId="0D272FE4">
            <w:pPr>
              <w:keepNext w:val="0"/>
              <w:keepLines w:val="0"/>
              <w:pageBreakBefore w:val="0"/>
              <w:kinsoku/>
              <w:wordWrap/>
              <w:overflowPunct/>
              <w:topLinePunct w:val="0"/>
              <w:autoSpaceDE/>
              <w:autoSpaceDN/>
              <w:bidi w:val="0"/>
              <w:spacing w:beforeAutospacing="0" w:afterAutospacing="0" w:line="400" w:lineRule="exact"/>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lang w:eastAsia="zh-CN"/>
              </w:rPr>
              <w:t>磋商供应商</w:t>
            </w:r>
            <w:r>
              <w:rPr>
                <w:rFonts w:hint="eastAsia" w:ascii="宋体" w:hAnsi="宋体" w:eastAsia="宋体" w:cs="宋体"/>
                <w:color w:val="auto"/>
                <w:sz w:val="22"/>
                <w:szCs w:val="22"/>
                <w:highlight w:val="none"/>
              </w:rPr>
              <w:t>具有相关检测资质机构出具的304不锈钢板检测合格报告，乙酸盐雾200h项目按QB /T382</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-1999标准进行检验，QB /T3832-1999标准进行分级评定结果为10级，提供一份得2分，不提供不得分。</w:t>
            </w:r>
          </w:p>
          <w:p w14:paraId="023128BC">
            <w:pPr>
              <w:keepNext w:val="0"/>
              <w:keepLines w:val="0"/>
              <w:pageBreakBefore w:val="0"/>
              <w:kinsoku/>
              <w:wordWrap/>
              <w:overflowPunct/>
              <w:topLinePunct w:val="0"/>
              <w:autoSpaceDE/>
              <w:autoSpaceDN/>
              <w:bidi w:val="0"/>
              <w:spacing w:beforeAutospacing="0" w:afterAutospacing="0" w:line="400" w:lineRule="exact"/>
              <w:textAlignment w:val="auto"/>
              <w:rPr>
                <w:rFonts w:hint="eastAsia" w:ascii="宋体" w:hAnsi="宋体" w:eastAsia="宋体" w:cs="宋体"/>
                <w:color w:val="auto"/>
                <w:kern w:val="0"/>
                <w:sz w:val="22"/>
                <w:szCs w:val="22"/>
                <w:highlight w:val="none"/>
              </w:rPr>
            </w:pPr>
            <w:r>
              <w:rPr>
                <w:rFonts w:hint="eastAsia" w:ascii="宋体" w:hAnsi="宋体" w:cs="宋体"/>
                <w:color w:val="auto"/>
                <w:sz w:val="22"/>
                <w:szCs w:val="22"/>
                <w:highlight w:val="none"/>
                <w:lang w:val="en-US" w:eastAsia="zh-CN"/>
              </w:rPr>
              <w:t>注：</w:t>
            </w:r>
            <w:r>
              <w:rPr>
                <w:rFonts w:hint="eastAsia" w:ascii="宋体" w:hAnsi="宋体" w:eastAsia="宋体" w:cs="宋体"/>
                <w:color w:val="auto"/>
                <w:sz w:val="22"/>
                <w:szCs w:val="22"/>
                <w:highlight w:val="none"/>
              </w:rPr>
              <w:t>需提供检测报告复印件</w:t>
            </w:r>
            <w:r>
              <w:rPr>
                <w:rFonts w:hint="eastAsia" w:ascii="宋体" w:hAnsi="宋体" w:cs="宋体"/>
                <w:color w:val="auto"/>
                <w:sz w:val="22"/>
                <w:szCs w:val="22"/>
                <w:highlight w:val="none"/>
                <w:lang w:val="en-US" w:eastAsia="zh-CN"/>
              </w:rPr>
              <w:t>或扫描件</w:t>
            </w:r>
            <w:r>
              <w:rPr>
                <w:rFonts w:hint="eastAsia" w:ascii="宋体" w:hAnsi="宋体" w:eastAsia="宋体" w:cs="宋体"/>
                <w:color w:val="auto"/>
                <w:sz w:val="22"/>
                <w:szCs w:val="22"/>
                <w:highlight w:val="none"/>
              </w:rPr>
              <w:t>加盖公章</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否则不予认可</w:t>
            </w:r>
            <w:r>
              <w:rPr>
                <w:rFonts w:hint="eastAsia" w:ascii="宋体" w:hAnsi="宋体" w:cs="宋体"/>
                <w:color w:val="auto"/>
                <w:sz w:val="22"/>
                <w:szCs w:val="22"/>
                <w:highlight w:val="none"/>
                <w:lang w:eastAsia="zh-CN"/>
              </w:rPr>
              <w:t>。</w:t>
            </w:r>
          </w:p>
        </w:tc>
      </w:tr>
      <w:tr w14:paraId="0E711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5" w:type="pct"/>
            <w:vMerge w:val="restart"/>
            <w:noWrap w:val="0"/>
            <w:vAlign w:val="center"/>
          </w:tcPr>
          <w:p w14:paraId="5255EF8E">
            <w:pPr>
              <w:pStyle w:val="36"/>
              <w:keepNext w:val="0"/>
              <w:keepLines w:val="0"/>
              <w:pageBreakBefore w:val="0"/>
              <w:kinsoku/>
              <w:wordWrap/>
              <w:overflowPunct/>
              <w:topLinePunct w:val="0"/>
              <w:autoSpaceDE/>
              <w:autoSpaceDN/>
              <w:bidi w:val="0"/>
              <w:spacing w:beforeAutospacing="0" w:after="0" w:afterLines="0" w:afterAutospacing="0" w:line="400" w:lineRule="exact"/>
              <w:ind w:firstLine="0" w:firstLineChars="0"/>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bCs/>
                <w:color w:val="auto"/>
                <w:sz w:val="22"/>
                <w:szCs w:val="22"/>
                <w:highlight w:val="none"/>
                <w:lang w:val="en-US" w:eastAsia="zh-CN"/>
              </w:rPr>
              <w:t>5</w:t>
            </w:r>
          </w:p>
        </w:tc>
        <w:tc>
          <w:tcPr>
            <w:tcW w:w="758" w:type="pct"/>
            <w:vMerge w:val="restart"/>
            <w:noWrap w:val="0"/>
            <w:vAlign w:val="center"/>
          </w:tcPr>
          <w:p w14:paraId="786FA22C">
            <w:pPr>
              <w:keepNext w:val="0"/>
              <w:keepLines w:val="0"/>
              <w:pageBreakBefore w:val="0"/>
              <w:kinsoku/>
              <w:wordWrap/>
              <w:overflowPunct/>
              <w:topLinePunct w:val="0"/>
              <w:autoSpaceDE/>
              <w:autoSpaceDN/>
              <w:bidi w:val="0"/>
              <w:spacing w:beforeAutospacing="0" w:afterAutospacing="0" w:line="400" w:lineRule="exact"/>
              <w:ind w:right="3"/>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bCs/>
                <w:color w:val="auto"/>
                <w:sz w:val="22"/>
                <w:szCs w:val="22"/>
                <w:highlight w:val="none"/>
              </w:rPr>
              <w:t>项目实施方案</w:t>
            </w:r>
          </w:p>
        </w:tc>
        <w:tc>
          <w:tcPr>
            <w:tcW w:w="426" w:type="pct"/>
            <w:noWrap w:val="0"/>
            <w:vAlign w:val="center"/>
          </w:tcPr>
          <w:p w14:paraId="056EE980">
            <w:pPr>
              <w:keepNext w:val="0"/>
              <w:keepLines w:val="0"/>
              <w:pageBreakBefore w:val="0"/>
              <w:kinsoku/>
              <w:wordWrap/>
              <w:overflowPunct/>
              <w:topLinePunct w:val="0"/>
              <w:autoSpaceDE/>
              <w:autoSpaceDN/>
              <w:bidi w:val="0"/>
              <w:spacing w:beforeAutospacing="0" w:afterAutospacing="0" w:line="400" w:lineRule="exact"/>
              <w:jc w:val="center"/>
              <w:textAlignment w:val="auto"/>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5分</w:t>
            </w:r>
          </w:p>
        </w:tc>
        <w:tc>
          <w:tcPr>
            <w:tcW w:w="3388" w:type="pct"/>
            <w:noWrap w:val="0"/>
            <w:vAlign w:val="center"/>
          </w:tcPr>
          <w:p w14:paraId="7F8B2ABF">
            <w:pPr>
              <w:keepNext w:val="0"/>
              <w:keepLines w:val="0"/>
              <w:pageBreakBefore w:val="0"/>
              <w:kinsoku/>
              <w:wordWrap/>
              <w:overflowPunct/>
              <w:topLinePunct w:val="0"/>
              <w:autoSpaceDE/>
              <w:autoSpaceDN/>
              <w:bidi w:val="0"/>
              <w:spacing w:beforeAutospacing="0" w:afterAutospacing="0" w:line="400" w:lineRule="exac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根据</w:t>
            </w:r>
            <w:r>
              <w:rPr>
                <w:rFonts w:hint="eastAsia" w:ascii="宋体" w:hAnsi="宋体" w:cs="宋体"/>
                <w:color w:val="auto"/>
                <w:sz w:val="22"/>
                <w:szCs w:val="22"/>
                <w:highlight w:val="none"/>
                <w:lang w:eastAsia="zh-CN"/>
              </w:rPr>
              <w:t>磋商供应商</w:t>
            </w:r>
            <w:r>
              <w:rPr>
                <w:rFonts w:hint="eastAsia" w:ascii="宋体" w:hAnsi="宋体" w:eastAsia="宋体" w:cs="宋体"/>
                <w:color w:val="auto"/>
                <w:sz w:val="22"/>
                <w:szCs w:val="22"/>
                <w:highlight w:val="none"/>
              </w:rPr>
              <w:t>提供的保证工期的方案和措施</w:t>
            </w:r>
            <w:r>
              <w:rPr>
                <w:rFonts w:hint="eastAsia" w:ascii="宋体" w:hAnsi="宋体" w:eastAsia="宋体" w:cs="宋体"/>
                <w:color w:val="auto"/>
                <w:sz w:val="22"/>
                <w:szCs w:val="22"/>
                <w:highlight w:val="none"/>
                <w:lang w:eastAsia="zh-CN"/>
              </w:rPr>
              <w:t>，进行综合评定：</w:t>
            </w:r>
          </w:p>
          <w:p w14:paraId="687BC4BB">
            <w:pPr>
              <w:keepNext w:val="0"/>
              <w:keepLines w:val="0"/>
              <w:pageBreakBefore w:val="0"/>
              <w:kinsoku/>
              <w:wordWrap/>
              <w:overflowPunct/>
              <w:topLinePunct w:val="0"/>
              <w:autoSpaceDE/>
              <w:autoSpaceDN/>
              <w:bidi w:val="0"/>
              <w:spacing w:beforeAutospacing="0" w:afterAutospacing="0"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针对本项目，提供了工期方案，内容全面详细，措施针对性强、切实可行</w:t>
            </w:r>
            <w:r>
              <w:rPr>
                <w:rFonts w:hint="eastAsia" w:ascii="宋体" w:hAnsi="宋体" w:cs="宋体"/>
                <w:color w:val="auto"/>
                <w:sz w:val="22"/>
                <w:szCs w:val="22"/>
                <w:highlight w:val="none"/>
                <w:lang w:val="en-US" w:eastAsia="zh-CN"/>
              </w:rPr>
              <w:t>，提供完整的效果图或bim图的</w:t>
            </w:r>
            <w:r>
              <w:rPr>
                <w:rFonts w:hint="eastAsia" w:ascii="宋体" w:hAnsi="宋体" w:eastAsia="宋体" w:cs="宋体"/>
                <w:color w:val="auto"/>
                <w:sz w:val="22"/>
                <w:szCs w:val="22"/>
                <w:highlight w:val="none"/>
              </w:rPr>
              <w:t>，得</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p w14:paraId="3777054B">
            <w:pPr>
              <w:keepNext w:val="0"/>
              <w:keepLines w:val="0"/>
              <w:pageBreakBefore w:val="0"/>
              <w:kinsoku/>
              <w:wordWrap/>
              <w:overflowPunct/>
              <w:topLinePunct w:val="0"/>
              <w:autoSpaceDE/>
              <w:autoSpaceDN/>
              <w:bidi w:val="0"/>
              <w:spacing w:beforeAutospacing="0" w:afterAutospacing="0"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针对本项目，提供了工期方案，内容较为详细，措施针对性较强、较为可行，</w:t>
            </w:r>
            <w:r>
              <w:rPr>
                <w:rFonts w:hint="eastAsia" w:ascii="宋体" w:hAnsi="宋体" w:cs="宋体"/>
                <w:color w:val="auto"/>
                <w:sz w:val="22"/>
                <w:szCs w:val="22"/>
                <w:highlight w:val="none"/>
                <w:lang w:val="en-US" w:eastAsia="zh-CN"/>
              </w:rPr>
              <w:t>提供效果图或bim图的，</w:t>
            </w:r>
            <w:r>
              <w:rPr>
                <w:rFonts w:hint="eastAsia" w:ascii="宋体" w:hAnsi="宋体" w:eastAsia="宋体" w:cs="宋体"/>
                <w:color w:val="auto"/>
                <w:sz w:val="22"/>
                <w:szCs w:val="22"/>
                <w:highlight w:val="none"/>
              </w:rPr>
              <w:t>得</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p w14:paraId="44F078B8">
            <w:pPr>
              <w:keepNext w:val="0"/>
              <w:keepLines w:val="0"/>
              <w:pageBreakBefore w:val="0"/>
              <w:kinsoku/>
              <w:wordWrap/>
              <w:overflowPunct/>
              <w:topLinePunct w:val="0"/>
              <w:autoSpaceDE/>
              <w:autoSpaceDN/>
              <w:bidi w:val="0"/>
              <w:spacing w:beforeAutospacing="0" w:afterAutospacing="0"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针对本项目，提供了工期方案，内容基本详细，措施具有一定的针对性，基本可行，得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p w14:paraId="73DB14A2">
            <w:pPr>
              <w:keepNext w:val="0"/>
              <w:keepLines w:val="0"/>
              <w:pageBreakBefore w:val="0"/>
              <w:kinsoku/>
              <w:wordWrap/>
              <w:overflowPunct/>
              <w:topLinePunct w:val="0"/>
              <w:autoSpaceDE/>
              <w:autoSpaceDN/>
              <w:bidi w:val="0"/>
              <w:spacing w:beforeAutospacing="0" w:afterAutospacing="0" w:line="400" w:lineRule="exac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sz w:val="22"/>
                <w:szCs w:val="22"/>
                <w:highlight w:val="none"/>
                <w:lang w:val="en-US" w:eastAsia="zh-CN"/>
              </w:rPr>
              <w:t>未提供方案</w:t>
            </w:r>
            <w:r>
              <w:rPr>
                <w:rFonts w:hint="eastAsia" w:ascii="宋体" w:hAnsi="宋体" w:eastAsia="宋体" w:cs="宋体"/>
                <w:color w:val="auto"/>
                <w:sz w:val="22"/>
                <w:szCs w:val="22"/>
                <w:highlight w:val="none"/>
              </w:rPr>
              <w:t>则不得分</w:t>
            </w:r>
            <w:r>
              <w:rPr>
                <w:rFonts w:hint="eastAsia" w:ascii="宋体" w:hAnsi="宋体" w:eastAsia="宋体" w:cs="宋体"/>
                <w:color w:val="auto"/>
                <w:sz w:val="22"/>
                <w:szCs w:val="22"/>
                <w:highlight w:val="none"/>
                <w:lang w:eastAsia="zh-CN"/>
              </w:rPr>
              <w:t>。</w:t>
            </w:r>
          </w:p>
        </w:tc>
      </w:tr>
      <w:tr w14:paraId="02780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5" w:type="pct"/>
            <w:vMerge w:val="continue"/>
            <w:noWrap w:val="0"/>
            <w:vAlign w:val="center"/>
          </w:tcPr>
          <w:p w14:paraId="621E6CF3">
            <w:pPr>
              <w:keepNext w:val="0"/>
              <w:keepLines w:val="0"/>
              <w:pageBreakBefore w:val="0"/>
              <w:kinsoku/>
              <w:wordWrap/>
              <w:overflowPunct/>
              <w:topLinePunct w:val="0"/>
              <w:autoSpaceDE/>
              <w:autoSpaceDN/>
              <w:bidi w:val="0"/>
              <w:spacing w:beforeAutospacing="0" w:afterAutospacing="0" w:line="400" w:lineRule="exact"/>
              <w:textAlignment w:val="auto"/>
              <w:rPr>
                <w:rFonts w:hint="eastAsia" w:ascii="宋体" w:hAnsi="宋体" w:eastAsia="宋体" w:cs="宋体"/>
                <w:color w:val="auto"/>
                <w:kern w:val="0"/>
                <w:sz w:val="22"/>
                <w:szCs w:val="22"/>
                <w:highlight w:val="none"/>
              </w:rPr>
            </w:pPr>
          </w:p>
        </w:tc>
        <w:tc>
          <w:tcPr>
            <w:tcW w:w="758" w:type="pct"/>
            <w:vMerge w:val="continue"/>
            <w:noWrap w:val="0"/>
            <w:vAlign w:val="center"/>
          </w:tcPr>
          <w:p w14:paraId="2B56F210">
            <w:pPr>
              <w:keepNext w:val="0"/>
              <w:keepLines w:val="0"/>
              <w:pageBreakBefore w:val="0"/>
              <w:kinsoku/>
              <w:wordWrap/>
              <w:overflowPunct/>
              <w:topLinePunct w:val="0"/>
              <w:autoSpaceDE/>
              <w:autoSpaceDN/>
              <w:bidi w:val="0"/>
              <w:spacing w:beforeAutospacing="0" w:afterAutospacing="0" w:line="400" w:lineRule="exact"/>
              <w:textAlignment w:val="auto"/>
              <w:rPr>
                <w:rFonts w:hint="eastAsia" w:ascii="宋体" w:hAnsi="宋体" w:eastAsia="宋体" w:cs="宋体"/>
                <w:color w:val="auto"/>
                <w:kern w:val="0"/>
                <w:sz w:val="22"/>
                <w:szCs w:val="22"/>
                <w:highlight w:val="none"/>
              </w:rPr>
            </w:pPr>
          </w:p>
        </w:tc>
        <w:tc>
          <w:tcPr>
            <w:tcW w:w="426" w:type="pct"/>
            <w:noWrap w:val="0"/>
            <w:vAlign w:val="center"/>
          </w:tcPr>
          <w:p w14:paraId="34AFA2BB">
            <w:pPr>
              <w:keepNext w:val="0"/>
              <w:keepLines w:val="0"/>
              <w:pageBreakBefore w:val="0"/>
              <w:kinsoku/>
              <w:wordWrap/>
              <w:overflowPunct/>
              <w:topLinePunct w:val="0"/>
              <w:autoSpaceDE/>
              <w:autoSpaceDN/>
              <w:bidi w:val="0"/>
              <w:spacing w:beforeAutospacing="0" w:afterAutospacing="0" w:line="400" w:lineRule="exact"/>
              <w:jc w:val="center"/>
              <w:textAlignment w:val="auto"/>
              <w:rPr>
                <w:rFonts w:hint="default"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6分</w:t>
            </w:r>
          </w:p>
        </w:tc>
        <w:tc>
          <w:tcPr>
            <w:tcW w:w="3388" w:type="pct"/>
            <w:noWrap w:val="0"/>
            <w:vAlign w:val="center"/>
          </w:tcPr>
          <w:p w14:paraId="53B023DA">
            <w:pPr>
              <w:keepNext w:val="0"/>
              <w:keepLines w:val="0"/>
              <w:pageBreakBefore w:val="0"/>
              <w:kinsoku/>
              <w:wordWrap/>
              <w:overflowPunct/>
              <w:topLinePunct w:val="0"/>
              <w:autoSpaceDE/>
              <w:autoSpaceDN/>
              <w:bidi w:val="0"/>
              <w:spacing w:beforeAutospacing="0" w:afterAutospacing="0" w:line="400" w:lineRule="exac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根据</w:t>
            </w:r>
            <w:r>
              <w:rPr>
                <w:rFonts w:hint="eastAsia" w:ascii="宋体" w:hAnsi="宋体" w:cs="宋体"/>
                <w:color w:val="auto"/>
                <w:sz w:val="22"/>
                <w:szCs w:val="22"/>
                <w:highlight w:val="none"/>
                <w:lang w:eastAsia="zh-CN"/>
              </w:rPr>
              <w:t>磋商供应商</w:t>
            </w:r>
            <w:r>
              <w:rPr>
                <w:rFonts w:hint="eastAsia" w:ascii="宋体" w:hAnsi="宋体" w:eastAsia="宋体" w:cs="宋体"/>
                <w:color w:val="auto"/>
                <w:sz w:val="22"/>
                <w:szCs w:val="22"/>
                <w:highlight w:val="none"/>
                <w:lang w:eastAsia="zh-CN"/>
              </w:rPr>
              <w:t>提供的</w:t>
            </w:r>
            <w:r>
              <w:rPr>
                <w:rFonts w:hint="eastAsia" w:ascii="宋体" w:hAnsi="宋体" w:eastAsia="宋体" w:cs="宋体"/>
                <w:color w:val="auto"/>
                <w:sz w:val="22"/>
                <w:szCs w:val="22"/>
                <w:highlight w:val="none"/>
              </w:rPr>
              <w:t>安装、调试、验收的方案，进行综合评定</w:t>
            </w:r>
            <w:r>
              <w:rPr>
                <w:rFonts w:hint="eastAsia" w:ascii="宋体" w:hAnsi="宋体" w:eastAsia="宋体" w:cs="宋体"/>
                <w:color w:val="auto"/>
                <w:sz w:val="22"/>
                <w:szCs w:val="22"/>
                <w:highlight w:val="none"/>
                <w:lang w:eastAsia="zh-CN"/>
              </w:rPr>
              <w:t>：</w:t>
            </w:r>
          </w:p>
          <w:p w14:paraId="5C448E87">
            <w:pPr>
              <w:keepNext w:val="0"/>
              <w:keepLines w:val="0"/>
              <w:pageBreakBefore w:val="0"/>
              <w:kinsoku/>
              <w:wordWrap/>
              <w:overflowPunct/>
              <w:topLinePunct w:val="0"/>
              <w:autoSpaceDE/>
              <w:autoSpaceDN/>
              <w:bidi w:val="0"/>
              <w:spacing w:beforeAutospacing="0" w:afterAutospacing="0"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提供了针对本项目的安装、调试、验收的方案和质量保证措施，内容全面详细，措施针对性强、切实可行，得</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分；</w:t>
            </w:r>
          </w:p>
          <w:p w14:paraId="435B71E5">
            <w:pPr>
              <w:keepNext w:val="0"/>
              <w:keepLines w:val="0"/>
              <w:pageBreakBefore w:val="0"/>
              <w:kinsoku/>
              <w:wordWrap/>
              <w:overflowPunct/>
              <w:topLinePunct w:val="0"/>
              <w:autoSpaceDE/>
              <w:autoSpaceDN/>
              <w:bidi w:val="0"/>
              <w:spacing w:beforeAutospacing="0" w:afterAutospacing="0"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提供了针对本项目的安装、调试、验收的方案和质量保证措施，内容较为详细，措施针对性较强、较为可行，得</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分；</w:t>
            </w:r>
          </w:p>
          <w:p w14:paraId="268A693B">
            <w:pPr>
              <w:keepNext w:val="0"/>
              <w:keepLines w:val="0"/>
              <w:pageBreakBefore w:val="0"/>
              <w:kinsoku/>
              <w:wordWrap/>
              <w:overflowPunct/>
              <w:topLinePunct w:val="0"/>
              <w:autoSpaceDE/>
              <w:autoSpaceDN/>
              <w:bidi w:val="0"/>
              <w:spacing w:beforeAutospacing="0" w:afterAutospacing="0"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提供了针对本项目的安装、调试、验收的方案和质量保证措施，内容基本详细，措施具有一定的针对性，基本可行，得</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p w14:paraId="2C2F90A8">
            <w:pPr>
              <w:keepNext w:val="0"/>
              <w:keepLines w:val="0"/>
              <w:pageBreakBefore w:val="0"/>
              <w:kinsoku/>
              <w:wordWrap/>
              <w:overflowPunct/>
              <w:topLinePunct w:val="0"/>
              <w:autoSpaceDE/>
              <w:autoSpaceDN/>
              <w:bidi w:val="0"/>
              <w:spacing w:beforeAutospacing="0" w:afterAutospacing="0" w:line="400" w:lineRule="exac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sz w:val="22"/>
                <w:szCs w:val="22"/>
                <w:highlight w:val="none"/>
                <w:lang w:val="en-US" w:eastAsia="zh-CN"/>
              </w:rPr>
              <w:t>未提供方案</w:t>
            </w:r>
            <w:r>
              <w:rPr>
                <w:rFonts w:hint="eastAsia" w:ascii="宋体" w:hAnsi="宋体" w:eastAsia="宋体" w:cs="宋体"/>
                <w:color w:val="auto"/>
                <w:sz w:val="22"/>
                <w:szCs w:val="22"/>
                <w:highlight w:val="none"/>
              </w:rPr>
              <w:t>则不得分</w:t>
            </w:r>
            <w:r>
              <w:rPr>
                <w:rFonts w:hint="eastAsia" w:ascii="宋体" w:hAnsi="宋体" w:eastAsia="宋体" w:cs="宋体"/>
                <w:color w:val="auto"/>
                <w:sz w:val="22"/>
                <w:szCs w:val="22"/>
                <w:highlight w:val="none"/>
                <w:lang w:eastAsia="zh-CN"/>
              </w:rPr>
              <w:t>。</w:t>
            </w:r>
          </w:p>
        </w:tc>
      </w:tr>
      <w:tr w14:paraId="5C9FD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5" w:type="pct"/>
            <w:vMerge w:val="continue"/>
            <w:noWrap w:val="0"/>
            <w:vAlign w:val="center"/>
          </w:tcPr>
          <w:p w14:paraId="2C8FA1CC">
            <w:pPr>
              <w:pStyle w:val="36"/>
              <w:keepNext w:val="0"/>
              <w:keepLines w:val="0"/>
              <w:pageBreakBefore w:val="0"/>
              <w:kinsoku/>
              <w:wordWrap/>
              <w:overflowPunct/>
              <w:topLinePunct w:val="0"/>
              <w:autoSpaceDE/>
              <w:autoSpaceDN/>
              <w:bidi w:val="0"/>
              <w:spacing w:beforeAutospacing="0" w:after="0" w:afterLines="0" w:afterAutospacing="0" w:line="400" w:lineRule="exact"/>
              <w:ind w:firstLine="0" w:firstLineChars="0"/>
              <w:jc w:val="both"/>
              <w:textAlignment w:val="auto"/>
              <w:rPr>
                <w:rFonts w:hint="eastAsia" w:ascii="宋体" w:hAnsi="宋体" w:eastAsia="宋体" w:cs="宋体"/>
                <w:color w:val="auto"/>
                <w:sz w:val="22"/>
                <w:szCs w:val="22"/>
                <w:highlight w:val="none"/>
              </w:rPr>
            </w:pPr>
          </w:p>
        </w:tc>
        <w:tc>
          <w:tcPr>
            <w:tcW w:w="758" w:type="pct"/>
            <w:vMerge w:val="continue"/>
            <w:noWrap w:val="0"/>
            <w:vAlign w:val="center"/>
          </w:tcPr>
          <w:p w14:paraId="377A091D">
            <w:pPr>
              <w:keepNext w:val="0"/>
              <w:keepLines w:val="0"/>
              <w:pageBreakBefore w:val="0"/>
              <w:kinsoku/>
              <w:wordWrap/>
              <w:overflowPunct/>
              <w:topLinePunct w:val="0"/>
              <w:autoSpaceDE/>
              <w:autoSpaceDN/>
              <w:bidi w:val="0"/>
              <w:spacing w:beforeAutospacing="0" w:afterAutospacing="0" w:line="400" w:lineRule="exact"/>
              <w:ind w:right="3"/>
              <w:jc w:val="center"/>
              <w:textAlignment w:val="auto"/>
              <w:rPr>
                <w:rFonts w:hint="eastAsia" w:ascii="宋体" w:hAnsi="宋体" w:eastAsia="宋体" w:cs="宋体"/>
                <w:color w:val="auto"/>
                <w:sz w:val="22"/>
                <w:szCs w:val="22"/>
                <w:highlight w:val="none"/>
              </w:rPr>
            </w:pPr>
          </w:p>
        </w:tc>
        <w:tc>
          <w:tcPr>
            <w:tcW w:w="426" w:type="pct"/>
            <w:noWrap w:val="0"/>
            <w:vAlign w:val="center"/>
          </w:tcPr>
          <w:p w14:paraId="3E5A9D49">
            <w:pPr>
              <w:keepNext w:val="0"/>
              <w:keepLines w:val="0"/>
              <w:pageBreakBefore w:val="0"/>
              <w:kinsoku/>
              <w:wordWrap/>
              <w:overflowPunct/>
              <w:topLinePunct w:val="0"/>
              <w:autoSpaceDE/>
              <w:autoSpaceDN/>
              <w:bidi w:val="0"/>
              <w:spacing w:beforeAutospacing="0" w:afterAutospacing="0" w:line="400" w:lineRule="exact"/>
              <w:ind w:right="3"/>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2分</w:t>
            </w:r>
          </w:p>
        </w:tc>
        <w:tc>
          <w:tcPr>
            <w:tcW w:w="3388" w:type="pct"/>
            <w:noWrap w:val="0"/>
            <w:vAlign w:val="center"/>
          </w:tcPr>
          <w:p w14:paraId="416EEB4E">
            <w:pPr>
              <w:keepNext w:val="0"/>
              <w:keepLines w:val="0"/>
              <w:pageBreakBefore w:val="0"/>
              <w:kinsoku/>
              <w:wordWrap/>
              <w:overflowPunct/>
              <w:topLinePunct w:val="0"/>
              <w:autoSpaceDE/>
              <w:autoSpaceDN/>
              <w:bidi w:val="0"/>
              <w:spacing w:beforeAutospacing="0" w:afterAutospacing="0" w:line="400" w:lineRule="exact"/>
              <w:ind w:right="3"/>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拟派项目组人员中具有维修电工三级得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分、消防员资格证书得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分。（需提供证书以及投标截止时间前近3个月内任意一个月的社保缴纳证明复印件加盖公章，否则不得分）</w:t>
            </w:r>
          </w:p>
        </w:tc>
      </w:tr>
      <w:tr w14:paraId="390ED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5" w:type="pct"/>
            <w:vMerge w:val="restart"/>
            <w:noWrap w:val="0"/>
            <w:vAlign w:val="center"/>
          </w:tcPr>
          <w:p w14:paraId="407D96D3">
            <w:pPr>
              <w:pStyle w:val="36"/>
              <w:keepNext w:val="0"/>
              <w:keepLines w:val="0"/>
              <w:pageBreakBefore w:val="0"/>
              <w:kinsoku/>
              <w:wordWrap/>
              <w:overflowPunct/>
              <w:topLinePunct w:val="0"/>
              <w:autoSpaceDE/>
              <w:autoSpaceDN/>
              <w:bidi w:val="0"/>
              <w:spacing w:beforeAutospacing="0" w:after="0" w:afterLines="0" w:afterAutospacing="0" w:line="400" w:lineRule="exact"/>
              <w:ind w:firstLine="0" w:firstLine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w:t>
            </w:r>
          </w:p>
        </w:tc>
        <w:tc>
          <w:tcPr>
            <w:tcW w:w="758" w:type="pct"/>
            <w:vMerge w:val="restart"/>
            <w:noWrap w:val="0"/>
            <w:vAlign w:val="center"/>
          </w:tcPr>
          <w:p w14:paraId="1BE43BA7">
            <w:pPr>
              <w:keepNext w:val="0"/>
              <w:keepLines w:val="0"/>
              <w:pageBreakBefore w:val="0"/>
              <w:kinsoku/>
              <w:wordWrap/>
              <w:overflowPunct/>
              <w:topLinePunct w:val="0"/>
              <w:autoSpaceDE/>
              <w:autoSpaceDN/>
              <w:bidi w:val="0"/>
              <w:spacing w:beforeAutospacing="0" w:afterAutospacing="0" w:line="40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bCs/>
                <w:color w:val="auto"/>
                <w:sz w:val="22"/>
                <w:szCs w:val="22"/>
                <w:highlight w:val="none"/>
              </w:rPr>
              <w:t>售后服务</w:t>
            </w:r>
          </w:p>
        </w:tc>
        <w:tc>
          <w:tcPr>
            <w:tcW w:w="426" w:type="pct"/>
            <w:noWrap w:val="0"/>
            <w:vAlign w:val="center"/>
          </w:tcPr>
          <w:p w14:paraId="229141F9">
            <w:pPr>
              <w:keepNext w:val="0"/>
              <w:keepLines w:val="0"/>
              <w:pageBreakBefore w:val="0"/>
              <w:kinsoku/>
              <w:wordWrap/>
              <w:overflowPunct/>
              <w:topLinePunct w:val="0"/>
              <w:autoSpaceDE/>
              <w:autoSpaceDN/>
              <w:bidi w:val="0"/>
              <w:spacing w:beforeAutospacing="0" w:afterAutospacing="0"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lang w:val="en-US" w:eastAsia="zh-CN"/>
              </w:rPr>
              <w:t>5</w:t>
            </w:r>
            <w:r>
              <w:rPr>
                <w:rFonts w:hint="eastAsia" w:ascii="宋体" w:hAnsi="宋体" w:eastAsia="宋体" w:cs="宋体"/>
                <w:bCs/>
                <w:color w:val="auto"/>
                <w:sz w:val="22"/>
                <w:szCs w:val="22"/>
                <w:highlight w:val="none"/>
              </w:rPr>
              <w:t>分</w:t>
            </w:r>
          </w:p>
        </w:tc>
        <w:tc>
          <w:tcPr>
            <w:tcW w:w="3388" w:type="pct"/>
            <w:noWrap w:val="0"/>
            <w:vAlign w:val="center"/>
          </w:tcPr>
          <w:p w14:paraId="09F9CB76">
            <w:pPr>
              <w:keepNext w:val="0"/>
              <w:keepLines w:val="0"/>
              <w:pageBreakBefore w:val="0"/>
              <w:kinsoku/>
              <w:wordWrap/>
              <w:overflowPunct/>
              <w:topLinePunct w:val="0"/>
              <w:autoSpaceDE/>
              <w:autoSpaceDN/>
              <w:bidi w:val="0"/>
              <w:spacing w:beforeAutospacing="0" w:afterAutospacing="0" w:line="400" w:lineRule="exac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根据</w:t>
            </w:r>
            <w:r>
              <w:rPr>
                <w:rFonts w:hint="eastAsia" w:ascii="宋体" w:hAnsi="宋体" w:cs="宋体"/>
                <w:color w:val="auto"/>
                <w:sz w:val="22"/>
                <w:szCs w:val="22"/>
                <w:highlight w:val="none"/>
                <w:lang w:eastAsia="zh-CN"/>
              </w:rPr>
              <w:t>磋商供应商</w:t>
            </w:r>
            <w:r>
              <w:rPr>
                <w:rFonts w:hint="eastAsia" w:ascii="宋体" w:hAnsi="宋体" w:eastAsia="宋体" w:cs="宋体"/>
                <w:color w:val="auto"/>
                <w:sz w:val="22"/>
                <w:szCs w:val="22"/>
                <w:highlight w:val="none"/>
              </w:rPr>
              <w:t>提供的售后服务方案、维修响应时间、备品备件等情况；质保期内出现问题所采取的措施；以及服务承诺的可行性、完整性，服务承诺落实的保障措施等由评委</w:t>
            </w:r>
            <w:r>
              <w:rPr>
                <w:rFonts w:hint="eastAsia" w:ascii="宋体" w:hAnsi="宋体" w:eastAsia="宋体" w:cs="宋体"/>
                <w:color w:val="auto"/>
                <w:sz w:val="22"/>
                <w:szCs w:val="22"/>
                <w:highlight w:val="none"/>
                <w:lang w:val="en-US" w:eastAsia="zh-CN"/>
              </w:rPr>
              <w:t>综合</w:t>
            </w:r>
            <w:r>
              <w:rPr>
                <w:rFonts w:hint="eastAsia" w:ascii="宋体" w:hAnsi="宋体" w:eastAsia="宋体" w:cs="宋体"/>
                <w:color w:val="auto"/>
                <w:sz w:val="22"/>
                <w:szCs w:val="22"/>
                <w:highlight w:val="none"/>
              </w:rPr>
              <w:t>打分</w:t>
            </w:r>
            <w:r>
              <w:rPr>
                <w:rFonts w:hint="eastAsia" w:ascii="宋体" w:hAnsi="宋体" w:eastAsia="宋体" w:cs="宋体"/>
                <w:color w:val="auto"/>
                <w:sz w:val="22"/>
                <w:szCs w:val="22"/>
                <w:highlight w:val="none"/>
                <w:lang w:eastAsia="zh-CN"/>
              </w:rPr>
              <w:t>：</w:t>
            </w:r>
          </w:p>
          <w:p w14:paraId="5ADC40D6">
            <w:pPr>
              <w:keepNext w:val="0"/>
              <w:keepLines w:val="0"/>
              <w:pageBreakBefore w:val="0"/>
              <w:kinsoku/>
              <w:wordWrap/>
              <w:overflowPunct/>
              <w:topLinePunct w:val="0"/>
              <w:autoSpaceDE/>
              <w:autoSpaceDN/>
              <w:bidi w:val="0"/>
              <w:spacing w:beforeAutospacing="0" w:afterAutospacing="0"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提供了针对本项目的售后服务方案和服务承诺</w:t>
            </w:r>
            <w:r>
              <w:rPr>
                <w:rFonts w:hint="eastAsia" w:ascii="宋体" w:hAnsi="宋体" w:eastAsia="宋体" w:cs="宋体"/>
                <w:color w:val="auto"/>
                <w:sz w:val="22"/>
                <w:szCs w:val="22"/>
                <w:highlight w:val="none"/>
                <w:lang w:val="en-US" w:eastAsia="zh-CN"/>
              </w:rPr>
              <w:t>及措施</w:t>
            </w:r>
            <w:r>
              <w:rPr>
                <w:rFonts w:hint="eastAsia" w:ascii="宋体" w:hAnsi="宋体" w:eastAsia="宋体" w:cs="宋体"/>
                <w:color w:val="auto"/>
                <w:sz w:val="22"/>
                <w:szCs w:val="22"/>
                <w:highlight w:val="none"/>
              </w:rPr>
              <w:t>，内容全面详细，措施针对性强、切实可行，得</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p w14:paraId="40900882">
            <w:pPr>
              <w:keepNext w:val="0"/>
              <w:keepLines w:val="0"/>
              <w:pageBreakBefore w:val="0"/>
              <w:kinsoku/>
              <w:wordWrap/>
              <w:overflowPunct/>
              <w:topLinePunct w:val="0"/>
              <w:autoSpaceDE/>
              <w:autoSpaceDN/>
              <w:bidi w:val="0"/>
              <w:spacing w:beforeAutospacing="0" w:afterAutospacing="0"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提供了针对本项目的售后服务方案和服务承诺</w:t>
            </w:r>
            <w:r>
              <w:rPr>
                <w:rFonts w:hint="eastAsia" w:ascii="宋体" w:hAnsi="宋体" w:eastAsia="宋体" w:cs="宋体"/>
                <w:color w:val="auto"/>
                <w:sz w:val="22"/>
                <w:szCs w:val="22"/>
                <w:highlight w:val="none"/>
                <w:lang w:val="en-US" w:eastAsia="zh-CN"/>
              </w:rPr>
              <w:t>及措施</w:t>
            </w:r>
            <w:r>
              <w:rPr>
                <w:rFonts w:hint="eastAsia" w:ascii="宋体" w:hAnsi="宋体" w:eastAsia="宋体" w:cs="宋体"/>
                <w:color w:val="auto"/>
                <w:sz w:val="22"/>
                <w:szCs w:val="22"/>
                <w:highlight w:val="none"/>
              </w:rPr>
              <w:t>，内容较为详细，措施针对性较强、较为可行，得</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p w14:paraId="76447E1C">
            <w:pPr>
              <w:keepNext w:val="0"/>
              <w:keepLines w:val="0"/>
              <w:pageBreakBefore w:val="0"/>
              <w:kinsoku/>
              <w:wordWrap/>
              <w:overflowPunct/>
              <w:topLinePunct w:val="0"/>
              <w:autoSpaceDE/>
              <w:autoSpaceDN/>
              <w:bidi w:val="0"/>
              <w:spacing w:beforeAutospacing="0" w:afterAutospacing="0"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提供了针对本项目的售后服务方案和服务承诺</w:t>
            </w:r>
            <w:r>
              <w:rPr>
                <w:rFonts w:hint="eastAsia" w:ascii="宋体" w:hAnsi="宋体" w:eastAsia="宋体" w:cs="宋体"/>
                <w:color w:val="auto"/>
                <w:sz w:val="22"/>
                <w:szCs w:val="22"/>
                <w:highlight w:val="none"/>
                <w:lang w:val="en-US" w:eastAsia="zh-CN"/>
              </w:rPr>
              <w:t>及措施</w:t>
            </w:r>
            <w:r>
              <w:rPr>
                <w:rFonts w:hint="eastAsia" w:ascii="宋体" w:hAnsi="宋体" w:eastAsia="宋体" w:cs="宋体"/>
                <w:color w:val="auto"/>
                <w:sz w:val="22"/>
                <w:szCs w:val="22"/>
                <w:highlight w:val="none"/>
              </w:rPr>
              <w:t>，内容基本详细，措施具有一定的针对性，基本可行，得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p w14:paraId="573B23AA">
            <w:pPr>
              <w:keepNext w:val="0"/>
              <w:keepLines w:val="0"/>
              <w:pageBreakBefore w:val="0"/>
              <w:kinsoku/>
              <w:wordWrap/>
              <w:overflowPunct/>
              <w:topLinePunct w:val="0"/>
              <w:autoSpaceDE/>
              <w:autoSpaceDN/>
              <w:bidi w:val="0"/>
              <w:spacing w:beforeAutospacing="0" w:afterAutospacing="0" w:line="400" w:lineRule="exac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sz w:val="22"/>
                <w:szCs w:val="22"/>
                <w:highlight w:val="none"/>
                <w:lang w:val="en-US" w:eastAsia="zh-CN"/>
              </w:rPr>
              <w:t>未提供方案</w:t>
            </w:r>
            <w:r>
              <w:rPr>
                <w:rFonts w:hint="eastAsia" w:ascii="宋体" w:hAnsi="宋体" w:eastAsia="宋体" w:cs="宋体"/>
                <w:color w:val="auto"/>
                <w:sz w:val="22"/>
                <w:szCs w:val="22"/>
                <w:highlight w:val="none"/>
              </w:rPr>
              <w:t>则不得分</w:t>
            </w:r>
            <w:r>
              <w:rPr>
                <w:rFonts w:hint="eastAsia" w:ascii="宋体" w:hAnsi="宋体" w:eastAsia="宋体" w:cs="宋体"/>
                <w:color w:val="auto"/>
                <w:sz w:val="22"/>
                <w:szCs w:val="22"/>
                <w:highlight w:val="none"/>
                <w:lang w:eastAsia="zh-CN"/>
              </w:rPr>
              <w:t>。</w:t>
            </w:r>
          </w:p>
        </w:tc>
      </w:tr>
      <w:tr w14:paraId="6DF4D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25" w:type="pct"/>
            <w:vMerge w:val="continue"/>
            <w:noWrap w:val="0"/>
            <w:tcMar>
              <w:top w:w="15" w:type="dxa"/>
              <w:left w:w="15" w:type="dxa"/>
              <w:right w:w="15" w:type="dxa"/>
            </w:tcMar>
            <w:vAlign w:val="center"/>
          </w:tcPr>
          <w:p w14:paraId="3DE771C6">
            <w:pPr>
              <w:pStyle w:val="37"/>
              <w:keepNext w:val="0"/>
              <w:keepLines w:val="0"/>
              <w:pageBreakBefore w:val="0"/>
              <w:kinsoku/>
              <w:wordWrap/>
              <w:overflowPunct/>
              <w:topLinePunct w:val="0"/>
              <w:autoSpaceDE/>
              <w:autoSpaceDN/>
              <w:bidi w:val="0"/>
              <w:spacing w:beforeAutospacing="0" w:after="0" w:afterAutospacing="0" w:line="400" w:lineRule="exact"/>
              <w:ind w:left="0" w:leftChars="0" w:firstLine="0" w:firstLineChars="0"/>
              <w:textAlignment w:val="auto"/>
              <w:rPr>
                <w:rFonts w:hint="eastAsia" w:ascii="宋体" w:hAnsi="宋体" w:eastAsia="宋体" w:cs="宋体"/>
                <w:color w:val="auto"/>
                <w:sz w:val="22"/>
                <w:szCs w:val="22"/>
                <w:highlight w:val="none"/>
              </w:rPr>
            </w:pPr>
          </w:p>
        </w:tc>
        <w:tc>
          <w:tcPr>
            <w:tcW w:w="758" w:type="pct"/>
            <w:vMerge w:val="continue"/>
            <w:noWrap w:val="0"/>
            <w:tcMar>
              <w:top w:w="15" w:type="dxa"/>
              <w:left w:w="15" w:type="dxa"/>
              <w:right w:w="15" w:type="dxa"/>
            </w:tcMar>
            <w:vAlign w:val="center"/>
          </w:tcPr>
          <w:p w14:paraId="10F3F648">
            <w:pPr>
              <w:pStyle w:val="37"/>
              <w:keepNext w:val="0"/>
              <w:keepLines w:val="0"/>
              <w:pageBreakBefore w:val="0"/>
              <w:kinsoku/>
              <w:wordWrap/>
              <w:overflowPunct/>
              <w:topLinePunct w:val="0"/>
              <w:autoSpaceDE/>
              <w:autoSpaceDN/>
              <w:bidi w:val="0"/>
              <w:spacing w:beforeAutospacing="0" w:after="0" w:afterAutospacing="0" w:line="400" w:lineRule="exact"/>
              <w:ind w:left="0" w:leftChars="0" w:firstLine="0" w:firstLineChars="0"/>
              <w:textAlignment w:val="auto"/>
              <w:rPr>
                <w:rFonts w:hint="eastAsia" w:ascii="宋体" w:hAnsi="宋体" w:eastAsia="宋体" w:cs="宋体"/>
                <w:color w:val="auto"/>
                <w:sz w:val="22"/>
                <w:szCs w:val="22"/>
                <w:highlight w:val="none"/>
              </w:rPr>
            </w:pPr>
          </w:p>
        </w:tc>
        <w:tc>
          <w:tcPr>
            <w:tcW w:w="426" w:type="pct"/>
            <w:noWrap w:val="0"/>
            <w:tcMar>
              <w:top w:w="15" w:type="dxa"/>
              <w:left w:w="15" w:type="dxa"/>
              <w:right w:w="15" w:type="dxa"/>
            </w:tcMar>
            <w:vAlign w:val="center"/>
          </w:tcPr>
          <w:p w14:paraId="4CAC3685">
            <w:pPr>
              <w:pStyle w:val="37"/>
              <w:keepNext w:val="0"/>
              <w:keepLines w:val="0"/>
              <w:pageBreakBefore w:val="0"/>
              <w:kinsoku/>
              <w:wordWrap/>
              <w:overflowPunct/>
              <w:topLinePunct w:val="0"/>
              <w:autoSpaceDE/>
              <w:autoSpaceDN/>
              <w:bidi w:val="0"/>
              <w:spacing w:beforeAutospacing="0" w:after="0" w:afterAutospacing="0" w:line="400" w:lineRule="exact"/>
              <w:ind w:left="0" w:leftChars="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lang w:val="en-US" w:eastAsia="zh-CN"/>
              </w:rPr>
              <w:t>3</w:t>
            </w:r>
            <w:r>
              <w:rPr>
                <w:rFonts w:hint="eastAsia" w:ascii="宋体" w:hAnsi="宋体" w:eastAsia="宋体" w:cs="宋体"/>
                <w:bCs/>
                <w:color w:val="auto"/>
                <w:sz w:val="22"/>
                <w:szCs w:val="22"/>
                <w:highlight w:val="none"/>
              </w:rPr>
              <w:t>分</w:t>
            </w:r>
          </w:p>
        </w:tc>
        <w:tc>
          <w:tcPr>
            <w:tcW w:w="3388" w:type="pct"/>
            <w:noWrap w:val="0"/>
            <w:tcMar>
              <w:top w:w="15" w:type="dxa"/>
              <w:left w:w="15" w:type="dxa"/>
              <w:right w:w="15" w:type="dxa"/>
            </w:tcMar>
            <w:vAlign w:val="center"/>
          </w:tcPr>
          <w:p w14:paraId="11A85CEA">
            <w:pPr>
              <w:keepNext w:val="0"/>
              <w:keepLines w:val="0"/>
              <w:pageBreakBefore w:val="0"/>
              <w:kinsoku/>
              <w:wordWrap/>
              <w:overflowPunct/>
              <w:topLinePunct w:val="0"/>
              <w:autoSpaceDE/>
              <w:autoSpaceDN/>
              <w:bidi w:val="0"/>
              <w:spacing w:beforeAutospacing="0" w:afterAutospacing="0" w:line="400" w:lineRule="exact"/>
              <w:textAlignment w:val="auto"/>
              <w:rPr>
                <w:rFonts w:hint="eastAsia" w:ascii="宋体" w:hAnsi="宋体" w:eastAsia="宋体" w:cs="宋体"/>
                <w:b/>
                <w:bCs/>
                <w:color w:val="auto"/>
                <w:sz w:val="22"/>
                <w:szCs w:val="22"/>
                <w:highlight w:val="none"/>
              </w:rPr>
            </w:pPr>
            <w:r>
              <w:rPr>
                <w:rFonts w:hint="eastAsia" w:ascii="宋体" w:hAnsi="宋体"/>
                <w:color w:val="auto"/>
                <w:sz w:val="22"/>
                <w:szCs w:val="22"/>
              </w:rPr>
              <w:t>免费质保年限符合</w:t>
            </w:r>
            <w:r>
              <w:rPr>
                <w:rFonts w:hint="eastAsia" w:ascii="宋体" w:hAnsi="宋体"/>
                <w:color w:val="auto"/>
                <w:sz w:val="22"/>
                <w:szCs w:val="22"/>
                <w:lang w:eastAsia="zh-CN"/>
              </w:rPr>
              <w:t>磋商文件</w:t>
            </w:r>
            <w:r>
              <w:rPr>
                <w:rFonts w:hint="eastAsia" w:ascii="宋体" w:hAnsi="宋体"/>
                <w:color w:val="auto"/>
                <w:sz w:val="22"/>
                <w:szCs w:val="22"/>
              </w:rPr>
              <w:t>要求（电器类</w:t>
            </w:r>
            <w:r>
              <w:rPr>
                <w:rFonts w:ascii="宋体" w:hAnsi="宋体"/>
                <w:color w:val="auto"/>
                <w:sz w:val="22"/>
                <w:szCs w:val="22"/>
              </w:rPr>
              <w:t>3</w:t>
            </w:r>
            <w:r>
              <w:rPr>
                <w:rFonts w:hint="eastAsia" w:ascii="宋体" w:hAnsi="宋体"/>
                <w:color w:val="auto"/>
                <w:sz w:val="22"/>
                <w:szCs w:val="22"/>
              </w:rPr>
              <w:t>年、不锈钢厂制品类5年</w:t>
            </w:r>
            <w:r>
              <w:rPr>
                <w:rFonts w:ascii="宋体" w:hAnsi="宋体"/>
                <w:color w:val="auto"/>
                <w:sz w:val="22"/>
                <w:szCs w:val="22"/>
              </w:rPr>
              <w:t>）的不得分</w:t>
            </w:r>
            <w:r>
              <w:rPr>
                <w:rFonts w:hint="eastAsia" w:ascii="宋体" w:hAnsi="宋体"/>
                <w:color w:val="auto"/>
                <w:sz w:val="22"/>
                <w:szCs w:val="22"/>
              </w:rPr>
              <w:t>。电器类</w:t>
            </w:r>
            <w:r>
              <w:rPr>
                <w:rFonts w:ascii="宋体" w:hAnsi="宋体"/>
                <w:color w:val="auto"/>
                <w:sz w:val="22"/>
                <w:szCs w:val="22"/>
              </w:rPr>
              <w:t>承诺每增加1年质保期，加</w:t>
            </w:r>
            <w:r>
              <w:rPr>
                <w:rFonts w:hint="eastAsia" w:ascii="宋体" w:hAnsi="宋体"/>
                <w:color w:val="auto"/>
                <w:sz w:val="22"/>
                <w:szCs w:val="22"/>
              </w:rPr>
              <w:t>1</w:t>
            </w:r>
            <w:r>
              <w:rPr>
                <w:rFonts w:ascii="宋体" w:hAnsi="宋体"/>
                <w:color w:val="auto"/>
                <w:sz w:val="22"/>
                <w:szCs w:val="22"/>
              </w:rPr>
              <w:t>分，最高得2分</w:t>
            </w:r>
            <w:r>
              <w:rPr>
                <w:rFonts w:hint="eastAsia" w:ascii="宋体" w:hAnsi="宋体"/>
                <w:color w:val="auto"/>
                <w:sz w:val="22"/>
                <w:szCs w:val="22"/>
              </w:rPr>
              <w:t>，不锈钢厂制品类</w:t>
            </w:r>
            <w:r>
              <w:rPr>
                <w:rFonts w:ascii="宋体" w:hAnsi="宋体"/>
                <w:color w:val="auto"/>
                <w:sz w:val="22"/>
                <w:szCs w:val="22"/>
              </w:rPr>
              <w:t>承诺每增加1年质保期，加0</w:t>
            </w:r>
            <w:r>
              <w:rPr>
                <w:rFonts w:hint="eastAsia" w:ascii="宋体" w:hAnsi="宋体"/>
                <w:color w:val="auto"/>
                <w:sz w:val="22"/>
                <w:szCs w:val="22"/>
              </w:rPr>
              <w:t>.</w:t>
            </w:r>
            <w:r>
              <w:rPr>
                <w:rFonts w:ascii="宋体" w:hAnsi="宋体"/>
                <w:color w:val="auto"/>
                <w:sz w:val="22"/>
                <w:szCs w:val="22"/>
              </w:rPr>
              <w:t>5分，最高得1分</w:t>
            </w:r>
            <w:r>
              <w:rPr>
                <w:rFonts w:hint="eastAsia" w:ascii="宋体" w:hAnsi="宋体"/>
                <w:color w:val="auto"/>
                <w:sz w:val="22"/>
                <w:szCs w:val="22"/>
              </w:rPr>
              <w:t>。</w:t>
            </w:r>
          </w:p>
        </w:tc>
      </w:tr>
      <w:tr w14:paraId="7FA33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25" w:type="pct"/>
            <w:vMerge w:val="continue"/>
            <w:noWrap w:val="0"/>
            <w:tcMar>
              <w:top w:w="15" w:type="dxa"/>
              <w:left w:w="15" w:type="dxa"/>
              <w:right w:w="15" w:type="dxa"/>
            </w:tcMar>
            <w:vAlign w:val="center"/>
          </w:tcPr>
          <w:p w14:paraId="7EC1D664">
            <w:pPr>
              <w:pStyle w:val="37"/>
              <w:keepNext w:val="0"/>
              <w:keepLines w:val="0"/>
              <w:pageBreakBefore w:val="0"/>
              <w:kinsoku/>
              <w:wordWrap/>
              <w:overflowPunct/>
              <w:topLinePunct w:val="0"/>
              <w:autoSpaceDE/>
              <w:autoSpaceDN/>
              <w:bidi w:val="0"/>
              <w:spacing w:beforeAutospacing="0" w:after="0" w:afterAutospacing="0" w:line="400" w:lineRule="exact"/>
              <w:ind w:left="0" w:leftChars="0" w:firstLine="0" w:firstLineChars="0"/>
              <w:textAlignment w:val="auto"/>
              <w:rPr>
                <w:rFonts w:hint="eastAsia" w:ascii="宋体" w:hAnsi="宋体" w:eastAsia="宋体" w:cs="宋体"/>
                <w:color w:val="auto"/>
                <w:sz w:val="22"/>
                <w:szCs w:val="22"/>
                <w:highlight w:val="none"/>
              </w:rPr>
            </w:pPr>
          </w:p>
        </w:tc>
        <w:tc>
          <w:tcPr>
            <w:tcW w:w="758" w:type="pct"/>
            <w:vMerge w:val="continue"/>
            <w:noWrap w:val="0"/>
            <w:tcMar>
              <w:top w:w="15" w:type="dxa"/>
              <w:left w:w="15" w:type="dxa"/>
              <w:right w:w="15" w:type="dxa"/>
            </w:tcMar>
            <w:vAlign w:val="center"/>
          </w:tcPr>
          <w:p w14:paraId="7263EA10">
            <w:pPr>
              <w:pStyle w:val="37"/>
              <w:keepNext w:val="0"/>
              <w:keepLines w:val="0"/>
              <w:pageBreakBefore w:val="0"/>
              <w:kinsoku/>
              <w:wordWrap/>
              <w:overflowPunct/>
              <w:topLinePunct w:val="0"/>
              <w:autoSpaceDE/>
              <w:autoSpaceDN/>
              <w:bidi w:val="0"/>
              <w:spacing w:beforeAutospacing="0" w:after="0" w:afterAutospacing="0" w:line="400" w:lineRule="exact"/>
              <w:ind w:left="0" w:leftChars="0" w:firstLine="0" w:firstLineChars="0"/>
              <w:textAlignment w:val="auto"/>
              <w:rPr>
                <w:rFonts w:hint="eastAsia" w:ascii="宋体" w:hAnsi="宋体" w:eastAsia="宋体" w:cs="宋体"/>
                <w:color w:val="auto"/>
                <w:sz w:val="22"/>
                <w:szCs w:val="22"/>
                <w:highlight w:val="none"/>
              </w:rPr>
            </w:pPr>
          </w:p>
        </w:tc>
        <w:tc>
          <w:tcPr>
            <w:tcW w:w="426" w:type="pct"/>
            <w:noWrap w:val="0"/>
            <w:tcMar>
              <w:top w:w="15" w:type="dxa"/>
              <w:left w:w="15" w:type="dxa"/>
              <w:right w:w="15" w:type="dxa"/>
            </w:tcMar>
            <w:vAlign w:val="center"/>
          </w:tcPr>
          <w:p w14:paraId="52D64A65">
            <w:pPr>
              <w:pStyle w:val="37"/>
              <w:keepNext w:val="0"/>
              <w:keepLines w:val="0"/>
              <w:pageBreakBefore w:val="0"/>
              <w:kinsoku/>
              <w:wordWrap/>
              <w:overflowPunct/>
              <w:topLinePunct w:val="0"/>
              <w:autoSpaceDE/>
              <w:autoSpaceDN/>
              <w:bidi w:val="0"/>
              <w:spacing w:beforeAutospacing="0" w:after="0" w:afterAutospacing="0" w:line="400" w:lineRule="exact"/>
              <w:ind w:left="0" w:leftChars="0" w:firstLine="0" w:firstLineChars="0"/>
              <w:jc w:val="center"/>
              <w:textAlignment w:val="auto"/>
              <w:rPr>
                <w:rFonts w:hint="eastAsia" w:ascii="宋体" w:hAnsi="宋体" w:eastAsia="宋体" w:cs="宋体"/>
                <w:color w:val="auto"/>
                <w:sz w:val="22"/>
                <w:szCs w:val="22"/>
                <w:highlight w:val="none"/>
              </w:rPr>
            </w:pPr>
            <w:r>
              <w:rPr>
                <w:rFonts w:hint="eastAsia" w:ascii="宋体" w:hAnsi="宋体" w:cs="宋体"/>
                <w:bCs/>
                <w:color w:val="auto"/>
                <w:sz w:val="22"/>
                <w:szCs w:val="22"/>
                <w:highlight w:val="none"/>
                <w:lang w:val="en-US" w:eastAsia="zh-CN"/>
              </w:rPr>
              <w:t>1</w:t>
            </w:r>
            <w:r>
              <w:rPr>
                <w:rFonts w:hint="eastAsia" w:ascii="宋体" w:hAnsi="宋体" w:eastAsia="宋体" w:cs="宋体"/>
                <w:bCs/>
                <w:color w:val="auto"/>
                <w:sz w:val="22"/>
                <w:szCs w:val="22"/>
                <w:highlight w:val="none"/>
              </w:rPr>
              <w:t>分</w:t>
            </w:r>
          </w:p>
        </w:tc>
        <w:tc>
          <w:tcPr>
            <w:tcW w:w="3388" w:type="pct"/>
            <w:noWrap w:val="0"/>
            <w:tcMar>
              <w:top w:w="15" w:type="dxa"/>
              <w:left w:w="15" w:type="dxa"/>
              <w:right w:w="15" w:type="dxa"/>
            </w:tcMar>
            <w:vAlign w:val="center"/>
          </w:tcPr>
          <w:p w14:paraId="54F58E97">
            <w:pPr>
              <w:keepNext w:val="0"/>
              <w:keepLines w:val="0"/>
              <w:pageBreakBefore w:val="0"/>
              <w:widowControl/>
              <w:kinsoku/>
              <w:wordWrap/>
              <w:overflowPunct/>
              <w:topLinePunct w:val="0"/>
              <w:autoSpaceDE/>
              <w:autoSpaceDN/>
              <w:bidi w:val="0"/>
              <w:spacing w:beforeAutospacing="0" w:afterAutospacing="0" w:line="400" w:lineRule="exact"/>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磋商供应商</w:t>
            </w:r>
            <w:r>
              <w:rPr>
                <w:rFonts w:hint="eastAsia" w:ascii="宋体" w:hAnsi="宋体" w:eastAsia="宋体" w:cs="宋体"/>
                <w:color w:val="auto"/>
                <w:sz w:val="22"/>
                <w:szCs w:val="22"/>
                <w:highlight w:val="none"/>
              </w:rPr>
              <w:t>获得由具有资质的第三方机构出具的符合国家标准的《商品售后服务评价体系》，十星及以上售后服务认证的得1分，证书覆盖范围需至少包含以下:厨具、电热食品加工设备。</w:t>
            </w:r>
          </w:p>
          <w:p w14:paraId="1F7412F8">
            <w:pPr>
              <w:keepNext w:val="0"/>
              <w:keepLines w:val="0"/>
              <w:pageBreakBefore w:val="0"/>
              <w:kinsoku/>
              <w:wordWrap/>
              <w:overflowPunct/>
              <w:topLinePunct w:val="0"/>
              <w:autoSpaceDE/>
              <w:autoSpaceDN/>
              <w:bidi w:val="0"/>
              <w:spacing w:beforeAutospacing="0" w:afterAutospacing="0"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注：需提供相关证书或证明文件扫描件加盖电子签章</w:t>
            </w:r>
            <w:r>
              <w:rPr>
                <w:rFonts w:hint="eastAsia" w:ascii="宋体" w:hAnsi="宋体" w:eastAsia="宋体" w:cs="宋体"/>
                <w:b/>
                <w:bCs/>
                <w:color w:val="auto"/>
                <w:sz w:val="22"/>
                <w:szCs w:val="22"/>
                <w:highlight w:val="none"/>
                <w:lang w:val="zh-CN"/>
              </w:rPr>
              <w:t>，否则不得分。</w:t>
            </w:r>
          </w:p>
        </w:tc>
      </w:tr>
      <w:tr w14:paraId="37D95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25" w:type="pct"/>
            <w:noWrap w:val="0"/>
            <w:tcMar>
              <w:top w:w="15" w:type="dxa"/>
              <w:left w:w="15" w:type="dxa"/>
              <w:right w:w="15" w:type="dxa"/>
            </w:tcMar>
            <w:vAlign w:val="center"/>
          </w:tcPr>
          <w:p w14:paraId="4D1A65D3">
            <w:pPr>
              <w:pStyle w:val="36"/>
              <w:keepNext w:val="0"/>
              <w:keepLines w:val="0"/>
              <w:pageBreakBefore w:val="0"/>
              <w:kinsoku/>
              <w:wordWrap/>
              <w:overflowPunct/>
              <w:topLinePunct w:val="0"/>
              <w:autoSpaceDE/>
              <w:autoSpaceDN/>
              <w:bidi w:val="0"/>
              <w:spacing w:beforeAutospacing="0" w:after="0" w:afterLines="0" w:afterAutospacing="0" w:line="400" w:lineRule="exact"/>
              <w:ind w:firstLine="0" w:firstLineChars="0"/>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bCs/>
                <w:color w:val="auto"/>
                <w:sz w:val="22"/>
                <w:szCs w:val="22"/>
                <w:highlight w:val="none"/>
                <w:lang w:val="en-US" w:eastAsia="zh-CN"/>
              </w:rPr>
              <w:t>7</w:t>
            </w:r>
          </w:p>
        </w:tc>
        <w:tc>
          <w:tcPr>
            <w:tcW w:w="758" w:type="pct"/>
            <w:noWrap w:val="0"/>
            <w:tcMar>
              <w:top w:w="15" w:type="dxa"/>
              <w:left w:w="15" w:type="dxa"/>
              <w:right w:w="15" w:type="dxa"/>
            </w:tcMar>
            <w:vAlign w:val="center"/>
          </w:tcPr>
          <w:p w14:paraId="64A6AC09">
            <w:pPr>
              <w:keepNext w:val="0"/>
              <w:keepLines w:val="0"/>
              <w:pageBreakBefore w:val="0"/>
              <w:kinsoku/>
              <w:wordWrap/>
              <w:overflowPunct/>
              <w:topLinePunct w:val="0"/>
              <w:autoSpaceDE/>
              <w:autoSpaceDN/>
              <w:bidi w:val="0"/>
              <w:spacing w:beforeAutospacing="0" w:afterAutospacing="0"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样品</w:t>
            </w:r>
          </w:p>
        </w:tc>
        <w:tc>
          <w:tcPr>
            <w:tcW w:w="426" w:type="pct"/>
            <w:noWrap w:val="0"/>
            <w:tcMar>
              <w:top w:w="15" w:type="dxa"/>
              <w:left w:w="15" w:type="dxa"/>
              <w:right w:w="15" w:type="dxa"/>
            </w:tcMar>
            <w:vAlign w:val="center"/>
          </w:tcPr>
          <w:p w14:paraId="49AE34A2">
            <w:pPr>
              <w:keepNext w:val="0"/>
              <w:keepLines w:val="0"/>
              <w:pageBreakBefore w:val="0"/>
              <w:kinsoku/>
              <w:wordWrap/>
              <w:overflowPunct/>
              <w:topLinePunct w:val="0"/>
              <w:autoSpaceDE/>
              <w:autoSpaceDN/>
              <w:bidi w:val="0"/>
              <w:spacing w:beforeAutospacing="0" w:afterAutospacing="0" w:line="400" w:lineRule="exact"/>
              <w:jc w:val="center"/>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7</w:t>
            </w:r>
            <w:r>
              <w:rPr>
                <w:rFonts w:hint="eastAsia" w:ascii="宋体" w:hAnsi="宋体" w:eastAsia="宋体" w:cs="宋体"/>
                <w:color w:val="auto"/>
                <w:sz w:val="22"/>
                <w:szCs w:val="22"/>
                <w:highlight w:val="none"/>
              </w:rPr>
              <w:t>分</w:t>
            </w:r>
          </w:p>
        </w:tc>
        <w:tc>
          <w:tcPr>
            <w:tcW w:w="3388" w:type="pct"/>
            <w:noWrap w:val="0"/>
            <w:tcMar>
              <w:top w:w="15" w:type="dxa"/>
              <w:left w:w="15" w:type="dxa"/>
              <w:right w:w="15" w:type="dxa"/>
            </w:tcMar>
            <w:vAlign w:val="center"/>
          </w:tcPr>
          <w:p w14:paraId="324DD6E6">
            <w:pPr>
              <w:keepNext w:val="0"/>
              <w:keepLines w:val="0"/>
              <w:pageBreakBefore w:val="0"/>
              <w:kinsoku/>
              <w:wordWrap/>
              <w:overflowPunct/>
              <w:topLinePunct w:val="0"/>
              <w:autoSpaceDE/>
              <w:autoSpaceDN/>
              <w:bidi w:val="0"/>
              <w:spacing w:beforeAutospacing="0" w:afterAutospacing="0"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1.油烟净化一体机  规格：1300</w:t>
            </w:r>
            <w:r>
              <w:rPr>
                <w:rFonts w:hint="eastAsia" w:ascii="宋体" w:hAnsi="宋体" w:eastAsia="宋体" w:cs="宋体"/>
                <w:i w:val="0"/>
                <w:iCs w:val="0"/>
                <w:color w:val="auto"/>
                <w:kern w:val="0"/>
                <w:sz w:val="22"/>
                <w:szCs w:val="22"/>
                <w:u w:val="none"/>
                <w:lang w:val="en-US" w:eastAsia="zh-CN" w:bidi="ar"/>
              </w:rPr>
              <w:t>×</w:t>
            </w:r>
            <w:r>
              <w:rPr>
                <w:rFonts w:hint="eastAsia" w:ascii="宋体" w:hAnsi="宋体" w:eastAsia="宋体" w:cs="宋体"/>
                <w:color w:val="auto"/>
                <w:sz w:val="22"/>
                <w:szCs w:val="22"/>
                <w:highlight w:val="none"/>
              </w:rPr>
              <w:t>1200</w:t>
            </w:r>
            <w:r>
              <w:rPr>
                <w:rFonts w:hint="eastAsia" w:ascii="宋体" w:hAnsi="宋体" w:eastAsia="宋体" w:cs="宋体"/>
                <w:i w:val="0"/>
                <w:iCs w:val="0"/>
                <w:color w:val="auto"/>
                <w:kern w:val="0"/>
                <w:sz w:val="22"/>
                <w:szCs w:val="22"/>
                <w:u w:val="none"/>
                <w:lang w:val="en-US" w:eastAsia="zh-CN" w:bidi="ar"/>
              </w:rPr>
              <w:t>×</w:t>
            </w:r>
            <w:r>
              <w:rPr>
                <w:rFonts w:hint="eastAsia" w:ascii="宋体" w:hAnsi="宋体" w:eastAsia="宋体" w:cs="宋体"/>
                <w:color w:val="auto"/>
                <w:sz w:val="22"/>
                <w:szCs w:val="22"/>
                <w:highlight w:val="none"/>
              </w:rPr>
              <w:t>935</w:t>
            </w:r>
          </w:p>
          <w:p w14:paraId="31E54C20">
            <w:pPr>
              <w:keepNext w:val="0"/>
              <w:keepLines w:val="0"/>
              <w:pageBreakBefore w:val="0"/>
              <w:kinsoku/>
              <w:wordWrap/>
              <w:overflowPunct/>
              <w:topLinePunct w:val="0"/>
              <w:autoSpaceDE/>
              <w:autoSpaceDN/>
              <w:bidi w:val="0"/>
              <w:spacing w:beforeAutospacing="0" w:afterAutospacing="0" w:line="400" w:lineRule="exac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根据</w:t>
            </w:r>
            <w:r>
              <w:rPr>
                <w:rFonts w:hint="eastAsia" w:ascii="宋体" w:hAnsi="宋体" w:cs="宋体"/>
                <w:color w:val="auto"/>
                <w:sz w:val="22"/>
                <w:szCs w:val="22"/>
                <w:highlight w:val="none"/>
                <w:lang w:eastAsia="zh-CN"/>
              </w:rPr>
              <w:t>磋商供应商</w:t>
            </w:r>
            <w:r>
              <w:rPr>
                <w:rFonts w:hint="eastAsia" w:ascii="宋体" w:hAnsi="宋体" w:eastAsia="宋体" w:cs="宋体"/>
                <w:color w:val="auto"/>
                <w:sz w:val="22"/>
                <w:szCs w:val="22"/>
                <w:highlight w:val="none"/>
                <w:lang w:eastAsia="zh-CN"/>
              </w:rPr>
              <w:t>提供</w:t>
            </w:r>
            <w:r>
              <w:rPr>
                <w:rFonts w:hint="eastAsia" w:ascii="宋体" w:hAnsi="宋体" w:eastAsia="宋体" w:cs="宋体"/>
                <w:color w:val="auto"/>
                <w:sz w:val="22"/>
                <w:szCs w:val="22"/>
                <w:highlight w:val="none"/>
              </w:rPr>
              <w:t>样品的工艺水平、产品品质、尺寸情况（质量水平评定从材质标准、做工细节、配件选择、美观度、实用性、尺寸吻合度等方面综合考核）等相关技术要求，由评委</w:t>
            </w:r>
            <w:r>
              <w:rPr>
                <w:rFonts w:hint="eastAsia" w:ascii="宋体" w:hAnsi="宋体" w:cs="宋体"/>
                <w:color w:val="auto"/>
                <w:sz w:val="22"/>
                <w:szCs w:val="22"/>
                <w:highlight w:val="none"/>
                <w:lang w:val="en-US" w:eastAsia="zh-CN"/>
              </w:rPr>
              <w:t>综合</w:t>
            </w:r>
            <w:r>
              <w:rPr>
                <w:rFonts w:hint="eastAsia" w:ascii="宋体" w:hAnsi="宋体" w:eastAsia="宋体" w:cs="宋体"/>
                <w:color w:val="auto"/>
                <w:sz w:val="22"/>
                <w:szCs w:val="22"/>
                <w:highlight w:val="none"/>
              </w:rPr>
              <w:t>打分</w:t>
            </w:r>
            <w:r>
              <w:rPr>
                <w:rFonts w:hint="eastAsia" w:ascii="宋体" w:hAnsi="宋体" w:eastAsia="宋体" w:cs="宋体"/>
                <w:color w:val="auto"/>
                <w:sz w:val="22"/>
                <w:szCs w:val="22"/>
                <w:highlight w:val="none"/>
                <w:lang w:eastAsia="zh-CN"/>
              </w:rPr>
              <w:t>：</w:t>
            </w:r>
          </w:p>
          <w:p w14:paraId="2193B46C">
            <w:pPr>
              <w:keepNext w:val="0"/>
              <w:keepLines w:val="0"/>
              <w:pageBreakBefore w:val="0"/>
              <w:kinsoku/>
              <w:wordWrap/>
              <w:overflowPunct/>
              <w:topLinePunct w:val="0"/>
              <w:autoSpaceDE/>
              <w:autoSpaceDN/>
              <w:bidi w:val="0"/>
              <w:spacing w:beforeAutospacing="0" w:afterAutospacing="0"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工艺水平、产品品质</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p>
          <w:p w14:paraId="11E53A2C">
            <w:pPr>
              <w:keepNext w:val="0"/>
              <w:keepLines w:val="0"/>
              <w:pageBreakBefore w:val="0"/>
              <w:kinsoku/>
              <w:wordWrap/>
              <w:overflowPunct/>
              <w:topLinePunct w:val="0"/>
              <w:autoSpaceDE/>
              <w:autoSpaceDN/>
              <w:bidi w:val="0"/>
              <w:spacing w:beforeAutospacing="0" w:afterAutospacing="0" w:line="400" w:lineRule="exact"/>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）配件选择</w:t>
            </w:r>
            <w:r>
              <w:rPr>
                <w:rFonts w:hint="eastAsia" w:ascii="宋体" w:hAnsi="宋体" w:eastAsia="宋体" w:cs="宋体"/>
                <w:color w:val="auto"/>
                <w:sz w:val="22"/>
                <w:szCs w:val="22"/>
                <w:highlight w:val="none"/>
                <w:lang w:val="en-US" w:eastAsia="zh-CN"/>
              </w:rPr>
              <w:t>情况</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p>
          <w:p w14:paraId="173A9892">
            <w:pPr>
              <w:keepNext w:val="0"/>
              <w:keepLines w:val="0"/>
              <w:pageBreakBefore w:val="0"/>
              <w:kinsoku/>
              <w:wordWrap/>
              <w:overflowPunct/>
              <w:topLinePunct w:val="0"/>
              <w:autoSpaceDE/>
              <w:autoSpaceDN/>
              <w:bidi w:val="0"/>
              <w:spacing w:beforeAutospacing="0" w:afterAutospacing="0"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尺寸情况</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p>
          <w:p w14:paraId="74AC704A">
            <w:pPr>
              <w:keepNext w:val="0"/>
              <w:keepLines w:val="0"/>
              <w:pageBreakBefore w:val="0"/>
              <w:kinsoku/>
              <w:wordWrap/>
              <w:overflowPunct/>
              <w:topLinePunct w:val="0"/>
              <w:autoSpaceDE/>
              <w:autoSpaceDN/>
              <w:bidi w:val="0"/>
              <w:spacing w:beforeAutospacing="0" w:afterAutospacing="0" w:line="400" w:lineRule="exac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未提供样品的得0分。</w:t>
            </w:r>
          </w:p>
        </w:tc>
      </w:tr>
      <w:tr w14:paraId="7F6C4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25" w:type="pct"/>
            <w:noWrap w:val="0"/>
            <w:tcMar>
              <w:top w:w="15" w:type="dxa"/>
              <w:left w:w="15" w:type="dxa"/>
              <w:right w:w="15" w:type="dxa"/>
            </w:tcMar>
            <w:vAlign w:val="center"/>
          </w:tcPr>
          <w:p w14:paraId="30BB0BD2">
            <w:pPr>
              <w:pStyle w:val="36"/>
              <w:keepNext w:val="0"/>
              <w:keepLines w:val="0"/>
              <w:pageBreakBefore w:val="0"/>
              <w:kinsoku/>
              <w:wordWrap/>
              <w:overflowPunct/>
              <w:topLinePunct w:val="0"/>
              <w:autoSpaceDE/>
              <w:autoSpaceDN/>
              <w:bidi w:val="0"/>
              <w:spacing w:beforeAutospacing="0" w:after="0" w:afterLines="0" w:afterAutospacing="0" w:line="400" w:lineRule="exact"/>
              <w:ind w:firstLine="0" w:firstLineChars="0"/>
              <w:jc w:val="center"/>
              <w:textAlignment w:val="auto"/>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val="en-US" w:eastAsia="zh-CN"/>
              </w:rPr>
              <w:t>8</w:t>
            </w:r>
          </w:p>
        </w:tc>
        <w:tc>
          <w:tcPr>
            <w:tcW w:w="758" w:type="pct"/>
            <w:noWrap w:val="0"/>
            <w:tcMar>
              <w:top w:w="15" w:type="dxa"/>
              <w:left w:w="15" w:type="dxa"/>
              <w:right w:w="15" w:type="dxa"/>
            </w:tcMar>
            <w:vAlign w:val="center"/>
          </w:tcPr>
          <w:p w14:paraId="31A4CA5D">
            <w:pPr>
              <w:keepNext w:val="0"/>
              <w:keepLines w:val="0"/>
              <w:pageBreakBefore w:val="0"/>
              <w:kinsoku/>
              <w:wordWrap/>
              <w:overflowPunct/>
              <w:topLinePunct w:val="0"/>
              <w:autoSpaceDE/>
              <w:autoSpaceDN/>
              <w:bidi w:val="0"/>
              <w:spacing w:beforeAutospacing="0" w:afterAutospacing="0"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zh-CN"/>
              </w:rPr>
              <w:t>节能、环保</w:t>
            </w:r>
            <w:r>
              <w:rPr>
                <w:rFonts w:hint="eastAsia" w:ascii="宋体" w:hAnsi="宋体" w:cs="宋体"/>
                <w:color w:val="auto"/>
                <w:sz w:val="22"/>
                <w:szCs w:val="22"/>
                <w:highlight w:val="none"/>
                <w:lang w:val="en-US" w:eastAsia="zh-CN"/>
              </w:rPr>
              <w:t>产品</w:t>
            </w:r>
          </w:p>
        </w:tc>
        <w:tc>
          <w:tcPr>
            <w:tcW w:w="426" w:type="pct"/>
            <w:noWrap w:val="0"/>
            <w:tcMar>
              <w:top w:w="15" w:type="dxa"/>
              <w:left w:w="15" w:type="dxa"/>
              <w:right w:w="15" w:type="dxa"/>
            </w:tcMar>
            <w:vAlign w:val="center"/>
          </w:tcPr>
          <w:p w14:paraId="593F61CD">
            <w:pPr>
              <w:keepNext w:val="0"/>
              <w:keepLines w:val="0"/>
              <w:pageBreakBefore w:val="0"/>
              <w:kinsoku/>
              <w:wordWrap/>
              <w:overflowPunct/>
              <w:topLinePunct w:val="0"/>
              <w:autoSpaceDE/>
              <w:autoSpaceDN/>
              <w:bidi w:val="0"/>
              <w:spacing w:beforeAutospacing="0" w:afterAutospacing="0"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val="zh-CN"/>
              </w:rPr>
              <w:t>分</w:t>
            </w:r>
          </w:p>
        </w:tc>
        <w:tc>
          <w:tcPr>
            <w:tcW w:w="3388" w:type="pct"/>
            <w:noWrap w:val="0"/>
            <w:tcMar>
              <w:top w:w="15" w:type="dxa"/>
              <w:left w:w="15" w:type="dxa"/>
              <w:right w:w="15" w:type="dxa"/>
            </w:tcMar>
            <w:vAlign w:val="center"/>
          </w:tcPr>
          <w:p w14:paraId="3F3AEE78">
            <w:pPr>
              <w:keepNext w:val="0"/>
              <w:keepLines w:val="0"/>
              <w:pageBreakBefore w:val="0"/>
              <w:kinsoku/>
              <w:wordWrap/>
              <w:overflowPunct/>
              <w:topLinePunct w:val="0"/>
              <w:autoSpaceDE/>
              <w:autoSpaceDN/>
              <w:bidi w:val="0"/>
              <w:spacing w:beforeAutospacing="0" w:afterAutospacing="0"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所投产品中有列入《节能产品政府采购品目清单》并提供由《市场监管总局关于发布参与实施政府采购节能产品、环境标志产品认证机构名录的公告》（市场监管总局2019年第16号）文件指定的节能标志产品认证机构出具的、处于有效期之内的节能标志产品认证证书复印件并加盖供应商单位公章的，每提供一个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分，最高得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p w14:paraId="633DCA85">
            <w:pPr>
              <w:keepNext w:val="0"/>
              <w:keepLines w:val="0"/>
              <w:pageBreakBefore w:val="0"/>
              <w:kinsoku/>
              <w:wordWrap/>
              <w:overflowPunct/>
              <w:topLinePunct w:val="0"/>
              <w:autoSpaceDE/>
              <w:autoSpaceDN/>
              <w:bidi w:val="0"/>
              <w:spacing w:beforeAutospacing="0" w:afterAutospacing="0"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所投产品中有列入《环境标志产品政府采购品目清单》并提供由《市场监管总局关于发布参与实施政府采购节能产品、环境标志产品认证机构名录的公告》（市场监管总局2019年第16号）文件指定的环境标志产品认证机构出具的、处于有效期之内的环境标志产品认证证书复印件并加盖供应商单位公章的，每提供一个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分，最高得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p w14:paraId="3B7230E7">
            <w:pPr>
              <w:keepNext w:val="0"/>
              <w:keepLines w:val="0"/>
              <w:pageBreakBefore w:val="0"/>
              <w:kinsoku/>
              <w:wordWrap/>
              <w:overflowPunct/>
              <w:topLinePunct w:val="0"/>
              <w:autoSpaceDE/>
              <w:autoSpaceDN/>
              <w:bidi w:val="0"/>
              <w:spacing w:beforeAutospacing="0" w:afterAutospacing="0" w:line="400" w:lineRule="exact"/>
              <w:textAlignment w:val="auto"/>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szCs w:val="22"/>
                <w:highlight w:val="none"/>
                <w:lang w:eastAsia="zh-CN"/>
              </w:rPr>
              <w:t>注：</w:t>
            </w:r>
            <w:r>
              <w:rPr>
                <w:rFonts w:hint="eastAsia" w:ascii="宋体" w:hAnsi="宋体" w:eastAsia="宋体" w:cs="宋体"/>
                <w:b/>
                <w:bCs/>
                <w:color w:val="auto"/>
                <w:sz w:val="22"/>
                <w:szCs w:val="22"/>
                <w:highlight w:val="none"/>
              </w:rPr>
              <w:t>供应商提供品目清单截图并对所投产品对应的品目作明显标识</w:t>
            </w:r>
            <w:r>
              <w:rPr>
                <w:rFonts w:hint="eastAsia" w:ascii="宋体" w:hAnsi="宋体" w:eastAsia="宋体" w:cs="宋体"/>
                <w:b/>
                <w:bCs/>
                <w:color w:val="auto"/>
                <w:sz w:val="22"/>
                <w:szCs w:val="22"/>
                <w:highlight w:val="none"/>
                <w:lang w:eastAsia="zh-CN"/>
              </w:rPr>
              <w:t>，否则不得分。</w:t>
            </w:r>
          </w:p>
        </w:tc>
      </w:tr>
    </w:tbl>
    <w:p w14:paraId="7952FD96">
      <w:pPr>
        <w:spacing w:line="440" w:lineRule="exact"/>
        <w:rPr>
          <w:rFonts w:ascii="宋体" w:hAnsi="宋体" w:cs="宋体"/>
          <w:color w:val="auto"/>
          <w:sz w:val="22"/>
          <w:szCs w:val="22"/>
        </w:rPr>
      </w:pPr>
      <w:r>
        <w:rPr>
          <w:rFonts w:ascii="宋体" w:hAnsi="宋体" w:cs="宋体"/>
          <w:color w:val="auto"/>
          <w:sz w:val="22"/>
          <w:szCs w:val="22"/>
        </w:rPr>
        <w:t>2.</w:t>
      </w:r>
      <w:r>
        <w:rPr>
          <w:rFonts w:hint="eastAsia" w:ascii="宋体" w:hAnsi="宋体" w:cs="宋体"/>
          <w:color w:val="auto"/>
          <w:sz w:val="22"/>
          <w:szCs w:val="22"/>
        </w:rPr>
        <w:t xml:space="preserve">  </w:t>
      </w:r>
      <w:r>
        <w:rPr>
          <w:rFonts w:hint="eastAsia" w:ascii="宋体" w:hAnsi="宋体" w:cs="宋体"/>
          <w:b/>
          <w:color w:val="auto"/>
          <w:sz w:val="22"/>
          <w:szCs w:val="22"/>
        </w:rPr>
        <w:t>价格评分（</w:t>
      </w:r>
      <w:r>
        <w:rPr>
          <w:rFonts w:hint="eastAsia" w:ascii="宋体" w:hAnsi="宋体" w:cs="宋体"/>
          <w:b/>
          <w:color w:val="auto"/>
          <w:sz w:val="22"/>
          <w:szCs w:val="22"/>
          <w:lang w:val="en-US" w:eastAsia="zh-CN"/>
        </w:rPr>
        <w:t>35</w:t>
      </w:r>
      <w:r>
        <w:rPr>
          <w:rFonts w:hint="eastAsia" w:ascii="宋体" w:hAnsi="宋体" w:cs="宋体"/>
          <w:b/>
          <w:color w:val="auto"/>
          <w:sz w:val="22"/>
          <w:szCs w:val="22"/>
        </w:rPr>
        <w:t>分）</w:t>
      </w:r>
      <w:r>
        <w:rPr>
          <w:rFonts w:hint="eastAsia" w:ascii="宋体" w:hAnsi="宋体" w:cs="宋体"/>
          <w:color w:val="auto"/>
          <w:sz w:val="22"/>
          <w:szCs w:val="22"/>
        </w:rPr>
        <w:t>：</w:t>
      </w:r>
    </w:p>
    <w:p w14:paraId="39FCF332">
      <w:pPr>
        <w:spacing w:line="420" w:lineRule="exact"/>
        <w:rPr>
          <w:rFonts w:ascii="宋体" w:hAnsi="宋体" w:cs="宋体"/>
          <w:color w:val="auto"/>
          <w:sz w:val="22"/>
          <w:szCs w:val="22"/>
        </w:rPr>
      </w:pPr>
      <w:r>
        <w:rPr>
          <w:rFonts w:hint="eastAsia" w:ascii="宋体" w:hAnsi="宋体" w:cs="宋体"/>
          <w:color w:val="auto"/>
          <w:sz w:val="22"/>
          <w:szCs w:val="22"/>
        </w:rPr>
        <w:t>2.1  满足竞争性磋商文件要求且最后报价最低的报价为评标基准价。</w:t>
      </w:r>
    </w:p>
    <w:p w14:paraId="7D4C1126">
      <w:pPr>
        <w:spacing w:line="420" w:lineRule="exact"/>
        <w:rPr>
          <w:rFonts w:ascii="宋体" w:hAnsi="宋体" w:cs="宋体"/>
          <w:color w:val="auto"/>
          <w:sz w:val="22"/>
          <w:szCs w:val="22"/>
        </w:rPr>
      </w:pPr>
      <w:r>
        <w:rPr>
          <w:rFonts w:hint="eastAsia" w:ascii="宋体" w:hAnsi="宋体" w:cs="宋体"/>
          <w:color w:val="auto"/>
          <w:sz w:val="22"/>
          <w:szCs w:val="22"/>
        </w:rPr>
        <w:t>2.2  其他供应商的价格分统一按照下列公式计算：</w:t>
      </w:r>
    </w:p>
    <w:p w14:paraId="798C2E8E">
      <w:pPr>
        <w:spacing w:line="420" w:lineRule="exact"/>
        <w:ind w:firstLine="550" w:firstLineChars="250"/>
        <w:rPr>
          <w:rFonts w:ascii="宋体" w:hAnsi="宋体" w:cs="宋体"/>
          <w:color w:val="auto"/>
          <w:sz w:val="22"/>
          <w:szCs w:val="22"/>
        </w:rPr>
      </w:pPr>
      <w:r>
        <w:rPr>
          <w:rFonts w:hint="eastAsia" w:ascii="宋体" w:hAnsi="宋体" w:cs="宋体"/>
          <w:color w:val="auto"/>
          <w:sz w:val="22"/>
          <w:szCs w:val="22"/>
        </w:rPr>
        <w:t>磋商报价得分=（磋商基准价/最后磋商报价）×价格权值×100（四舍五入，保留小数点后2位）</w:t>
      </w:r>
    </w:p>
    <w:bookmarkEnd w:id="220"/>
    <w:bookmarkEnd w:id="221"/>
    <w:bookmarkEnd w:id="222"/>
    <w:p w14:paraId="10CB7D23">
      <w:pPr>
        <w:spacing w:line="420" w:lineRule="exact"/>
        <w:rPr>
          <w:rFonts w:ascii="宋体" w:hAnsi="宋体" w:cs="宋体"/>
          <w:color w:val="auto"/>
          <w:sz w:val="22"/>
          <w:szCs w:val="22"/>
        </w:rPr>
      </w:pPr>
      <w:r>
        <w:rPr>
          <w:rFonts w:hint="eastAsia" w:ascii="宋体" w:hAnsi="宋体" w:cs="宋体"/>
          <w:color w:val="auto"/>
          <w:sz w:val="22"/>
          <w:szCs w:val="22"/>
        </w:rPr>
        <w:t>3. ▲</w:t>
      </w:r>
      <w:r>
        <w:rPr>
          <w:rFonts w:hint="eastAsia" w:ascii="宋体" w:hAnsi="宋体" w:cs="宋体"/>
          <w:b/>
          <w:color w:val="auto"/>
          <w:sz w:val="22"/>
          <w:szCs w:val="22"/>
          <w:u w:val="single"/>
        </w:rPr>
        <w:t>如供应商最后报价超过采购预算 ，其响应文件作无效标处理。</w:t>
      </w:r>
    </w:p>
    <w:p w14:paraId="53BF9C5F">
      <w:pPr>
        <w:spacing w:line="440" w:lineRule="exact"/>
        <w:ind w:left="660" w:hanging="660" w:hangingChars="300"/>
        <w:rPr>
          <w:rFonts w:ascii="宋体" w:hAnsi="宋体" w:cs="宋体"/>
          <w:color w:val="auto"/>
          <w:sz w:val="22"/>
          <w:szCs w:val="22"/>
        </w:rPr>
      </w:pPr>
      <w:r>
        <w:rPr>
          <w:rFonts w:hint="eastAsia" w:ascii="宋体" w:hAnsi="宋体" w:cs="宋体"/>
          <w:color w:val="auto"/>
          <w:sz w:val="22"/>
          <w:szCs w:val="22"/>
        </w:rPr>
        <w:t>4.   磋商小组根据综合评分情况，按照评审得分（即技术得分与最后报价得分之和）由高到低顺序推荐成交候选供应商（得分相同最后报价低的排序第一；得分且最后报价相同的，技术部分得分高的排序第一）</w:t>
      </w:r>
    </w:p>
    <w:p w14:paraId="188FA99D">
      <w:pPr>
        <w:spacing w:line="440" w:lineRule="exact"/>
        <w:ind w:left="663" w:hanging="663" w:hangingChars="300"/>
        <w:rPr>
          <w:rFonts w:ascii="宋体" w:hAnsi="宋体"/>
          <w:b/>
          <w:color w:val="auto"/>
          <w:sz w:val="22"/>
          <w:szCs w:val="22"/>
        </w:rPr>
      </w:pPr>
      <w:r>
        <w:rPr>
          <w:rFonts w:hint="eastAsia" w:ascii="宋体" w:hAnsi="宋体"/>
          <w:b/>
          <w:color w:val="auto"/>
          <w:sz w:val="22"/>
          <w:szCs w:val="22"/>
        </w:rPr>
        <w:t>五、定标办法</w:t>
      </w:r>
    </w:p>
    <w:p w14:paraId="44C0A288">
      <w:pPr>
        <w:spacing w:line="440" w:lineRule="exact"/>
        <w:ind w:left="439" w:leftChars="209"/>
        <w:rPr>
          <w:rFonts w:ascii="宋体" w:hAnsi="宋体"/>
          <w:color w:val="auto"/>
          <w:sz w:val="22"/>
          <w:szCs w:val="22"/>
        </w:rPr>
      </w:pPr>
      <w:r>
        <w:rPr>
          <w:rFonts w:hint="eastAsia" w:ascii="宋体" w:hAnsi="宋体"/>
          <w:color w:val="auto"/>
          <w:sz w:val="22"/>
          <w:szCs w:val="22"/>
        </w:rPr>
        <w:t>本次采购由磋商小组确定成交候选供应商</w:t>
      </w:r>
      <w:r>
        <w:rPr>
          <w:rFonts w:ascii="宋体" w:hAnsi="宋体"/>
          <w:color w:val="auto"/>
          <w:sz w:val="22"/>
          <w:szCs w:val="22"/>
        </w:rPr>
        <w:t>。</w:t>
      </w:r>
    </w:p>
    <w:p w14:paraId="757D8918">
      <w:pPr>
        <w:tabs>
          <w:tab w:val="left" w:pos="1365"/>
        </w:tabs>
        <w:spacing w:line="460" w:lineRule="exact"/>
        <w:ind w:left="464" w:leftChars="221" w:firstLine="24" w:firstLineChars="11"/>
        <w:rPr>
          <w:rFonts w:ascii="宋体" w:hAnsi="宋体"/>
          <w:color w:val="auto"/>
          <w:sz w:val="22"/>
          <w:szCs w:val="22"/>
        </w:rPr>
      </w:pPr>
      <w:r>
        <w:rPr>
          <w:rFonts w:hint="eastAsia" w:ascii="宋体" w:hAnsi="宋体"/>
          <w:color w:val="auto"/>
          <w:sz w:val="22"/>
          <w:szCs w:val="22"/>
        </w:rPr>
        <w:t>若排名第一的成交候选供应商放弃成交；或因不可抗力提出不能履行合同；或未能在规定时间内与采购人签订合同的；或者经质疑，采购组织机构审查确因排名第一的候选供应商在本次采购活动中存在违法违规行为或其他原因使质疑成立的，采购人可以直接确定排名第二的候选供应商为成交供应商。以此类推。</w:t>
      </w:r>
      <w:r>
        <w:rPr>
          <w:rFonts w:ascii="宋体" w:hAnsi="宋体"/>
          <w:color w:val="auto"/>
          <w:sz w:val="22"/>
          <w:szCs w:val="22"/>
        </w:rPr>
        <w:t>如第</w:t>
      </w:r>
      <w:r>
        <w:rPr>
          <w:rFonts w:hint="eastAsia" w:ascii="宋体" w:hAnsi="宋体"/>
          <w:color w:val="auto"/>
          <w:sz w:val="22"/>
          <w:szCs w:val="22"/>
        </w:rPr>
        <w:t>三</w:t>
      </w:r>
      <w:r>
        <w:rPr>
          <w:rFonts w:ascii="宋体" w:hAnsi="宋体"/>
          <w:color w:val="auto"/>
          <w:sz w:val="22"/>
          <w:szCs w:val="22"/>
        </w:rPr>
        <w:t>成交候选</w:t>
      </w:r>
      <w:r>
        <w:rPr>
          <w:rFonts w:hint="eastAsia" w:ascii="宋体" w:hAnsi="宋体"/>
          <w:color w:val="auto"/>
          <w:sz w:val="22"/>
          <w:szCs w:val="22"/>
        </w:rPr>
        <w:t>供应商</w:t>
      </w:r>
      <w:r>
        <w:rPr>
          <w:rFonts w:ascii="宋体" w:hAnsi="宋体"/>
          <w:color w:val="auto"/>
          <w:sz w:val="22"/>
          <w:szCs w:val="22"/>
        </w:rPr>
        <w:t>因前款规定的同样原因不能签订合同的，本次</w:t>
      </w:r>
      <w:r>
        <w:rPr>
          <w:rFonts w:hint="eastAsia" w:ascii="宋体" w:hAnsi="宋体"/>
          <w:color w:val="auto"/>
          <w:sz w:val="22"/>
          <w:szCs w:val="22"/>
        </w:rPr>
        <w:t>采购</w:t>
      </w:r>
      <w:r>
        <w:rPr>
          <w:rFonts w:ascii="宋体" w:hAnsi="宋体"/>
          <w:color w:val="auto"/>
          <w:sz w:val="22"/>
          <w:szCs w:val="22"/>
        </w:rPr>
        <w:t>失败，重新组织</w:t>
      </w:r>
      <w:r>
        <w:rPr>
          <w:rFonts w:hint="eastAsia" w:ascii="宋体" w:hAnsi="宋体"/>
          <w:color w:val="auto"/>
          <w:sz w:val="22"/>
          <w:szCs w:val="22"/>
        </w:rPr>
        <w:t>采购</w:t>
      </w:r>
      <w:r>
        <w:rPr>
          <w:rFonts w:ascii="宋体" w:hAnsi="宋体"/>
          <w:color w:val="auto"/>
          <w:sz w:val="22"/>
          <w:szCs w:val="22"/>
        </w:rPr>
        <w:t>。</w:t>
      </w:r>
    </w:p>
    <w:p w14:paraId="3BACD8D5">
      <w:pPr>
        <w:pStyle w:val="14"/>
        <w:tabs>
          <w:tab w:val="left" w:pos="2115"/>
        </w:tabs>
        <w:adjustRightInd w:val="0"/>
        <w:snapToGrid w:val="0"/>
        <w:spacing w:line="440" w:lineRule="exact"/>
        <w:rPr>
          <w:rFonts w:ascii="宋体" w:hAnsi="宋体"/>
          <w:b/>
          <w:color w:val="auto"/>
          <w:sz w:val="22"/>
          <w:szCs w:val="22"/>
        </w:rPr>
      </w:pPr>
      <w:r>
        <w:rPr>
          <w:rFonts w:hint="eastAsia" w:ascii="宋体" w:hAnsi="宋体"/>
          <w:b/>
          <w:color w:val="auto"/>
          <w:sz w:val="22"/>
          <w:szCs w:val="22"/>
        </w:rPr>
        <w:t>六、确定成交供应商</w:t>
      </w:r>
    </w:p>
    <w:p w14:paraId="1E7F16B2">
      <w:pPr>
        <w:spacing w:line="440" w:lineRule="exact"/>
        <w:ind w:left="439" w:leftChars="209"/>
        <w:rPr>
          <w:rFonts w:ascii="宋体" w:hAnsi="宋体"/>
          <w:color w:val="auto"/>
          <w:sz w:val="22"/>
          <w:szCs w:val="22"/>
        </w:rPr>
      </w:pPr>
      <w:r>
        <w:rPr>
          <w:rFonts w:hint="eastAsia" w:ascii="宋体" w:hAnsi="宋体"/>
          <w:color w:val="auto"/>
          <w:sz w:val="22"/>
          <w:szCs w:val="22"/>
        </w:rPr>
        <w:t>磋商结束后，招标采购单位将在财政部门指定的政府采购信息发布媒体上公告</w:t>
      </w:r>
      <w:r>
        <w:rPr>
          <w:rFonts w:hint="eastAsia" w:ascii="宋体" w:hAnsi="宋体"/>
          <w:color w:val="auto"/>
          <w:sz w:val="22"/>
          <w:szCs w:val="22"/>
          <w:lang w:val="en-US" w:eastAsia="zh-CN"/>
        </w:rPr>
        <w:t>并公布《中小企业声明函》</w:t>
      </w:r>
      <w:r>
        <w:rPr>
          <w:rFonts w:hint="eastAsia" w:ascii="宋体" w:hAnsi="宋体"/>
          <w:color w:val="auto"/>
          <w:sz w:val="22"/>
          <w:szCs w:val="22"/>
        </w:rPr>
        <w:t>，同时向成交供应商发出成交通知书。</w:t>
      </w:r>
    </w:p>
    <w:p w14:paraId="7504A137">
      <w:pPr>
        <w:pStyle w:val="14"/>
        <w:adjustRightInd w:val="0"/>
        <w:snapToGrid w:val="0"/>
        <w:spacing w:line="440" w:lineRule="exact"/>
        <w:rPr>
          <w:rFonts w:ascii="宋体" w:hAnsi="宋体"/>
          <w:b/>
          <w:color w:val="auto"/>
          <w:sz w:val="22"/>
          <w:szCs w:val="22"/>
        </w:rPr>
      </w:pPr>
      <w:r>
        <w:rPr>
          <w:rFonts w:hint="eastAsia" w:ascii="宋体" w:hAnsi="宋体"/>
          <w:b/>
          <w:color w:val="auto"/>
          <w:sz w:val="22"/>
          <w:szCs w:val="22"/>
        </w:rPr>
        <w:t>七、磋商供应商的义务</w:t>
      </w:r>
    </w:p>
    <w:p w14:paraId="257C1851">
      <w:pPr>
        <w:spacing w:line="440" w:lineRule="exact"/>
        <w:ind w:left="439" w:leftChars="209"/>
        <w:rPr>
          <w:color w:val="auto"/>
        </w:rPr>
      </w:pPr>
      <w:r>
        <w:rPr>
          <w:rFonts w:hint="eastAsia" w:ascii="宋体" w:hAnsi="宋体"/>
          <w:color w:val="auto"/>
          <w:sz w:val="22"/>
          <w:szCs w:val="22"/>
        </w:rPr>
        <w:t>磋商供应商应随时接受磋商小组成员的询标，解答包括有关的技术问题等。</w:t>
      </w:r>
    </w:p>
    <w:sectPr>
      <w:headerReference r:id="rId11" w:type="default"/>
      <w:footerReference r:id="rId12" w:type="default"/>
      <w:pgSz w:w="11906" w:h="16838"/>
      <w:pgMar w:top="1134" w:right="1134"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_x000B__x000C_">
    <w:altName w:val="微软雅黑"/>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Helvetica Neue">
    <w:altName w:val="Times New Roman"/>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DaxPro-CondRegular">
    <w:altName w:val="宋体"/>
    <w:panose1 w:val="00000000000000000000"/>
    <w:charset w:val="86"/>
    <w:family w:val="swiss"/>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PMingLiU">
    <w:altName w:val="PMingLiU-ExtB"/>
    <w:panose1 w:val="02020500000000000000"/>
    <w:charset w:val="88"/>
    <w:family w:val="auto"/>
    <w:pitch w:val="default"/>
    <w:sig w:usb0="00000000" w:usb1="00000000" w:usb2="00000016" w:usb3="00000000" w:csb0="00100001"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2B621">
    <w:pPr>
      <w:pStyle w:val="2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3894E">
    <w:pPr>
      <w:pStyle w:val="24"/>
      <w:framePr w:wrap="around" w:vAnchor="text" w:hAnchor="margin" w:xAlign="right" w:y="1"/>
      <w:rPr>
        <w:rStyle w:val="42"/>
      </w:rPr>
    </w:pPr>
    <w:r>
      <w:fldChar w:fldCharType="begin"/>
    </w:r>
    <w:r>
      <w:rPr>
        <w:rStyle w:val="42"/>
      </w:rPr>
      <w:instrText xml:space="preserve">PAGE  </w:instrText>
    </w:r>
    <w:r>
      <w:fldChar w:fldCharType="end"/>
    </w:r>
  </w:p>
  <w:p w14:paraId="11F65994">
    <w:pPr>
      <w:pStyle w:val="2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40ECA">
    <w:pPr>
      <w:pStyle w:val="24"/>
      <w:framePr w:wrap="around" w:vAnchor="text" w:hAnchor="margin" w:xAlign="center" w:y="1"/>
      <w:rPr>
        <w:rStyle w:val="42"/>
      </w:rPr>
    </w:pPr>
    <w:r>
      <w:fldChar w:fldCharType="begin"/>
    </w:r>
    <w:r>
      <w:rPr>
        <w:rStyle w:val="42"/>
      </w:rPr>
      <w:instrText xml:space="preserve">PAGE  </w:instrText>
    </w:r>
    <w:r>
      <w:fldChar w:fldCharType="separate"/>
    </w:r>
    <w:r>
      <w:rPr>
        <w:rStyle w:val="42"/>
      </w:rPr>
      <w:t>21</w:t>
    </w:r>
    <w:r>
      <w:fldChar w:fldCharType="end"/>
    </w:r>
  </w:p>
  <w:p w14:paraId="530E221D">
    <w:pPr>
      <w:pStyle w:val="2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C6AB5">
    <w:pPr>
      <w:pStyle w:val="24"/>
      <w:jc w:val="center"/>
    </w:pPr>
    <w:r>
      <w:fldChar w:fldCharType="begin"/>
    </w:r>
    <w:r>
      <w:instrText xml:space="preserve">PAGE   \* MERGEFORMAT</w:instrText>
    </w:r>
    <w:r>
      <w:fldChar w:fldCharType="separate"/>
    </w:r>
    <w:r>
      <w:rPr>
        <w:lang w:val="zh-CN"/>
      </w:rPr>
      <w:t>22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F5A0E">
    <w:pPr>
      <w:pStyle w:val="24"/>
      <w:framePr w:wrap="around" w:vAnchor="text" w:hAnchor="margin" w:xAlign="center" w:y="1"/>
      <w:rPr>
        <w:rStyle w:val="42"/>
      </w:rPr>
    </w:pPr>
    <w:r>
      <w:fldChar w:fldCharType="begin"/>
    </w:r>
    <w:r>
      <w:rPr>
        <w:rStyle w:val="42"/>
      </w:rPr>
      <w:instrText xml:space="preserve">PAGE  </w:instrText>
    </w:r>
    <w:r>
      <w:fldChar w:fldCharType="separate"/>
    </w:r>
    <w:r>
      <w:rPr>
        <w:rStyle w:val="42"/>
      </w:rPr>
      <w:t>35</w:t>
    </w:r>
    <w:r>
      <w:fldChar w:fldCharType="end"/>
    </w:r>
  </w:p>
  <w:p w14:paraId="23B534DF">
    <w:pPr>
      <w:pStyle w:val="2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119FF">
    <w:pPr>
      <w:pStyle w:val="24"/>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107</w:t>
    </w:r>
    <w:r>
      <w:rPr>
        <w:rFonts w:ascii="宋体" w:hAnsi="宋体"/>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AB0A9">
    <w:pPr>
      <w:snapToGrid w:val="0"/>
      <w:jc w:val="center"/>
      <w:rPr>
        <w:sz w:val="24"/>
      </w:rPr>
    </w:pPr>
    <w:r>
      <w:rPr>
        <w:rFonts w:hint="eastAsia"/>
        <w:sz w:val="24"/>
      </w:rPr>
      <w:t>-</w:t>
    </w:r>
    <w:r>
      <w:rPr>
        <w:szCs w:val="21"/>
      </w:rPr>
      <w:t xml:space="preserve"> </w:t>
    </w:r>
    <w:r>
      <w:rPr>
        <w:szCs w:val="21"/>
      </w:rPr>
      <w:fldChar w:fldCharType="begin"/>
    </w:r>
    <w:r>
      <w:rPr>
        <w:szCs w:val="21"/>
      </w:rPr>
      <w:instrText xml:space="preserve">PAGE   \* MERGEFORMAT</w:instrText>
    </w:r>
    <w:r>
      <w:rPr>
        <w:szCs w:val="21"/>
      </w:rPr>
      <w:fldChar w:fldCharType="separate"/>
    </w:r>
    <w:r>
      <w:rPr>
        <w:szCs w:val="21"/>
        <w:lang w:val="zh-CN"/>
      </w:rPr>
      <w:t>53</w:t>
    </w:r>
    <w:r>
      <w:rPr>
        <w:szCs w:val="21"/>
      </w:rPr>
      <w:fldChar w:fldCharType="end"/>
    </w:r>
    <w:r>
      <w:rPr>
        <w:szCs w:val="21"/>
      </w:rPr>
      <w:t xml:space="preserve"> </w:t>
    </w:r>
    <w:r>
      <w:rPr>
        <w:rFonts w:hint="eastAsia"/>
        <w:szCs w:val="21"/>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9F7FC">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0A789">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2B204">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221B45"/>
    <w:multiLevelType w:val="multilevel"/>
    <w:tmpl w:val="14221B45"/>
    <w:lvl w:ilvl="0" w:tentative="0">
      <w:start w:val="1"/>
      <w:numFmt w:val="decimal"/>
      <w:lvlText w:val="%1、"/>
      <w:lvlJc w:val="left"/>
      <w:pPr>
        <w:tabs>
          <w:tab w:val="left" w:pos="630"/>
        </w:tabs>
        <w:ind w:left="630" w:hanging="360"/>
      </w:pPr>
      <w:rPr>
        <w:rFonts w:hint="eastAsia"/>
      </w:rPr>
    </w:lvl>
    <w:lvl w:ilvl="1" w:tentative="0">
      <w:start w:val="1"/>
      <w:numFmt w:val="lowerLetter"/>
      <w:lvlText w:val="%2)"/>
      <w:lvlJc w:val="left"/>
      <w:pPr>
        <w:tabs>
          <w:tab w:val="left" w:pos="1110"/>
        </w:tabs>
        <w:ind w:left="1110" w:hanging="420"/>
      </w:pPr>
    </w:lvl>
    <w:lvl w:ilvl="2" w:tentative="0">
      <w:start w:val="1"/>
      <w:numFmt w:val="lowerRoman"/>
      <w:lvlText w:val="%3."/>
      <w:lvlJc w:val="right"/>
      <w:pPr>
        <w:tabs>
          <w:tab w:val="left" w:pos="1530"/>
        </w:tabs>
        <w:ind w:left="1530" w:hanging="420"/>
      </w:pPr>
    </w:lvl>
    <w:lvl w:ilvl="3" w:tentative="0">
      <w:start w:val="1"/>
      <w:numFmt w:val="decimal"/>
      <w:lvlText w:val="%4."/>
      <w:lvlJc w:val="left"/>
      <w:pPr>
        <w:tabs>
          <w:tab w:val="left" w:pos="1950"/>
        </w:tabs>
        <w:ind w:left="1950" w:hanging="420"/>
      </w:pPr>
    </w:lvl>
    <w:lvl w:ilvl="4" w:tentative="0">
      <w:start w:val="1"/>
      <w:numFmt w:val="lowerLetter"/>
      <w:lvlText w:val="%5)"/>
      <w:lvlJc w:val="left"/>
      <w:pPr>
        <w:tabs>
          <w:tab w:val="left" w:pos="2370"/>
        </w:tabs>
        <w:ind w:left="2370" w:hanging="420"/>
      </w:pPr>
    </w:lvl>
    <w:lvl w:ilvl="5" w:tentative="0">
      <w:start w:val="1"/>
      <w:numFmt w:val="lowerRoman"/>
      <w:lvlText w:val="%6."/>
      <w:lvlJc w:val="right"/>
      <w:pPr>
        <w:tabs>
          <w:tab w:val="left" w:pos="2790"/>
        </w:tabs>
        <w:ind w:left="2790" w:hanging="420"/>
      </w:pPr>
    </w:lvl>
    <w:lvl w:ilvl="6" w:tentative="0">
      <w:start w:val="1"/>
      <w:numFmt w:val="decimal"/>
      <w:lvlText w:val="%7."/>
      <w:lvlJc w:val="left"/>
      <w:pPr>
        <w:tabs>
          <w:tab w:val="left" w:pos="3210"/>
        </w:tabs>
        <w:ind w:left="3210" w:hanging="420"/>
      </w:pPr>
    </w:lvl>
    <w:lvl w:ilvl="7" w:tentative="0">
      <w:start w:val="1"/>
      <w:numFmt w:val="lowerLetter"/>
      <w:lvlText w:val="%8)"/>
      <w:lvlJc w:val="left"/>
      <w:pPr>
        <w:tabs>
          <w:tab w:val="left" w:pos="3630"/>
        </w:tabs>
        <w:ind w:left="3630" w:hanging="420"/>
      </w:pPr>
    </w:lvl>
    <w:lvl w:ilvl="8" w:tentative="0">
      <w:start w:val="1"/>
      <w:numFmt w:val="lowerRoman"/>
      <w:lvlText w:val="%9."/>
      <w:lvlJc w:val="right"/>
      <w:pPr>
        <w:tabs>
          <w:tab w:val="left" w:pos="4050"/>
        </w:tabs>
        <w:ind w:left="4050" w:hanging="420"/>
      </w:pPr>
    </w:lvl>
  </w:abstractNum>
  <w:abstractNum w:abstractNumId="1">
    <w:nsid w:val="1FD44ECF"/>
    <w:multiLevelType w:val="multilevel"/>
    <w:tmpl w:val="1FD44ECF"/>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jMzZiNzczYzc5OGExMjEyMDUxOGFjMjhhMmEwNzIifQ=="/>
  </w:docVars>
  <w:rsids>
    <w:rsidRoot w:val="008C27C9"/>
    <w:rsid w:val="00003815"/>
    <w:rsid w:val="00003E81"/>
    <w:rsid w:val="0000702C"/>
    <w:rsid w:val="0001723C"/>
    <w:rsid w:val="000176EF"/>
    <w:rsid w:val="00021FA0"/>
    <w:rsid w:val="00047A4B"/>
    <w:rsid w:val="00063155"/>
    <w:rsid w:val="00067A59"/>
    <w:rsid w:val="00067AF5"/>
    <w:rsid w:val="0007101A"/>
    <w:rsid w:val="00073FAB"/>
    <w:rsid w:val="0007607B"/>
    <w:rsid w:val="000B1A7B"/>
    <w:rsid w:val="000C325E"/>
    <w:rsid w:val="000C5670"/>
    <w:rsid w:val="000C6F45"/>
    <w:rsid w:val="000D3CD8"/>
    <w:rsid w:val="000D524A"/>
    <w:rsid w:val="000D700B"/>
    <w:rsid w:val="00116E9A"/>
    <w:rsid w:val="00120E06"/>
    <w:rsid w:val="00122054"/>
    <w:rsid w:val="00123DE9"/>
    <w:rsid w:val="00132CF4"/>
    <w:rsid w:val="00134455"/>
    <w:rsid w:val="00144DC0"/>
    <w:rsid w:val="0015013E"/>
    <w:rsid w:val="001636B8"/>
    <w:rsid w:val="001678DE"/>
    <w:rsid w:val="0016796D"/>
    <w:rsid w:val="00176681"/>
    <w:rsid w:val="00180FE6"/>
    <w:rsid w:val="0018248A"/>
    <w:rsid w:val="001A0187"/>
    <w:rsid w:val="001A208F"/>
    <w:rsid w:val="001A4E2F"/>
    <w:rsid w:val="001B70AA"/>
    <w:rsid w:val="001C4F44"/>
    <w:rsid w:val="001C6DA8"/>
    <w:rsid w:val="001D091E"/>
    <w:rsid w:val="001D5151"/>
    <w:rsid w:val="001F232A"/>
    <w:rsid w:val="001F54A1"/>
    <w:rsid w:val="002008EF"/>
    <w:rsid w:val="00203B3B"/>
    <w:rsid w:val="0020749A"/>
    <w:rsid w:val="00211CD1"/>
    <w:rsid w:val="00217084"/>
    <w:rsid w:val="00243CD9"/>
    <w:rsid w:val="0024493A"/>
    <w:rsid w:val="00256CE1"/>
    <w:rsid w:val="002611EB"/>
    <w:rsid w:val="0026501D"/>
    <w:rsid w:val="00270F07"/>
    <w:rsid w:val="002770D6"/>
    <w:rsid w:val="002B3FBC"/>
    <w:rsid w:val="002C0799"/>
    <w:rsid w:val="002C0E1D"/>
    <w:rsid w:val="002C3FFC"/>
    <w:rsid w:val="002C794F"/>
    <w:rsid w:val="002D01B3"/>
    <w:rsid w:val="002D1D59"/>
    <w:rsid w:val="002D2357"/>
    <w:rsid w:val="002D43CC"/>
    <w:rsid w:val="002D4F0E"/>
    <w:rsid w:val="002E4740"/>
    <w:rsid w:val="00302ECC"/>
    <w:rsid w:val="00303232"/>
    <w:rsid w:val="00314A8C"/>
    <w:rsid w:val="003158F7"/>
    <w:rsid w:val="00316B52"/>
    <w:rsid w:val="003251D3"/>
    <w:rsid w:val="00331787"/>
    <w:rsid w:val="003319CF"/>
    <w:rsid w:val="00343C1F"/>
    <w:rsid w:val="003568BB"/>
    <w:rsid w:val="00360240"/>
    <w:rsid w:val="00361C2A"/>
    <w:rsid w:val="00366BD3"/>
    <w:rsid w:val="00374187"/>
    <w:rsid w:val="00380909"/>
    <w:rsid w:val="00390C09"/>
    <w:rsid w:val="00396F31"/>
    <w:rsid w:val="003A5F5C"/>
    <w:rsid w:val="003A6130"/>
    <w:rsid w:val="003C01B4"/>
    <w:rsid w:val="003C5A1E"/>
    <w:rsid w:val="003C5ECF"/>
    <w:rsid w:val="003E62EE"/>
    <w:rsid w:val="003F15A4"/>
    <w:rsid w:val="00400573"/>
    <w:rsid w:val="004032B7"/>
    <w:rsid w:val="00413A1D"/>
    <w:rsid w:val="00415F29"/>
    <w:rsid w:val="00420B0C"/>
    <w:rsid w:val="00424DF0"/>
    <w:rsid w:val="00447AC4"/>
    <w:rsid w:val="00452D29"/>
    <w:rsid w:val="0046044E"/>
    <w:rsid w:val="00461A1E"/>
    <w:rsid w:val="004728B5"/>
    <w:rsid w:val="00480488"/>
    <w:rsid w:val="00482511"/>
    <w:rsid w:val="004834A4"/>
    <w:rsid w:val="004837F5"/>
    <w:rsid w:val="0049746C"/>
    <w:rsid w:val="004A04CD"/>
    <w:rsid w:val="004A0E6B"/>
    <w:rsid w:val="004A3472"/>
    <w:rsid w:val="004B1052"/>
    <w:rsid w:val="004B78F6"/>
    <w:rsid w:val="004D04CB"/>
    <w:rsid w:val="004D2017"/>
    <w:rsid w:val="004F1908"/>
    <w:rsid w:val="004F280D"/>
    <w:rsid w:val="004F3C2A"/>
    <w:rsid w:val="00500FCE"/>
    <w:rsid w:val="00505AE7"/>
    <w:rsid w:val="00506F63"/>
    <w:rsid w:val="00531C67"/>
    <w:rsid w:val="00541B6D"/>
    <w:rsid w:val="00542953"/>
    <w:rsid w:val="005556E3"/>
    <w:rsid w:val="00556D2A"/>
    <w:rsid w:val="005572A8"/>
    <w:rsid w:val="005600E6"/>
    <w:rsid w:val="0056078E"/>
    <w:rsid w:val="00564954"/>
    <w:rsid w:val="00576F96"/>
    <w:rsid w:val="00587717"/>
    <w:rsid w:val="005906C7"/>
    <w:rsid w:val="00596C28"/>
    <w:rsid w:val="005A761D"/>
    <w:rsid w:val="005B26F2"/>
    <w:rsid w:val="005B4538"/>
    <w:rsid w:val="005C73E6"/>
    <w:rsid w:val="005D640D"/>
    <w:rsid w:val="005D65EE"/>
    <w:rsid w:val="005E3064"/>
    <w:rsid w:val="005E7215"/>
    <w:rsid w:val="005F4A15"/>
    <w:rsid w:val="00606F6C"/>
    <w:rsid w:val="00610D9C"/>
    <w:rsid w:val="00613661"/>
    <w:rsid w:val="00620977"/>
    <w:rsid w:val="00627E6B"/>
    <w:rsid w:val="0063309A"/>
    <w:rsid w:val="0065561C"/>
    <w:rsid w:val="0066197E"/>
    <w:rsid w:val="00663A80"/>
    <w:rsid w:val="006706F0"/>
    <w:rsid w:val="00680F37"/>
    <w:rsid w:val="00697B13"/>
    <w:rsid w:val="006A3368"/>
    <w:rsid w:val="006A6457"/>
    <w:rsid w:val="006B11A2"/>
    <w:rsid w:val="006B1FFC"/>
    <w:rsid w:val="006B44B5"/>
    <w:rsid w:val="006C4EF2"/>
    <w:rsid w:val="006D4569"/>
    <w:rsid w:val="006D45CC"/>
    <w:rsid w:val="006D6E0F"/>
    <w:rsid w:val="006D7EAA"/>
    <w:rsid w:val="006E2866"/>
    <w:rsid w:val="00703724"/>
    <w:rsid w:val="007104FD"/>
    <w:rsid w:val="00716A3B"/>
    <w:rsid w:val="007235F8"/>
    <w:rsid w:val="00730BB0"/>
    <w:rsid w:val="00732907"/>
    <w:rsid w:val="00743D42"/>
    <w:rsid w:val="00750957"/>
    <w:rsid w:val="00751A80"/>
    <w:rsid w:val="00776326"/>
    <w:rsid w:val="007813FC"/>
    <w:rsid w:val="00783B9C"/>
    <w:rsid w:val="007900D6"/>
    <w:rsid w:val="0079784A"/>
    <w:rsid w:val="007A32C3"/>
    <w:rsid w:val="007A4E4D"/>
    <w:rsid w:val="007A6E7D"/>
    <w:rsid w:val="007B2E44"/>
    <w:rsid w:val="007B302F"/>
    <w:rsid w:val="007B6648"/>
    <w:rsid w:val="007C58EC"/>
    <w:rsid w:val="007C78DD"/>
    <w:rsid w:val="007D346C"/>
    <w:rsid w:val="007D474B"/>
    <w:rsid w:val="007D695D"/>
    <w:rsid w:val="007D79B1"/>
    <w:rsid w:val="007E02F6"/>
    <w:rsid w:val="007E57F7"/>
    <w:rsid w:val="007F2A8C"/>
    <w:rsid w:val="007F5790"/>
    <w:rsid w:val="007F6BEC"/>
    <w:rsid w:val="008004E1"/>
    <w:rsid w:val="008072F3"/>
    <w:rsid w:val="0082083D"/>
    <w:rsid w:val="008229A4"/>
    <w:rsid w:val="00825E78"/>
    <w:rsid w:val="00842186"/>
    <w:rsid w:val="00847229"/>
    <w:rsid w:val="00854C6A"/>
    <w:rsid w:val="00882D0D"/>
    <w:rsid w:val="00884404"/>
    <w:rsid w:val="00887FF3"/>
    <w:rsid w:val="00894585"/>
    <w:rsid w:val="00895FA7"/>
    <w:rsid w:val="008A276B"/>
    <w:rsid w:val="008A6E44"/>
    <w:rsid w:val="008B3D7A"/>
    <w:rsid w:val="008B5726"/>
    <w:rsid w:val="008C0FC5"/>
    <w:rsid w:val="008C23BD"/>
    <w:rsid w:val="008C27C9"/>
    <w:rsid w:val="008C4BF4"/>
    <w:rsid w:val="008D0417"/>
    <w:rsid w:val="008D0440"/>
    <w:rsid w:val="008D219B"/>
    <w:rsid w:val="008E557C"/>
    <w:rsid w:val="008E5B42"/>
    <w:rsid w:val="00900587"/>
    <w:rsid w:val="009077F4"/>
    <w:rsid w:val="009164FA"/>
    <w:rsid w:val="00926966"/>
    <w:rsid w:val="0094299A"/>
    <w:rsid w:val="00942A45"/>
    <w:rsid w:val="00947353"/>
    <w:rsid w:val="00970031"/>
    <w:rsid w:val="00973D0B"/>
    <w:rsid w:val="009809D3"/>
    <w:rsid w:val="009853F4"/>
    <w:rsid w:val="00990E66"/>
    <w:rsid w:val="009A4412"/>
    <w:rsid w:val="009A46BE"/>
    <w:rsid w:val="009A6D47"/>
    <w:rsid w:val="009A6D7B"/>
    <w:rsid w:val="009A78F0"/>
    <w:rsid w:val="009B15FF"/>
    <w:rsid w:val="009B1C5C"/>
    <w:rsid w:val="009B4B04"/>
    <w:rsid w:val="009D2B65"/>
    <w:rsid w:val="009F2294"/>
    <w:rsid w:val="009F35D9"/>
    <w:rsid w:val="009F61BD"/>
    <w:rsid w:val="00A00827"/>
    <w:rsid w:val="00A00C55"/>
    <w:rsid w:val="00A03C5E"/>
    <w:rsid w:val="00A05476"/>
    <w:rsid w:val="00A11614"/>
    <w:rsid w:val="00A12DFF"/>
    <w:rsid w:val="00A132E7"/>
    <w:rsid w:val="00A14944"/>
    <w:rsid w:val="00A21871"/>
    <w:rsid w:val="00A256A6"/>
    <w:rsid w:val="00A25E98"/>
    <w:rsid w:val="00A41E22"/>
    <w:rsid w:val="00A4527D"/>
    <w:rsid w:val="00A46EC4"/>
    <w:rsid w:val="00A47A9F"/>
    <w:rsid w:val="00A551BD"/>
    <w:rsid w:val="00A55F96"/>
    <w:rsid w:val="00A62D70"/>
    <w:rsid w:val="00A668E9"/>
    <w:rsid w:val="00A67C60"/>
    <w:rsid w:val="00A71346"/>
    <w:rsid w:val="00A84BEE"/>
    <w:rsid w:val="00AA56A9"/>
    <w:rsid w:val="00AB7631"/>
    <w:rsid w:val="00AC30F9"/>
    <w:rsid w:val="00AC73C5"/>
    <w:rsid w:val="00AC7586"/>
    <w:rsid w:val="00AD1951"/>
    <w:rsid w:val="00AD548F"/>
    <w:rsid w:val="00AF4FD1"/>
    <w:rsid w:val="00AF5086"/>
    <w:rsid w:val="00AF518B"/>
    <w:rsid w:val="00AF5562"/>
    <w:rsid w:val="00AF5A0A"/>
    <w:rsid w:val="00B207BD"/>
    <w:rsid w:val="00B22FF1"/>
    <w:rsid w:val="00B26530"/>
    <w:rsid w:val="00B33277"/>
    <w:rsid w:val="00B42B48"/>
    <w:rsid w:val="00B43531"/>
    <w:rsid w:val="00B51D95"/>
    <w:rsid w:val="00B70F97"/>
    <w:rsid w:val="00B778BD"/>
    <w:rsid w:val="00B77D29"/>
    <w:rsid w:val="00B8201A"/>
    <w:rsid w:val="00B83018"/>
    <w:rsid w:val="00B843E4"/>
    <w:rsid w:val="00B879B6"/>
    <w:rsid w:val="00B90038"/>
    <w:rsid w:val="00B92E55"/>
    <w:rsid w:val="00B9349D"/>
    <w:rsid w:val="00B952F1"/>
    <w:rsid w:val="00BA51F1"/>
    <w:rsid w:val="00BA6408"/>
    <w:rsid w:val="00BC0906"/>
    <w:rsid w:val="00BC7C1E"/>
    <w:rsid w:val="00BD4B8B"/>
    <w:rsid w:val="00BE3401"/>
    <w:rsid w:val="00BE7AF2"/>
    <w:rsid w:val="00BF4ED7"/>
    <w:rsid w:val="00BF517D"/>
    <w:rsid w:val="00C10965"/>
    <w:rsid w:val="00C11AD7"/>
    <w:rsid w:val="00C15DF3"/>
    <w:rsid w:val="00C16B0E"/>
    <w:rsid w:val="00C17612"/>
    <w:rsid w:val="00C24147"/>
    <w:rsid w:val="00C33BE1"/>
    <w:rsid w:val="00C4016A"/>
    <w:rsid w:val="00C77A95"/>
    <w:rsid w:val="00C82D1B"/>
    <w:rsid w:val="00C8527A"/>
    <w:rsid w:val="00C87262"/>
    <w:rsid w:val="00C913BA"/>
    <w:rsid w:val="00C95D46"/>
    <w:rsid w:val="00C968EF"/>
    <w:rsid w:val="00CA2BEF"/>
    <w:rsid w:val="00CA3CE1"/>
    <w:rsid w:val="00CA79E1"/>
    <w:rsid w:val="00CA7C28"/>
    <w:rsid w:val="00CC0D28"/>
    <w:rsid w:val="00CC4716"/>
    <w:rsid w:val="00CC68C8"/>
    <w:rsid w:val="00CD08FF"/>
    <w:rsid w:val="00CD1043"/>
    <w:rsid w:val="00CD20CA"/>
    <w:rsid w:val="00CD7A1C"/>
    <w:rsid w:val="00CE1046"/>
    <w:rsid w:val="00CE4796"/>
    <w:rsid w:val="00CE79EA"/>
    <w:rsid w:val="00CF3BDF"/>
    <w:rsid w:val="00CF6149"/>
    <w:rsid w:val="00CF6BEA"/>
    <w:rsid w:val="00D06ABD"/>
    <w:rsid w:val="00D073CB"/>
    <w:rsid w:val="00D16F69"/>
    <w:rsid w:val="00D26CA0"/>
    <w:rsid w:val="00D40C21"/>
    <w:rsid w:val="00D4309E"/>
    <w:rsid w:val="00D63952"/>
    <w:rsid w:val="00D87110"/>
    <w:rsid w:val="00DA0053"/>
    <w:rsid w:val="00DA0DD2"/>
    <w:rsid w:val="00DA449F"/>
    <w:rsid w:val="00DA6572"/>
    <w:rsid w:val="00DB4F94"/>
    <w:rsid w:val="00DB61CF"/>
    <w:rsid w:val="00DC37EC"/>
    <w:rsid w:val="00DC3C96"/>
    <w:rsid w:val="00DC4D74"/>
    <w:rsid w:val="00DD00BF"/>
    <w:rsid w:val="00DE4BC9"/>
    <w:rsid w:val="00DF314D"/>
    <w:rsid w:val="00E02874"/>
    <w:rsid w:val="00E10786"/>
    <w:rsid w:val="00E14017"/>
    <w:rsid w:val="00E320E5"/>
    <w:rsid w:val="00E374BB"/>
    <w:rsid w:val="00E46982"/>
    <w:rsid w:val="00E54AFA"/>
    <w:rsid w:val="00E6238C"/>
    <w:rsid w:val="00E6677C"/>
    <w:rsid w:val="00E709BE"/>
    <w:rsid w:val="00E73FF2"/>
    <w:rsid w:val="00EA0F9E"/>
    <w:rsid w:val="00EA359C"/>
    <w:rsid w:val="00EA576D"/>
    <w:rsid w:val="00EB1216"/>
    <w:rsid w:val="00EB1E4E"/>
    <w:rsid w:val="00EC4625"/>
    <w:rsid w:val="00ED6E07"/>
    <w:rsid w:val="00EE424E"/>
    <w:rsid w:val="00F03C88"/>
    <w:rsid w:val="00F055F0"/>
    <w:rsid w:val="00F13FDB"/>
    <w:rsid w:val="00F1540A"/>
    <w:rsid w:val="00F21F5B"/>
    <w:rsid w:val="00F546D5"/>
    <w:rsid w:val="00F57355"/>
    <w:rsid w:val="00F60CE8"/>
    <w:rsid w:val="00F6658E"/>
    <w:rsid w:val="00F72588"/>
    <w:rsid w:val="00F74376"/>
    <w:rsid w:val="00F757FE"/>
    <w:rsid w:val="00F7631B"/>
    <w:rsid w:val="00F8070A"/>
    <w:rsid w:val="00F87429"/>
    <w:rsid w:val="00F913A1"/>
    <w:rsid w:val="00F9298F"/>
    <w:rsid w:val="00F97749"/>
    <w:rsid w:val="00FD2937"/>
    <w:rsid w:val="00FD5534"/>
    <w:rsid w:val="00FD6C39"/>
    <w:rsid w:val="00FE4328"/>
    <w:rsid w:val="00FF067D"/>
    <w:rsid w:val="00FF581B"/>
    <w:rsid w:val="010E1D01"/>
    <w:rsid w:val="01227D26"/>
    <w:rsid w:val="01273034"/>
    <w:rsid w:val="01560A81"/>
    <w:rsid w:val="019B37E7"/>
    <w:rsid w:val="02381238"/>
    <w:rsid w:val="02572DDA"/>
    <w:rsid w:val="02591E71"/>
    <w:rsid w:val="02704814"/>
    <w:rsid w:val="02722C97"/>
    <w:rsid w:val="02B408DE"/>
    <w:rsid w:val="02BD0D50"/>
    <w:rsid w:val="02BE6CD4"/>
    <w:rsid w:val="02CA4295"/>
    <w:rsid w:val="02E7623E"/>
    <w:rsid w:val="0359740D"/>
    <w:rsid w:val="035D4BCD"/>
    <w:rsid w:val="036839EA"/>
    <w:rsid w:val="03E86970"/>
    <w:rsid w:val="040A2CF3"/>
    <w:rsid w:val="050F26A0"/>
    <w:rsid w:val="05D07CA1"/>
    <w:rsid w:val="061B0B61"/>
    <w:rsid w:val="06206FD6"/>
    <w:rsid w:val="06375A50"/>
    <w:rsid w:val="063874F0"/>
    <w:rsid w:val="065A03C3"/>
    <w:rsid w:val="06652463"/>
    <w:rsid w:val="067C5CE1"/>
    <w:rsid w:val="068C6996"/>
    <w:rsid w:val="069C4454"/>
    <w:rsid w:val="06C541DD"/>
    <w:rsid w:val="06D2010B"/>
    <w:rsid w:val="07616FE9"/>
    <w:rsid w:val="076D0B89"/>
    <w:rsid w:val="07727142"/>
    <w:rsid w:val="07833A80"/>
    <w:rsid w:val="07867489"/>
    <w:rsid w:val="07904FC3"/>
    <w:rsid w:val="07935E91"/>
    <w:rsid w:val="07FB50B6"/>
    <w:rsid w:val="0818381D"/>
    <w:rsid w:val="084A3B30"/>
    <w:rsid w:val="084D3C63"/>
    <w:rsid w:val="086A6922"/>
    <w:rsid w:val="08C01BD2"/>
    <w:rsid w:val="08CB54EC"/>
    <w:rsid w:val="08D864BC"/>
    <w:rsid w:val="093A6E9A"/>
    <w:rsid w:val="0978425B"/>
    <w:rsid w:val="0A2E3B75"/>
    <w:rsid w:val="0A8F4885"/>
    <w:rsid w:val="0A911527"/>
    <w:rsid w:val="0B140787"/>
    <w:rsid w:val="0B2B3EBB"/>
    <w:rsid w:val="0B5331D2"/>
    <w:rsid w:val="0BB52396"/>
    <w:rsid w:val="0BC55503"/>
    <w:rsid w:val="0CA4219B"/>
    <w:rsid w:val="0D187402"/>
    <w:rsid w:val="0D5600F3"/>
    <w:rsid w:val="0D5D663C"/>
    <w:rsid w:val="0D5E5ADD"/>
    <w:rsid w:val="0D753832"/>
    <w:rsid w:val="0D865DB0"/>
    <w:rsid w:val="0D8D7218"/>
    <w:rsid w:val="0D997327"/>
    <w:rsid w:val="0E047FE2"/>
    <w:rsid w:val="0E581EE1"/>
    <w:rsid w:val="0E5E5F11"/>
    <w:rsid w:val="0E611837"/>
    <w:rsid w:val="0E8C2847"/>
    <w:rsid w:val="0EA277D1"/>
    <w:rsid w:val="0F080EE8"/>
    <w:rsid w:val="0F185A84"/>
    <w:rsid w:val="0F1B6476"/>
    <w:rsid w:val="0FC24482"/>
    <w:rsid w:val="0FC771F5"/>
    <w:rsid w:val="0FF11C3B"/>
    <w:rsid w:val="0FFC5568"/>
    <w:rsid w:val="103B45E2"/>
    <w:rsid w:val="10DA76C8"/>
    <w:rsid w:val="10EB6BC4"/>
    <w:rsid w:val="113D1B81"/>
    <w:rsid w:val="11532054"/>
    <w:rsid w:val="117D6EF6"/>
    <w:rsid w:val="12527DE3"/>
    <w:rsid w:val="12B5701B"/>
    <w:rsid w:val="12C92E0F"/>
    <w:rsid w:val="12F93E0B"/>
    <w:rsid w:val="130B4B50"/>
    <w:rsid w:val="135449E7"/>
    <w:rsid w:val="139B30F8"/>
    <w:rsid w:val="13A273AA"/>
    <w:rsid w:val="13E67974"/>
    <w:rsid w:val="14967A72"/>
    <w:rsid w:val="14AD2A3F"/>
    <w:rsid w:val="14C57BB8"/>
    <w:rsid w:val="14F52CEA"/>
    <w:rsid w:val="153D1434"/>
    <w:rsid w:val="15432254"/>
    <w:rsid w:val="15955F17"/>
    <w:rsid w:val="15E26A4A"/>
    <w:rsid w:val="16480C48"/>
    <w:rsid w:val="16ED7FED"/>
    <w:rsid w:val="16EF5C15"/>
    <w:rsid w:val="17727525"/>
    <w:rsid w:val="17A162C2"/>
    <w:rsid w:val="17FE19D4"/>
    <w:rsid w:val="18383245"/>
    <w:rsid w:val="184B1A3F"/>
    <w:rsid w:val="188D1200"/>
    <w:rsid w:val="18A7673D"/>
    <w:rsid w:val="18AC1756"/>
    <w:rsid w:val="18C21471"/>
    <w:rsid w:val="18CC6C84"/>
    <w:rsid w:val="199E283B"/>
    <w:rsid w:val="19AC3B7F"/>
    <w:rsid w:val="1A3F7279"/>
    <w:rsid w:val="1AA21E8F"/>
    <w:rsid w:val="1B184E0C"/>
    <w:rsid w:val="1B333675"/>
    <w:rsid w:val="1BB619F1"/>
    <w:rsid w:val="1CA90011"/>
    <w:rsid w:val="1CDE65C2"/>
    <w:rsid w:val="1D600F21"/>
    <w:rsid w:val="1D8C4C39"/>
    <w:rsid w:val="1E7E19F6"/>
    <w:rsid w:val="1E8A515F"/>
    <w:rsid w:val="1F46459A"/>
    <w:rsid w:val="1F943E6C"/>
    <w:rsid w:val="1FEB1BE8"/>
    <w:rsid w:val="1FEC3451"/>
    <w:rsid w:val="1FFD1423"/>
    <w:rsid w:val="20581625"/>
    <w:rsid w:val="20953705"/>
    <w:rsid w:val="20B01A3E"/>
    <w:rsid w:val="20BD3F7E"/>
    <w:rsid w:val="20CC2805"/>
    <w:rsid w:val="20DA183B"/>
    <w:rsid w:val="215B2C56"/>
    <w:rsid w:val="21786743"/>
    <w:rsid w:val="218B6DCA"/>
    <w:rsid w:val="21EB6B45"/>
    <w:rsid w:val="223D0CE4"/>
    <w:rsid w:val="233C481F"/>
    <w:rsid w:val="234766B6"/>
    <w:rsid w:val="236208B8"/>
    <w:rsid w:val="23AB7677"/>
    <w:rsid w:val="23B074D6"/>
    <w:rsid w:val="23C50C57"/>
    <w:rsid w:val="242A62C7"/>
    <w:rsid w:val="24301B27"/>
    <w:rsid w:val="24AE4D81"/>
    <w:rsid w:val="24B73684"/>
    <w:rsid w:val="24C826B3"/>
    <w:rsid w:val="24D04F5D"/>
    <w:rsid w:val="250B1EDD"/>
    <w:rsid w:val="258B4553"/>
    <w:rsid w:val="25A730D6"/>
    <w:rsid w:val="25AE052B"/>
    <w:rsid w:val="25C114E5"/>
    <w:rsid w:val="25F62D93"/>
    <w:rsid w:val="260B4CF3"/>
    <w:rsid w:val="261C077C"/>
    <w:rsid w:val="26667E05"/>
    <w:rsid w:val="266E4E1D"/>
    <w:rsid w:val="26727346"/>
    <w:rsid w:val="26AD4696"/>
    <w:rsid w:val="26AE115F"/>
    <w:rsid w:val="27015C5E"/>
    <w:rsid w:val="27364FAB"/>
    <w:rsid w:val="27557352"/>
    <w:rsid w:val="278A768B"/>
    <w:rsid w:val="281E3976"/>
    <w:rsid w:val="28356D7F"/>
    <w:rsid w:val="28B0722F"/>
    <w:rsid w:val="298102B9"/>
    <w:rsid w:val="29820AB2"/>
    <w:rsid w:val="2A0767EC"/>
    <w:rsid w:val="2A42304B"/>
    <w:rsid w:val="2A9630A9"/>
    <w:rsid w:val="2B4635A9"/>
    <w:rsid w:val="2B522706"/>
    <w:rsid w:val="2B533AC2"/>
    <w:rsid w:val="2BAF1907"/>
    <w:rsid w:val="2BCE04AE"/>
    <w:rsid w:val="2BE71C57"/>
    <w:rsid w:val="2C11436F"/>
    <w:rsid w:val="2C5E0F49"/>
    <w:rsid w:val="2C84582E"/>
    <w:rsid w:val="2C99200B"/>
    <w:rsid w:val="2C9B25A9"/>
    <w:rsid w:val="2CD66FDA"/>
    <w:rsid w:val="2CE14AAD"/>
    <w:rsid w:val="2D260126"/>
    <w:rsid w:val="2D280D4E"/>
    <w:rsid w:val="2D2F7F1B"/>
    <w:rsid w:val="2D6524E5"/>
    <w:rsid w:val="2D6A09F5"/>
    <w:rsid w:val="2D8023D5"/>
    <w:rsid w:val="2DA0146C"/>
    <w:rsid w:val="2E53754A"/>
    <w:rsid w:val="2E6E34C0"/>
    <w:rsid w:val="2E706004"/>
    <w:rsid w:val="2E913546"/>
    <w:rsid w:val="2ED31DB0"/>
    <w:rsid w:val="2F26553F"/>
    <w:rsid w:val="2F36426D"/>
    <w:rsid w:val="2F541E27"/>
    <w:rsid w:val="2F6A25D9"/>
    <w:rsid w:val="2F76501A"/>
    <w:rsid w:val="2F7964B4"/>
    <w:rsid w:val="2FD45DE0"/>
    <w:rsid w:val="2FE54C24"/>
    <w:rsid w:val="301A1495"/>
    <w:rsid w:val="308A44C2"/>
    <w:rsid w:val="30BA0288"/>
    <w:rsid w:val="30C644F5"/>
    <w:rsid w:val="30D47BB2"/>
    <w:rsid w:val="30D97BB4"/>
    <w:rsid w:val="30DC55DD"/>
    <w:rsid w:val="30F51895"/>
    <w:rsid w:val="30F8655D"/>
    <w:rsid w:val="310A7535"/>
    <w:rsid w:val="311F59E2"/>
    <w:rsid w:val="313D33AB"/>
    <w:rsid w:val="315A2315"/>
    <w:rsid w:val="31721CBC"/>
    <w:rsid w:val="31C43774"/>
    <w:rsid w:val="31C5122F"/>
    <w:rsid w:val="31CC276B"/>
    <w:rsid w:val="31E965C1"/>
    <w:rsid w:val="3216167B"/>
    <w:rsid w:val="32C50186"/>
    <w:rsid w:val="32CF33DA"/>
    <w:rsid w:val="32FFFAA9"/>
    <w:rsid w:val="33B9792B"/>
    <w:rsid w:val="33C53A72"/>
    <w:rsid w:val="33D15AD8"/>
    <w:rsid w:val="343F6271"/>
    <w:rsid w:val="347E4037"/>
    <w:rsid w:val="34B62974"/>
    <w:rsid w:val="354E140D"/>
    <w:rsid w:val="359A1CDF"/>
    <w:rsid w:val="36074928"/>
    <w:rsid w:val="363C7858"/>
    <w:rsid w:val="364A433A"/>
    <w:rsid w:val="36674731"/>
    <w:rsid w:val="367716B9"/>
    <w:rsid w:val="3678112F"/>
    <w:rsid w:val="367A6161"/>
    <w:rsid w:val="36B96FA2"/>
    <w:rsid w:val="371A61BE"/>
    <w:rsid w:val="37972F72"/>
    <w:rsid w:val="37977853"/>
    <w:rsid w:val="379A57EE"/>
    <w:rsid w:val="37AA3E4F"/>
    <w:rsid w:val="37D4051C"/>
    <w:rsid w:val="37FE3DCC"/>
    <w:rsid w:val="3847325B"/>
    <w:rsid w:val="38603DD8"/>
    <w:rsid w:val="38700C25"/>
    <w:rsid w:val="38DE6EE0"/>
    <w:rsid w:val="390D7D77"/>
    <w:rsid w:val="395E0592"/>
    <w:rsid w:val="397F05B4"/>
    <w:rsid w:val="39A22AAB"/>
    <w:rsid w:val="39AE6240"/>
    <w:rsid w:val="39B31FDC"/>
    <w:rsid w:val="39C91507"/>
    <w:rsid w:val="39D14805"/>
    <w:rsid w:val="39DA3293"/>
    <w:rsid w:val="3A6A7C6E"/>
    <w:rsid w:val="3A8D283C"/>
    <w:rsid w:val="3B4C7172"/>
    <w:rsid w:val="3B640014"/>
    <w:rsid w:val="3B785EE0"/>
    <w:rsid w:val="3BA56AFA"/>
    <w:rsid w:val="3C187054"/>
    <w:rsid w:val="3C2A3D9A"/>
    <w:rsid w:val="3C475793"/>
    <w:rsid w:val="3C5A6395"/>
    <w:rsid w:val="3CD102DD"/>
    <w:rsid w:val="3CEF23A0"/>
    <w:rsid w:val="3D363643"/>
    <w:rsid w:val="3D626272"/>
    <w:rsid w:val="3D7347B4"/>
    <w:rsid w:val="3DDE0810"/>
    <w:rsid w:val="3DF64CAF"/>
    <w:rsid w:val="3E253AE4"/>
    <w:rsid w:val="3E30440F"/>
    <w:rsid w:val="3E432388"/>
    <w:rsid w:val="3E6601A8"/>
    <w:rsid w:val="3E877338"/>
    <w:rsid w:val="3E8B2FC1"/>
    <w:rsid w:val="3E9A56ED"/>
    <w:rsid w:val="3EEF3ADB"/>
    <w:rsid w:val="3EFB4F72"/>
    <w:rsid w:val="3F171F2A"/>
    <w:rsid w:val="3FD9519B"/>
    <w:rsid w:val="3FFC1C9B"/>
    <w:rsid w:val="404360D9"/>
    <w:rsid w:val="404C4CD3"/>
    <w:rsid w:val="409502AE"/>
    <w:rsid w:val="409B2454"/>
    <w:rsid w:val="40AB0963"/>
    <w:rsid w:val="40CD7346"/>
    <w:rsid w:val="40FA39E5"/>
    <w:rsid w:val="41694F69"/>
    <w:rsid w:val="419F5D36"/>
    <w:rsid w:val="41D642A7"/>
    <w:rsid w:val="42797B66"/>
    <w:rsid w:val="42A955DC"/>
    <w:rsid w:val="432D5358"/>
    <w:rsid w:val="433547C3"/>
    <w:rsid w:val="435A1AE2"/>
    <w:rsid w:val="436F5DD3"/>
    <w:rsid w:val="441B2EFE"/>
    <w:rsid w:val="445D2BF8"/>
    <w:rsid w:val="446B1881"/>
    <w:rsid w:val="448A0E85"/>
    <w:rsid w:val="44A86E54"/>
    <w:rsid w:val="451D733B"/>
    <w:rsid w:val="452E2D5D"/>
    <w:rsid w:val="456A754E"/>
    <w:rsid w:val="46394CAF"/>
    <w:rsid w:val="463A5468"/>
    <w:rsid w:val="472B30B5"/>
    <w:rsid w:val="4732611D"/>
    <w:rsid w:val="47CE4125"/>
    <w:rsid w:val="482812C7"/>
    <w:rsid w:val="482F3353"/>
    <w:rsid w:val="485B1435"/>
    <w:rsid w:val="48AE7DC4"/>
    <w:rsid w:val="48C87218"/>
    <w:rsid w:val="48D2515B"/>
    <w:rsid w:val="490E4BB3"/>
    <w:rsid w:val="492E6109"/>
    <w:rsid w:val="49CA61F3"/>
    <w:rsid w:val="4A23799C"/>
    <w:rsid w:val="4A4C28F5"/>
    <w:rsid w:val="4AA80266"/>
    <w:rsid w:val="4AAC4602"/>
    <w:rsid w:val="4AD02D9B"/>
    <w:rsid w:val="4B37380C"/>
    <w:rsid w:val="4B430981"/>
    <w:rsid w:val="4B624FEC"/>
    <w:rsid w:val="4B864F67"/>
    <w:rsid w:val="4B8B6E6A"/>
    <w:rsid w:val="4B9D0592"/>
    <w:rsid w:val="4BA212CF"/>
    <w:rsid w:val="4BB64F1C"/>
    <w:rsid w:val="4BDA60D4"/>
    <w:rsid w:val="4C790677"/>
    <w:rsid w:val="4C8B389C"/>
    <w:rsid w:val="4CB465E9"/>
    <w:rsid w:val="4CED1FBD"/>
    <w:rsid w:val="4CF20DA4"/>
    <w:rsid w:val="4D1D69E9"/>
    <w:rsid w:val="4D215C4C"/>
    <w:rsid w:val="4E010110"/>
    <w:rsid w:val="4EAC4016"/>
    <w:rsid w:val="4FAB9C51"/>
    <w:rsid w:val="4FBF25DA"/>
    <w:rsid w:val="4FC338E3"/>
    <w:rsid w:val="4FCB6E53"/>
    <w:rsid w:val="50115F1A"/>
    <w:rsid w:val="501B2EF3"/>
    <w:rsid w:val="502F5705"/>
    <w:rsid w:val="51275ADC"/>
    <w:rsid w:val="513E569E"/>
    <w:rsid w:val="517B0470"/>
    <w:rsid w:val="51A90D1A"/>
    <w:rsid w:val="51AC505A"/>
    <w:rsid w:val="51EA5FC3"/>
    <w:rsid w:val="51F22633"/>
    <w:rsid w:val="526C44B3"/>
    <w:rsid w:val="52940424"/>
    <w:rsid w:val="52952D55"/>
    <w:rsid w:val="52A37C23"/>
    <w:rsid w:val="52BF0D54"/>
    <w:rsid w:val="536B2DB7"/>
    <w:rsid w:val="537361AA"/>
    <w:rsid w:val="53856110"/>
    <w:rsid w:val="53917AB2"/>
    <w:rsid w:val="53D8587D"/>
    <w:rsid w:val="54276B04"/>
    <w:rsid w:val="549C5320"/>
    <w:rsid w:val="54C535D3"/>
    <w:rsid w:val="54D1276A"/>
    <w:rsid w:val="54F85256"/>
    <w:rsid w:val="550F5611"/>
    <w:rsid w:val="559467A4"/>
    <w:rsid w:val="55D111BA"/>
    <w:rsid w:val="55DC3086"/>
    <w:rsid w:val="562E6E76"/>
    <w:rsid w:val="573A58F3"/>
    <w:rsid w:val="576A3C6F"/>
    <w:rsid w:val="576D5FDC"/>
    <w:rsid w:val="57C245EC"/>
    <w:rsid w:val="580F5357"/>
    <w:rsid w:val="58E73BAC"/>
    <w:rsid w:val="59510EDC"/>
    <w:rsid w:val="597035C6"/>
    <w:rsid w:val="598844BC"/>
    <w:rsid w:val="59EA1BD8"/>
    <w:rsid w:val="5A3747DC"/>
    <w:rsid w:val="5A495A89"/>
    <w:rsid w:val="5A5138E7"/>
    <w:rsid w:val="5A9F29C3"/>
    <w:rsid w:val="5B081AB1"/>
    <w:rsid w:val="5B1E2A81"/>
    <w:rsid w:val="5B6C0314"/>
    <w:rsid w:val="5B972B7F"/>
    <w:rsid w:val="5BC7098B"/>
    <w:rsid w:val="5C444C5C"/>
    <w:rsid w:val="5CBD0E2A"/>
    <w:rsid w:val="5CD80E50"/>
    <w:rsid w:val="5D065A42"/>
    <w:rsid w:val="5D286355"/>
    <w:rsid w:val="5D58522F"/>
    <w:rsid w:val="5D636907"/>
    <w:rsid w:val="5D792B24"/>
    <w:rsid w:val="5DB346E3"/>
    <w:rsid w:val="5E0826D5"/>
    <w:rsid w:val="5E3919E0"/>
    <w:rsid w:val="5E7039A0"/>
    <w:rsid w:val="5E990A49"/>
    <w:rsid w:val="5E9912A5"/>
    <w:rsid w:val="5EDA0452"/>
    <w:rsid w:val="5EF01A3F"/>
    <w:rsid w:val="5F6B0B21"/>
    <w:rsid w:val="5F7F8159"/>
    <w:rsid w:val="6014175D"/>
    <w:rsid w:val="60185DE6"/>
    <w:rsid w:val="601A205F"/>
    <w:rsid w:val="60322513"/>
    <w:rsid w:val="60966616"/>
    <w:rsid w:val="609D51F5"/>
    <w:rsid w:val="60B80EE9"/>
    <w:rsid w:val="60C30B72"/>
    <w:rsid w:val="6123035A"/>
    <w:rsid w:val="614918DA"/>
    <w:rsid w:val="617404C7"/>
    <w:rsid w:val="617D1D64"/>
    <w:rsid w:val="61834DEC"/>
    <w:rsid w:val="61B02D17"/>
    <w:rsid w:val="61B0587E"/>
    <w:rsid w:val="61BE3E36"/>
    <w:rsid w:val="621042B9"/>
    <w:rsid w:val="627855C9"/>
    <w:rsid w:val="630E06E5"/>
    <w:rsid w:val="637B2D57"/>
    <w:rsid w:val="63FA2DFB"/>
    <w:rsid w:val="6402195C"/>
    <w:rsid w:val="64024A60"/>
    <w:rsid w:val="64061BCF"/>
    <w:rsid w:val="640E50D9"/>
    <w:rsid w:val="644B1D3D"/>
    <w:rsid w:val="64F961E3"/>
    <w:rsid w:val="65790CC1"/>
    <w:rsid w:val="657D5F3D"/>
    <w:rsid w:val="6590274D"/>
    <w:rsid w:val="659C5887"/>
    <w:rsid w:val="659F7468"/>
    <w:rsid w:val="66140A56"/>
    <w:rsid w:val="66256A28"/>
    <w:rsid w:val="663410CD"/>
    <w:rsid w:val="66445FDB"/>
    <w:rsid w:val="66900A8A"/>
    <w:rsid w:val="66BD5B14"/>
    <w:rsid w:val="67075041"/>
    <w:rsid w:val="67337E11"/>
    <w:rsid w:val="673C7DC6"/>
    <w:rsid w:val="67893D92"/>
    <w:rsid w:val="67B84723"/>
    <w:rsid w:val="6800069B"/>
    <w:rsid w:val="683D3613"/>
    <w:rsid w:val="684A5182"/>
    <w:rsid w:val="684F5374"/>
    <w:rsid w:val="68633281"/>
    <w:rsid w:val="687C07E7"/>
    <w:rsid w:val="688007EE"/>
    <w:rsid w:val="688247E5"/>
    <w:rsid w:val="68A954A6"/>
    <w:rsid w:val="68F71C1C"/>
    <w:rsid w:val="69453280"/>
    <w:rsid w:val="694A10A8"/>
    <w:rsid w:val="69A55AD1"/>
    <w:rsid w:val="69AF77E4"/>
    <w:rsid w:val="69DE6BC8"/>
    <w:rsid w:val="69FC7AAE"/>
    <w:rsid w:val="6A423C54"/>
    <w:rsid w:val="6A7B7076"/>
    <w:rsid w:val="6A9F256B"/>
    <w:rsid w:val="6AA42B0C"/>
    <w:rsid w:val="6B170F7C"/>
    <w:rsid w:val="6B554DDA"/>
    <w:rsid w:val="6B94455C"/>
    <w:rsid w:val="6CAA0ACB"/>
    <w:rsid w:val="6CE9215B"/>
    <w:rsid w:val="6D19441E"/>
    <w:rsid w:val="6D5911AE"/>
    <w:rsid w:val="6E05260D"/>
    <w:rsid w:val="6E2F2B58"/>
    <w:rsid w:val="6E311BA5"/>
    <w:rsid w:val="6E67531C"/>
    <w:rsid w:val="6E6B6DCD"/>
    <w:rsid w:val="6EAB7D04"/>
    <w:rsid w:val="6EB9342B"/>
    <w:rsid w:val="6ED77270"/>
    <w:rsid w:val="6EEF14D4"/>
    <w:rsid w:val="6EF47F86"/>
    <w:rsid w:val="6EF57221"/>
    <w:rsid w:val="6F1D6760"/>
    <w:rsid w:val="6F3E2352"/>
    <w:rsid w:val="6F5E63AF"/>
    <w:rsid w:val="6F74650C"/>
    <w:rsid w:val="6FB60ECB"/>
    <w:rsid w:val="6FD81D0C"/>
    <w:rsid w:val="6FFFD2F4"/>
    <w:rsid w:val="700D682A"/>
    <w:rsid w:val="701E2184"/>
    <w:rsid w:val="70597666"/>
    <w:rsid w:val="705C72DA"/>
    <w:rsid w:val="705F4F1B"/>
    <w:rsid w:val="706910BC"/>
    <w:rsid w:val="70847436"/>
    <w:rsid w:val="70A032B4"/>
    <w:rsid w:val="70D7763F"/>
    <w:rsid w:val="711158A6"/>
    <w:rsid w:val="718E6B6E"/>
    <w:rsid w:val="71DF7D9B"/>
    <w:rsid w:val="71ED34A9"/>
    <w:rsid w:val="72041FF3"/>
    <w:rsid w:val="72387B37"/>
    <w:rsid w:val="728B7234"/>
    <w:rsid w:val="72CE7DF1"/>
    <w:rsid w:val="73397B12"/>
    <w:rsid w:val="7347243C"/>
    <w:rsid w:val="734C2AC4"/>
    <w:rsid w:val="735A1EE0"/>
    <w:rsid w:val="73721452"/>
    <w:rsid w:val="73750DDD"/>
    <w:rsid w:val="73D3038D"/>
    <w:rsid w:val="73ED3495"/>
    <w:rsid w:val="748B625C"/>
    <w:rsid w:val="74AE6A13"/>
    <w:rsid w:val="74C44CAA"/>
    <w:rsid w:val="750B1043"/>
    <w:rsid w:val="759157D4"/>
    <w:rsid w:val="759439D6"/>
    <w:rsid w:val="75DD2048"/>
    <w:rsid w:val="75DD38AD"/>
    <w:rsid w:val="75F75A5A"/>
    <w:rsid w:val="760C0946"/>
    <w:rsid w:val="7662678C"/>
    <w:rsid w:val="76705948"/>
    <w:rsid w:val="76A379BF"/>
    <w:rsid w:val="76B64FCE"/>
    <w:rsid w:val="76D07082"/>
    <w:rsid w:val="77392F5C"/>
    <w:rsid w:val="775A1CF3"/>
    <w:rsid w:val="77AE0675"/>
    <w:rsid w:val="77B04009"/>
    <w:rsid w:val="77C70B39"/>
    <w:rsid w:val="77C94B13"/>
    <w:rsid w:val="786B3FD9"/>
    <w:rsid w:val="78C665D8"/>
    <w:rsid w:val="78D1163F"/>
    <w:rsid w:val="78DF69FB"/>
    <w:rsid w:val="78E76ACB"/>
    <w:rsid w:val="790864B0"/>
    <w:rsid w:val="790972AC"/>
    <w:rsid w:val="7990530E"/>
    <w:rsid w:val="79921B58"/>
    <w:rsid w:val="79A0262F"/>
    <w:rsid w:val="7A0A5D3D"/>
    <w:rsid w:val="7A1B2202"/>
    <w:rsid w:val="7AE84798"/>
    <w:rsid w:val="7AFA2EEB"/>
    <w:rsid w:val="7B2368A0"/>
    <w:rsid w:val="7B2B36DE"/>
    <w:rsid w:val="7B485806"/>
    <w:rsid w:val="7B5F20D2"/>
    <w:rsid w:val="7B731ADC"/>
    <w:rsid w:val="7BA746B1"/>
    <w:rsid w:val="7BB138A6"/>
    <w:rsid w:val="7BC736D0"/>
    <w:rsid w:val="7CE80F00"/>
    <w:rsid w:val="7CEC042D"/>
    <w:rsid w:val="7D0C2572"/>
    <w:rsid w:val="7D102068"/>
    <w:rsid w:val="7D416725"/>
    <w:rsid w:val="7D8E6115"/>
    <w:rsid w:val="7DD558F3"/>
    <w:rsid w:val="7DDF344E"/>
    <w:rsid w:val="7DFF2DCC"/>
    <w:rsid w:val="7E011C89"/>
    <w:rsid w:val="7E4D4360"/>
    <w:rsid w:val="7E7415AA"/>
    <w:rsid w:val="7EAE25F0"/>
    <w:rsid w:val="7ECD5E4A"/>
    <w:rsid w:val="7F08023E"/>
    <w:rsid w:val="7F315A30"/>
    <w:rsid w:val="7F426D4E"/>
    <w:rsid w:val="7F6F0306"/>
    <w:rsid w:val="7F9F4C97"/>
    <w:rsid w:val="7FBF0B38"/>
    <w:rsid w:val="7FDB25EE"/>
    <w:rsid w:val="7FE53F64"/>
    <w:rsid w:val="7FF308B5"/>
    <w:rsid w:val="7FFF9540"/>
    <w:rsid w:val="AACEFBFE"/>
    <w:rsid w:val="BCFFB521"/>
    <w:rsid w:val="BED77142"/>
    <w:rsid w:val="DE5FCE73"/>
    <w:rsid w:val="F3FFEAE7"/>
    <w:rsid w:val="F5FAEBD5"/>
    <w:rsid w:val="FF7BDCC6"/>
    <w:rsid w:val="FFAFC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6"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semiHidden="0" w:name="toc 6"/>
    <w:lsdException w:qFormat="1" w:unhideWhenUsed="0" w:uiPriority="0" w:name="toc 7"/>
    <w:lsdException w:qFormat="1" w:unhideWhenUsed="0" w:uiPriority="0" w:name="toc 8"/>
    <w:lsdException w:qFormat="1" w:unhideWhenUsed="0" w:uiPriority="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2"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6" w:semiHidden="0" w:name="page number"/>
    <w:lsdException w:unhideWhenUsed="0" w:uiPriority="0" w:semiHidden="0" w:name="endnote reference"/>
    <w:lsdException w:qFormat="1" w:unhideWhenUsed="0" w:uiPriority="99"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6"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7"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6" w:semiHidden="0" w:name="Body Text Indent 2"/>
    <w:lsdException w:qFormat="1" w:unhideWhenUsed="0" w:uiPriority="6"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6"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6"/>
    <w:qFormat/>
    <w:uiPriority w:val="6"/>
    <w:pPr>
      <w:keepNext/>
      <w:keepLines/>
      <w:spacing w:before="340" w:after="330" w:line="578" w:lineRule="auto"/>
      <w:outlineLvl w:val="0"/>
    </w:pPr>
    <w:rPr>
      <w:b/>
      <w:bCs/>
      <w:kern w:val="44"/>
      <w:sz w:val="44"/>
      <w:szCs w:val="44"/>
    </w:rPr>
  </w:style>
  <w:style w:type="paragraph" w:styleId="3">
    <w:name w:val="heading 2"/>
    <w:basedOn w:val="1"/>
    <w:next w:val="1"/>
    <w:link w:val="47"/>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8"/>
    <w:qFormat/>
    <w:uiPriority w:val="0"/>
    <w:pPr>
      <w:keepNext/>
      <w:keepLines/>
      <w:spacing w:before="260" w:after="260" w:line="416" w:lineRule="auto"/>
      <w:outlineLvl w:val="2"/>
    </w:pPr>
    <w:rPr>
      <w:b/>
      <w:bCs/>
      <w:sz w:val="32"/>
      <w:szCs w:val="32"/>
    </w:rPr>
  </w:style>
  <w:style w:type="paragraph" w:styleId="5">
    <w:name w:val="heading 4"/>
    <w:basedOn w:val="1"/>
    <w:next w:val="1"/>
    <w:link w:val="49"/>
    <w:qFormat/>
    <w:uiPriority w:val="0"/>
    <w:pPr>
      <w:keepNext/>
      <w:keepLines/>
      <w:spacing w:line="377" w:lineRule="auto"/>
      <w:outlineLvl w:val="3"/>
    </w:pPr>
    <w:rPr>
      <w:rFonts w:ascii="Calibri Light" w:hAnsi="Calibri Light"/>
      <w:b/>
      <w:bCs/>
      <w:sz w:val="24"/>
      <w:szCs w:val="28"/>
    </w:rPr>
  </w:style>
  <w:style w:type="paragraph" w:styleId="6">
    <w:name w:val="heading 5"/>
    <w:basedOn w:val="1"/>
    <w:next w:val="1"/>
    <w:link w:val="50"/>
    <w:qFormat/>
    <w:uiPriority w:val="0"/>
    <w:pPr>
      <w:keepNext/>
      <w:keepLines/>
      <w:spacing w:before="280" w:after="290" w:line="376" w:lineRule="auto"/>
      <w:outlineLvl w:val="4"/>
    </w:pPr>
    <w:rPr>
      <w:b/>
      <w:bCs/>
      <w:color w:val="000000"/>
      <w:kern w:val="0"/>
      <w:sz w:val="28"/>
      <w:szCs w:val="28"/>
    </w:rPr>
  </w:style>
  <w:style w:type="paragraph" w:styleId="7">
    <w:name w:val="heading 6"/>
    <w:basedOn w:val="1"/>
    <w:next w:val="1"/>
    <w:link w:val="51"/>
    <w:qFormat/>
    <w:uiPriority w:val="0"/>
    <w:pPr>
      <w:keepNext/>
      <w:keepLines/>
      <w:spacing w:before="120" w:after="120" w:line="319" w:lineRule="auto"/>
      <w:outlineLvl w:val="5"/>
    </w:pPr>
    <w:rPr>
      <w:rFonts w:ascii="Calibri Light" w:hAnsi="Calibri Light" w:eastAsia="黑体"/>
      <w:b/>
      <w:bCs/>
      <w:sz w:val="24"/>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semiHidden/>
    <w:qFormat/>
    <w:uiPriority w:val="0"/>
    <w:pPr>
      <w:ind w:left="1260"/>
      <w:jc w:val="left"/>
    </w:pPr>
    <w:rPr>
      <w:sz w:val="18"/>
      <w:szCs w:val="18"/>
    </w:rPr>
  </w:style>
  <w:style w:type="paragraph" w:styleId="9">
    <w:name w:val="table of authorities"/>
    <w:basedOn w:val="1"/>
    <w:next w:val="1"/>
    <w:unhideWhenUsed/>
    <w:qFormat/>
    <w:uiPriority w:val="99"/>
    <w:pPr>
      <w:ind w:left="420" w:leftChars="200" w:firstLine="0"/>
    </w:pPr>
  </w:style>
  <w:style w:type="paragraph" w:styleId="10">
    <w:name w:val="Normal Indent"/>
    <w:basedOn w:val="1"/>
    <w:next w:val="11"/>
    <w:link w:val="52"/>
    <w:qFormat/>
    <w:uiPriority w:val="99"/>
    <w:pPr>
      <w:adjustRightInd w:val="0"/>
      <w:spacing w:line="312" w:lineRule="atLeast"/>
      <w:ind w:firstLine="420"/>
      <w:textAlignment w:val="baseline"/>
    </w:pPr>
  </w:style>
  <w:style w:type="paragraph" w:styleId="11">
    <w:name w:val="Body Text Indent"/>
    <w:basedOn w:val="1"/>
    <w:next w:val="1"/>
    <w:link w:val="53"/>
    <w:qFormat/>
    <w:uiPriority w:val="6"/>
    <w:pPr>
      <w:spacing w:after="120"/>
      <w:ind w:left="420" w:leftChars="200"/>
    </w:pPr>
  </w:style>
  <w:style w:type="paragraph" w:styleId="12">
    <w:name w:val="Document Map"/>
    <w:basedOn w:val="1"/>
    <w:semiHidden/>
    <w:qFormat/>
    <w:uiPriority w:val="0"/>
    <w:pPr>
      <w:shd w:val="clear" w:color="auto" w:fill="000080"/>
    </w:pPr>
  </w:style>
  <w:style w:type="paragraph" w:styleId="13">
    <w:name w:val="annotation text"/>
    <w:basedOn w:val="1"/>
    <w:link w:val="54"/>
    <w:qFormat/>
    <w:uiPriority w:val="99"/>
    <w:pPr>
      <w:jc w:val="left"/>
    </w:pPr>
  </w:style>
  <w:style w:type="paragraph" w:styleId="14">
    <w:name w:val="Body Text"/>
    <w:basedOn w:val="1"/>
    <w:next w:val="1"/>
    <w:link w:val="55"/>
    <w:qFormat/>
    <w:uiPriority w:val="0"/>
    <w:pPr>
      <w:spacing w:after="120"/>
    </w:pPr>
  </w:style>
  <w:style w:type="paragraph" w:styleId="15">
    <w:name w:val="Block Text"/>
    <w:basedOn w:val="1"/>
    <w:qFormat/>
    <w:uiPriority w:val="0"/>
    <w:pPr>
      <w:adjustRightInd w:val="0"/>
      <w:spacing w:line="300" w:lineRule="auto"/>
      <w:ind w:left="958" w:right="-120" w:rightChars="-120"/>
      <w:jc w:val="left"/>
    </w:pPr>
    <w:rPr>
      <w:rFonts w:ascii="宋体" w:hAnsi="宋体"/>
      <w:sz w:val="28"/>
    </w:rPr>
  </w:style>
  <w:style w:type="paragraph" w:styleId="16">
    <w:name w:val="toc 5"/>
    <w:basedOn w:val="1"/>
    <w:next w:val="1"/>
    <w:semiHidden/>
    <w:qFormat/>
    <w:uiPriority w:val="0"/>
    <w:pPr>
      <w:ind w:left="840"/>
      <w:jc w:val="left"/>
    </w:pPr>
    <w:rPr>
      <w:sz w:val="18"/>
      <w:szCs w:val="18"/>
    </w:rPr>
  </w:style>
  <w:style w:type="paragraph" w:styleId="17">
    <w:name w:val="toc 3"/>
    <w:basedOn w:val="1"/>
    <w:next w:val="1"/>
    <w:qFormat/>
    <w:uiPriority w:val="39"/>
    <w:pPr>
      <w:ind w:left="420"/>
      <w:jc w:val="left"/>
    </w:pPr>
    <w:rPr>
      <w:i/>
      <w:iCs/>
      <w:sz w:val="20"/>
      <w:szCs w:val="20"/>
    </w:rPr>
  </w:style>
  <w:style w:type="paragraph" w:styleId="18">
    <w:name w:val="Plain Text"/>
    <w:basedOn w:val="1"/>
    <w:link w:val="56"/>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19">
    <w:name w:val="toc 8"/>
    <w:basedOn w:val="1"/>
    <w:next w:val="1"/>
    <w:semiHidden/>
    <w:qFormat/>
    <w:uiPriority w:val="0"/>
    <w:pPr>
      <w:ind w:left="1470"/>
      <w:jc w:val="left"/>
    </w:pPr>
    <w:rPr>
      <w:sz w:val="18"/>
      <w:szCs w:val="18"/>
    </w:rPr>
  </w:style>
  <w:style w:type="paragraph" w:styleId="20">
    <w:name w:val="Date"/>
    <w:basedOn w:val="1"/>
    <w:next w:val="1"/>
    <w:link w:val="57"/>
    <w:qFormat/>
    <w:uiPriority w:val="7"/>
    <w:rPr>
      <w:color w:val="000000"/>
      <w:kern w:val="1"/>
      <w:sz w:val="30"/>
      <w:szCs w:val="20"/>
    </w:rPr>
  </w:style>
  <w:style w:type="paragraph" w:styleId="21">
    <w:name w:val="Body Text Indent 2"/>
    <w:basedOn w:val="1"/>
    <w:link w:val="58"/>
    <w:qFormat/>
    <w:uiPriority w:val="6"/>
    <w:pPr>
      <w:spacing w:after="120" w:line="480" w:lineRule="auto"/>
      <w:ind w:left="420" w:leftChars="200"/>
    </w:pPr>
  </w:style>
  <w:style w:type="paragraph" w:styleId="22">
    <w:name w:val="endnote text"/>
    <w:basedOn w:val="1"/>
    <w:qFormat/>
    <w:uiPriority w:val="99"/>
    <w:rPr>
      <w:rFonts w:ascii="Calibri" w:hAnsi="Calibri" w:cs="Calibri"/>
      <w:szCs w:val="21"/>
    </w:rPr>
  </w:style>
  <w:style w:type="paragraph" w:styleId="23">
    <w:name w:val="Balloon Text"/>
    <w:basedOn w:val="1"/>
    <w:link w:val="59"/>
    <w:qFormat/>
    <w:uiPriority w:val="6"/>
    <w:rPr>
      <w:sz w:val="18"/>
      <w:szCs w:val="18"/>
    </w:rPr>
  </w:style>
  <w:style w:type="paragraph" w:styleId="24">
    <w:name w:val="footer"/>
    <w:basedOn w:val="1"/>
    <w:link w:val="60"/>
    <w:qFormat/>
    <w:uiPriority w:val="99"/>
    <w:pPr>
      <w:tabs>
        <w:tab w:val="center" w:pos="4153"/>
        <w:tab w:val="right" w:pos="8306"/>
      </w:tabs>
      <w:snapToGrid w:val="0"/>
      <w:jc w:val="left"/>
    </w:pPr>
    <w:rPr>
      <w:sz w:val="18"/>
      <w:szCs w:val="18"/>
    </w:rPr>
  </w:style>
  <w:style w:type="paragraph" w:styleId="25">
    <w:name w:val="header"/>
    <w:basedOn w:val="1"/>
    <w:link w:val="61"/>
    <w:qFormat/>
    <w:uiPriority w:val="2"/>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spacing w:before="120" w:after="120"/>
      <w:jc w:val="left"/>
    </w:pPr>
    <w:rPr>
      <w:b/>
      <w:bCs/>
      <w:caps/>
      <w:sz w:val="20"/>
      <w:szCs w:val="20"/>
    </w:rPr>
  </w:style>
  <w:style w:type="paragraph" w:styleId="27">
    <w:name w:val="toc 4"/>
    <w:basedOn w:val="1"/>
    <w:next w:val="1"/>
    <w:semiHidden/>
    <w:qFormat/>
    <w:uiPriority w:val="0"/>
    <w:pPr>
      <w:ind w:left="630"/>
      <w:jc w:val="left"/>
    </w:pPr>
    <w:rPr>
      <w:sz w:val="18"/>
      <w:szCs w:val="18"/>
    </w:rPr>
  </w:style>
  <w:style w:type="paragraph" w:styleId="28">
    <w:name w:val="toc 6"/>
    <w:basedOn w:val="1"/>
    <w:next w:val="1"/>
    <w:qFormat/>
    <w:uiPriority w:val="0"/>
    <w:pPr>
      <w:ind w:left="1050"/>
      <w:jc w:val="left"/>
    </w:pPr>
    <w:rPr>
      <w:sz w:val="18"/>
      <w:szCs w:val="18"/>
    </w:rPr>
  </w:style>
  <w:style w:type="paragraph" w:styleId="29">
    <w:name w:val="Body Text Indent 3"/>
    <w:basedOn w:val="1"/>
    <w:link w:val="62"/>
    <w:qFormat/>
    <w:uiPriority w:val="6"/>
    <w:pPr>
      <w:spacing w:after="120"/>
      <w:ind w:left="420" w:leftChars="200"/>
    </w:pPr>
    <w:rPr>
      <w:sz w:val="16"/>
      <w:szCs w:val="16"/>
    </w:rPr>
  </w:style>
  <w:style w:type="paragraph" w:styleId="30">
    <w:name w:val="toc 2"/>
    <w:basedOn w:val="1"/>
    <w:next w:val="1"/>
    <w:qFormat/>
    <w:uiPriority w:val="39"/>
    <w:pPr>
      <w:ind w:left="210"/>
      <w:jc w:val="left"/>
    </w:pPr>
    <w:rPr>
      <w:smallCaps/>
      <w:sz w:val="20"/>
      <w:szCs w:val="20"/>
    </w:rPr>
  </w:style>
  <w:style w:type="paragraph" w:styleId="31">
    <w:name w:val="toc 9"/>
    <w:basedOn w:val="1"/>
    <w:next w:val="1"/>
    <w:semiHidden/>
    <w:qFormat/>
    <w:uiPriority w:val="0"/>
    <w:pPr>
      <w:ind w:left="1680"/>
      <w:jc w:val="left"/>
    </w:pPr>
    <w:rPr>
      <w:sz w:val="18"/>
      <w:szCs w:val="18"/>
    </w:rPr>
  </w:style>
  <w:style w:type="paragraph" w:styleId="3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4">
    <w:name w:val="Title"/>
    <w:basedOn w:val="1"/>
    <w:next w:val="1"/>
    <w:link w:val="63"/>
    <w:qFormat/>
    <w:uiPriority w:val="0"/>
    <w:pPr>
      <w:spacing w:before="240" w:after="60"/>
      <w:jc w:val="center"/>
      <w:outlineLvl w:val="0"/>
    </w:pPr>
    <w:rPr>
      <w:rFonts w:ascii="Cambria" w:hAnsi="Cambria"/>
      <w:b/>
      <w:bCs/>
      <w:sz w:val="32"/>
      <w:szCs w:val="32"/>
    </w:rPr>
  </w:style>
  <w:style w:type="paragraph" w:styleId="35">
    <w:name w:val="annotation subject"/>
    <w:basedOn w:val="13"/>
    <w:next w:val="13"/>
    <w:link w:val="64"/>
    <w:qFormat/>
    <w:uiPriority w:val="0"/>
    <w:rPr>
      <w:b/>
      <w:bCs/>
    </w:rPr>
  </w:style>
  <w:style w:type="paragraph" w:styleId="36">
    <w:name w:val="Body Text First Indent"/>
    <w:basedOn w:val="14"/>
    <w:next w:val="28"/>
    <w:link w:val="65"/>
    <w:qFormat/>
    <w:uiPriority w:val="0"/>
    <w:pPr>
      <w:ind w:firstLine="420"/>
    </w:pPr>
  </w:style>
  <w:style w:type="paragraph" w:styleId="37">
    <w:name w:val="Body Text First Indent 2"/>
    <w:basedOn w:val="11"/>
    <w:next w:val="36"/>
    <w:qFormat/>
    <w:uiPriority w:val="0"/>
    <w:pPr>
      <w:ind w:firstLine="420" w:firstLineChars="200"/>
    </w:pPr>
  </w:style>
  <w:style w:type="table" w:styleId="39">
    <w:name w:val="Table Grid"/>
    <w:basedOn w:val="3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22"/>
    <w:rPr>
      <w:b/>
    </w:rPr>
  </w:style>
  <w:style w:type="character" w:styleId="42">
    <w:name w:val="page number"/>
    <w:qFormat/>
    <w:uiPriority w:val="6"/>
  </w:style>
  <w:style w:type="character" w:styleId="43">
    <w:name w:val="Hyperlink"/>
    <w:qFormat/>
    <w:uiPriority w:val="99"/>
    <w:rPr>
      <w:color w:val="0000FF"/>
      <w:u w:val="single"/>
    </w:rPr>
  </w:style>
  <w:style w:type="character" w:styleId="44">
    <w:name w:val="annotation reference"/>
    <w:qFormat/>
    <w:uiPriority w:val="0"/>
    <w:rPr>
      <w:sz w:val="21"/>
      <w:szCs w:val="21"/>
    </w:rPr>
  </w:style>
  <w:style w:type="paragraph" w:customStyle="1" w:styleId="45">
    <w:name w:val="_Style 3"/>
    <w:basedOn w:val="1"/>
    <w:qFormat/>
    <w:uiPriority w:val="0"/>
    <w:pPr>
      <w:ind w:firstLine="420" w:firstLineChars="200"/>
    </w:pPr>
    <w:rPr>
      <w:rFonts w:ascii="Calibri" w:hAnsi="Calibri" w:eastAsia="仿宋" w:cs="Calibri"/>
      <w:sz w:val="28"/>
      <w:szCs w:val="21"/>
    </w:rPr>
  </w:style>
  <w:style w:type="character" w:customStyle="1" w:styleId="46">
    <w:name w:val="标题 1 字符"/>
    <w:link w:val="2"/>
    <w:qFormat/>
    <w:uiPriority w:val="6"/>
    <w:rPr>
      <w:b/>
      <w:bCs/>
      <w:kern w:val="44"/>
      <w:sz w:val="44"/>
      <w:szCs w:val="44"/>
    </w:rPr>
  </w:style>
  <w:style w:type="character" w:customStyle="1" w:styleId="47">
    <w:name w:val="标题 2 字符"/>
    <w:link w:val="3"/>
    <w:qFormat/>
    <w:uiPriority w:val="9"/>
    <w:rPr>
      <w:rFonts w:ascii="Arial" w:hAnsi="Arial" w:eastAsia="黑体"/>
      <w:b/>
      <w:bCs/>
      <w:kern w:val="2"/>
      <w:sz w:val="32"/>
      <w:szCs w:val="32"/>
    </w:rPr>
  </w:style>
  <w:style w:type="character" w:customStyle="1" w:styleId="48">
    <w:name w:val="标题 3 字符"/>
    <w:link w:val="4"/>
    <w:qFormat/>
    <w:uiPriority w:val="0"/>
    <w:rPr>
      <w:b/>
      <w:bCs/>
      <w:kern w:val="2"/>
      <w:sz w:val="32"/>
      <w:szCs w:val="32"/>
    </w:rPr>
  </w:style>
  <w:style w:type="character" w:customStyle="1" w:styleId="49">
    <w:name w:val="标题 4 字符"/>
    <w:link w:val="5"/>
    <w:qFormat/>
    <w:uiPriority w:val="0"/>
    <w:rPr>
      <w:rFonts w:ascii="Calibri Light" w:hAnsi="Calibri Light"/>
      <w:b/>
      <w:bCs/>
      <w:kern w:val="2"/>
      <w:sz w:val="24"/>
      <w:szCs w:val="28"/>
    </w:rPr>
  </w:style>
  <w:style w:type="character" w:customStyle="1" w:styleId="50">
    <w:name w:val="标题 5 字符"/>
    <w:link w:val="6"/>
    <w:qFormat/>
    <w:uiPriority w:val="0"/>
    <w:rPr>
      <w:b/>
      <w:bCs/>
      <w:color w:val="000000"/>
      <w:sz w:val="28"/>
      <w:szCs w:val="28"/>
    </w:rPr>
  </w:style>
  <w:style w:type="character" w:customStyle="1" w:styleId="51">
    <w:name w:val="标题 6 字符"/>
    <w:link w:val="7"/>
    <w:qFormat/>
    <w:uiPriority w:val="0"/>
    <w:rPr>
      <w:rFonts w:ascii="Calibri Light" w:hAnsi="Calibri Light" w:eastAsia="黑体"/>
      <w:b/>
      <w:bCs/>
      <w:kern w:val="2"/>
      <w:sz w:val="24"/>
      <w:szCs w:val="24"/>
    </w:rPr>
  </w:style>
  <w:style w:type="character" w:customStyle="1" w:styleId="52">
    <w:name w:val="正文缩进 字符"/>
    <w:link w:val="10"/>
    <w:qFormat/>
    <w:uiPriority w:val="99"/>
    <w:rPr>
      <w:sz w:val="21"/>
    </w:rPr>
  </w:style>
  <w:style w:type="character" w:customStyle="1" w:styleId="53">
    <w:name w:val="正文文本缩进 字符"/>
    <w:link w:val="11"/>
    <w:qFormat/>
    <w:uiPriority w:val="6"/>
    <w:rPr>
      <w:kern w:val="2"/>
      <w:sz w:val="21"/>
      <w:szCs w:val="24"/>
    </w:rPr>
  </w:style>
  <w:style w:type="character" w:customStyle="1" w:styleId="54">
    <w:name w:val="批注文字 字符"/>
    <w:link w:val="13"/>
    <w:qFormat/>
    <w:uiPriority w:val="99"/>
    <w:rPr>
      <w:kern w:val="2"/>
      <w:sz w:val="21"/>
      <w:szCs w:val="24"/>
    </w:rPr>
  </w:style>
  <w:style w:type="character" w:customStyle="1" w:styleId="55">
    <w:name w:val="正文文本 字符"/>
    <w:link w:val="14"/>
    <w:qFormat/>
    <w:uiPriority w:val="0"/>
    <w:rPr>
      <w:kern w:val="2"/>
      <w:sz w:val="21"/>
      <w:szCs w:val="24"/>
    </w:rPr>
  </w:style>
  <w:style w:type="character" w:customStyle="1" w:styleId="56">
    <w:name w:val="纯文本 字符"/>
    <w:link w:val="18"/>
    <w:qFormat/>
    <w:uiPriority w:val="0"/>
    <w:rPr>
      <w:rFonts w:ascii="宋体" w:hAnsi="Courier New" w:eastAsia="宋体"/>
      <w:sz w:val="21"/>
      <w:szCs w:val="21"/>
      <w:lang w:val="en-US" w:eastAsia="zh-CN" w:bidi="ar-SA"/>
    </w:rPr>
  </w:style>
  <w:style w:type="character" w:customStyle="1" w:styleId="57">
    <w:name w:val="日期 字符"/>
    <w:link w:val="20"/>
    <w:qFormat/>
    <w:uiPriority w:val="7"/>
    <w:rPr>
      <w:color w:val="000000"/>
      <w:kern w:val="1"/>
      <w:sz w:val="30"/>
    </w:rPr>
  </w:style>
  <w:style w:type="character" w:customStyle="1" w:styleId="58">
    <w:name w:val="正文文本缩进 2 字符"/>
    <w:link w:val="21"/>
    <w:qFormat/>
    <w:uiPriority w:val="6"/>
    <w:rPr>
      <w:kern w:val="2"/>
      <w:sz w:val="21"/>
      <w:szCs w:val="24"/>
    </w:rPr>
  </w:style>
  <w:style w:type="character" w:customStyle="1" w:styleId="59">
    <w:name w:val="批注框文本 字符"/>
    <w:link w:val="23"/>
    <w:qFormat/>
    <w:uiPriority w:val="6"/>
    <w:rPr>
      <w:kern w:val="2"/>
      <w:sz w:val="18"/>
      <w:szCs w:val="18"/>
    </w:rPr>
  </w:style>
  <w:style w:type="character" w:customStyle="1" w:styleId="60">
    <w:name w:val="页脚 字符"/>
    <w:link w:val="24"/>
    <w:qFormat/>
    <w:uiPriority w:val="99"/>
    <w:rPr>
      <w:kern w:val="2"/>
      <w:sz w:val="18"/>
      <w:szCs w:val="18"/>
    </w:rPr>
  </w:style>
  <w:style w:type="character" w:customStyle="1" w:styleId="61">
    <w:name w:val="页眉 字符"/>
    <w:link w:val="25"/>
    <w:qFormat/>
    <w:uiPriority w:val="2"/>
    <w:rPr>
      <w:kern w:val="2"/>
      <w:sz w:val="18"/>
      <w:szCs w:val="18"/>
    </w:rPr>
  </w:style>
  <w:style w:type="character" w:customStyle="1" w:styleId="62">
    <w:name w:val="正文文本缩进 3 字符"/>
    <w:link w:val="29"/>
    <w:qFormat/>
    <w:uiPriority w:val="6"/>
    <w:rPr>
      <w:kern w:val="2"/>
      <w:sz w:val="16"/>
      <w:szCs w:val="16"/>
    </w:rPr>
  </w:style>
  <w:style w:type="character" w:customStyle="1" w:styleId="63">
    <w:name w:val="标题 字符"/>
    <w:link w:val="34"/>
    <w:qFormat/>
    <w:uiPriority w:val="0"/>
    <w:rPr>
      <w:rFonts w:ascii="Cambria" w:hAnsi="Cambria" w:eastAsia="宋体"/>
      <w:b/>
      <w:bCs/>
      <w:kern w:val="2"/>
      <w:sz w:val="32"/>
      <w:szCs w:val="32"/>
      <w:lang w:val="en-US" w:eastAsia="zh-CN" w:bidi="ar-SA"/>
    </w:rPr>
  </w:style>
  <w:style w:type="character" w:customStyle="1" w:styleId="64">
    <w:name w:val="批注主题 字符"/>
    <w:link w:val="35"/>
    <w:qFormat/>
    <w:uiPriority w:val="0"/>
    <w:rPr>
      <w:b/>
      <w:bCs/>
      <w:kern w:val="2"/>
      <w:sz w:val="21"/>
      <w:szCs w:val="24"/>
    </w:rPr>
  </w:style>
  <w:style w:type="character" w:customStyle="1" w:styleId="65">
    <w:name w:val="正文文本首行缩进 字符"/>
    <w:link w:val="36"/>
    <w:qFormat/>
    <w:uiPriority w:val="0"/>
    <w:rPr>
      <w:kern w:val="2"/>
      <w:sz w:val="21"/>
      <w:szCs w:val="24"/>
    </w:rPr>
  </w:style>
  <w:style w:type="paragraph" w:customStyle="1" w:styleId="66">
    <w:name w:val="正文缩进(ALT+Z)"/>
    <w:basedOn w:val="1"/>
    <w:qFormat/>
    <w:uiPriority w:val="0"/>
    <w:pPr>
      <w:spacing w:line="360" w:lineRule="auto"/>
      <w:ind w:firstLine="200"/>
    </w:pPr>
  </w:style>
  <w:style w:type="paragraph" w:customStyle="1" w:styleId="67">
    <w:name w:val="表格文字"/>
    <w:basedOn w:val="68"/>
    <w:next w:val="14"/>
    <w:link w:val="69"/>
    <w:qFormat/>
    <w:uiPriority w:val="0"/>
    <w:pPr>
      <w:jc w:val="left"/>
    </w:pPr>
    <w:rPr>
      <w:kern w:val="21"/>
      <w:szCs w:val="21"/>
    </w:rPr>
  </w:style>
  <w:style w:type="paragraph" w:customStyle="1" w:styleId="68">
    <w:name w:val="表格"/>
    <w:basedOn w:val="1"/>
    <w:qFormat/>
    <w:uiPriority w:val="0"/>
    <w:pPr>
      <w:jc w:val="center"/>
      <w:textAlignment w:val="center"/>
    </w:pPr>
    <w:rPr>
      <w:rFonts w:ascii="华文细黑" w:hAnsi="华文细黑"/>
      <w:kern w:val="0"/>
      <w:sz w:val="20"/>
      <w:szCs w:val="20"/>
    </w:rPr>
  </w:style>
  <w:style w:type="character" w:customStyle="1" w:styleId="69">
    <w:name w:val="表格文字 Char Char"/>
    <w:link w:val="67"/>
    <w:qFormat/>
    <w:uiPriority w:val="0"/>
    <w:rPr>
      <w:kern w:val="21"/>
      <w:sz w:val="21"/>
      <w:szCs w:val="21"/>
    </w:rPr>
  </w:style>
  <w:style w:type="character" w:customStyle="1" w:styleId="70">
    <w:name w:val="font41"/>
    <w:qFormat/>
    <w:uiPriority w:val="0"/>
    <w:rPr>
      <w:rFonts w:hint="eastAsia" w:ascii="宋体" w:hAnsi="宋体" w:eastAsia="宋体" w:cs="宋体"/>
      <w:b/>
      <w:color w:val="000000"/>
      <w:sz w:val="28"/>
      <w:szCs w:val="28"/>
      <w:u w:val="none"/>
    </w:rPr>
  </w:style>
  <w:style w:type="character" w:customStyle="1" w:styleId="71">
    <w:name w:val="font21"/>
    <w:qFormat/>
    <w:uiPriority w:val="0"/>
    <w:rPr>
      <w:rFonts w:hint="eastAsia" w:ascii="宋体" w:hAnsi="宋体" w:eastAsia="宋体" w:cs="宋体"/>
      <w:color w:val="000000"/>
      <w:sz w:val="18"/>
      <w:szCs w:val="18"/>
      <w:u w:val="none"/>
    </w:rPr>
  </w:style>
  <w:style w:type="character" w:customStyle="1" w:styleId="72">
    <w:name w:val="font51"/>
    <w:qFormat/>
    <w:uiPriority w:val="0"/>
    <w:rPr>
      <w:rFonts w:hint="default" w:ascii="Times New Roman" w:hAnsi="Times New Roman" w:cs="Times New Roman"/>
      <w:color w:val="000000"/>
      <w:sz w:val="21"/>
      <w:szCs w:val="21"/>
      <w:u w:val="none"/>
    </w:rPr>
  </w:style>
  <w:style w:type="character" w:customStyle="1" w:styleId="73">
    <w:name w:val="_Style 69"/>
    <w:qFormat/>
    <w:uiPriority w:val="32"/>
    <w:rPr>
      <w:b/>
      <w:bCs/>
      <w:smallCaps/>
      <w:color w:val="C0504D"/>
      <w:spacing w:val="5"/>
      <w:u w:val="single"/>
    </w:rPr>
  </w:style>
  <w:style w:type="character" w:customStyle="1" w:styleId="74">
    <w:name w:val="textfont"/>
    <w:qFormat/>
    <w:uiPriority w:val="0"/>
  </w:style>
  <w:style w:type="character" w:customStyle="1" w:styleId="75">
    <w:name w:val="font61"/>
    <w:qFormat/>
    <w:uiPriority w:val="0"/>
    <w:rPr>
      <w:rFonts w:hint="eastAsia" w:ascii="宋体" w:hAnsi="宋体" w:eastAsia="宋体" w:cs="宋体"/>
      <w:color w:val="000000"/>
      <w:sz w:val="21"/>
      <w:szCs w:val="21"/>
      <w:u w:val="none"/>
    </w:rPr>
  </w:style>
  <w:style w:type="character" w:customStyle="1" w:styleId="76">
    <w:name w:val="纯文本 Char"/>
    <w:qFormat/>
    <w:uiPriority w:val="0"/>
    <w:rPr>
      <w:rFonts w:ascii="宋体" w:hAnsi="Courier New" w:eastAsia="宋体"/>
      <w:sz w:val="21"/>
      <w:szCs w:val="21"/>
      <w:lang w:val="en-US" w:eastAsia="zh-CN" w:bidi="ar-SA"/>
    </w:rPr>
  </w:style>
  <w:style w:type="character" w:customStyle="1" w:styleId="77">
    <w:name w:val="无间隔 Char"/>
    <w:link w:val="78"/>
    <w:qFormat/>
    <w:locked/>
    <w:uiPriority w:val="0"/>
    <w:rPr>
      <w:sz w:val="24"/>
      <w:lang w:val="en-US" w:eastAsia="zh-CN" w:bidi="ar-SA"/>
    </w:rPr>
  </w:style>
  <w:style w:type="paragraph" w:customStyle="1" w:styleId="78">
    <w:name w:val="无间隔1"/>
    <w:link w:val="77"/>
    <w:qFormat/>
    <w:uiPriority w:val="0"/>
    <w:pPr>
      <w:widowControl w:val="0"/>
      <w:spacing w:line="360" w:lineRule="auto"/>
      <w:jc w:val="both"/>
    </w:pPr>
    <w:rPr>
      <w:rFonts w:ascii="Times New Roman" w:hAnsi="Times New Roman" w:eastAsia="宋体" w:cs="Times New Roman"/>
      <w:sz w:val="24"/>
      <w:lang w:val="en-US" w:eastAsia="zh-CN" w:bidi="ar-SA"/>
    </w:rPr>
  </w:style>
  <w:style w:type="character" w:customStyle="1" w:styleId="79">
    <w:name w:val="日期 Char1"/>
    <w:qFormat/>
    <w:uiPriority w:val="0"/>
    <w:rPr>
      <w:kern w:val="2"/>
      <w:sz w:val="21"/>
      <w:szCs w:val="24"/>
    </w:rPr>
  </w:style>
  <w:style w:type="character" w:customStyle="1" w:styleId="80">
    <w:name w:val="Char Char Char"/>
    <w:qFormat/>
    <w:uiPriority w:val="0"/>
    <w:rPr>
      <w:rFonts w:ascii="宋体" w:hAnsi="Courier New" w:eastAsia="宋体"/>
      <w:sz w:val="21"/>
      <w:lang w:val="en-US" w:eastAsia="zh-CN"/>
    </w:rPr>
  </w:style>
  <w:style w:type="character" w:customStyle="1" w:styleId="81">
    <w:name w:val="纯文本 Char1"/>
    <w:qFormat/>
    <w:uiPriority w:val="0"/>
    <w:rPr>
      <w:rFonts w:ascii="宋体" w:hAnsi="Courier New" w:eastAsia="宋体"/>
      <w:sz w:val="21"/>
      <w:szCs w:val="21"/>
      <w:lang w:val="en-US" w:eastAsia="zh-CN" w:bidi="ar-SA"/>
    </w:rPr>
  </w:style>
  <w:style w:type="character" w:customStyle="1" w:styleId="82">
    <w:name w:val="15"/>
    <w:qFormat/>
    <w:uiPriority w:val="0"/>
    <w:rPr>
      <w:rFonts w:hint="default" w:ascii="Times New Roman" w:hAnsi="Times New Roman" w:eastAsia="宋体" w:cs="Times New Roman"/>
      <w:b/>
      <w:bCs/>
      <w:spacing w:val="-2"/>
      <w:sz w:val="24"/>
      <w:szCs w:val="24"/>
    </w:rPr>
  </w:style>
  <w:style w:type="character" w:customStyle="1" w:styleId="83">
    <w:name w:val="Char Char"/>
    <w:qFormat/>
    <w:uiPriority w:val="0"/>
    <w:rPr>
      <w:rFonts w:ascii="宋体" w:hAnsi="Courier New" w:eastAsia="宋体"/>
      <w:sz w:val="21"/>
      <w:szCs w:val="21"/>
      <w:lang w:val="en-US" w:eastAsia="zh-CN" w:bidi="ar-SA"/>
    </w:rPr>
  </w:style>
  <w:style w:type="character" w:customStyle="1" w:styleId="84">
    <w:name w:val="标题2"/>
    <w:qFormat/>
    <w:uiPriority w:val="0"/>
    <w:rPr>
      <w:rFonts w:ascii="微软雅黑" w:hAnsi="微软雅黑" w:eastAsia="微软雅黑"/>
      <w:b/>
      <w:bCs/>
      <w:color w:val="0D0D0D"/>
      <w:sz w:val="24"/>
    </w:rPr>
  </w:style>
  <w:style w:type="character" w:customStyle="1" w:styleId="85">
    <w:name w:val="页眉 Char1"/>
    <w:qFormat/>
    <w:uiPriority w:val="6"/>
    <w:rPr>
      <w:rFonts w:ascii="Times New Roman" w:hAnsi="Times New Roman" w:eastAsia="宋体" w:cs="Times New Roman"/>
      <w:color w:val="000000"/>
      <w:kern w:val="1"/>
      <w:sz w:val="18"/>
      <w:szCs w:val="18"/>
      <w:lang w:val="zh-CN"/>
    </w:rPr>
  </w:style>
  <w:style w:type="character" w:customStyle="1" w:styleId="86">
    <w:name w:val="正文文本 Char"/>
    <w:qFormat/>
    <w:uiPriority w:val="0"/>
    <w:rPr>
      <w:kern w:val="2"/>
      <w:sz w:val="21"/>
      <w:szCs w:val="24"/>
    </w:rPr>
  </w:style>
  <w:style w:type="character" w:customStyle="1" w:styleId="87">
    <w:name w:val="列表段落 字符"/>
    <w:link w:val="88"/>
    <w:qFormat/>
    <w:uiPriority w:val="34"/>
    <w:rPr>
      <w:rFonts w:ascii="Calibri" w:hAnsi="Calibri"/>
      <w:kern w:val="2"/>
      <w:sz w:val="21"/>
      <w:szCs w:val="22"/>
    </w:rPr>
  </w:style>
  <w:style w:type="paragraph" w:styleId="88">
    <w:name w:val="List Paragraph"/>
    <w:basedOn w:val="1"/>
    <w:link w:val="87"/>
    <w:qFormat/>
    <w:uiPriority w:val="34"/>
    <w:pPr>
      <w:ind w:firstLine="420" w:firstLineChars="200"/>
    </w:pPr>
    <w:rPr>
      <w:rFonts w:ascii="Calibri" w:hAnsi="Calibri"/>
      <w:szCs w:val="22"/>
    </w:rPr>
  </w:style>
  <w:style w:type="character" w:customStyle="1" w:styleId="89">
    <w:name w:val="标题 2 Char"/>
    <w:qFormat/>
    <w:locked/>
    <w:uiPriority w:val="9"/>
    <w:rPr>
      <w:rFonts w:ascii="Arial" w:hAnsi="Arial" w:eastAsia="黑体"/>
      <w:b/>
      <w:bCs/>
      <w:kern w:val="2"/>
      <w:sz w:val="32"/>
      <w:szCs w:val="32"/>
      <w:lang w:val="en-US" w:eastAsia="zh-CN" w:bidi="ar-SA"/>
    </w:rPr>
  </w:style>
  <w:style w:type="character" w:customStyle="1" w:styleId="90">
    <w:name w:val="bt11"/>
    <w:qFormat/>
    <w:uiPriority w:val="3"/>
    <w:rPr>
      <w:rFonts w:eastAsia="仿宋_GB2312"/>
      <w:b/>
      <w:color w:val="000000"/>
      <w:sz w:val="30"/>
      <w:szCs w:val="20"/>
      <w:u w:val="none"/>
    </w:rPr>
  </w:style>
  <w:style w:type="character" w:customStyle="1" w:styleId="91">
    <w:name w:val="列出段落 字符"/>
    <w:link w:val="92"/>
    <w:qFormat/>
    <w:uiPriority w:val="34"/>
    <w:rPr>
      <w:kern w:val="2"/>
      <w:sz w:val="21"/>
    </w:rPr>
  </w:style>
  <w:style w:type="paragraph" w:customStyle="1" w:styleId="92">
    <w:name w:val="列出段落1"/>
    <w:basedOn w:val="1"/>
    <w:link w:val="91"/>
    <w:qFormat/>
    <w:uiPriority w:val="34"/>
    <w:pPr>
      <w:ind w:firstLine="420" w:firstLineChars="200"/>
    </w:pPr>
    <w:rPr>
      <w:szCs w:val="20"/>
    </w:rPr>
  </w:style>
  <w:style w:type="character" w:customStyle="1" w:styleId="93">
    <w:name w:val="font01"/>
    <w:qFormat/>
    <w:uiPriority w:val="0"/>
    <w:rPr>
      <w:rFonts w:hint="eastAsia" w:ascii="宋体" w:hAnsi="宋体" w:eastAsia="宋体" w:cs="宋体"/>
      <w:b/>
      <w:color w:val="000000"/>
      <w:sz w:val="28"/>
      <w:szCs w:val="28"/>
      <w:u w:val="none"/>
    </w:rPr>
  </w:style>
  <w:style w:type="character" w:customStyle="1" w:styleId="94">
    <w:name w:val="_Style 90"/>
    <w:unhideWhenUsed/>
    <w:qFormat/>
    <w:uiPriority w:val="99"/>
    <w:rPr>
      <w:color w:val="605E5C"/>
      <w:shd w:val="clear" w:color="auto" w:fill="E1DFDD"/>
    </w:rPr>
  </w:style>
  <w:style w:type="character" w:customStyle="1" w:styleId="95">
    <w:name w:val="aa1"/>
    <w:qFormat/>
    <w:uiPriority w:val="0"/>
    <w:rPr>
      <w:rFonts w:hint="default" w:ascii="_x000B__x000C_" w:hAnsi="_x000B__x000C_"/>
      <w:color w:val="000000"/>
      <w:sz w:val="20"/>
      <w:szCs w:val="20"/>
      <w:u w:val="none"/>
    </w:rPr>
  </w:style>
  <w:style w:type="character" w:customStyle="1" w:styleId="96">
    <w:name w:val="标准正文格式 Char"/>
    <w:link w:val="97"/>
    <w:qFormat/>
    <w:uiPriority w:val="0"/>
    <w:rPr>
      <w:rFonts w:ascii="宋体" w:eastAsia="仿宋_GB2312" w:cs="宋体"/>
      <w:color w:val="000000"/>
      <w:sz w:val="24"/>
      <w:lang w:val="en-US" w:eastAsia="zh-CN" w:bidi="ar-SA"/>
    </w:rPr>
  </w:style>
  <w:style w:type="paragraph" w:customStyle="1" w:styleId="97">
    <w:name w:val="标准正文格式"/>
    <w:basedOn w:val="1"/>
    <w:link w:val="96"/>
    <w:qFormat/>
    <w:uiPriority w:val="0"/>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8">
    <w:name w:val="保留正文"/>
    <w:basedOn w:val="14"/>
    <w:qFormat/>
    <w:uiPriority w:val="0"/>
    <w:pPr>
      <w:keepNext/>
      <w:spacing w:after="160"/>
    </w:pPr>
    <w:rPr>
      <w:szCs w:val="20"/>
    </w:rPr>
  </w:style>
  <w:style w:type="paragraph" w:customStyle="1" w:styleId="99">
    <w:name w:val="默认段落字体 Para Char"/>
    <w:basedOn w:val="1"/>
    <w:qFormat/>
    <w:uiPriority w:val="0"/>
    <w:rPr>
      <w:szCs w:val="20"/>
    </w:rPr>
  </w:style>
  <w:style w:type="paragraph" w:customStyle="1" w:styleId="100">
    <w:name w:val="正文 样式"/>
    <w:basedOn w:val="1"/>
    <w:qFormat/>
    <w:uiPriority w:val="99"/>
    <w:pPr>
      <w:spacing w:line="360" w:lineRule="auto"/>
      <w:ind w:firstLine="480" w:firstLineChars="200"/>
    </w:pPr>
    <w:rPr>
      <w:rFonts w:ascii="仿宋" w:hAnsi="仿宋" w:eastAsia="仿宋" w:cs="仿宋"/>
      <w:kern w:val="0"/>
      <w:sz w:val="24"/>
    </w:rPr>
  </w:style>
  <w:style w:type="paragraph" w:customStyle="1" w:styleId="101">
    <w:name w:val="数据正文"/>
    <w:basedOn w:val="1"/>
    <w:qFormat/>
    <w:uiPriority w:val="0"/>
    <w:pPr>
      <w:spacing w:before="120" w:after="120" w:line="360" w:lineRule="auto"/>
      <w:ind w:firstLine="560" w:firstLineChars="200"/>
    </w:pPr>
    <w:rPr>
      <w:rFonts w:eastAsia="华文仿宋"/>
      <w:color w:val="000000"/>
      <w:sz w:val="28"/>
      <w:szCs w:val="28"/>
    </w:rPr>
  </w:style>
  <w:style w:type="paragraph" w:customStyle="1" w:styleId="102">
    <w:name w:val="p1"/>
    <w:basedOn w:val="1"/>
    <w:qFormat/>
    <w:uiPriority w:val="0"/>
    <w:pPr>
      <w:spacing w:line="380" w:lineRule="atLeast"/>
      <w:jc w:val="left"/>
    </w:pPr>
    <w:rPr>
      <w:rFonts w:ascii="Helvetica Neue" w:hAnsi="Helvetica Neue" w:eastAsia="Helvetica Neue"/>
      <w:kern w:val="0"/>
      <w:sz w:val="26"/>
      <w:szCs w:val="26"/>
    </w:rPr>
  </w:style>
  <w:style w:type="paragraph" w:customStyle="1" w:styleId="103">
    <w:name w:val="彩色列表1"/>
    <w:basedOn w:val="1"/>
    <w:qFormat/>
    <w:uiPriority w:val="34"/>
    <w:pPr>
      <w:ind w:firstLine="420" w:firstLineChars="200"/>
    </w:pPr>
  </w:style>
  <w:style w:type="paragraph" w:customStyle="1" w:styleId="104">
    <w:name w:val="xl35"/>
    <w:qFormat/>
    <w:uiPriority w:val="0"/>
    <w:pPr>
      <w:pBdr>
        <w:left w:val="single" w:color="auto" w:sz="4" w:space="0"/>
        <w:bottom w:val="single" w:color="auto" w:sz="4" w:space="0"/>
        <w:right w:val="single" w:color="auto" w:sz="4" w:space="0"/>
      </w:pBdr>
      <w:spacing w:before="100" w:beforeAutospacing="1" w:after="100" w:afterAutospacing="1"/>
      <w:jc w:val="both"/>
      <w:textAlignment w:val="center"/>
    </w:pPr>
    <w:rPr>
      <w:rFonts w:ascii="Arial Unicode MS" w:hAnsi="Arial Unicode MS" w:eastAsia="Arial Unicode MS" w:cs="Times New Roman"/>
      <w:sz w:val="24"/>
      <w:szCs w:val="24"/>
      <w:lang w:val="en-US" w:eastAsia="zh-CN" w:bidi="ar-SA"/>
    </w:rPr>
  </w:style>
  <w:style w:type="paragraph" w:customStyle="1" w:styleId="105">
    <w:name w:val="Char Char Char1"/>
    <w:basedOn w:val="1"/>
    <w:qFormat/>
    <w:uiPriority w:val="0"/>
    <w:rPr>
      <w:rFonts w:ascii="Tahoma" w:hAnsi="Tahoma"/>
      <w:sz w:val="24"/>
      <w:szCs w:val="20"/>
    </w:rPr>
  </w:style>
  <w:style w:type="paragraph" w:customStyle="1" w:styleId="106">
    <w:name w:val="列出段落3"/>
    <w:basedOn w:val="1"/>
    <w:qFormat/>
    <w:uiPriority w:val="34"/>
    <w:pPr>
      <w:spacing w:line="360" w:lineRule="auto"/>
      <w:ind w:firstLine="420" w:firstLineChars="200"/>
    </w:pPr>
    <w:rPr>
      <w:sz w:val="24"/>
      <w:szCs w:val="22"/>
    </w:rPr>
  </w:style>
  <w:style w:type="paragraph" w:customStyle="1" w:styleId="107">
    <w:name w:val="Char Char Char Char Char Char Char Char Char1 Char"/>
    <w:basedOn w:val="1"/>
    <w:qFormat/>
    <w:uiPriority w:val="0"/>
    <w:pPr>
      <w:widowControl/>
      <w:jc w:val="left"/>
    </w:pPr>
    <w:rPr>
      <w:rFonts w:ascii="仿宋_GB2312" w:eastAsia="仿宋_GB2312"/>
      <w:b/>
      <w:kern w:val="0"/>
      <w:sz w:val="32"/>
      <w:szCs w:val="32"/>
    </w:rPr>
  </w:style>
  <w:style w:type="paragraph" w:customStyle="1" w:styleId="108">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109">
    <w:name w:val="_Style 5"/>
    <w:basedOn w:val="1"/>
    <w:qFormat/>
    <w:uiPriority w:val="99"/>
    <w:pPr>
      <w:spacing w:line="360" w:lineRule="auto"/>
      <w:ind w:firstLine="420" w:firstLineChars="200"/>
    </w:pPr>
  </w:style>
  <w:style w:type="paragraph" w:customStyle="1" w:styleId="110">
    <w:name w:val="Char1"/>
    <w:basedOn w:val="1"/>
    <w:qFormat/>
    <w:uiPriority w:val="0"/>
    <w:rPr>
      <w:rFonts w:ascii="仿宋_GB2312" w:eastAsia="仿宋_GB2312"/>
      <w:b/>
      <w:sz w:val="32"/>
      <w:szCs w:val="32"/>
    </w:rPr>
  </w:style>
  <w:style w:type="paragraph" w:customStyle="1" w:styleId="111">
    <w:name w:val="正文内容"/>
    <w:basedOn w:val="1"/>
    <w:qFormat/>
    <w:uiPriority w:val="0"/>
    <w:pPr>
      <w:jc w:val="left"/>
    </w:pPr>
    <w:rPr>
      <w:rFonts w:ascii="微软雅黑" w:hAnsi="微软雅黑" w:eastAsia="微软雅黑" w:cs="宋体"/>
      <w:color w:val="0D0D0D"/>
      <w:kern w:val="0"/>
      <w:sz w:val="18"/>
      <w:szCs w:val="18"/>
    </w:rPr>
  </w:style>
  <w:style w:type="paragraph" w:customStyle="1" w:styleId="112">
    <w:name w:val="Char Char Char Char"/>
    <w:basedOn w:val="1"/>
    <w:qFormat/>
    <w:uiPriority w:val="0"/>
    <w:pPr>
      <w:spacing w:line="360" w:lineRule="auto"/>
      <w:ind w:firstLine="200" w:firstLineChars="200"/>
    </w:pPr>
    <w:rPr>
      <w:rFonts w:ascii="宋体" w:hAnsi="宋体" w:cs="宋体"/>
      <w:sz w:val="24"/>
    </w:rPr>
  </w:style>
  <w:style w:type="paragraph" w:customStyle="1" w:styleId="113">
    <w:name w:val="Pa5"/>
    <w:basedOn w:val="1"/>
    <w:next w:val="1"/>
    <w:qFormat/>
    <w:uiPriority w:val="99"/>
    <w:pPr>
      <w:autoSpaceDE w:val="0"/>
      <w:autoSpaceDN w:val="0"/>
      <w:adjustRightInd w:val="0"/>
      <w:spacing w:line="121" w:lineRule="atLeast"/>
      <w:jc w:val="left"/>
    </w:pPr>
    <w:rPr>
      <w:rFonts w:ascii="DaxPro-CondRegular" w:hAnsi="黑体" w:eastAsia="DaxPro-CondRegular"/>
      <w:kern w:val="0"/>
      <w:sz w:val="24"/>
    </w:rPr>
  </w:style>
  <w:style w:type="paragraph" w:customStyle="1" w:styleId="114">
    <w:name w:val="[Normal]"/>
    <w:qFormat/>
    <w:uiPriority w:val="0"/>
    <w:rPr>
      <w:rFonts w:ascii="宋体" w:hAnsi="宋体" w:eastAsia="宋体" w:cs="Times New Roman"/>
      <w:sz w:val="24"/>
      <w:szCs w:val="22"/>
      <w:lang w:val="zh-CN" w:eastAsia="zh-CN" w:bidi="ar-SA"/>
    </w:rPr>
  </w:style>
  <w:style w:type="paragraph" w:customStyle="1" w:styleId="115">
    <w:name w:val="列出段落2"/>
    <w:basedOn w:val="1"/>
    <w:qFormat/>
    <w:uiPriority w:val="34"/>
    <w:pPr>
      <w:spacing w:line="360" w:lineRule="auto"/>
      <w:ind w:firstLine="420" w:firstLineChars="200"/>
    </w:pPr>
    <w:rPr>
      <w:sz w:val="24"/>
      <w:szCs w:val="22"/>
    </w:rPr>
  </w:style>
  <w:style w:type="paragraph" w:customStyle="1" w:styleId="116">
    <w:name w:val="Char Char Char Char Char Char Char"/>
    <w:basedOn w:val="1"/>
    <w:qFormat/>
    <w:uiPriority w:val="0"/>
    <w:rPr>
      <w:rFonts w:ascii="仿宋_GB2312" w:eastAsia="仿宋_GB2312"/>
      <w:b/>
      <w:sz w:val="32"/>
      <w:szCs w:val="32"/>
    </w:rPr>
  </w:style>
  <w:style w:type="paragraph" w:customStyle="1" w:styleId="117">
    <w:name w:val="1111"/>
    <w:basedOn w:val="1"/>
    <w:qFormat/>
    <w:uiPriority w:val="0"/>
    <w:rPr>
      <w:sz w:val="18"/>
    </w:rPr>
  </w:style>
  <w:style w:type="paragraph" w:customStyle="1" w:styleId="118">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119">
    <w:name w:val="中等深浅网格 1 - 强调文字颜色 21"/>
    <w:basedOn w:val="1"/>
    <w:qFormat/>
    <w:uiPriority w:val="0"/>
    <w:pPr>
      <w:ind w:firstLine="420" w:firstLineChars="200"/>
    </w:pPr>
    <w:rPr>
      <w:rFonts w:ascii="等线" w:hAnsi="等线" w:eastAsia="等线" w:cs="宋体"/>
      <w:szCs w:val="21"/>
    </w:rPr>
  </w:style>
  <w:style w:type="paragraph" w:customStyle="1" w:styleId="120">
    <w:name w:val="Table Paragraph"/>
    <w:basedOn w:val="1"/>
    <w:qFormat/>
    <w:uiPriority w:val="1"/>
    <w:pPr>
      <w:spacing w:line="500" w:lineRule="exact"/>
      <w:ind w:firstLine="360" w:firstLineChars="200"/>
    </w:pPr>
    <w:rPr>
      <w:rFonts w:ascii="宋体" w:hAnsi="宋体" w:cs="宋体"/>
      <w:sz w:val="24"/>
      <w:lang w:val="zh-CN" w:bidi="zh-CN"/>
    </w:rPr>
  </w:style>
  <w:style w:type="paragraph" w:customStyle="1" w:styleId="121">
    <w:name w:val="Char Char Char Char Char Char Char1"/>
    <w:basedOn w:val="1"/>
    <w:qFormat/>
    <w:uiPriority w:val="0"/>
    <w:pPr>
      <w:spacing w:line="360" w:lineRule="auto"/>
      <w:ind w:firstLine="200" w:firstLineChars="200"/>
    </w:pPr>
    <w:rPr>
      <w:rFonts w:ascii="宋体" w:hAnsi="宋体" w:cs="宋体"/>
      <w:sz w:val="24"/>
    </w:rPr>
  </w:style>
  <w:style w:type="paragraph" w:customStyle="1" w:styleId="122">
    <w:name w:val="纯文本 New New"/>
    <w:basedOn w:val="1"/>
    <w:qFormat/>
    <w:uiPriority w:val="0"/>
    <w:pPr>
      <w:widowControl/>
      <w:overflowPunct w:val="0"/>
      <w:autoSpaceDE w:val="0"/>
      <w:autoSpaceDN w:val="0"/>
      <w:adjustRightInd w:val="0"/>
      <w:jc w:val="left"/>
      <w:textAlignment w:val="baseline"/>
    </w:pPr>
    <w:rPr>
      <w:rFonts w:ascii="宋体" w:hAnsi="Courier New"/>
      <w:szCs w:val="21"/>
    </w:rPr>
  </w:style>
  <w:style w:type="paragraph" w:customStyle="1" w:styleId="123">
    <w:name w:val="首行缩进"/>
    <w:basedOn w:val="1"/>
    <w:qFormat/>
    <w:uiPriority w:val="0"/>
    <w:pPr>
      <w:widowControl/>
      <w:tabs>
        <w:tab w:val="left" w:pos="822"/>
        <w:tab w:val="left" w:pos="1296"/>
      </w:tabs>
      <w:snapToGrid w:val="0"/>
      <w:spacing w:before="40" w:after="40" w:line="300" w:lineRule="atLeast"/>
      <w:ind w:left="1296" w:hanging="1296"/>
    </w:pPr>
    <w:rPr>
      <w:rFonts w:ascii="Arial" w:hAnsi="Arial"/>
      <w:kern w:val="0"/>
      <w:szCs w:val="20"/>
    </w:rPr>
  </w:style>
  <w:style w:type="paragraph" w:customStyle="1" w:styleId="124">
    <w:name w:val="_Style 13"/>
    <w:basedOn w:val="1"/>
    <w:next w:val="88"/>
    <w:qFormat/>
    <w:uiPriority w:val="7"/>
    <w:pPr>
      <w:ind w:firstLine="420"/>
    </w:pPr>
    <w:rPr>
      <w:color w:val="000000"/>
      <w:kern w:val="1"/>
    </w:rPr>
  </w:style>
  <w:style w:type="paragraph" w:customStyle="1" w:styleId="125">
    <w:name w:val="my正文"/>
    <w:basedOn w:val="1"/>
    <w:qFormat/>
    <w:uiPriority w:val="0"/>
    <w:pPr>
      <w:spacing w:line="360" w:lineRule="auto"/>
      <w:ind w:firstLine="480" w:firstLineChars="200"/>
    </w:pPr>
    <w:rPr>
      <w:rFonts w:ascii="宋体" w:hAnsi="宋体"/>
      <w:sz w:val="24"/>
    </w:rPr>
  </w:style>
  <w:style w:type="paragraph" w:customStyle="1" w:styleId="126">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7">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128">
    <w:name w:val="默认段落字体 Para Char Char Char Char Char Char Char"/>
    <w:basedOn w:val="1"/>
    <w:qFormat/>
    <w:uiPriority w:val="0"/>
    <w:rPr>
      <w:rFonts w:ascii="Tahoma" w:hAnsi="Tahoma"/>
      <w:sz w:val="24"/>
      <w:szCs w:val="20"/>
    </w:rPr>
  </w:style>
  <w:style w:type="paragraph" w:customStyle="1" w:styleId="129">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30">
    <w:name w:val="_Style 127"/>
    <w:unhideWhenUsed/>
    <w:qFormat/>
    <w:uiPriority w:val="99"/>
    <w:rPr>
      <w:rFonts w:ascii="Times New Roman" w:hAnsi="Times New Roman" w:eastAsia="宋体" w:cs="Times New Roman"/>
      <w:kern w:val="2"/>
      <w:sz w:val="21"/>
      <w:szCs w:val="24"/>
      <w:lang w:val="en-US" w:eastAsia="zh-CN" w:bidi="ar-SA"/>
    </w:rPr>
  </w:style>
  <w:style w:type="character" w:customStyle="1" w:styleId="131">
    <w:name w:val="NormalCharacter"/>
    <w:qFormat/>
    <w:uiPriority w:val="0"/>
    <w:rPr>
      <w:rFonts w:ascii="Times New Roman" w:hAnsi="Times New Roman" w:eastAsia="宋体" w:cs="Times New Roman"/>
    </w:rPr>
  </w:style>
  <w:style w:type="paragraph" w:customStyle="1" w:styleId="132">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33">
    <w:name w:val="Default"/>
    <w:next w:val="1"/>
    <w:qFormat/>
    <w:uiPriority w:val="0"/>
    <w:pPr>
      <w:widowControl w:val="0"/>
      <w:autoSpaceDE w:val="0"/>
      <w:autoSpaceDN w:val="0"/>
      <w:adjustRightInd w:val="0"/>
    </w:pPr>
    <w:rPr>
      <w:rFonts w:ascii="宋体" w:hAnsi="Tahoma" w:eastAsia="宋体" w:cs="宋体"/>
      <w:b/>
      <w:bCs/>
      <w:color w:val="000000"/>
      <w:sz w:val="24"/>
      <w:szCs w:val="24"/>
      <w:lang w:val="en-US" w:eastAsia="zh-CN" w:bidi="ar-SA"/>
    </w:rPr>
  </w:style>
  <w:style w:type="paragraph" w:customStyle="1" w:styleId="134">
    <w:name w:val="BodyText1I"/>
    <w:basedOn w:val="135"/>
    <w:qFormat/>
    <w:uiPriority w:val="0"/>
    <w:pPr>
      <w:ind w:firstLine="420" w:firstLineChars="100"/>
      <w:jc w:val="left"/>
    </w:pPr>
    <w:rPr>
      <w:kern w:val="0"/>
      <w:sz w:val="20"/>
      <w:szCs w:val="20"/>
    </w:rPr>
  </w:style>
  <w:style w:type="paragraph" w:customStyle="1" w:styleId="135">
    <w:name w:val="BodyText"/>
    <w:basedOn w:val="1"/>
    <w:next w:val="134"/>
    <w:qFormat/>
    <w:uiPriority w:val="0"/>
    <w:pPr>
      <w:spacing w:after="120"/>
    </w:pPr>
  </w:style>
  <w:style w:type="table" w:customStyle="1" w:styleId="136">
    <w:name w:val="Table Normal"/>
    <w:unhideWhenUsed/>
    <w:qFormat/>
    <w:uiPriority w:val="2"/>
    <w:pPr>
      <w:widowControl w:val="0"/>
    </w:pPr>
    <w:rPr>
      <w:rFonts w:ascii="等线" w:hAnsi="等线" w:eastAsia="等线"/>
      <w:sz w:val="22"/>
      <w:szCs w:val="22"/>
      <w:lang w:eastAsia="en-US"/>
    </w:rPr>
    <w:tblPr>
      <w:tblCellMar>
        <w:top w:w="0" w:type="dxa"/>
        <w:left w:w="0" w:type="dxa"/>
        <w:bottom w:w="0" w:type="dxa"/>
        <w:right w:w="0" w:type="dxa"/>
      </w:tblCellMar>
    </w:tblPr>
  </w:style>
  <w:style w:type="paragraph" w:customStyle="1" w:styleId="137">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38">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39">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140">
    <w:name w:val="正文首行缩进1"/>
    <w:basedOn w:val="1"/>
    <w:qFormat/>
    <w:uiPriority w:val="0"/>
    <w:pPr>
      <w:autoSpaceDE w:val="0"/>
      <w:autoSpaceDN w:val="0"/>
      <w:adjustRightInd w:val="0"/>
      <w:ind w:firstLine="420" w:firstLineChars="100"/>
      <w:jc w:val="left"/>
    </w:pPr>
    <w:rPr>
      <w:rFonts w:ascii="仿宋_GB2312"/>
      <w:b/>
      <w:kern w:val="0"/>
      <w:sz w:val="32"/>
      <w:szCs w:val="32"/>
    </w:rPr>
  </w:style>
  <w:style w:type="paragraph" w:customStyle="1" w:styleId="141">
    <w:name w:val="Body text|1"/>
    <w:basedOn w:val="1"/>
    <w:qFormat/>
    <w:uiPriority w:val="0"/>
    <w:pPr>
      <w:widowControl w:val="0"/>
      <w:shd w:val="clear" w:color="auto" w:fill="auto"/>
      <w:spacing w:line="444" w:lineRule="auto"/>
      <w:ind w:firstLine="400"/>
    </w:pPr>
    <w:rPr>
      <w:rFonts w:ascii="宋体" w:hAnsi="宋体" w:eastAsia="宋体" w:cs="宋体"/>
      <w:sz w:val="20"/>
      <w:szCs w:val="20"/>
      <w:u w:val="none"/>
      <w:shd w:val="clear" w:color="auto" w:fill="auto"/>
      <w:lang w:val="zh-TW" w:eastAsia="zh-TW" w:bidi="zh-TW"/>
    </w:rPr>
  </w:style>
  <w:style w:type="paragraph" w:customStyle="1" w:styleId="142">
    <w:name w:val="Heading #2|1"/>
    <w:basedOn w:val="1"/>
    <w:qFormat/>
    <w:uiPriority w:val="0"/>
    <w:pPr>
      <w:shd w:val="clear" w:color="auto" w:fill="FFFFFF"/>
      <w:spacing w:line="280" w:lineRule="exact"/>
      <w:outlineLvl w:val="1"/>
    </w:pPr>
    <w:rPr>
      <w:rFonts w:ascii="PMingLiU" w:hAnsi="PMingLiU" w:eastAsia="PMingLiU" w:cs="PMingLiU"/>
      <w:b/>
      <w:bCs/>
      <w:spacing w:val="20"/>
      <w:kern w:val="2"/>
      <w:sz w:val="28"/>
      <w:szCs w:val="28"/>
    </w:rPr>
  </w:style>
  <w:style w:type="paragraph" w:customStyle="1" w:styleId="143">
    <w:name w:val="Body Text First Indent 2"/>
    <w:basedOn w:val="144"/>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144">
    <w:name w:val="Body Text Indent"/>
    <w:basedOn w:val="1"/>
    <w:next w:val="1"/>
    <w:qFormat/>
    <w:uiPriority w:val="0"/>
    <w:pPr>
      <w:spacing w:after="120" w:afterLines="0"/>
      <w:ind w:left="420" w:leftChars="200"/>
    </w:pPr>
    <w:rPr>
      <w:color w:val="000000"/>
      <w:sz w:val="21"/>
      <w:szCs w:val="21"/>
    </w:rPr>
  </w:style>
  <w:style w:type="paragraph" w:customStyle="1" w:styleId="145">
    <w:name w:val="正文文本首行缩进1"/>
    <w:basedOn w:val="14"/>
    <w:qFormat/>
    <w:uiPriority w:val="0"/>
    <w:pPr>
      <w:ind w:firstLine="420"/>
    </w:pPr>
  </w:style>
  <w:style w:type="paragraph" w:customStyle="1" w:styleId="146">
    <w:name w:val="内文正文"/>
    <w:basedOn w:val="18"/>
    <w:qFormat/>
    <w:uiPriority w:val="0"/>
    <w:pPr>
      <w:widowControl w:val="0"/>
      <w:overflowPunct/>
      <w:autoSpaceDE/>
      <w:autoSpaceDN/>
      <w:snapToGrid w:val="0"/>
      <w:spacing w:line="400" w:lineRule="exact"/>
      <w:ind w:firstLine="200" w:firstLineChars="200"/>
      <w:jc w:val="both"/>
      <w:textAlignment w:val="auto"/>
    </w:pPr>
    <w:rPr>
      <w:rFonts w:ascii="Arial" w:hAnsi="Arial" w:cs="Courier New"/>
      <w:b/>
      <w:color w:val="00000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8" Type="http://schemas.openxmlformats.org/officeDocument/2006/relationships/fontTable" Target="fontTable.xml"/><Relationship Id="rId57" Type="http://schemas.openxmlformats.org/officeDocument/2006/relationships/numbering" Target="numbering.xml"/><Relationship Id="rId56" Type="http://schemas.openxmlformats.org/officeDocument/2006/relationships/image" Target="media/image43.png"/><Relationship Id="rId55" Type="http://schemas.openxmlformats.org/officeDocument/2006/relationships/image" Target="media/image42.png"/><Relationship Id="rId54" Type="http://schemas.openxmlformats.org/officeDocument/2006/relationships/image" Target="media/image41.png"/><Relationship Id="rId53" Type="http://schemas.openxmlformats.org/officeDocument/2006/relationships/image" Target="media/image40.png"/><Relationship Id="rId52" Type="http://schemas.openxmlformats.org/officeDocument/2006/relationships/image" Target="media/image39.png"/><Relationship Id="rId51" Type="http://schemas.openxmlformats.org/officeDocument/2006/relationships/image" Target="media/image38.png"/><Relationship Id="rId50" Type="http://schemas.openxmlformats.org/officeDocument/2006/relationships/image" Target="media/image37.png"/><Relationship Id="rId5" Type="http://schemas.openxmlformats.org/officeDocument/2006/relationships/footer" Target="footer2.xml"/><Relationship Id="rId49" Type="http://schemas.openxmlformats.org/officeDocument/2006/relationships/image" Target="media/image36.png"/><Relationship Id="rId48" Type="http://schemas.openxmlformats.org/officeDocument/2006/relationships/image" Target="media/image35.png"/><Relationship Id="rId47" Type="http://schemas.openxmlformats.org/officeDocument/2006/relationships/image" Target="media/image34.png"/><Relationship Id="rId46" Type="http://schemas.openxmlformats.org/officeDocument/2006/relationships/image" Target="media/image33.png"/><Relationship Id="rId45" Type="http://schemas.openxmlformats.org/officeDocument/2006/relationships/image" Target="media/image32.png"/><Relationship Id="rId44" Type="http://schemas.openxmlformats.org/officeDocument/2006/relationships/image" Target="media/image31.png"/><Relationship Id="rId43" Type="http://schemas.openxmlformats.org/officeDocument/2006/relationships/image" Target="media/image30.png"/><Relationship Id="rId42" Type="http://schemas.openxmlformats.org/officeDocument/2006/relationships/image" Target="media/image29.png"/><Relationship Id="rId41" Type="http://schemas.openxmlformats.org/officeDocument/2006/relationships/image" Target="media/image28.jpeg"/><Relationship Id="rId40" Type="http://schemas.openxmlformats.org/officeDocument/2006/relationships/image" Target="media/image27.png"/><Relationship Id="rId4" Type="http://schemas.openxmlformats.org/officeDocument/2006/relationships/footer" Target="footer1.xml"/><Relationship Id="rId39" Type="http://schemas.openxmlformats.org/officeDocument/2006/relationships/image" Target="media/image26.png"/><Relationship Id="rId38" Type="http://schemas.openxmlformats.org/officeDocument/2006/relationships/image" Target="media/image25.png"/><Relationship Id="rId37" Type="http://schemas.openxmlformats.org/officeDocument/2006/relationships/image" Target="media/image24.png"/><Relationship Id="rId36" Type="http://schemas.openxmlformats.org/officeDocument/2006/relationships/image" Target="media/image23.png"/><Relationship Id="rId35" Type="http://schemas.openxmlformats.org/officeDocument/2006/relationships/image" Target="media/image22.png"/><Relationship Id="rId34" Type="http://schemas.openxmlformats.org/officeDocument/2006/relationships/image" Target="media/image21.png"/><Relationship Id="rId33" Type="http://schemas.openxmlformats.org/officeDocument/2006/relationships/image" Target="media/image20.png"/><Relationship Id="rId32" Type="http://schemas.openxmlformats.org/officeDocument/2006/relationships/image" Target="media/image19.png"/><Relationship Id="rId31" Type="http://schemas.openxmlformats.org/officeDocument/2006/relationships/image" Target="media/image18.png"/><Relationship Id="rId30" Type="http://schemas.openxmlformats.org/officeDocument/2006/relationships/image" Target="media/image17.png"/><Relationship Id="rId3" Type="http://schemas.openxmlformats.org/officeDocument/2006/relationships/header" Target="header1.xml"/><Relationship Id="rId29" Type="http://schemas.openxmlformats.org/officeDocument/2006/relationships/image" Target="media/image16.png"/><Relationship Id="rId28" Type="http://schemas.openxmlformats.org/officeDocument/2006/relationships/image" Target="media/image15.png"/><Relationship Id="rId27" Type="http://schemas.openxmlformats.org/officeDocument/2006/relationships/image" Target="media/image14.png"/><Relationship Id="rId26" Type="http://schemas.openxmlformats.org/officeDocument/2006/relationships/image" Target="media/image13.png"/><Relationship Id="rId25" Type="http://schemas.openxmlformats.org/officeDocument/2006/relationships/image" Target="media/image12.png"/><Relationship Id="rId24" Type="http://schemas.openxmlformats.org/officeDocument/2006/relationships/image" Target="media/image11.png"/><Relationship Id="rId23" Type="http://schemas.openxmlformats.org/officeDocument/2006/relationships/image" Target="media/image10.png"/><Relationship Id="rId22" Type="http://schemas.openxmlformats.org/officeDocument/2006/relationships/image" Target="media/image9.png"/><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69</Pages>
  <Words>40930</Words>
  <Characters>45303</Characters>
  <Lines>254</Lines>
  <Paragraphs>71</Paragraphs>
  <TotalTime>41</TotalTime>
  <ScaleCrop>false</ScaleCrop>
  <LinksUpToDate>false</LinksUpToDate>
  <CharactersWithSpaces>49499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2022-11-12T06:39:00Z</dcterms:created>
  <dc:creator>system</dc:creator>
  <cp:lastModifiedBy>liuhuicong</cp:lastModifiedBy>
  <cp:lastPrinted>2024-06-25T00:54:00Z</cp:lastPrinted>
  <dcterms:modified xsi:type="dcterms:W3CDTF">2024-06-27T07:18:43Z</dcterms:modified>
  <dc:title>招标文件</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FFD2E06B13A248C7892AB02E6A037DA2</vt:lpwstr>
  </property>
</Properties>
</file>